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289" w:type="dxa"/>
        <w:tblLook w:val="04A0" w:firstRow="1" w:lastRow="0" w:firstColumn="1" w:lastColumn="0" w:noHBand="0" w:noVBand="1"/>
      </w:tblPr>
      <w:tblGrid>
        <w:gridCol w:w="8784"/>
        <w:gridCol w:w="3969"/>
        <w:gridCol w:w="4536"/>
      </w:tblGrid>
      <w:tr w:rsidR="00432AAD" w:rsidRPr="00535477" w14:paraId="6C78FFC5" w14:textId="77777777" w:rsidTr="001948E1">
        <w:trPr>
          <w:tblHeader/>
        </w:trPr>
        <w:tc>
          <w:tcPr>
            <w:tcW w:w="8784" w:type="dxa"/>
            <w:shd w:val="clear" w:color="auto" w:fill="D9D9D9" w:themeFill="background1" w:themeFillShade="D9"/>
          </w:tcPr>
          <w:p w14:paraId="0512FE24" w14:textId="31C8A4C5" w:rsidR="00432AAD" w:rsidRPr="00432AAD" w:rsidRDefault="00432AAD" w:rsidP="00432AAD">
            <w:pPr>
              <w:spacing w:line="360" w:lineRule="auto"/>
              <w:jc w:val="center"/>
              <w:rPr>
                <w:rFonts w:ascii="Bookman Old Style" w:hAnsi="Bookman Old Style"/>
                <w:b/>
                <w:bCs/>
                <w:sz w:val="24"/>
                <w:szCs w:val="24"/>
              </w:rPr>
            </w:pPr>
            <w:r w:rsidRPr="00432AAD">
              <w:rPr>
                <w:rFonts w:ascii="Bookman Old Style" w:hAnsi="Bookman Old Style"/>
                <w:b/>
                <w:bCs/>
                <w:sz w:val="24"/>
                <w:szCs w:val="24"/>
              </w:rPr>
              <w:t>Draft Peraturan</w:t>
            </w:r>
          </w:p>
        </w:tc>
        <w:tc>
          <w:tcPr>
            <w:tcW w:w="3969" w:type="dxa"/>
            <w:shd w:val="clear" w:color="auto" w:fill="D9D9D9" w:themeFill="background1" w:themeFillShade="D9"/>
          </w:tcPr>
          <w:p w14:paraId="44AC61B3" w14:textId="2B56313A" w:rsidR="00432AAD" w:rsidRPr="00432AAD" w:rsidRDefault="00432AAD" w:rsidP="00432AAD">
            <w:pPr>
              <w:spacing w:line="360" w:lineRule="auto"/>
              <w:jc w:val="center"/>
              <w:rPr>
                <w:rFonts w:ascii="Bookman Old Style" w:hAnsi="Bookman Old Style"/>
                <w:b/>
                <w:bCs/>
                <w:sz w:val="24"/>
                <w:szCs w:val="24"/>
              </w:rPr>
            </w:pPr>
            <w:r w:rsidRPr="00432AAD">
              <w:rPr>
                <w:rFonts w:ascii="Bookman Old Style" w:hAnsi="Bookman Old Style"/>
                <w:b/>
                <w:bCs/>
                <w:sz w:val="24"/>
                <w:szCs w:val="24"/>
              </w:rPr>
              <w:t>Tanggapan</w:t>
            </w:r>
          </w:p>
        </w:tc>
        <w:tc>
          <w:tcPr>
            <w:tcW w:w="4536" w:type="dxa"/>
            <w:shd w:val="clear" w:color="auto" w:fill="D9D9D9" w:themeFill="background1" w:themeFillShade="D9"/>
          </w:tcPr>
          <w:p w14:paraId="242CF9D4" w14:textId="589E4031" w:rsidR="00432AAD" w:rsidRPr="00432AAD" w:rsidRDefault="00432AAD" w:rsidP="00432AAD">
            <w:pPr>
              <w:spacing w:line="360" w:lineRule="auto"/>
              <w:jc w:val="center"/>
              <w:rPr>
                <w:rFonts w:ascii="Bookman Old Style" w:hAnsi="Bookman Old Style"/>
                <w:b/>
                <w:bCs/>
                <w:sz w:val="24"/>
                <w:szCs w:val="24"/>
              </w:rPr>
            </w:pPr>
            <w:r w:rsidRPr="00432AAD">
              <w:rPr>
                <w:rFonts w:ascii="Bookman Old Style" w:hAnsi="Bookman Old Style"/>
                <w:b/>
                <w:bCs/>
                <w:sz w:val="24"/>
                <w:szCs w:val="24"/>
              </w:rPr>
              <w:t>Usulan Perubahan</w:t>
            </w:r>
          </w:p>
        </w:tc>
      </w:tr>
      <w:tr w:rsidR="00432AAD" w:rsidRPr="00535477" w14:paraId="773DADC5" w14:textId="42824293" w:rsidTr="00AF03F6">
        <w:tc>
          <w:tcPr>
            <w:tcW w:w="8784" w:type="dxa"/>
          </w:tcPr>
          <w:p w14:paraId="105064F4" w14:textId="77777777" w:rsidR="00432AAD" w:rsidRPr="00535477" w:rsidRDefault="00432AAD" w:rsidP="0044583D">
            <w:pPr>
              <w:spacing w:line="360" w:lineRule="auto"/>
              <w:rPr>
                <w:rFonts w:ascii="Bookman Old Style" w:hAnsi="Bookman Old Style"/>
                <w:sz w:val="24"/>
                <w:szCs w:val="24"/>
              </w:rPr>
            </w:pPr>
            <w:r w:rsidRPr="00535477">
              <w:rPr>
                <w:rFonts w:ascii="Bookman Old Style" w:hAnsi="Bookman Old Style"/>
                <w:sz w:val="24"/>
                <w:szCs w:val="24"/>
              </w:rPr>
              <w:t>Yth. Direktur Eksekutif Lembaga Pembiayaan Ekspor Indonesia</w:t>
            </w:r>
          </w:p>
        </w:tc>
        <w:tc>
          <w:tcPr>
            <w:tcW w:w="3969" w:type="dxa"/>
          </w:tcPr>
          <w:p w14:paraId="2AE50D01" w14:textId="77777777" w:rsidR="00432AAD" w:rsidRPr="00535477" w:rsidRDefault="00432AAD" w:rsidP="0044583D">
            <w:pPr>
              <w:spacing w:line="360" w:lineRule="auto"/>
              <w:rPr>
                <w:rFonts w:ascii="Bookman Old Style" w:hAnsi="Bookman Old Style"/>
                <w:sz w:val="24"/>
                <w:szCs w:val="24"/>
              </w:rPr>
            </w:pPr>
          </w:p>
        </w:tc>
        <w:tc>
          <w:tcPr>
            <w:tcW w:w="4536" w:type="dxa"/>
          </w:tcPr>
          <w:p w14:paraId="1A40D4F3" w14:textId="77777777" w:rsidR="00432AAD" w:rsidRPr="00535477" w:rsidRDefault="00432AAD" w:rsidP="0044583D">
            <w:pPr>
              <w:spacing w:line="360" w:lineRule="auto"/>
              <w:rPr>
                <w:rFonts w:ascii="Bookman Old Style" w:hAnsi="Bookman Old Style"/>
                <w:sz w:val="24"/>
                <w:szCs w:val="24"/>
              </w:rPr>
            </w:pPr>
          </w:p>
        </w:tc>
      </w:tr>
      <w:tr w:rsidR="00432AAD" w:rsidRPr="00535477" w14:paraId="005EACE9" w14:textId="4436360F" w:rsidTr="00AF03F6">
        <w:tc>
          <w:tcPr>
            <w:tcW w:w="8784" w:type="dxa"/>
          </w:tcPr>
          <w:p w14:paraId="14404333" w14:textId="77777777" w:rsidR="00432AAD" w:rsidRPr="00535477" w:rsidRDefault="00432AAD" w:rsidP="0044583D">
            <w:pPr>
              <w:spacing w:line="360" w:lineRule="auto"/>
              <w:rPr>
                <w:rFonts w:ascii="Bookman Old Style" w:hAnsi="Bookman Old Style"/>
                <w:sz w:val="24"/>
                <w:szCs w:val="24"/>
              </w:rPr>
            </w:pPr>
            <w:r w:rsidRPr="00535477">
              <w:rPr>
                <w:rFonts w:ascii="Bookman Old Style" w:hAnsi="Bookman Old Style"/>
                <w:sz w:val="24"/>
                <w:szCs w:val="24"/>
              </w:rPr>
              <w:t>di tempat.</w:t>
            </w:r>
          </w:p>
        </w:tc>
        <w:tc>
          <w:tcPr>
            <w:tcW w:w="3969" w:type="dxa"/>
          </w:tcPr>
          <w:p w14:paraId="581E32FC" w14:textId="77777777" w:rsidR="00432AAD" w:rsidRPr="00535477" w:rsidRDefault="00432AAD" w:rsidP="0044583D">
            <w:pPr>
              <w:spacing w:line="360" w:lineRule="auto"/>
              <w:rPr>
                <w:rFonts w:ascii="Bookman Old Style" w:hAnsi="Bookman Old Style"/>
                <w:sz w:val="24"/>
                <w:szCs w:val="24"/>
              </w:rPr>
            </w:pPr>
          </w:p>
        </w:tc>
        <w:tc>
          <w:tcPr>
            <w:tcW w:w="4536" w:type="dxa"/>
          </w:tcPr>
          <w:p w14:paraId="6EC4B7BC" w14:textId="77777777" w:rsidR="00432AAD" w:rsidRPr="00535477" w:rsidRDefault="00432AAD" w:rsidP="0044583D">
            <w:pPr>
              <w:spacing w:line="360" w:lineRule="auto"/>
              <w:rPr>
                <w:rFonts w:ascii="Bookman Old Style" w:hAnsi="Bookman Old Style"/>
                <w:sz w:val="24"/>
                <w:szCs w:val="24"/>
              </w:rPr>
            </w:pPr>
          </w:p>
        </w:tc>
      </w:tr>
      <w:tr w:rsidR="00432AAD" w:rsidRPr="00535477" w14:paraId="3E39B754" w14:textId="0BC9A2C8" w:rsidTr="00AF03F6">
        <w:tc>
          <w:tcPr>
            <w:tcW w:w="8784" w:type="dxa"/>
          </w:tcPr>
          <w:p w14:paraId="4B1C0EA8" w14:textId="77777777" w:rsidR="00432AAD" w:rsidRDefault="00432AAD" w:rsidP="0044583D">
            <w:pPr>
              <w:spacing w:line="360" w:lineRule="auto"/>
              <w:rPr>
                <w:rFonts w:ascii="Bookman Old Style" w:hAnsi="Bookman Old Style"/>
                <w:sz w:val="24"/>
                <w:szCs w:val="24"/>
              </w:rPr>
            </w:pPr>
          </w:p>
          <w:p w14:paraId="0E6B1CBA" w14:textId="77777777" w:rsidR="00432AAD" w:rsidRPr="00535477" w:rsidRDefault="00432AAD" w:rsidP="0044583D">
            <w:pPr>
              <w:spacing w:line="360" w:lineRule="auto"/>
              <w:rPr>
                <w:rFonts w:ascii="Bookman Old Style" w:hAnsi="Bookman Old Style"/>
                <w:sz w:val="24"/>
                <w:szCs w:val="24"/>
              </w:rPr>
            </w:pPr>
          </w:p>
        </w:tc>
        <w:tc>
          <w:tcPr>
            <w:tcW w:w="3969" w:type="dxa"/>
          </w:tcPr>
          <w:p w14:paraId="49660763" w14:textId="77777777" w:rsidR="00432AAD" w:rsidRDefault="00432AAD" w:rsidP="0044583D">
            <w:pPr>
              <w:spacing w:line="360" w:lineRule="auto"/>
              <w:rPr>
                <w:rFonts w:ascii="Bookman Old Style" w:hAnsi="Bookman Old Style"/>
                <w:sz w:val="24"/>
                <w:szCs w:val="24"/>
              </w:rPr>
            </w:pPr>
          </w:p>
        </w:tc>
        <w:tc>
          <w:tcPr>
            <w:tcW w:w="4536" w:type="dxa"/>
          </w:tcPr>
          <w:p w14:paraId="51769352" w14:textId="77777777" w:rsidR="00432AAD" w:rsidRDefault="00432AAD" w:rsidP="0044583D">
            <w:pPr>
              <w:spacing w:line="360" w:lineRule="auto"/>
              <w:rPr>
                <w:rFonts w:ascii="Bookman Old Style" w:hAnsi="Bookman Old Style"/>
                <w:sz w:val="24"/>
                <w:szCs w:val="24"/>
              </w:rPr>
            </w:pPr>
          </w:p>
        </w:tc>
      </w:tr>
      <w:tr w:rsidR="00432AAD" w:rsidRPr="00535477" w14:paraId="2621B7C1" w14:textId="4CFE8143" w:rsidTr="00AF03F6">
        <w:tc>
          <w:tcPr>
            <w:tcW w:w="8784" w:type="dxa"/>
          </w:tcPr>
          <w:p w14:paraId="473AEE5A" w14:textId="77777777" w:rsidR="00432AAD" w:rsidRDefault="00432AAD" w:rsidP="0044583D">
            <w:pPr>
              <w:spacing w:line="360" w:lineRule="auto"/>
              <w:jc w:val="center"/>
              <w:rPr>
                <w:rFonts w:ascii="Bookman Old Style" w:hAnsi="Bookman Old Style"/>
                <w:sz w:val="24"/>
                <w:szCs w:val="24"/>
              </w:rPr>
            </w:pPr>
            <w:r w:rsidRPr="00535477">
              <w:rPr>
                <w:rFonts w:ascii="Bookman Old Style" w:hAnsi="Bookman Old Style"/>
                <w:sz w:val="24"/>
                <w:szCs w:val="24"/>
              </w:rPr>
              <w:t xml:space="preserve">SURAT EDARAN OTORITAS JASA KEUANGAN </w:t>
            </w:r>
          </w:p>
          <w:p w14:paraId="3AD6CE8F" w14:textId="77777777" w:rsidR="00432AAD" w:rsidRDefault="00432AAD" w:rsidP="0044583D">
            <w:pPr>
              <w:spacing w:line="360" w:lineRule="auto"/>
              <w:jc w:val="center"/>
              <w:rPr>
                <w:rFonts w:ascii="Bookman Old Style" w:hAnsi="Bookman Old Style"/>
                <w:sz w:val="24"/>
                <w:szCs w:val="24"/>
              </w:rPr>
            </w:pPr>
            <w:r w:rsidRPr="00535477">
              <w:rPr>
                <w:rFonts w:ascii="Bookman Old Style" w:hAnsi="Bookman Old Style"/>
                <w:sz w:val="24"/>
                <w:szCs w:val="24"/>
              </w:rPr>
              <w:t xml:space="preserve">NOMOR .../SEOJK.05/2022 </w:t>
            </w:r>
          </w:p>
          <w:p w14:paraId="5DBF11F3" w14:textId="77777777" w:rsidR="00432AAD" w:rsidRDefault="00432AAD" w:rsidP="0044583D">
            <w:pPr>
              <w:spacing w:line="360" w:lineRule="auto"/>
              <w:jc w:val="center"/>
              <w:rPr>
                <w:rFonts w:ascii="Bookman Old Style" w:hAnsi="Bookman Old Style"/>
                <w:sz w:val="24"/>
                <w:szCs w:val="24"/>
              </w:rPr>
            </w:pPr>
            <w:r w:rsidRPr="00535477">
              <w:rPr>
                <w:rFonts w:ascii="Bookman Old Style" w:hAnsi="Bookman Old Style"/>
                <w:sz w:val="24"/>
                <w:szCs w:val="24"/>
              </w:rPr>
              <w:t xml:space="preserve">TENTANG </w:t>
            </w:r>
          </w:p>
          <w:p w14:paraId="0620747E" w14:textId="77777777" w:rsidR="00432AAD" w:rsidRPr="00535477" w:rsidRDefault="00432AAD" w:rsidP="0044583D">
            <w:pPr>
              <w:spacing w:line="360" w:lineRule="auto"/>
              <w:jc w:val="center"/>
              <w:rPr>
                <w:rFonts w:ascii="Bookman Old Style" w:hAnsi="Bookman Old Style"/>
                <w:sz w:val="24"/>
                <w:szCs w:val="24"/>
              </w:rPr>
            </w:pPr>
            <w:r w:rsidRPr="00535477">
              <w:rPr>
                <w:rFonts w:ascii="Bookman Old Style" w:hAnsi="Bookman Old Style"/>
                <w:sz w:val="24"/>
                <w:szCs w:val="24"/>
              </w:rPr>
              <w:t>RASIO KEWAJIBAN PENYEDIAAN MODAL MINIMUM LEMBAGA PEMBIAYAAN EKSPOR INDONESIA</w:t>
            </w:r>
          </w:p>
        </w:tc>
        <w:tc>
          <w:tcPr>
            <w:tcW w:w="3969" w:type="dxa"/>
          </w:tcPr>
          <w:p w14:paraId="3B6CBA2D" w14:textId="77777777" w:rsidR="00432AAD" w:rsidRPr="00535477" w:rsidRDefault="00432AAD" w:rsidP="0044583D">
            <w:pPr>
              <w:spacing w:line="360" w:lineRule="auto"/>
              <w:jc w:val="center"/>
              <w:rPr>
                <w:rFonts w:ascii="Bookman Old Style" w:hAnsi="Bookman Old Style"/>
                <w:sz w:val="24"/>
                <w:szCs w:val="24"/>
              </w:rPr>
            </w:pPr>
          </w:p>
        </w:tc>
        <w:tc>
          <w:tcPr>
            <w:tcW w:w="4536" w:type="dxa"/>
          </w:tcPr>
          <w:p w14:paraId="5AB1C453" w14:textId="77777777" w:rsidR="00432AAD" w:rsidRPr="00535477" w:rsidRDefault="00432AAD" w:rsidP="0044583D">
            <w:pPr>
              <w:spacing w:line="360" w:lineRule="auto"/>
              <w:jc w:val="center"/>
              <w:rPr>
                <w:rFonts w:ascii="Bookman Old Style" w:hAnsi="Bookman Old Style"/>
                <w:sz w:val="24"/>
                <w:szCs w:val="24"/>
              </w:rPr>
            </w:pPr>
          </w:p>
        </w:tc>
      </w:tr>
      <w:tr w:rsidR="00432AAD" w:rsidRPr="00535477" w14:paraId="0552FA51" w14:textId="70C58DF3" w:rsidTr="00AF03F6">
        <w:tc>
          <w:tcPr>
            <w:tcW w:w="8784" w:type="dxa"/>
          </w:tcPr>
          <w:p w14:paraId="76932081" w14:textId="77777777" w:rsidR="00432AAD" w:rsidRPr="00535477" w:rsidRDefault="00432AAD" w:rsidP="0044583D">
            <w:pPr>
              <w:spacing w:line="360" w:lineRule="auto"/>
              <w:rPr>
                <w:rFonts w:ascii="Bookman Old Style" w:hAnsi="Bookman Old Style"/>
                <w:sz w:val="24"/>
                <w:szCs w:val="24"/>
              </w:rPr>
            </w:pPr>
          </w:p>
        </w:tc>
        <w:tc>
          <w:tcPr>
            <w:tcW w:w="3969" w:type="dxa"/>
          </w:tcPr>
          <w:p w14:paraId="0B69FC85" w14:textId="77777777" w:rsidR="00432AAD" w:rsidRPr="00535477" w:rsidRDefault="00432AAD" w:rsidP="0044583D">
            <w:pPr>
              <w:spacing w:line="360" w:lineRule="auto"/>
              <w:rPr>
                <w:rFonts w:ascii="Bookman Old Style" w:hAnsi="Bookman Old Style"/>
                <w:sz w:val="24"/>
                <w:szCs w:val="24"/>
              </w:rPr>
            </w:pPr>
          </w:p>
        </w:tc>
        <w:tc>
          <w:tcPr>
            <w:tcW w:w="4536" w:type="dxa"/>
          </w:tcPr>
          <w:p w14:paraId="65E38F66" w14:textId="77777777" w:rsidR="00432AAD" w:rsidRPr="00535477" w:rsidRDefault="00432AAD" w:rsidP="0044583D">
            <w:pPr>
              <w:spacing w:line="360" w:lineRule="auto"/>
              <w:rPr>
                <w:rFonts w:ascii="Bookman Old Style" w:hAnsi="Bookman Old Style"/>
                <w:sz w:val="24"/>
                <w:szCs w:val="24"/>
              </w:rPr>
            </w:pPr>
          </w:p>
        </w:tc>
      </w:tr>
      <w:tr w:rsidR="00432AAD" w:rsidRPr="00535477" w14:paraId="5E68A504" w14:textId="66011A16" w:rsidTr="00AF03F6">
        <w:tc>
          <w:tcPr>
            <w:tcW w:w="8784" w:type="dxa"/>
          </w:tcPr>
          <w:p w14:paraId="5B5995DE" w14:textId="77777777" w:rsidR="00432AAD" w:rsidRDefault="00432AAD" w:rsidP="0044583D">
            <w:pPr>
              <w:pStyle w:val="Style3"/>
              <w:spacing w:line="360" w:lineRule="auto"/>
              <w:ind w:firstLine="851"/>
              <w:rPr>
                <w:lang w:val="es-ES"/>
              </w:rPr>
            </w:pPr>
            <w:r w:rsidRPr="00535477">
              <w:rPr>
                <w:lang w:val="es-ES"/>
              </w:rPr>
              <w:t xml:space="preserve">Sehubungan dengan </w:t>
            </w:r>
            <w:r w:rsidRPr="00535477">
              <w:rPr>
                <w:iCs/>
                <w:lang w:val="es-ES"/>
              </w:rPr>
              <w:t xml:space="preserve">ketentuan Pasal </w:t>
            </w:r>
            <w:r w:rsidRPr="00230842">
              <w:rPr>
                <w:iCs/>
                <w:lang w:val="es-ES"/>
              </w:rPr>
              <w:t>105</w:t>
            </w:r>
            <w:r w:rsidRPr="00535477">
              <w:rPr>
                <w:i/>
                <w:lang w:val="es-ES"/>
              </w:rPr>
              <w:t xml:space="preserve"> </w:t>
            </w:r>
            <w:r w:rsidRPr="00535477">
              <w:rPr>
                <w:lang w:val="es-ES"/>
              </w:rPr>
              <w:t xml:space="preserve">Peraturan Otoritas Jasa Keuangan Nomor </w:t>
            </w:r>
            <w:r>
              <w:rPr>
                <w:lang w:val="es-ES"/>
              </w:rPr>
              <w:t>…</w:t>
            </w:r>
            <w:r w:rsidRPr="00535477">
              <w:rPr>
                <w:lang w:val="es-ES"/>
              </w:rPr>
              <w:t xml:space="preserve">/POJK.05/2022 tentang </w:t>
            </w:r>
            <w:r w:rsidRPr="00535477">
              <w:rPr>
                <w:rStyle w:val="FontStyle18"/>
                <w:sz w:val="24"/>
                <w:szCs w:val="24"/>
                <w:lang w:eastAsia="id-ID"/>
              </w:rPr>
              <w:t>Pengawasan Lembaga Pembiayaan Ekspor Indonesia</w:t>
            </w:r>
            <w:r w:rsidRPr="00535477">
              <w:rPr>
                <w:lang w:val="es-ES"/>
              </w:rPr>
              <w:t xml:space="preserve"> (Lembaran Negara Republik Indonesia Tahun 20</w:t>
            </w:r>
            <w:r w:rsidRPr="00230842">
              <w:rPr>
                <w:lang w:val="es-ES"/>
              </w:rPr>
              <w:t>22</w:t>
            </w:r>
            <w:r w:rsidRPr="00535477">
              <w:rPr>
                <w:lang w:val="es-ES"/>
              </w:rPr>
              <w:t xml:space="preserve"> Nomor </w:t>
            </w:r>
            <w:r>
              <w:rPr>
                <w:lang w:val="es-ES"/>
              </w:rPr>
              <w:t>…</w:t>
            </w:r>
            <w:r w:rsidRPr="00535477">
              <w:rPr>
                <w:lang w:val="es-ES"/>
              </w:rPr>
              <w:t xml:space="preserve">, Tambahan Lembaran Negara Republik Indonesia Nomor </w:t>
            </w:r>
            <w:r>
              <w:rPr>
                <w:lang w:val="es-ES"/>
              </w:rPr>
              <w:t>…</w:t>
            </w:r>
            <w:r w:rsidRPr="00535477">
              <w:rPr>
                <w:lang w:val="es-ES"/>
              </w:rPr>
              <w:t xml:space="preserve">), perlu untuk mengatur lebih lanjut mengenai </w:t>
            </w:r>
            <w:r w:rsidRPr="00535477">
              <w:rPr>
                <w:rFonts w:cs="Arial"/>
                <w:lang w:val="en-GB"/>
              </w:rPr>
              <w:t xml:space="preserve">rasio </w:t>
            </w:r>
            <w:r w:rsidRPr="00535477">
              <w:t>kewajiban penyediaan modal minimum (KPMM)</w:t>
            </w:r>
            <w:r w:rsidRPr="00535477">
              <w:rPr>
                <w:rStyle w:val="FontStyle18"/>
                <w:sz w:val="24"/>
                <w:szCs w:val="24"/>
                <w:lang w:val="es-ES" w:eastAsia="id-ID"/>
              </w:rPr>
              <w:t xml:space="preserve"> bagi </w:t>
            </w:r>
            <w:r w:rsidRPr="00535477">
              <w:rPr>
                <w:rStyle w:val="FontStyle18"/>
                <w:sz w:val="24"/>
                <w:szCs w:val="24"/>
                <w:lang w:eastAsia="id-ID"/>
              </w:rPr>
              <w:t>Lembaga Pembiayaan Ekspor Indonesia</w:t>
            </w:r>
            <w:r w:rsidRPr="00535477">
              <w:rPr>
                <w:rStyle w:val="FontStyle18"/>
                <w:sz w:val="24"/>
                <w:szCs w:val="24"/>
                <w:lang w:val="id-ID" w:eastAsia="id-ID"/>
              </w:rPr>
              <w:t xml:space="preserve"> </w:t>
            </w:r>
            <w:r w:rsidRPr="00535477">
              <w:rPr>
                <w:lang w:val="es-ES"/>
              </w:rPr>
              <w:t>dalam Surat Edaran Otoritas Jasa Keuangan sebagai berikut:</w:t>
            </w:r>
          </w:p>
          <w:p w14:paraId="16D75871" w14:textId="77777777" w:rsidR="00432AAD" w:rsidRPr="00535477" w:rsidRDefault="00432AAD" w:rsidP="0044583D">
            <w:pPr>
              <w:pStyle w:val="Style3"/>
              <w:spacing w:line="360" w:lineRule="auto"/>
              <w:ind w:firstLine="851"/>
              <w:rPr>
                <w:rFonts w:cs="Bookman Old Style"/>
                <w:lang w:val="id-ID" w:eastAsia="id-ID"/>
              </w:rPr>
            </w:pPr>
          </w:p>
        </w:tc>
        <w:tc>
          <w:tcPr>
            <w:tcW w:w="3969" w:type="dxa"/>
          </w:tcPr>
          <w:p w14:paraId="09A9D9D7" w14:textId="77777777" w:rsidR="00432AAD" w:rsidRPr="00535477" w:rsidRDefault="00432AAD" w:rsidP="0044583D">
            <w:pPr>
              <w:pStyle w:val="Style3"/>
              <w:spacing w:line="360" w:lineRule="auto"/>
              <w:ind w:firstLine="851"/>
              <w:rPr>
                <w:lang w:val="es-ES"/>
              </w:rPr>
            </w:pPr>
          </w:p>
        </w:tc>
        <w:tc>
          <w:tcPr>
            <w:tcW w:w="4536" w:type="dxa"/>
          </w:tcPr>
          <w:p w14:paraId="5352BC9F" w14:textId="77777777" w:rsidR="00432AAD" w:rsidRPr="00535477" w:rsidRDefault="00432AAD" w:rsidP="0044583D">
            <w:pPr>
              <w:pStyle w:val="Style3"/>
              <w:spacing w:line="360" w:lineRule="auto"/>
              <w:ind w:firstLine="851"/>
              <w:rPr>
                <w:lang w:val="es-ES"/>
              </w:rPr>
            </w:pPr>
          </w:p>
        </w:tc>
      </w:tr>
      <w:tr w:rsidR="00432AAD" w:rsidRPr="00535477" w14:paraId="6C46748F" w14:textId="281AF88E" w:rsidTr="00AF03F6">
        <w:tc>
          <w:tcPr>
            <w:tcW w:w="8784" w:type="dxa"/>
          </w:tcPr>
          <w:p w14:paraId="6F8F6C9B"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KETENTUAN UMUM</w:t>
            </w:r>
          </w:p>
        </w:tc>
        <w:tc>
          <w:tcPr>
            <w:tcW w:w="3969" w:type="dxa"/>
          </w:tcPr>
          <w:p w14:paraId="0956D540" w14:textId="77777777" w:rsidR="00432AAD" w:rsidRPr="00535477" w:rsidRDefault="00432AAD" w:rsidP="006918B8">
            <w:pPr>
              <w:pStyle w:val="ListParagraph"/>
              <w:spacing w:line="360" w:lineRule="auto"/>
              <w:ind w:left="738"/>
              <w:jc w:val="both"/>
              <w:rPr>
                <w:rFonts w:ascii="Bookman Old Style" w:hAnsi="Bookman Old Style"/>
                <w:sz w:val="24"/>
                <w:szCs w:val="24"/>
              </w:rPr>
            </w:pPr>
          </w:p>
        </w:tc>
        <w:tc>
          <w:tcPr>
            <w:tcW w:w="4536" w:type="dxa"/>
          </w:tcPr>
          <w:p w14:paraId="2DBE1C6E" w14:textId="77777777" w:rsidR="00432AAD" w:rsidRPr="00535477" w:rsidRDefault="00432AAD" w:rsidP="006918B8">
            <w:pPr>
              <w:pStyle w:val="ListParagraph"/>
              <w:spacing w:line="360" w:lineRule="auto"/>
              <w:ind w:left="738"/>
              <w:jc w:val="both"/>
              <w:rPr>
                <w:rFonts w:ascii="Bookman Old Style" w:hAnsi="Bookman Old Style"/>
                <w:sz w:val="24"/>
                <w:szCs w:val="24"/>
              </w:rPr>
            </w:pPr>
          </w:p>
        </w:tc>
      </w:tr>
      <w:tr w:rsidR="00432AAD" w:rsidRPr="00535477" w14:paraId="263F6F85" w14:textId="71556E51" w:rsidTr="00AF03F6">
        <w:tc>
          <w:tcPr>
            <w:tcW w:w="8784" w:type="dxa"/>
          </w:tcPr>
          <w:p w14:paraId="65F294B2" w14:textId="77777777" w:rsidR="00432AAD" w:rsidRPr="00535477" w:rsidRDefault="00432AAD" w:rsidP="0044583D">
            <w:pPr>
              <w:autoSpaceDE w:val="0"/>
              <w:autoSpaceDN w:val="0"/>
              <w:adjustRightInd w:val="0"/>
              <w:spacing w:line="360" w:lineRule="auto"/>
              <w:ind w:left="738" w:firstLine="7"/>
              <w:jc w:val="both"/>
              <w:rPr>
                <w:rFonts w:ascii="Bookman Old Style" w:hAnsi="Bookman Old Style"/>
                <w:iCs/>
                <w:sz w:val="24"/>
                <w:szCs w:val="24"/>
              </w:rPr>
            </w:pPr>
            <w:r w:rsidRPr="00535477">
              <w:rPr>
                <w:rFonts w:ascii="Bookman Old Style" w:hAnsi="Bookman Old Style"/>
                <w:iCs/>
                <w:sz w:val="24"/>
                <w:szCs w:val="24"/>
              </w:rPr>
              <w:lastRenderedPageBreak/>
              <w:t>Dalam Surat Edaran Otoritas Jasa Keuangan ini yang dimaksud dengan:</w:t>
            </w:r>
          </w:p>
        </w:tc>
        <w:tc>
          <w:tcPr>
            <w:tcW w:w="3969" w:type="dxa"/>
          </w:tcPr>
          <w:p w14:paraId="1E0A8077" w14:textId="77777777" w:rsidR="00432AAD" w:rsidRPr="00535477" w:rsidRDefault="00432AAD" w:rsidP="0044583D">
            <w:pPr>
              <w:autoSpaceDE w:val="0"/>
              <w:autoSpaceDN w:val="0"/>
              <w:adjustRightInd w:val="0"/>
              <w:spacing w:line="360" w:lineRule="auto"/>
              <w:ind w:left="738" w:firstLine="7"/>
              <w:jc w:val="both"/>
              <w:rPr>
                <w:rFonts w:ascii="Bookman Old Style" w:hAnsi="Bookman Old Style"/>
                <w:iCs/>
                <w:sz w:val="24"/>
                <w:szCs w:val="24"/>
              </w:rPr>
            </w:pPr>
          </w:p>
        </w:tc>
        <w:tc>
          <w:tcPr>
            <w:tcW w:w="4536" w:type="dxa"/>
          </w:tcPr>
          <w:p w14:paraId="757608C4" w14:textId="77777777" w:rsidR="00432AAD" w:rsidRPr="00535477" w:rsidRDefault="00432AAD" w:rsidP="0044583D">
            <w:pPr>
              <w:autoSpaceDE w:val="0"/>
              <w:autoSpaceDN w:val="0"/>
              <w:adjustRightInd w:val="0"/>
              <w:spacing w:line="360" w:lineRule="auto"/>
              <w:ind w:left="738" w:firstLine="7"/>
              <w:jc w:val="both"/>
              <w:rPr>
                <w:rFonts w:ascii="Bookman Old Style" w:hAnsi="Bookman Old Style"/>
                <w:iCs/>
                <w:sz w:val="24"/>
                <w:szCs w:val="24"/>
              </w:rPr>
            </w:pPr>
          </w:p>
        </w:tc>
      </w:tr>
      <w:tr w:rsidR="00432AAD" w:rsidRPr="00535477" w14:paraId="7EA69F25" w14:textId="4C3B4468" w:rsidTr="00AF03F6">
        <w:tc>
          <w:tcPr>
            <w:tcW w:w="8784" w:type="dxa"/>
          </w:tcPr>
          <w:p w14:paraId="6AA608A5" w14:textId="77777777" w:rsidR="00432AAD" w:rsidRPr="00535477" w:rsidRDefault="00432AAD" w:rsidP="001A4A2F">
            <w:pPr>
              <w:pStyle w:val="Style1"/>
              <w:numPr>
                <w:ilvl w:val="0"/>
                <w:numId w:val="20"/>
              </w:numPr>
              <w:spacing w:line="360" w:lineRule="auto"/>
              <w:ind w:left="1305" w:hanging="567"/>
              <w:rPr>
                <w:rStyle w:val="FontStyle18"/>
                <w:sz w:val="24"/>
                <w:szCs w:val="24"/>
                <w:lang w:val="id-ID" w:eastAsia="id-ID"/>
              </w:rPr>
            </w:pPr>
            <w:r w:rsidRPr="00535477">
              <w:rPr>
                <w:rFonts w:cs="Arial"/>
                <w:kern w:val="24"/>
                <w:lang w:val="es-ES"/>
              </w:rPr>
              <w:t>Lembaga Pembiayaan Ekspor Indonesia yang selanjutnya disingkat LPEI adalah Lembaga Pembiayaan Ekspor Indonesia sebagaimana dimaksud dalam Undang-Undang Nomor 2 Tahun 2009 tentang Lembaga Pembiayaan Ekspor Indonesia.</w:t>
            </w:r>
          </w:p>
        </w:tc>
        <w:tc>
          <w:tcPr>
            <w:tcW w:w="3969" w:type="dxa"/>
          </w:tcPr>
          <w:p w14:paraId="59411EF8" w14:textId="77777777" w:rsidR="00432AAD" w:rsidRPr="00535477" w:rsidRDefault="00432AAD" w:rsidP="006918B8">
            <w:pPr>
              <w:pStyle w:val="Style1"/>
              <w:spacing w:line="360" w:lineRule="auto"/>
              <w:ind w:left="1305" w:firstLine="0"/>
              <w:rPr>
                <w:rFonts w:cs="Arial"/>
                <w:kern w:val="24"/>
                <w:lang w:val="es-ES"/>
              </w:rPr>
            </w:pPr>
          </w:p>
        </w:tc>
        <w:tc>
          <w:tcPr>
            <w:tcW w:w="4536" w:type="dxa"/>
          </w:tcPr>
          <w:p w14:paraId="18BC37B4" w14:textId="77777777" w:rsidR="00432AAD" w:rsidRPr="00535477" w:rsidRDefault="00432AAD" w:rsidP="006918B8">
            <w:pPr>
              <w:pStyle w:val="Style1"/>
              <w:spacing w:line="360" w:lineRule="auto"/>
              <w:ind w:left="1305" w:firstLine="0"/>
              <w:rPr>
                <w:rFonts w:cs="Arial"/>
                <w:kern w:val="24"/>
                <w:lang w:val="es-ES"/>
              </w:rPr>
            </w:pPr>
          </w:p>
        </w:tc>
      </w:tr>
      <w:tr w:rsidR="00432AAD" w:rsidRPr="00535477" w14:paraId="43F9A173" w14:textId="07B1B9C7" w:rsidTr="00AF03F6">
        <w:tc>
          <w:tcPr>
            <w:tcW w:w="8784" w:type="dxa"/>
          </w:tcPr>
          <w:p w14:paraId="59343C49"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Arial"/>
                <w:kern w:val="24"/>
                <w:lang w:val="es-ES"/>
              </w:rPr>
              <w:t>Dewan Direktur adalah Dewan Direktur LPEI sebagaimana dimaksud dalam Undang-Undang Nomor 2 Tahun 2009 tentang Lembaga Pembiayaan Ekspor Indonesia.</w:t>
            </w:r>
            <w:r w:rsidRPr="00535477">
              <w:rPr>
                <w:rFonts w:cs="Arial"/>
                <w:kern w:val="24"/>
              </w:rPr>
              <w:t xml:space="preserve"> </w:t>
            </w:r>
          </w:p>
        </w:tc>
        <w:tc>
          <w:tcPr>
            <w:tcW w:w="3969" w:type="dxa"/>
          </w:tcPr>
          <w:p w14:paraId="74926AC8" w14:textId="77777777" w:rsidR="00432AAD" w:rsidRPr="00535477" w:rsidRDefault="00432AAD" w:rsidP="006918B8">
            <w:pPr>
              <w:pStyle w:val="Style1"/>
              <w:spacing w:line="360" w:lineRule="auto"/>
              <w:ind w:left="1305" w:firstLine="0"/>
              <w:rPr>
                <w:rFonts w:cs="Arial"/>
                <w:kern w:val="24"/>
                <w:lang w:val="es-ES"/>
              </w:rPr>
            </w:pPr>
          </w:p>
        </w:tc>
        <w:tc>
          <w:tcPr>
            <w:tcW w:w="4536" w:type="dxa"/>
          </w:tcPr>
          <w:p w14:paraId="4830C269" w14:textId="77777777" w:rsidR="00432AAD" w:rsidRPr="00535477" w:rsidRDefault="00432AAD" w:rsidP="006918B8">
            <w:pPr>
              <w:pStyle w:val="Style1"/>
              <w:spacing w:line="360" w:lineRule="auto"/>
              <w:ind w:left="1305" w:firstLine="0"/>
              <w:rPr>
                <w:rFonts w:cs="Arial"/>
                <w:kern w:val="24"/>
                <w:lang w:val="es-ES"/>
              </w:rPr>
            </w:pPr>
          </w:p>
        </w:tc>
      </w:tr>
      <w:tr w:rsidR="00432AAD" w:rsidRPr="00535477" w14:paraId="3426BEED" w14:textId="119F1C0D" w:rsidTr="00AF03F6">
        <w:tc>
          <w:tcPr>
            <w:tcW w:w="8784" w:type="dxa"/>
          </w:tcPr>
          <w:p w14:paraId="5AB385F4"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lang w:val="id-ID" w:eastAsia="id-ID"/>
              </w:rPr>
              <w:t>Direktur Eksekutif adalah anggota Dewan Direktur yang diangkat Menteri  Keuangan untuk menjalankan kegiatan operasional LPEI.</w:t>
            </w:r>
          </w:p>
        </w:tc>
        <w:tc>
          <w:tcPr>
            <w:tcW w:w="3969" w:type="dxa"/>
          </w:tcPr>
          <w:p w14:paraId="10A0125C" w14:textId="77777777" w:rsidR="00432AAD" w:rsidRPr="00535477" w:rsidRDefault="00432AAD" w:rsidP="006918B8">
            <w:pPr>
              <w:pStyle w:val="Style1"/>
              <w:spacing w:line="360" w:lineRule="auto"/>
              <w:ind w:left="1305" w:firstLine="0"/>
              <w:rPr>
                <w:rFonts w:cs="Bookman Old Style"/>
                <w:lang w:val="id-ID" w:eastAsia="id-ID"/>
              </w:rPr>
            </w:pPr>
          </w:p>
        </w:tc>
        <w:tc>
          <w:tcPr>
            <w:tcW w:w="4536" w:type="dxa"/>
          </w:tcPr>
          <w:p w14:paraId="2003D366" w14:textId="77777777" w:rsidR="00432AAD" w:rsidRPr="00535477" w:rsidRDefault="00432AAD" w:rsidP="006918B8">
            <w:pPr>
              <w:pStyle w:val="Style1"/>
              <w:spacing w:line="360" w:lineRule="auto"/>
              <w:ind w:left="1305" w:firstLine="0"/>
              <w:rPr>
                <w:rFonts w:cs="Bookman Old Style"/>
                <w:lang w:val="id-ID" w:eastAsia="id-ID"/>
              </w:rPr>
            </w:pPr>
          </w:p>
        </w:tc>
      </w:tr>
      <w:tr w:rsidR="00432AAD" w:rsidRPr="00535477" w14:paraId="7913966A" w14:textId="4DD1BE21" w:rsidTr="00AF03F6">
        <w:tc>
          <w:tcPr>
            <w:tcW w:w="8784" w:type="dxa"/>
          </w:tcPr>
          <w:p w14:paraId="4D776968"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Arial"/>
                <w:kern w:val="24"/>
                <w:lang w:val="id-ID"/>
              </w:rPr>
              <w:t>Direktur Pelaksana adalah direktur yang diangkat oleh Dewan Direktur untuk membantu Direktur Eksekutif dalam menjalankan kegiatan operasional LPEI.</w:t>
            </w:r>
          </w:p>
        </w:tc>
        <w:tc>
          <w:tcPr>
            <w:tcW w:w="3969" w:type="dxa"/>
          </w:tcPr>
          <w:p w14:paraId="0DAF7A64" w14:textId="77777777" w:rsidR="00432AAD" w:rsidRPr="00535477" w:rsidRDefault="00432AAD" w:rsidP="006918B8">
            <w:pPr>
              <w:pStyle w:val="Style1"/>
              <w:spacing w:line="360" w:lineRule="auto"/>
              <w:ind w:left="1305" w:firstLine="0"/>
              <w:rPr>
                <w:rFonts w:cs="Arial"/>
                <w:kern w:val="24"/>
                <w:lang w:val="id-ID"/>
              </w:rPr>
            </w:pPr>
          </w:p>
        </w:tc>
        <w:tc>
          <w:tcPr>
            <w:tcW w:w="4536" w:type="dxa"/>
          </w:tcPr>
          <w:p w14:paraId="0277DC2C" w14:textId="77777777" w:rsidR="00432AAD" w:rsidRPr="00535477" w:rsidRDefault="00432AAD" w:rsidP="006918B8">
            <w:pPr>
              <w:pStyle w:val="Style1"/>
              <w:spacing w:line="360" w:lineRule="auto"/>
              <w:ind w:left="1305" w:firstLine="0"/>
              <w:rPr>
                <w:rFonts w:cs="Arial"/>
                <w:kern w:val="24"/>
                <w:lang w:val="id-ID"/>
              </w:rPr>
            </w:pPr>
          </w:p>
        </w:tc>
      </w:tr>
      <w:tr w:rsidR="002E4C4F" w:rsidRPr="00535477" w14:paraId="557783AB" w14:textId="77777777" w:rsidTr="00AF03F6">
        <w:tc>
          <w:tcPr>
            <w:tcW w:w="8784" w:type="dxa"/>
          </w:tcPr>
          <w:p w14:paraId="7D74FF2F" w14:textId="685507ED" w:rsidR="002E4C4F" w:rsidRPr="002E4C4F" w:rsidRDefault="002E4C4F" w:rsidP="002E4C4F">
            <w:pPr>
              <w:pStyle w:val="Style1"/>
              <w:numPr>
                <w:ilvl w:val="0"/>
                <w:numId w:val="20"/>
              </w:numPr>
              <w:pBdr>
                <w:top w:val="nil"/>
                <w:left w:val="nil"/>
                <w:bottom w:val="nil"/>
                <w:right w:val="nil"/>
                <w:between w:val="nil"/>
              </w:pBdr>
              <w:spacing w:line="360" w:lineRule="auto"/>
              <w:ind w:left="1305" w:hanging="567"/>
              <w:rPr>
                <w:rStyle w:val="FontStyle18"/>
                <w:rFonts w:eastAsia="Bookman Old Style"/>
                <w:sz w:val="24"/>
                <w:szCs w:val="24"/>
              </w:rPr>
            </w:pPr>
            <w:r w:rsidRPr="001A6520">
              <w:rPr>
                <w:rFonts w:eastAsia="Bookman Old Style" w:cs="Bookman Old Style"/>
              </w:rPr>
              <w:t>Prinsip Syariah adalah pokok-pokok aturan berdasarkan hukum Islam yang dijadikan landasan dalam pembuatan perjanjian antara LPEI dan pihak lain dalam menjalankan kegiatan Pembiayaan ekspor nasional.</w:t>
            </w:r>
          </w:p>
        </w:tc>
        <w:tc>
          <w:tcPr>
            <w:tcW w:w="3969" w:type="dxa"/>
          </w:tcPr>
          <w:p w14:paraId="0C6E999A" w14:textId="77777777" w:rsidR="002E4C4F" w:rsidRPr="00535477" w:rsidRDefault="002E4C4F" w:rsidP="006918B8">
            <w:pPr>
              <w:pStyle w:val="Style1"/>
              <w:spacing w:line="360" w:lineRule="auto"/>
              <w:ind w:left="1305" w:firstLine="0"/>
              <w:rPr>
                <w:rStyle w:val="FontStyle18"/>
                <w:sz w:val="24"/>
                <w:szCs w:val="24"/>
                <w:lang w:val="id-ID" w:eastAsia="id-ID"/>
              </w:rPr>
            </w:pPr>
          </w:p>
        </w:tc>
        <w:tc>
          <w:tcPr>
            <w:tcW w:w="4536" w:type="dxa"/>
          </w:tcPr>
          <w:p w14:paraId="0A074F3D" w14:textId="77777777" w:rsidR="002E4C4F" w:rsidRPr="00535477" w:rsidRDefault="002E4C4F" w:rsidP="006918B8">
            <w:pPr>
              <w:pStyle w:val="Style1"/>
              <w:spacing w:line="360" w:lineRule="auto"/>
              <w:ind w:left="1305" w:firstLine="0"/>
              <w:rPr>
                <w:rStyle w:val="FontStyle18"/>
                <w:sz w:val="24"/>
                <w:szCs w:val="24"/>
                <w:lang w:val="id-ID" w:eastAsia="id-ID"/>
              </w:rPr>
            </w:pPr>
          </w:p>
        </w:tc>
      </w:tr>
      <w:tr w:rsidR="00432AAD" w:rsidRPr="00535477" w14:paraId="2F288E3E" w14:textId="4B4631D7" w:rsidTr="00AF03F6">
        <w:tc>
          <w:tcPr>
            <w:tcW w:w="8784" w:type="dxa"/>
          </w:tcPr>
          <w:p w14:paraId="7F7E6654" w14:textId="1735860E" w:rsidR="00432AAD" w:rsidRPr="00535477" w:rsidRDefault="00432AAD" w:rsidP="001A4A2F">
            <w:pPr>
              <w:pStyle w:val="Style1"/>
              <w:numPr>
                <w:ilvl w:val="0"/>
                <w:numId w:val="20"/>
              </w:numPr>
              <w:spacing w:line="360" w:lineRule="auto"/>
              <w:ind w:left="1305" w:hanging="567"/>
              <w:rPr>
                <w:rStyle w:val="FontStyle18"/>
                <w:sz w:val="24"/>
                <w:szCs w:val="24"/>
                <w:lang w:val="id-ID" w:eastAsia="id-ID"/>
              </w:rPr>
            </w:pPr>
            <w:r w:rsidRPr="00535477">
              <w:rPr>
                <w:rStyle w:val="FontStyle18"/>
                <w:sz w:val="24"/>
                <w:szCs w:val="24"/>
                <w:lang w:val="id-ID" w:eastAsia="id-ID"/>
              </w:rPr>
              <w:t xml:space="preserve">Dewan Pengawas Syariah adalah dewan yang  ditunjuk oleh </w:t>
            </w:r>
            <w:r w:rsidRPr="00535477">
              <w:rPr>
                <w:rStyle w:val="FontStyle18"/>
                <w:sz w:val="24"/>
                <w:szCs w:val="24"/>
                <w:lang w:val="id-ID" w:eastAsia="id-ID"/>
              </w:rPr>
              <w:lastRenderedPageBreak/>
              <w:t xml:space="preserve">LPEI yang mempunyai tugas dan fungsi pengawasan serta memberikan nasihat kepada Direktur Eksekutif terhadap penyelenggaraan kegiatan LPEI agar sesuai dengan  </w:t>
            </w:r>
            <w:r w:rsidR="002E4C4F" w:rsidRPr="00535477">
              <w:rPr>
                <w:rStyle w:val="FontStyle18"/>
                <w:sz w:val="24"/>
                <w:szCs w:val="24"/>
                <w:lang w:val="id-ID" w:eastAsia="id-ID"/>
              </w:rPr>
              <w:t>Prinsip Syariah.</w:t>
            </w:r>
          </w:p>
        </w:tc>
        <w:tc>
          <w:tcPr>
            <w:tcW w:w="3969" w:type="dxa"/>
          </w:tcPr>
          <w:p w14:paraId="623DEB4F" w14:textId="77777777" w:rsidR="00432AAD" w:rsidRPr="00535477" w:rsidRDefault="00432AAD" w:rsidP="006918B8">
            <w:pPr>
              <w:pStyle w:val="Style1"/>
              <w:spacing w:line="360" w:lineRule="auto"/>
              <w:ind w:left="1305" w:firstLine="0"/>
              <w:rPr>
                <w:rStyle w:val="FontStyle18"/>
                <w:sz w:val="24"/>
                <w:szCs w:val="24"/>
                <w:lang w:val="id-ID" w:eastAsia="id-ID"/>
              </w:rPr>
            </w:pPr>
          </w:p>
        </w:tc>
        <w:tc>
          <w:tcPr>
            <w:tcW w:w="4536" w:type="dxa"/>
          </w:tcPr>
          <w:p w14:paraId="5EF2E53D" w14:textId="77777777" w:rsidR="00432AAD" w:rsidRPr="00535477" w:rsidRDefault="00432AAD" w:rsidP="006918B8">
            <w:pPr>
              <w:pStyle w:val="Style1"/>
              <w:spacing w:line="360" w:lineRule="auto"/>
              <w:ind w:left="1305" w:firstLine="0"/>
              <w:rPr>
                <w:rStyle w:val="FontStyle18"/>
                <w:sz w:val="24"/>
                <w:szCs w:val="24"/>
                <w:lang w:val="id-ID" w:eastAsia="id-ID"/>
              </w:rPr>
            </w:pPr>
          </w:p>
        </w:tc>
      </w:tr>
      <w:tr w:rsidR="00432AAD" w:rsidRPr="00535477" w14:paraId="7728A040" w14:textId="275147BA" w:rsidTr="00AF03F6">
        <w:tc>
          <w:tcPr>
            <w:tcW w:w="8784" w:type="dxa"/>
          </w:tcPr>
          <w:p w14:paraId="21208204" w14:textId="77777777" w:rsidR="00432AAD" w:rsidRPr="007462BD" w:rsidRDefault="00432AAD" w:rsidP="007462BD">
            <w:pPr>
              <w:pStyle w:val="Style1"/>
              <w:numPr>
                <w:ilvl w:val="0"/>
                <w:numId w:val="20"/>
              </w:numPr>
              <w:pBdr>
                <w:top w:val="nil"/>
                <w:left w:val="nil"/>
                <w:bottom w:val="nil"/>
                <w:right w:val="nil"/>
                <w:between w:val="nil"/>
              </w:pBdr>
              <w:spacing w:line="360" w:lineRule="auto"/>
              <w:ind w:left="1305" w:hanging="567"/>
              <w:rPr>
                <w:rStyle w:val="FontStyle18"/>
                <w:rFonts w:eastAsia="Bookman Old Style"/>
                <w:sz w:val="24"/>
                <w:szCs w:val="24"/>
              </w:rPr>
            </w:pPr>
            <w:r w:rsidRPr="001A6520">
              <w:rPr>
                <w:rFonts w:eastAsia="Bookman Old Style" w:cs="Bookman Old Style"/>
              </w:rPr>
              <w:t>Unit Usaha Syariah yang selanjutnya disingkat UUS adalah unit kerja khusus berbentuk unit usaha khusus dari kantor pusat LPEI yang melaksanakan kegiatan usaha berdasarkan Prinsip Syariah dan/atau berfungsi sebagai kantor induk dari kantor selain kantor pusat yang melaksanakan kegiatan usaha berdasarkan Prinsip Syariah.</w:t>
            </w:r>
          </w:p>
        </w:tc>
        <w:tc>
          <w:tcPr>
            <w:tcW w:w="3969" w:type="dxa"/>
          </w:tcPr>
          <w:p w14:paraId="4C448812" w14:textId="77777777" w:rsidR="00432AAD" w:rsidRPr="001A6520" w:rsidRDefault="00432AAD" w:rsidP="006918B8">
            <w:pPr>
              <w:pStyle w:val="Style1"/>
              <w:pBdr>
                <w:top w:val="nil"/>
                <w:left w:val="nil"/>
                <w:bottom w:val="nil"/>
                <w:right w:val="nil"/>
                <w:between w:val="nil"/>
              </w:pBdr>
              <w:spacing w:line="360" w:lineRule="auto"/>
              <w:ind w:left="1305" w:firstLine="0"/>
              <w:rPr>
                <w:rFonts w:eastAsia="Bookman Old Style" w:cs="Bookman Old Style"/>
              </w:rPr>
            </w:pPr>
          </w:p>
        </w:tc>
        <w:tc>
          <w:tcPr>
            <w:tcW w:w="4536" w:type="dxa"/>
          </w:tcPr>
          <w:p w14:paraId="743979FE" w14:textId="77777777" w:rsidR="00432AAD" w:rsidRPr="001A6520" w:rsidRDefault="00432AAD" w:rsidP="006918B8">
            <w:pPr>
              <w:pStyle w:val="Style1"/>
              <w:pBdr>
                <w:top w:val="nil"/>
                <w:left w:val="nil"/>
                <w:bottom w:val="nil"/>
                <w:right w:val="nil"/>
                <w:between w:val="nil"/>
              </w:pBdr>
              <w:spacing w:line="360" w:lineRule="auto"/>
              <w:ind w:left="1305" w:firstLine="0"/>
              <w:rPr>
                <w:rFonts w:eastAsia="Bookman Old Style" w:cs="Bookman Old Style"/>
              </w:rPr>
            </w:pPr>
          </w:p>
        </w:tc>
      </w:tr>
      <w:tr w:rsidR="00432AAD" w:rsidRPr="00535477" w14:paraId="3ACE02C9" w14:textId="5C09F3CB" w:rsidTr="00AF03F6">
        <w:tc>
          <w:tcPr>
            <w:tcW w:w="8784" w:type="dxa"/>
          </w:tcPr>
          <w:p w14:paraId="6C98BE6B"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lang w:val="id-ID" w:eastAsia="id-ID"/>
              </w:rPr>
              <w:t>Perusahaan Anak adalah perusahaan yang dimiliki dan/atau dikendalikan oleh LPEI secara langsung maupun tidak langsung, baik di dalam negeri maupun di luar negeri.</w:t>
            </w:r>
          </w:p>
        </w:tc>
        <w:tc>
          <w:tcPr>
            <w:tcW w:w="3969" w:type="dxa"/>
          </w:tcPr>
          <w:p w14:paraId="312D39FF" w14:textId="77777777" w:rsidR="00432AAD" w:rsidRPr="00535477" w:rsidRDefault="00432AAD" w:rsidP="006918B8">
            <w:pPr>
              <w:pStyle w:val="Style1"/>
              <w:spacing w:line="360" w:lineRule="auto"/>
              <w:ind w:left="1305" w:firstLine="0"/>
              <w:rPr>
                <w:rFonts w:cs="Bookman Old Style"/>
                <w:lang w:val="id-ID" w:eastAsia="id-ID"/>
              </w:rPr>
            </w:pPr>
          </w:p>
        </w:tc>
        <w:tc>
          <w:tcPr>
            <w:tcW w:w="4536" w:type="dxa"/>
          </w:tcPr>
          <w:p w14:paraId="04DA8998" w14:textId="77777777" w:rsidR="00432AAD" w:rsidRPr="00535477" w:rsidRDefault="00432AAD" w:rsidP="006918B8">
            <w:pPr>
              <w:pStyle w:val="Style1"/>
              <w:spacing w:line="360" w:lineRule="auto"/>
              <w:ind w:left="1305" w:firstLine="0"/>
              <w:rPr>
                <w:rFonts w:cs="Bookman Old Style"/>
                <w:lang w:val="id-ID" w:eastAsia="id-ID"/>
              </w:rPr>
            </w:pPr>
          </w:p>
        </w:tc>
      </w:tr>
      <w:tr w:rsidR="00432AAD" w:rsidRPr="00535477" w14:paraId="1BD37399" w14:textId="4EDD2D56" w:rsidTr="00AF03F6">
        <w:tc>
          <w:tcPr>
            <w:tcW w:w="8784" w:type="dxa"/>
          </w:tcPr>
          <w:p w14:paraId="0C4DB2DD"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i/>
                <w:iCs/>
                <w:lang w:val="id-ID" w:eastAsia="id-ID"/>
              </w:rPr>
              <w:t>Internal Capital Adequacy Assessment Process</w:t>
            </w:r>
            <w:r w:rsidRPr="00535477">
              <w:rPr>
                <w:rFonts w:cs="Bookman Old Style"/>
                <w:lang w:val="id-ID" w:eastAsia="id-ID"/>
              </w:rPr>
              <w:t xml:space="preserve">, yang selanjutnya disingkat ICAAP, adalah proses yang dilakukan </w:t>
            </w:r>
            <w:r w:rsidRPr="00535477">
              <w:rPr>
                <w:rFonts w:cs="Bookman Old Style"/>
                <w:lang w:eastAsia="id-ID"/>
              </w:rPr>
              <w:t>LPEI</w:t>
            </w:r>
            <w:r w:rsidRPr="00535477">
              <w:rPr>
                <w:rFonts w:cs="Bookman Old Style"/>
                <w:lang w:val="id-ID" w:eastAsia="id-ID"/>
              </w:rPr>
              <w:t xml:space="preserve"> untuk menetapkan kecukupan modal sesuai profil risiko </w:t>
            </w:r>
            <w:r w:rsidRPr="00535477">
              <w:rPr>
                <w:rFonts w:cs="Bookman Old Style"/>
                <w:lang w:eastAsia="id-ID"/>
              </w:rPr>
              <w:t>LPEI</w:t>
            </w:r>
            <w:r w:rsidRPr="00535477">
              <w:rPr>
                <w:rFonts w:cs="Bookman Old Style"/>
                <w:lang w:val="id-ID" w:eastAsia="id-ID"/>
              </w:rPr>
              <w:t xml:space="preserve"> dan penetapan strategi untuk memelihara tingkat permodalan.</w:t>
            </w:r>
          </w:p>
        </w:tc>
        <w:tc>
          <w:tcPr>
            <w:tcW w:w="3969" w:type="dxa"/>
          </w:tcPr>
          <w:p w14:paraId="1718B134" w14:textId="77777777" w:rsidR="00432AAD" w:rsidRPr="00535477" w:rsidRDefault="00432AAD" w:rsidP="006918B8">
            <w:pPr>
              <w:pStyle w:val="Style1"/>
              <w:spacing w:line="360" w:lineRule="auto"/>
              <w:ind w:left="1305" w:firstLine="0"/>
              <w:rPr>
                <w:rFonts w:cs="Bookman Old Style"/>
                <w:i/>
                <w:iCs/>
                <w:lang w:val="id-ID" w:eastAsia="id-ID"/>
              </w:rPr>
            </w:pPr>
          </w:p>
        </w:tc>
        <w:tc>
          <w:tcPr>
            <w:tcW w:w="4536" w:type="dxa"/>
          </w:tcPr>
          <w:p w14:paraId="16212106" w14:textId="77777777" w:rsidR="00432AAD" w:rsidRPr="00535477" w:rsidRDefault="00432AAD" w:rsidP="006918B8">
            <w:pPr>
              <w:pStyle w:val="Style1"/>
              <w:spacing w:line="360" w:lineRule="auto"/>
              <w:ind w:left="1305" w:firstLine="0"/>
              <w:rPr>
                <w:rFonts w:cs="Bookman Old Style"/>
                <w:i/>
                <w:iCs/>
                <w:lang w:val="id-ID" w:eastAsia="id-ID"/>
              </w:rPr>
            </w:pPr>
          </w:p>
        </w:tc>
      </w:tr>
      <w:tr w:rsidR="00432AAD" w:rsidRPr="00535477" w14:paraId="02C199E7" w14:textId="0FFCA26C" w:rsidTr="00AF03F6">
        <w:tc>
          <w:tcPr>
            <w:tcW w:w="8784" w:type="dxa"/>
          </w:tcPr>
          <w:p w14:paraId="1A06679C" w14:textId="77777777" w:rsidR="00432AAD" w:rsidRPr="00CD4082" w:rsidRDefault="00432AAD" w:rsidP="001A4A2F">
            <w:pPr>
              <w:pStyle w:val="Style1"/>
              <w:numPr>
                <w:ilvl w:val="0"/>
                <w:numId w:val="20"/>
              </w:numPr>
              <w:spacing w:line="360" w:lineRule="auto"/>
              <w:ind w:left="1305" w:hanging="567"/>
              <w:rPr>
                <w:rFonts w:cs="Bookman Old Style"/>
                <w:lang w:val="id-ID" w:eastAsia="id-ID"/>
              </w:rPr>
            </w:pPr>
            <w:r w:rsidRPr="00CD4082">
              <w:rPr>
                <w:rFonts w:cs="Bookman Old Style"/>
                <w:i/>
                <w:iCs/>
                <w:lang w:val="id-ID" w:eastAsia="id-ID"/>
              </w:rPr>
              <w:t>Supervisory Review and Evaluation Process</w:t>
            </w:r>
            <w:r w:rsidRPr="00CD4082">
              <w:rPr>
                <w:rFonts w:cs="Bookman Old Style"/>
                <w:lang w:val="id-ID" w:eastAsia="id-ID"/>
              </w:rPr>
              <w:t xml:space="preserve">, yang selanjutnya disingkat SREP, adalah proses kaji ulang yang dilakukan oleh </w:t>
            </w:r>
            <w:r w:rsidRPr="00CD4082">
              <w:rPr>
                <w:rFonts w:cs="Bookman Old Style"/>
                <w:lang w:val="id-ID" w:eastAsia="id-ID"/>
              </w:rPr>
              <w:lastRenderedPageBreak/>
              <w:t xml:space="preserve">Otoritas Jasa Keuangan atas hasil ICAAP </w:t>
            </w:r>
            <w:r w:rsidRPr="00CD4082">
              <w:rPr>
                <w:rFonts w:cs="Bookman Old Style"/>
                <w:lang w:eastAsia="id-ID"/>
              </w:rPr>
              <w:t>LPEI</w:t>
            </w:r>
            <w:r w:rsidRPr="00CD4082">
              <w:rPr>
                <w:rFonts w:cs="Bookman Old Style"/>
                <w:lang w:val="id-ID" w:eastAsia="id-ID"/>
              </w:rPr>
              <w:t>.</w:t>
            </w:r>
          </w:p>
        </w:tc>
        <w:tc>
          <w:tcPr>
            <w:tcW w:w="3969" w:type="dxa"/>
          </w:tcPr>
          <w:p w14:paraId="69255D3F" w14:textId="77777777" w:rsidR="00432AAD" w:rsidRPr="00CD4082" w:rsidRDefault="00432AAD" w:rsidP="006918B8">
            <w:pPr>
              <w:pStyle w:val="Style1"/>
              <w:spacing w:line="360" w:lineRule="auto"/>
              <w:ind w:left="1305" w:firstLine="0"/>
              <w:rPr>
                <w:rFonts w:cs="Bookman Old Style"/>
                <w:i/>
                <w:iCs/>
                <w:lang w:val="id-ID" w:eastAsia="id-ID"/>
              </w:rPr>
            </w:pPr>
          </w:p>
        </w:tc>
        <w:tc>
          <w:tcPr>
            <w:tcW w:w="4536" w:type="dxa"/>
          </w:tcPr>
          <w:p w14:paraId="69EFC866" w14:textId="77777777" w:rsidR="00432AAD" w:rsidRPr="00CD4082" w:rsidRDefault="00432AAD" w:rsidP="006918B8">
            <w:pPr>
              <w:pStyle w:val="Style1"/>
              <w:spacing w:line="360" w:lineRule="auto"/>
              <w:ind w:left="1305" w:firstLine="0"/>
              <w:rPr>
                <w:rFonts w:cs="Bookman Old Style"/>
                <w:i/>
                <w:iCs/>
                <w:lang w:val="id-ID" w:eastAsia="id-ID"/>
              </w:rPr>
            </w:pPr>
          </w:p>
        </w:tc>
      </w:tr>
      <w:tr w:rsidR="00432AAD" w:rsidRPr="00535477" w14:paraId="3E2C1AAE" w14:textId="2EE7CF9E" w:rsidTr="00AF03F6">
        <w:tc>
          <w:tcPr>
            <w:tcW w:w="8784" w:type="dxa"/>
          </w:tcPr>
          <w:p w14:paraId="5839D84E" w14:textId="77777777" w:rsidR="00432AAD" w:rsidRPr="00CD4082" w:rsidRDefault="00432AAD" w:rsidP="001A4A2F">
            <w:pPr>
              <w:pStyle w:val="Style1"/>
              <w:numPr>
                <w:ilvl w:val="0"/>
                <w:numId w:val="20"/>
              </w:numPr>
              <w:spacing w:line="360" w:lineRule="auto"/>
              <w:ind w:left="1305" w:hanging="567"/>
              <w:rPr>
                <w:rFonts w:cs="Bookman Old Style"/>
                <w:i/>
                <w:iCs/>
                <w:lang w:val="id-ID" w:eastAsia="id-ID"/>
              </w:rPr>
            </w:pPr>
            <w:r w:rsidRPr="00CD4082">
              <w:rPr>
                <w:rFonts w:eastAsia="Bookman Old Style" w:cs="Bookman Old Style"/>
              </w:rPr>
              <w:t xml:space="preserve">Aset tertimbang menurut Risiko, </w:t>
            </w:r>
            <w:r w:rsidRPr="00CD4082">
              <w:rPr>
                <w:rFonts w:cs="Bookman Old Style"/>
                <w:lang w:val="id-ID" w:eastAsia="id-ID"/>
              </w:rPr>
              <w:t xml:space="preserve">yang selanjutnya </w:t>
            </w:r>
            <w:proofErr w:type="gramStart"/>
            <w:r w:rsidRPr="00CD4082">
              <w:rPr>
                <w:rFonts w:cs="Bookman Old Style"/>
                <w:lang w:val="id-ID" w:eastAsia="id-ID"/>
              </w:rPr>
              <w:t>disebut</w:t>
            </w:r>
            <w:r w:rsidRPr="00CD4082">
              <w:rPr>
                <w:rFonts w:eastAsia="Bookman Old Style" w:cs="Bookman Old Style"/>
              </w:rPr>
              <w:t xml:space="preserve">  ATMR</w:t>
            </w:r>
            <w:proofErr w:type="gramEnd"/>
            <w:r w:rsidRPr="00CD4082">
              <w:rPr>
                <w:rFonts w:eastAsia="Bookman Old Style" w:cs="Bookman Old Style"/>
              </w:rPr>
              <w:t xml:space="preserve"> adalah  jumlah aset LPEI berdasarkan profil risiko masing-masing aset.</w:t>
            </w:r>
          </w:p>
        </w:tc>
        <w:tc>
          <w:tcPr>
            <w:tcW w:w="3969" w:type="dxa"/>
          </w:tcPr>
          <w:p w14:paraId="4E35D371" w14:textId="77777777" w:rsidR="00432AAD" w:rsidRPr="00CD4082" w:rsidRDefault="00432AAD" w:rsidP="006918B8">
            <w:pPr>
              <w:pStyle w:val="Style1"/>
              <w:spacing w:line="360" w:lineRule="auto"/>
              <w:ind w:left="1305" w:firstLine="0"/>
              <w:rPr>
                <w:rFonts w:eastAsia="Bookman Old Style" w:cs="Bookman Old Style"/>
              </w:rPr>
            </w:pPr>
          </w:p>
        </w:tc>
        <w:tc>
          <w:tcPr>
            <w:tcW w:w="4536" w:type="dxa"/>
          </w:tcPr>
          <w:p w14:paraId="0E149CB8" w14:textId="77777777" w:rsidR="00432AAD" w:rsidRPr="00CD4082" w:rsidRDefault="00432AAD" w:rsidP="006918B8">
            <w:pPr>
              <w:pStyle w:val="Style1"/>
              <w:spacing w:line="360" w:lineRule="auto"/>
              <w:ind w:left="1305" w:firstLine="0"/>
              <w:rPr>
                <w:rFonts w:eastAsia="Bookman Old Style" w:cs="Bookman Old Style"/>
              </w:rPr>
            </w:pPr>
          </w:p>
        </w:tc>
      </w:tr>
      <w:tr w:rsidR="00432AAD" w:rsidRPr="00535477" w14:paraId="03F435C1" w14:textId="47CCFAC9" w:rsidTr="00AF03F6">
        <w:tc>
          <w:tcPr>
            <w:tcW w:w="8784" w:type="dxa"/>
          </w:tcPr>
          <w:p w14:paraId="3D0856BC"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lang w:val="id-ID" w:eastAsia="id-ID"/>
              </w:rPr>
              <w:t xml:space="preserve">Risiko Kredit adalah risiko akibat kegagalan debitur dan/atau pihak lain dalam memenuhi kewajiban kepada </w:t>
            </w:r>
            <w:r w:rsidRPr="00535477">
              <w:rPr>
                <w:rFonts w:cs="Bookman Old Style"/>
                <w:lang w:eastAsia="id-ID"/>
              </w:rPr>
              <w:t>LPEI</w:t>
            </w:r>
            <w:r w:rsidRPr="00535477">
              <w:rPr>
                <w:rFonts w:cs="Bookman Old Style"/>
                <w:lang w:val="id-ID" w:eastAsia="id-ID"/>
              </w:rPr>
              <w:t>.</w:t>
            </w:r>
          </w:p>
        </w:tc>
        <w:tc>
          <w:tcPr>
            <w:tcW w:w="3969" w:type="dxa"/>
          </w:tcPr>
          <w:p w14:paraId="71CE9A1A" w14:textId="77777777" w:rsidR="00432AAD" w:rsidRPr="00535477" w:rsidRDefault="00432AAD" w:rsidP="006918B8">
            <w:pPr>
              <w:pStyle w:val="Style1"/>
              <w:spacing w:line="360" w:lineRule="auto"/>
              <w:ind w:left="1305" w:firstLine="0"/>
              <w:rPr>
                <w:rFonts w:cs="Bookman Old Style"/>
                <w:lang w:val="id-ID" w:eastAsia="id-ID"/>
              </w:rPr>
            </w:pPr>
          </w:p>
        </w:tc>
        <w:tc>
          <w:tcPr>
            <w:tcW w:w="4536" w:type="dxa"/>
          </w:tcPr>
          <w:p w14:paraId="1DBDD6D9" w14:textId="77777777" w:rsidR="00432AAD" w:rsidRPr="00535477" w:rsidRDefault="00432AAD" w:rsidP="006918B8">
            <w:pPr>
              <w:pStyle w:val="Style1"/>
              <w:spacing w:line="360" w:lineRule="auto"/>
              <w:ind w:left="1305" w:firstLine="0"/>
              <w:rPr>
                <w:rFonts w:cs="Bookman Old Style"/>
                <w:lang w:val="id-ID" w:eastAsia="id-ID"/>
              </w:rPr>
            </w:pPr>
          </w:p>
        </w:tc>
      </w:tr>
      <w:tr w:rsidR="00432AAD" w:rsidRPr="00535477" w14:paraId="1739785A" w14:textId="16E816E8" w:rsidTr="00AF03F6">
        <w:tc>
          <w:tcPr>
            <w:tcW w:w="8784" w:type="dxa"/>
          </w:tcPr>
          <w:p w14:paraId="4ABEDD38"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lang w:val="id-ID" w:eastAsia="id-ID"/>
              </w:rPr>
              <w:t xml:space="preserve">Risiko Pasar adalah risiko pada posisi neraca dan rekening administratif termasuk transaksi derivatif, akibat perubahan secara keseluruhan dari kondisi pasar, termasuk risiko perubahan harga </w:t>
            </w:r>
            <w:r w:rsidRPr="00535477">
              <w:rPr>
                <w:rFonts w:cs="Bookman Old Style"/>
                <w:i/>
                <w:iCs/>
                <w:lang w:val="id-ID" w:eastAsia="id-ID"/>
              </w:rPr>
              <w:t>option</w:t>
            </w:r>
            <w:r w:rsidRPr="00535477">
              <w:rPr>
                <w:rFonts w:cs="Bookman Old Style"/>
                <w:lang w:eastAsia="id-ID"/>
              </w:rPr>
              <w:t>.</w:t>
            </w:r>
          </w:p>
        </w:tc>
        <w:tc>
          <w:tcPr>
            <w:tcW w:w="3969" w:type="dxa"/>
          </w:tcPr>
          <w:p w14:paraId="3A04F16E" w14:textId="77777777" w:rsidR="00432AAD" w:rsidRPr="00535477" w:rsidRDefault="00432AAD" w:rsidP="006918B8">
            <w:pPr>
              <w:pStyle w:val="Style1"/>
              <w:spacing w:line="360" w:lineRule="auto"/>
              <w:ind w:left="1305" w:firstLine="0"/>
              <w:rPr>
                <w:rFonts w:cs="Bookman Old Style"/>
                <w:lang w:val="id-ID" w:eastAsia="id-ID"/>
              </w:rPr>
            </w:pPr>
          </w:p>
        </w:tc>
        <w:tc>
          <w:tcPr>
            <w:tcW w:w="4536" w:type="dxa"/>
          </w:tcPr>
          <w:p w14:paraId="60C36E1D" w14:textId="77777777" w:rsidR="00432AAD" w:rsidRPr="00535477" w:rsidRDefault="00432AAD" w:rsidP="006918B8">
            <w:pPr>
              <w:pStyle w:val="Style1"/>
              <w:spacing w:line="360" w:lineRule="auto"/>
              <w:ind w:left="1305" w:firstLine="0"/>
              <w:rPr>
                <w:rFonts w:cs="Bookman Old Style"/>
                <w:lang w:val="id-ID" w:eastAsia="id-ID"/>
              </w:rPr>
            </w:pPr>
          </w:p>
        </w:tc>
      </w:tr>
      <w:tr w:rsidR="00432AAD" w:rsidRPr="00535477" w14:paraId="07687D6E" w14:textId="44643257" w:rsidTr="00AF03F6">
        <w:tc>
          <w:tcPr>
            <w:tcW w:w="8784" w:type="dxa"/>
          </w:tcPr>
          <w:p w14:paraId="12CAC15B"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lang w:val="id-ID" w:eastAsia="id-ID"/>
              </w:rPr>
              <w:t xml:space="preserve">Risiko Operasional adalah risiko akibat ketidakcukupan dan/atau tidak berfungsinya proses internal, kesalahan manusia, kegagalan sistem, dan/atau adanya kejadian-kejadian eksternal yang mempengaruhi operasional </w:t>
            </w:r>
            <w:r w:rsidRPr="00535477">
              <w:rPr>
                <w:rFonts w:cs="Bookman Old Style"/>
                <w:lang w:eastAsia="id-ID"/>
              </w:rPr>
              <w:t>LPEI</w:t>
            </w:r>
            <w:r w:rsidRPr="00535477">
              <w:rPr>
                <w:rFonts w:cs="Bookman Old Style"/>
                <w:lang w:val="id-ID" w:eastAsia="id-ID"/>
              </w:rPr>
              <w:t>.</w:t>
            </w:r>
          </w:p>
        </w:tc>
        <w:tc>
          <w:tcPr>
            <w:tcW w:w="3969" w:type="dxa"/>
          </w:tcPr>
          <w:p w14:paraId="51CF8930" w14:textId="77777777" w:rsidR="00432AAD" w:rsidRPr="00535477" w:rsidRDefault="00432AAD" w:rsidP="006918B8">
            <w:pPr>
              <w:pStyle w:val="Style1"/>
              <w:spacing w:line="360" w:lineRule="auto"/>
              <w:ind w:left="1305" w:firstLine="0"/>
              <w:rPr>
                <w:rFonts w:cs="Bookman Old Style"/>
                <w:lang w:val="id-ID" w:eastAsia="id-ID"/>
              </w:rPr>
            </w:pPr>
          </w:p>
        </w:tc>
        <w:tc>
          <w:tcPr>
            <w:tcW w:w="4536" w:type="dxa"/>
          </w:tcPr>
          <w:p w14:paraId="52EC0B58" w14:textId="77777777" w:rsidR="00432AAD" w:rsidRPr="00535477" w:rsidRDefault="00432AAD" w:rsidP="006918B8">
            <w:pPr>
              <w:pStyle w:val="Style1"/>
              <w:spacing w:line="360" w:lineRule="auto"/>
              <w:ind w:left="1305" w:firstLine="0"/>
              <w:rPr>
                <w:rFonts w:cs="Bookman Old Style"/>
                <w:lang w:val="id-ID" w:eastAsia="id-ID"/>
              </w:rPr>
            </w:pPr>
          </w:p>
        </w:tc>
      </w:tr>
      <w:tr w:rsidR="00432AAD" w:rsidRPr="00535477" w14:paraId="00A90203" w14:textId="447C23B5" w:rsidTr="00AF03F6">
        <w:tc>
          <w:tcPr>
            <w:tcW w:w="8784" w:type="dxa"/>
          </w:tcPr>
          <w:p w14:paraId="4EA08F5F"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i/>
                <w:iCs/>
                <w:lang w:val="id-ID" w:eastAsia="id-ID"/>
              </w:rPr>
              <w:t>Trading Book</w:t>
            </w:r>
            <w:r w:rsidRPr="00535477">
              <w:rPr>
                <w:rFonts w:cs="Bookman Old Style"/>
                <w:lang w:val="id-ID" w:eastAsia="id-ID"/>
              </w:rPr>
              <w:t xml:space="preserve"> adalah seluruh posisi instrumen keuangan dalam neraca dan rekening administratif termasuk transaksi derivatif yang dimiliki </w:t>
            </w:r>
            <w:r w:rsidRPr="00535477">
              <w:rPr>
                <w:rFonts w:cs="Bookman Old Style"/>
                <w:lang w:eastAsia="id-ID"/>
              </w:rPr>
              <w:t>LPEI</w:t>
            </w:r>
            <w:r w:rsidRPr="00535477">
              <w:rPr>
                <w:rFonts w:cs="Bookman Old Style"/>
                <w:lang w:val="id-ID" w:eastAsia="id-ID"/>
              </w:rPr>
              <w:t xml:space="preserve"> dengan tujuan untuk:</w:t>
            </w:r>
          </w:p>
        </w:tc>
        <w:tc>
          <w:tcPr>
            <w:tcW w:w="3969" w:type="dxa"/>
          </w:tcPr>
          <w:p w14:paraId="171E99B3" w14:textId="77777777" w:rsidR="00432AAD" w:rsidRPr="00535477" w:rsidRDefault="00432AAD" w:rsidP="006918B8">
            <w:pPr>
              <w:pStyle w:val="Style1"/>
              <w:spacing w:line="360" w:lineRule="auto"/>
              <w:ind w:left="1305" w:firstLine="0"/>
              <w:rPr>
                <w:rFonts w:cs="Bookman Old Style"/>
                <w:i/>
                <w:iCs/>
                <w:lang w:val="id-ID" w:eastAsia="id-ID"/>
              </w:rPr>
            </w:pPr>
          </w:p>
        </w:tc>
        <w:tc>
          <w:tcPr>
            <w:tcW w:w="4536" w:type="dxa"/>
          </w:tcPr>
          <w:p w14:paraId="6972B071" w14:textId="77777777" w:rsidR="00432AAD" w:rsidRPr="00535477" w:rsidRDefault="00432AAD" w:rsidP="006918B8">
            <w:pPr>
              <w:pStyle w:val="Style1"/>
              <w:spacing w:line="360" w:lineRule="auto"/>
              <w:ind w:left="1305" w:firstLine="0"/>
              <w:rPr>
                <w:rFonts w:cs="Bookman Old Style"/>
                <w:i/>
                <w:iCs/>
                <w:lang w:val="id-ID" w:eastAsia="id-ID"/>
              </w:rPr>
            </w:pPr>
          </w:p>
        </w:tc>
      </w:tr>
      <w:tr w:rsidR="00432AAD" w:rsidRPr="00535477" w14:paraId="2BA5CD41" w14:textId="6FE7C926" w:rsidTr="00AF03F6">
        <w:tc>
          <w:tcPr>
            <w:tcW w:w="8784" w:type="dxa"/>
          </w:tcPr>
          <w:p w14:paraId="6EBEE00A" w14:textId="77777777" w:rsidR="00432AAD" w:rsidRPr="00535477" w:rsidRDefault="00432AAD" w:rsidP="001A4A2F">
            <w:pPr>
              <w:pStyle w:val="Style1"/>
              <w:numPr>
                <w:ilvl w:val="0"/>
                <w:numId w:val="21"/>
              </w:numPr>
              <w:spacing w:line="360" w:lineRule="auto"/>
              <w:ind w:left="1872" w:hanging="567"/>
              <w:rPr>
                <w:rFonts w:cs="Bookman Old Style"/>
                <w:lang w:val="id-ID" w:eastAsia="id-ID"/>
              </w:rPr>
            </w:pPr>
            <w:r w:rsidRPr="00535477">
              <w:rPr>
                <w:rFonts w:cs="Bookman Old Style"/>
                <w:lang w:val="id-ID" w:eastAsia="id-ID"/>
              </w:rPr>
              <w:t xml:space="preserve">diperdagangkan dan dapat dipindahtangankan dengan bebas atau dapat dilindung nilai secara keseluruhan, baik dari transaksi untuk kepentingan sendiri </w:t>
            </w:r>
            <w:r>
              <w:rPr>
                <w:rFonts w:cs="Bookman Old Style"/>
                <w:lang w:eastAsia="id-ID"/>
              </w:rPr>
              <w:lastRenderedPageBreak/>
              <w:t>(</w:t>
            </w:r>
            <w:r w:rsidRPr="00535477">
              <w:rPr>
                <w:rFonts w:cs="Bookman Old Style"/>
                <w:i/>
                <w:iCs/>
                <w:lang w:val="id-ID" w:eastAsia="id-ID"/>
              </w:rPr>
              <w:t>proprietary positions</w:t>
            </w:r>
            <w:r w:rsidRPr="00535477">
              <w:rPr>
                <w:rFonts w:cs="Bookman Old Style"/>
                <w:lang w:val="id-ID" w:eastAsia="id-ID"/>
              </w:rPr>
              <w:t>), atas permintaan nasabah maupun kegiatan perantaraan (</w:t>
            </w:r>
            <w:r w:rsidRPr="00535477">
              <w:rPr>
                <w:rFonts w:cs="Bookman Old Style"/>
                <w:i/>
                <w:iCs/>
                <w:lang w:val="id-ID" w:eastAsia="id-ID"/>
              </w:rPr>
              <w:t>brokering</w:t>
            </w:r>
            <w:r w:rsidRPr="00535477">
              <w:rPr>
                <w:rFonts w:cs="Bookman Old Style"/>
                <w:lang w:val="id-ID" w:eastAsia="id-ID"/>
              </w:rPr>
              <w:t>), dan dalam rangka pembentukan pasar (</w:t>
            </w:r>
            <w:r w:rsidRPr="00535477">
              <w:rPr>
                <w:rFonts w:cs="Bookman Old Style"/>
                <w:i/>
                <w:iCs/>
                <w:lang w:val="id-ID" w:eastAsia="id-ID"/>
              </w:rPr>
              <w:t>market making</w:t>
            </w:r>
            <w:r w:rsidRPr="00535477">
              <w:rPr>
                <w:rFonts w:cs="Bookman Old Style"/>
                <w:lang w:val="id-ID" w:eastAsia="id-ID"/>
              </w:rPr>
              <w:t>), yang meliputi</w:t>
            </w:r>
            <w:r w:rsidRPr="00535477">
              <w:rPr>
                <w:rFonts w:cs="Bookman Old Style"/>
                <w:lang w:eastAsia="id-ID"/>
              </w:rPr>
              <w:t>:</w:t>
            </w:r>
          </w:p>
        </w:tc>
        <w:tc>
          <w:tcPr>
            <w:tcW w:w="3969" w:type="dxa"/>
          </w:tcPr>
          <w:p w14:paraId="3C944770" w14:textId="77777777" w:rsidR="00432AAD" w:rsidRPr="00535477" w:rsidRDefault="00432AAD" w:rsidP="006918B8">
            <w:pPr>
              <w:pStyle w:val="Style1"/>
              <w:spacing w:line="360" w:lineRule="auto"/>
              <w:ind w:left="1872" w:firstLine="0"/>
              <w:rPr>
                <w:rFonts w:cs="Bookman Old Style"/>
                <w:lang w:val="id-ID" w:eastAsia="id-ID"/>
              </w:rPr>
            </w:pPr>
          </w:p>
        </w:tc>
        <w:tc>
          <w:tcPr>
            <w:tcW w:w="4536" w:type="dxa"/>
          </w:tcPr>
          <w:p w14:paraId="2A1C9870" w14:textId="77777777" w:rsidR="00432AAD" w:rsidRPr="00535477" w:rsidRDefault="00432AAD" w:rsidP="006918B8">
            <w:pPr>
              <w:pStyle w:val="Style1"/>
              <w:spacing w:line="360" w:lineRule="auto"/>
              <w:ind w:left="1872" w:firstLine="0"/>
              <w:rPr>
                <w:rFonts w:cs="Bookman Old Style"/>
                <w:lang w:val="id-ID" w:eastAsia="id-ID"/>
              </w:rPr>
            </w:pPr>
          </w:p>
        </w:tc>
      </w:tr>
      <w:tr w:rsidR="00432AAD" w:rsidRPr="00535477" w14:paraId="6D8340F7" w14:textId="2610CE3D" w:rsidTr="00AF03F6">
        <w:tc>
          <w:tcPr>
            <w:tcW w:w="8784" w:type="dxa"/>
          </w:tcPr>
          <w:p w14:paraId="12C0121B" w14:textId="77777777" w:rsidR="00432AAD" w:rsidRPr="00535477" w:rsidRDefault="00432AAD" w:rsidP="001A4A2F">
            <w:pPr>
              <w:pStyle w:val="Style1"/>
              <w:numPr>
                <w:ilvl w:val="0"/>
                <w:numId w:val="22"/>
              </w:numPr>
              <w:spacing w:line="360" w:lineRule="auto"/>
              <w:ind w:left="2439" w:hanging="567"/>
              <w:rPr>
                <w:rFonts w:cs="Bookman Old Style"/>
                <w:lang w:val="id-ID" w:eastAsia="id-ID"/>
              </w:rPr>
            </w:pPr>
            <w:r w:rsidRPr="00535477">
              <w:rPr>
                <w:rFonts w:cs="Bookman Old Style"/>
                <w:lang w:val="id-ID" w:eastAsia="id-ID"/>
              </w:rPr>
              <w:t>posisi yang dimiliki untuk dijual kembali dalam jangka pendek;</w:t>
            </w:r>
          </w:p>
        </w:tc>
        <w:tc>
          <w:tcPr>
            <w:tcW w:w="3969" w:type="dxa"/>
          </w:tcPr>
          <w:p w14:paraId="5E62B338" w14:textId="77777777" w:rsidR="00432AAD" w:rsidRPr="00535477" w:rsidRDefault="00432AAD" w:rsidP="006918B8">
            <w:pPr>
              <w:pStyle w:val="Style1"/>
              <w:spacing w:line="360" w:lineRule="auto"/>
              <w:ind w:firstLine="0"/>
              <w:rPr>
                <w:rFonts w:cs="Bookman Old Style"/>
                <w:lang w:val="id-ID" w:eastAsia="id-ID"/>
              </w:rPr>
            </w:pPr>
          </w:p>
        </w:tc>
        <w:tc>
          <w:tcPr>
            <w:tcW w:w="4536" w:type="dxa"/>
          </w:tcPr>
          <w:p w14:paraId="6DC4D3EC" w14:textId="77777777" w:rsidR="00432AAD" w:rsidRPr="00535477" w:rsidRDefault="00432AAD" w:rsidP="006918B8">
            <w:pPr>
              <w:pStyle w:val="Style1"/>
              <w:spacing w:line="360" w:lineRule="auto"/>
              <w:ind w:firstLine="0"/>
              <w:rPr>
                <w:rFonts w:cs="Bookman Old Style"/>
                <w:lang w:val="id-ID" w:eastAsia="id-ID"/>
              </w:rPr>
            </w:pPr>
          </w:p>
        </w:tc>
      </w:tr>
      <w:tr w:rsidR="00432AAD" w:rsidRPr="00535477" w14:paraId="08F31268" w14:textId="3302F5CD" w:rsidTr="00AF03F6">
        <w:tc>
          <w:tcPr>
            <w:tcW w:w="8784" w:type="dxa"/>
          </w:tcPr>
          <w:p w14:paraId="5F60358C" w14:textId="77777777" w:rsidR="00432AAD" w:rsidRPr="00535477" w:rsidRDefault="00432AAD" w:rsidP="001A4A2F">
            <w:pPr>
              <w:pStyle w:val="Style1"/>
              <w:numPr>
                <w:ilvl w:val="0"/>
                <w:numId w:val="22"/>
              </w:numPr>
              <w:spacing w:line="360" w:lineRule="auto"/>
              <w:ind w:left="2439" w:hanging="567"/>
              <w:rPr>
                <w:rFonts w:cs="Bookman Old Style"/>
                <w:lang w:val="id-ID" w:eastAsia="id-ID"/>
              </w:rPr>
            </w:pPr>
            <w:r w:rsidRPr="00535477">
              <w:rPr>
                <w:rFonts w:cs="Bookman Old Style"/>
                <w:lang w:val="id-ID" w:eastAsia="id-ID"/>
              </w:rPr>
              <w:t>posisi yang dimiliki untuk tujuan memperoleh keuntungan jangka pendek secara aktual dan/atau potensi dari pergerakan harga (</w:t>
            </w:r>
            <w:r w:rsidRPr="00535477">
              <w:rPr>
                <w:rFonts w:cs="Bookman Old Style"/>
                <w:i/>
                <w:iCs/>
                <w:lang w:val="id-ID" w:eastAsia="id-ID"/>
              </w:rPr>
              <w:t>price movement</w:t>
            </w:r>
            <w:r w:rsidRPr="00535477">
              <w:rPr>
                <w:rFonts w:cs="Bookman Old Style"/>
                <w:lang w:val="id-ID" w:eastAsia="id-ID"/>
              </w:rPr>
              <w:t>); atau</w:t>
            </w:r>
          </w:p>
        </w:tc>
        <w:tc>
          <w:tcPr>
            <w:tcW w:w="3969" w:type="dxa"/>
          </w:tcPr>
          <w:p w14:paraId="233FA43C" w14:textId="77777777" w:rsidR="00432AAD" w:rsidRPr="00535477" w:rsidRDefault="00432AAD" w:rsidP="006918B8">
            <w:pPr>
              <w:pStyle w:val="Style1"/>
              <w:spacing w:line="360" w:lineRule="auto"/>
              <w:ind w:firstLine="0"/>
              <w:rPr>
                <w:rFonts w:cs="Bookman Old Style"/>
                <w:lang w:val="id-ID" w:eastAsia="id-ID"/>
              </w:rPr>
            </w:pPr>
          </w:p>
        </w:tc>
        <w:tc>
          <w:tcPr>
            <w:tcW w:w="4536" w:type="dxa"/>
          </w:tcPr>
          <w:p w14:paraId="139C9710" w14:textId="77777777" w:rsidR="00432AAD" w:rsidRPr="00535477" w:rsidRDefault="00432AAD" w:rsidP="006918B8">
            <w:pPr>
              <w:pStyle w:val="Style1"/>
              <w:spacing w:line="360" w:lineRule="auto"/>
              <w:ind w:firstLine="0"/>
              <w:rPr>
                <w:rFonts w:cs="Bookman Old Style"/>
                <w:lang w:val="id-ID" w:eastAsia="id-ID"/>
              </w:rPr>
            </w:pPr>
          </w:p>
        </w:tc>
      </w:tr>
      <w:tr w:rsidR="00432AAD" w:rsidRPr="00535477" w14:paraId="0F288A3B" w14:textId="795BEF44" w:rsidTr="00AF03F6">
        <w:tc>
          <w:tcPr>
            <w:tcW w:w="8784" w:type="dxa"/>
          </w:tcPr>
          <w:p w14:paraId="7015CB63" w14:textId="77777777" w:rsidR="00432AAD" w:rsidRPr="00535477" w:rsidRDefault="00432AAD" w:rsidP="001A4A2F">
            <w:pPr>
              <w:pStyle w:val="Style1"/>
              <w:numPr>
                <w:ilvl w:val="0"/>
                <w:numId w:val="22"/>
              </w:numPr>
              <w:spacing w:line="360" w:lineRule="auto"/>
              <w:ind w:left="2439" w:hanging="567"/>
              <w:rPr>
                <w:rFonts w:cs="Bookman Old Style"/>
                <w:lang w:val="id-ID" w:eastAsia="id-ID"/>
              </w:rPr>
            </w:pPr>
            <w:r w:rsidRPr="00535477">
              <w:rPr>
                <w:rFonts w:cs="Bookman Old Style"/>
                <w:lang w:val="id-ID" w:eastAsia="id-ID"/>
              </w:rPr>
              <w:t>posisi yang dimiliki untuk tujuan mempertahankan keuntungan arbitrase (</w:t>
            </w:r>
            <w:r w:rsidRPr="00535477">
              <w:rPr>
                <w:rFonts w:cs="Bookman Old Style"/>
                <w:i/>
                <w:iCs/>
                <w:lang w:val="id-ID" w:eastAsia="id-ID"/>
              </w:rPr>
              <w:t>locking in arbitrage profits</w:t>
            </w:r>
            <w:r w:rsidRPr="00535477">
              <w:rPr>
                <w:rFonts w:cs="Bookman Old Style"/>
                <w:lang w:val="id-ID" w:eastAsia="id-ID"/>
              </w:rPr>
              <w:t>);</w:t>
            </w:r>
          </w:p>
        </w:tc>
        <w:tc>
          <w:tcPr>
            <w:tcW w:w="3969" w:type="dxa"/>
          </w:tcPr>
          <w:p w14:paraId="3232DE9B" w14:textId="77777777" w:rsidR="00432AAD" w:rsidRPr="00535477" w:rsidRDefault="00432AAD" w:rsidP="006918B8">
            <w:pPr>
              <w:pStyle w:val="Style1"/>
              <w:spacing w:line="360" w:lineRule="auto"/>
              <w:ind w:firstLine="0"/>
              <w:rPr>
                <w:rFonts w:cs="Bookman Old Style"/>
                <w:lang w:val="id-ID" w:eastAsia="id-ID"/>
              </w:rPr>
            </w:pPr>
          </w:p>
        </w:tc>
        <w:tc>
          <w:tcPr>
            <w:tcW w:w="4536" w:type="dxa"/>
          </w:tcPr>
          <w:p w14:paraId="56F6F538" w14:textId="77777777" w:rsidR="00432AAD" w:rsidRPr="00535477" w:rsidRDefault="00432AAD" w:rsidP="006918B8">
            <w:pPr>
              <w:pStyle w:val="Style1"/>
              <w:spacing w:line="360" w:lineRule="auto"/>
              <w:ind w:firstLine="0"/>
              <w:rPr>
                <w:rFonts w:cs="Bookman Old Style"/>
                <w:lang w:val="id-ID" w:eastAsia="id-ID"/>
              </w:rPr>
            </w:pPr>
          </w:p>
        </w:tc>
      </w:tr>
      <w:tr w:rsidR="00432AAD" w:rsidRPr="00535477" w14:paraId="70C1E677" w14:textId="5B2A4660" w:rsidTr="00AF03F6">
        <w:tc>
          <w:tcPr>
            <w:tcW w:w="8784" w:type="dxa"/>
          </w:tcPr>
          <w:p w14:paraId="214BB740" w14:textId="77777777" w:rsidR="00432AAD" w:rsidRPr="00535477" w:rsidRDefault="00432AAD" w:rsidP="001A4A2F">
            <w:pPr>
              <w:pStyle w:val="Style1"/>
              <w:numPr>
                <w:ilvl w:val="0"/>
                <w:numId w:val="21"/>
              </w:numPr>
              <w:spacing w:line="360" w:lineRule="auto"/>
              <w:ind w:left="1872" w:hanging="567"/>
              <w:rPr>
                <w:rFonts w:cs="Bookman Old Style"/>
                <w:lang w:val="id-ID" w:eastAsia="id-ID"/>
              </w:rPr>
            </w:pPr>
            <w:r w:rsidRPr="00535477">
              <w:rPr>
                <w:rFonts w:cs="Bookman Old Style"/>
                <w:lang w:val="id-ID" w:eastAsia="id-ID"/>
              </w:rPr>
              <w:t xml:space="preserve">lindung nilai atas posisi lainnya dalam </w:t>
            </w:r>
            <w:r w:rsidRPr="00535477">
              <w:rPr>
                <w:rFonts w:cs="Bookman Old Style"/>
                <w:i/>
                <w:iCs/>
                <w:lang w:val="id-ID" w:eastAsia="id-ID"/>
              </w:rPr>
              <w:t>Trading Book</w:t>
            </w:r>
            <w:r w:rsidRPr="00535477">
              <w:rPr>
                <w:rFonts w:cs="Bookman Old Style"/>
                <w:lang w:val="id-ID" w:eastAsia="id-ID"/>
              </w:rPr>
              <w:t>.</w:t>
            </w:r>
          </w:p>
        </w:tc>
        <w:tc>
          <w:tcPr>
            <w:tcW w:w="3969" w:type="dxa"/>
          </w:tcPr>
          <w:p w14:paraId="6CF06A7B" w14:textId="77777777" w:rsidR="00432AAD" w:rsidRPr="00535477" w:rsidRDefault="00432AAD" w:rsidP="006918B8">
            <w:pPr>
              <w:pStyle w:val="Style1"/>
              <w:spacing w:line="360" w:lineRule="auto"/>
              <w:ind w:firstLine="0"/>
              <w:rPr>
                <w:rFonts w:cs="Bookman Old Style"/>
                <w:lang w:val="id-ID" w:eastAsia="id-ID"/>
              </w:rPr>
            </w:pPr>
          </w:p>
        </w:tc>
        <w:tc>
          <w:tcPr>
            <w:tcW w:w="4536" w:type="dxa"/>
          </w:tcPr>
          <w:p w14:paraId="7FDAB354" w14:textId="77777777" w:rsidR="00432AAD" w:rsidRPr="00535477" w:rsidRDefault="00432AAD" w:rsidP="006918B8">
            <w:pPr>
              <w:pStyle w:val="Style1"/>
              <w:spacing w:line="360" w:lineRule="auto"/>
              <w:ind w:firstLine="0"/>
              <w:rPr>
                <w:rFonts w:cs="Bookman Old Style"/>
                <w:lang w:val="id-ID" w:eastAsia="id-ID"/>
              </w:rPr>
            </w:pPr>
          </w:p>
        </w:tc>
      </w:tr>
      <w:tr w:rsidR="00432AAD" w:rsidRPr="00535477" w14:paraId="52EBE035" w14:textId="041E9149" w:rsidTr="00AF03F6">
        <w:tc>
          <w:tcPr>
            <w:tcW w:w="8784" w:type="dxa"/>
          </w:tcPr>
          <w:p w14:paraId="59B369BA" w14:textId="77777777" w:rsidR="00432AAD" w:rsidRPr="00535477" w:rsidRDefault="00432AAD" w:rsidP="001A4A2F">
            <w:pPr>
              <w:pStyle w:val="Style1"/>
              <w:numPr>
                <w:ilvl w:val="0"/>
                <w:numId w:val="20"/>
              </w:numPr>
              <w:spacing w:line="360" w:lineRule="auto"/>
              <w:ind w:left="1305" w:hanging="567"/>
              <w:rPr>
                <w:rFonts w:cs="Bookman Old Style"/>
                <w:lang w:val="id-ID" w:eastAsia="id-ID"/>
              </w:rPr>
            </w:pPr>
            <w:r w:rsidRPr="00535477">
              <w:rPr>
                <w:rFonts w:cs="Bookman Old Style"/>
                <w:i/>
                <w:iCs/>
                <w:lang w:val="id-ID" w:eastAsia="id-ID"/>
              </w:rPr>
              <w:t>Banking</w:t>
            </w:r>
            <w:r w:rsidRPr="00535477">
              <w:rPr>
                <w:rFonts w:cs="Bookman Old Style"/>
                <w:lang w:val="id-ID" w:eastAsia="id-ID"/>
              </w:rPr>
              <w:t xml:space="preserve"> </w:t>
            </w:r>
            <w:r w:rsidRPr="00535477">
              <w:rPr>
                <w:rFonts w:cs="Bookman Old Style"/>
                <w:i/>
                <w:iCs/>
                <w:lang w:val="id-ID" w:eastAsia="id-ID"/>
              </w:rPr>
              <w:t>Book</w:t>
            </w:r>
            <w:r w:rsidRPr="00535477">
              <w:rPr>
                <w:rFonts w:cs="Bookman Old Style"/>
                <w:lang w:val="id-ID" w:eastAsia="id-ID"/>
              </w:rPr>
              <w:t xml:space="preserve"> adalah semua posisi lainnya yang tidak termasuk dalam </w:t>
            </w:r>
            <w:r w:rsidRPr="00535477">
              <w:rPr>
                <w:rFonts w:cs="Bookman Old Style"/>
                <w:i/>
                <w:iCs/>
                <w:lang w:val="id-ID" w:eastAsia="id-ID"/>
              </w:rPr>
              <w:t>Trading Book</w:t>
            </w:r>
            <w:r w:rsidRPr="00535477">
              <w:rPr>
                <w:rFonts w:cs="Bookman Old Style"/>
                <w:lang w:val="id-ID" w:eastAsia="id-ID"/>
              </w:rPr>
              <w:t>.</w:t>
            </w:r>
          </w:p>
        </w:tc>
        <w:tc>
          <w:tcPr>
            <w:tcW w:w="3969" w:type="dxa"/>
          </w:tcPr>
          <w:p w14:paraId="3C212FBA" w14:textId="77777777" w:rsidR="00432AAD" w:rsidRPr="00535477" w:rsidRDefault="00432AAD" w:rsidP="006918B8">
            <w:pPr>
              <w:pStyle w:val="Style1"/>
              <w:spacing w:line="360" w:lineRule="auto"/>
              <w:ind w:firstLine="0"/>
              <w:rPr>
                <w:rFonts w:cs="Bookman Old Style"/>
                <w:i/>
                <w:iCs/>
                <w:lang w:val="id-ID" w:eastAsia="id-ID"/>
              </w:rPr>
            </w:pPr>
          </w:p>
        </w:tc>
        <w:tc>
          <w:tcPr>
            <w:tcW w:w="4536" w:type="dxa"/>
          </w:tcPr>
          <w:p w14:paraId="23B84310" w14:textId="77777777" w:rsidR="00432AAD" w:rsidRPr="00535477" w:rsidRDefault="00432AAD" w:rsidP="006918B8">
            <w:pPr>
              <w:pStyle w:val="Style1"/>
              <w:spacing w:line="360" w:lineRule="auto"/>
              <w:ind w:firstLine="0"/>
              <w:rPr>
                <w:rFonts w:cs="Bookman Old Style"/>
                <w:i/>
                <w:iCs/>
                <w:lang w:val="id-ID" w:eastAsia="id-ID"/>
              </w:rPr>
            </w:pPr>
          </w:p>
        </w:tc>
      </w:tr>
      <w:tr w:rsidR="00432AAD" w:rsidRPr="00535477" w14:paraId="682A9FB0" w14:textId="6EF1705C" w:rsidTr="00AF03F6">
        <w:tc>
          <w:tcPr>
            <w:tcW w:w="8784" w:type="dxa"/>
          </w:tcPr>
          <w:p w14:paraId="3E0530B7" w14:textId="77777777" w:rsidR="00432AAD" w:rsidRPr="00535477" w:rsidRDefault="00432AAD" w:rsidP="0044583D">
            <w:pPr>
              <w:pStyle w:val="Style1"/>
              <w:spacing w:line="360" w:lineRule="auto"/>
              <w:ind w:left="360" w:firstLine="0"/>
              <w:rPr>
                <w:rFonts w:cs="Bookman Old Style"/>
                <w:lang w:val="id-ID" w:eastAsia="id-ID"/>
              </w:rPr>
            </w:pPr>
          </w:p>
        </w:tc>
        <w:tc>
          <w:tcPr>
            <w:tcW w:w="3969" w:type="dxa"/>
          </w:tcPr>
          <w:p w14:paraId="4C3B3D03" w14:textId="77777777" w:rsidR="00432AAD" w:rsidRPr="00535477" w:rsidRDefault="00432AAD" w:rsidP="0044583D">
            <w:pPr>
              <w:pStyle w:val="Style1"/>
              <w:spacing w:line="360" w:lineRule="auto"/>
              <w:ind w:left="360" w:firstLine="0"/>
              <w:rPr>
                <w:rFonts w:cs="Bookman Old Style"/>
                <w:lang w:val="id-ID" w:eastAsia="id-ID"/>
              </w:rPr>
            </w:pPr>
          </w:p>
        </w:tc>
        <w:tc>
          <w:tcPr>
            <w:tcW w:w="4536" w:type="dxa"/>
          </w:tcPr>
          <w:p w14:paraId="3F70786D" w14:textId="77777777" w:rsidR="00432AAD" w:rsidRPr="00535477" w:rsidRDefault="00432AAD" w:rsidP="0044583D">
            <w:pPr>
              <w:pStyle w:val="Style1"/>
              <w:spacing w:line="360" w:lineRule="auto"/>
              <w:ind w:left="360" w:firstLine="0"/>
              <w:rPr>
                <w:rFonts w:cs="Bookman Old Style"/>
                <w:lang w:val="id-ID" w:eastAsia="id-ID"/>
              </w:rPr>
            </w:pPr>
          </w:p>
        </w:tc>
      </w:tr>
      <w:tr w:rsidR="00432AAD" w:rsidRPr="00535477" w14:paraId="32155247" w14:textId="58C8C2F1" w:rsidTr="00AF03F6">
        <w:tc>
          <w:tcPr>
            <w:tcW w:w="8784" w:type="dxa"/>
          </w:tcPr>
          <w:p w14:paraId="463D2084"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KEWAJIBAN PENYEDIAAN MODAL MINIMUM SESUAI PROFIL RISIKO</w:t>
            </w:r>
          </w:p>
        </w:tc>
        <w:tc>
          <w:tcPr>
            <w:tcW w:w="3969" w:type="dxa"/>
          </w:tcPr>
          <w:p w14:paraId="03E145B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8EB6D1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C101435" w14:textId="6AC6025F" w:rsidTr="00AF03F6">
        <w:tc>
          <w:tcPr>
            <w:tcW w:w="8784" w:type="dxa"/>
          </w:tcPr>
          <w:p w14:paraId="77023DF7" w14:textId="77777777" w:rsidR="00432AAD" w:rsidRPr="00535477" w:rsidRDefault="00432AAD" w:rsidP="001A4A2F">
            <w:pPr>
              <w:pStyle w:val="ListParagraph"/>
              <w:numPr>
                <w:ilvl w:val="0"/>
                <w:numId w:val="2"/>
              </w:numPr>
              <w:spacing w:line="360" w:lineRule="auto"/>
              <w:ind w:left="1304" w:hanging="567"/>
              <w:jc w:val="both"/>
              <w:rPr>
                <w:rFonts w:ascii="Bookman Old Style" w:hAnsi="Bookman Old Style"/>
                <w:sz w:val="24"/>
                <w:szCs w:val="24"/>
              </w:rPr>
            </w:pPr>
            <w:r w:rsidRPr="00535477">
              <w:rPr>
                <w:rFonts w:ascii="Bookman Old Style" w:hAnsi="Bookman Old Style"/>
                <w:i/>
                <w:sz w:val="24"/>
                <w:szCs w:val="24"/>
              </w:rPr>
              <w:t>Internal Capital Adequacy Assessment Process</w:t>
            </w:r>
            <w:r w:rsidRPr="00535477">
              <w:rPr>
                <w:rFonts w:ascii="Bookman Old Style" w:hAnsi="Bookman Old Style"/>
                <w:sz w:val="24"/>
                <w:szCs w:val="24"/>
              </w:rPr>
              <w:t xml:space="preserve"> (ICAAP)</w:t>
            </w:r>
          </w:p>
        </w:tc>
        <w:tc>
          <w:tcPr>
            <w:tcW w:w="3969" w:type="dxa"/>
          </w:tcPr>
          <w:p w14:paraId="58902DF3" w14:textId="77777777" w:rsidR="00432AAD" w:rsidRPr="006918B8" w:rsidRDefault="00432AAD" w:rsidP="006918B8">
            <w:pPr>
              <w:spacing w:line="360" w:lineRule="auto"/>
              <w:jc w:val="both"/>
              <w:rPr>
                <w:rFonts w:ascii="Bookman Old Style" w:hAnsi="Bookman Old Style"/>
                <w:i/>
                <w:sz w:val="24"/>
                <w:szCs w:val="24"/>
              </w:rPr>
            </w:pPr>
          </w:p>
        </w:tc>
        <w:tc>
          <w:tcPr>
            <w:tcW w:w="4536" w:type="dxa"/>
          </w:tcPr>
          <w:p w14:paraId="4955D49F" w14:textId="77777777" w:rsidR="00432AAD" w:rsidRPr="006918B8" w:rsidRDefault="00432AAD" w:rsidP="006918B8">
            <w:pPr>
              <w:spacing w:line="360" w:lineRule="auto"/>
              <w:jc w:val="both"/>
              <w:rPr>
                <w:rFonts w:ascii="Bookman Old Style" w:hAnsi="Bookman Old Style"/>
                <w:i/>
                <w:sz w:val="24"/>
                <w:szCs w:val="24"/>
              </w:rPr>
            </w:pPr>
          </w:p>
        </w:tc>
      </w:tr>
      <w:tr w:rsidR="00432AAD" w:rsidRPr="00535477" w14:paraId="6A43A77A" w14:textId="7CCAB6FE" w:rsidTr="00AF03F6">
        <w:tc>
          <w:tcPr>
            <w:tcW w:w="8784" w:type="dxa"/>
          </w:tcPr>
          <w:p w14:paraId="7FE4093F" w14:textId="77777777" w:rsidR="00432AAD" w:rsidRPr="00535477" w:rsidRDefault="00432AAD" w:rsidP="001A4A2F">
            <w:pPr>
              <w:pStyle w:val="ListParagraph"/>
              <w:numPr>
                <w:ilvl w:val="0"/>
                <w:numId w:val="3"/>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 xml:space="preserve">ICAAP adalah proses yang dilakukan LPEI untuk menetapkan kecukupan modal sesuai dengan profil risiko </w:t>
            </w:r>
            <w:r w:rsidRPr="00535477">
              <w:rPr>
                <w:rFonts w:ascii="Bookman Old Style" w:hAnsi="Bookman Old Style"/>
                <w:sz w:val="24"/>
                <w:szCs w:val="24"/>
              </w:rPr>
              <w:lastRenderedPageBreak/>
              <w:t xml:space="preserve">LPEI dan penetapan strategi untuk memelihara tingkat permodalan. </w:t>
            </w:r>
          </w:p>
        </w:tc>
        <w:tc>
          <w:tcPr>
            <w:tcW w:w="3969" w:type="dxa"/>
          </w:tcPr>
          <w:p w14:paraId="59981847"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07DB294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0F3D742" w14:textId="7DCC7910" w:rsidTr="00AF03F6">
        <w:tc>
          <w:tcPr>
            <w:tcW w:w="8784" w:type="dxa"/>
          </w:tcPr>
          <w:p w14:paraId="407CDB3F" w14:textId="77777777" w:rsidR="00432AAD" w:rsidRPr="00535477" w:rsidRDefault="00432AAD" w:rsidP="001A4A2F">
            <w:pPr>
              <w:pStyle w:val="ListParagraph"/>
              <w:numPr>
                <w:ilvl w:val="0"/>
                <w:numId w:val="3"/>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Komponen ICAAP paling sedikit mencakup:</w:t>
            </w:r>
          </w:p>
        </w:tc>
        <w:tc>
          <w:tcPr>
            <w:tcW w:w="3969" w:type="dxa"/>
          </w:tcPr>
          <w:p w14:paraId="78DFDF36"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84D51F3"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9BB2B86" w14:textId="394DA9ED" w:rsidTr="00AF03F6">
        <w:tc>
          <w:tcPr>
            <w:tcW w:w="8784" w:type="dxa"/>
          </w:tcPr>
          <w:p w14:paraId="7595AA82" w14:textId="77777777" w:rsidR="00432AAD" w:rsidRPr="00535477" w:rsidRDefault="00432AAD" w:rsidP="00E82C79">
            <w:pPr>
              <w:pStyle w:val="ListParagraph"/>
              <w:numPr>
                <w:ilvl w:val="0"/>
                <w:numId w:val="4"/>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 xml:space="preserve">Pengawasan aktif </w:t>
            </w:r>
            <w:r>
              <w:rPr>
                <w:rFonts w:ascii="Bookman Old Style" w:eastAsia="Bookman Old Style" w:hAnsi="Bookman Old Style" w:cs="Bookman Old Style"/>
                <w:sz w:val="24"/>
                <w:szCs w:val="24"/>
              </w:rPr>
              <w:t>Direktur Eksekutif dan</w:t>
            </w:r>
            <w:r w:rsidRPr="00535477">
              <w:rPr>
                <w:rFonts w:ascii="Bookman Old Style" w:eastAsia="Bookman Old Style" w:hAnsi="Bookman Old Style" w:cs="Bookman Old Style"/>
                <w:sz w:val="24"/>
                <w:szCs w:val="24"/>
              </w:rPr>
              <w:t xml:space="preserve"> Dewan Direktur, </w:t>
            </w:r>
            <w:r w:rsidRPr="00535477">
              <w:rPr>
                <w:rFonts w:ascii="Bookman Old Style" w:hAnsi="Bookman Old Style"/>
                <w:sz w:val="24"/>
                <w:szCs w:val="24"/>
              </w:rPr>
              <w:t>paling sedikit mencakup:</w:t>
            </w:r>
          </w:p>
        </w:tc>
        <w:tc>
          <w:tcPr>
            <w:tcW w:w="3969" w:type="dxa"/>
          </w:tcPr>
          <w:p w14:paraId="22050EE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737CA9FC"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D87225F" w14:textId="10920DEE" w:rsidTr="00AF03F6">
        <w:tc>
          <w:tcPr>
            <w:tcW w:w="8784" w:type="dxa"/>
          </w:tcPr>
          <w:p w14:paraId="6C81758A" w14:textId="77777777" w:rsidR="00432AAD" w:rsidRPr="00535477" w:rsidRDefault="00432AAD" w:rsidP="001A4A2F">
            <w:pPr>
              <w:pStyle w:val="ListParagraph"/>
              <w:numPr>
                <w:ilvl w:val="0"/>
                <w:numId w:val="5"/>
              </w:numPr>
              <w:spacing w:line="360" w:lineRule="auto"/>
              <w:ind w:left="2722" w:hanging="425"/>
              <w:jc w:val="both"/>
              <w:rPr>
                <w:rFonts w:ascii="Bookman Old Style" w:hAnsi="Bookman Old Style"/>
                <w:sz w:val="24"/>
                <w:szCs w:val="24"/>
              </w:rPr>
            </w:pPr>
            <w:r w:rsidRPr="00535477">
              <w:rPr>
                <w:rFonts w:ascii="Bookman Old Style" w:eastAsia="Bookman Old Style" w:hAnsi="Bookman Old Style" w:cs="Bookman Old Style"/>
                <w:sz w:val="24"/>
                <w:szCs w:val="24"/>
              </w:rPr>
              <w:t xml:space="preserve">Direktur Eksekutif dan Dewan Direktur, </w:t>
            </w:r>
            <w:r w:rsidRPr="00535477">
              <w:rPr>
                <w:rFonts w:ascii="Bookman Old Style" w:hAnsi="Bookman Old Style"/>
                <w:sz w:val="24"/>
                <w:szCs w:val="24"/>
              </w:rPr>
              <w:t>bertanggung jawab:</w:t>
            </w:r>
          </w:p>
        </w:tc>
        <w:tc>
          <w:tcPr>
            <w:tcW w:w="3969" w:type="dxa"/>
          </w:tcPr>
          <w:p w14:paraId="00877DFE" w14:textId="77777777" w:rsidR="00432AAD" w:rsidRPr="006918B8" w:rsidRDefault="00432AAD" w:rsidP="006918B8">
            <w:pPr>
              <w:spacing w:line="360" w:lineRule="auto"/>
              <w:jc w:val="both"/>
              <w:rPr>
                <w:rFonts w:ascii="Bookman Old Style" w:eastAsia="Bookman Old Style" w:hAnsi="Bookman Old Style" w:cs="Bookman Old Style"/>
                <w:sz w:val="24"/>
                <w:szCs w:val="24"/>
              </w:rPr>
            </w:pPr>
          </w:p>
        </w:tc>
        <w:tc>
          <w:tcPr>
            <w:tcW w:w="4536" w:type="dxa"/>
          </w:tcPr>
          <w:p w14:paraId="4E2D0DCB" w14:textId="77777777" w:rsidR="00432AAD" w:rsidRPr="006918B8" w:rsidRDefault="00432AAD" w:rsidP="006918B8">
            <w:pPr>
              <w:spacing w:line="360" w:lineRule="auto"/>
              <w:jc w:val="both"/>
              <w:rPr>
                <w:rFonts w:ascii="Bookman Old Style" w:eastAsia="Bookman Old Style" w:hAnsi="Bookman Old Style" w:cs="Bookman Old Style"/>
                <w:sz w:val="24"/>
                <w:szCs w:val="24"/>
              </w:rPr>
            </w:pPr>
          </w:p>
        </w:tc>
      </w:tr>
      <w:tr w:rsidR="00432AAD" w:rsidRPr="00535477" w14:paraId="6C85660D" w14:textId="317716A3" w:rsidTr="00AF03F6">
        <w:tc>
          <w:tcPr>
            <w:tcW w:w="8784" w:type="dxa"/>
          </w:tcPr>
          <w:p w14:paraId="043E7E71" w14:textId="77777777" w:rsidR="00432AAD" w:rsidRPr="00535477" w:rsidRDefault="00432AAD" w:rsidP="001A4A2F">
            <w:pPr>
              <w:pStyle w:val="ListParagraph"/>
              <w:numPr>
                <w:ilvl w:val="0"/>
                <w:numId w:val="6"/>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memahami sifat dan tingkat risiko yang dihadapi oleh LPEI, menilai kecukupan kualitas manajemen risiko, dan mengaitkan tingkat risiko dengan kecukupan modal yang dimiliki LPEI untuk mengantisipasi risiko-risiko yang dihadapi dan untuk mendukung rencana bisnis serta rencana strategis LPEI pada masa mendatang; dan</w:t>
            </w:r>
          </w:p>
        </w:tc>
        <w:tc>
          <w:tcPr>
            <w:tcW w:w="3969" w:type="dxa"/>
          </w:tcPr>
          <w:p w14:paraId="3A78B073" w14:textId="77777777" w:rsidR="00432AAD" w:rsidRPr="00E45A81" w:rsidRDefault="00432AAD" w:rsidP="00E45A81">
            <w:pPr>
              <w:spacing w:line="360" w:lineRule="auto"/>
              <w:ind w:left="2722"/>
              <w:jc w:val="both"/>
              <w:rPr>
                <w:rFonts w:ascii="Bookman Old Style" w:hAnsi="Bookman Old Style"/>
                <w:sz w:val="24"/>
                <w:szCs w:val="24"/>
              </w:rPr>
            </w:pPr>
          </w:p>
        </w:tc>
        <w:tc>
          <w:tcPr>
            <w:tcW w:w="4536" w:type="dxa"/>
          </w:tcPr>
          <w:p w14:paraId="40AC48A7" w14:textId="77777777" w:rsidR="00432AAD" w:rsidRPr="00E45A81" w:rsidRDefault="00432AAD" w:rsidP="00E45A81">
            <w:pPr>
              <w:spacing w:line="360" w:lineRule="auto"/>
              <w:ind w:left="2722"/>
              <w:jc w:val="both"/>
              <w:rPr>
                <w:rFonts w:ascii="Bookman Old Style" w:hAnsi="Bookman Old Style"/>
                <w:sz w:val="24"/>
                <w:szCs w:val="24"/>
              </w:rPr>
            </w:pPr>
          </w:p>
        </w:tc>
      </w:tr>
      <w:tr w:rsidR="00432AAD" w:rsidRPr="00535477" w14:paraId="7164A38D" w14:textId="2C6BF58D" w:rsidTr="00AF03F6">
        <w:tc>
          <w:tcPr>
            <w:tcW w:w="8784" w:type="dxa"/>
          </w:tcPr>
          <w:p w14:paraId="54A8F8FB" w14:textId="77777777" w:rsidR="00432AAD" w:rsidRPr="00535477" w:rsidRDefault="00432AAD" w:rsidP="001A4A2F">
            <w:pPr>
              <w:pStyle w:val="ListParagraph"/>
              <w:numPr>
                <w:ilvl w:val="0"/>
                <w:numId w:val="6"/>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memastikan terlaksananya ICAAP secara konsisten dan terintegrasi dalam aktivitas operasional LPEI.</w:t>
            </w:r>
          </w:p>
        </w:tc>
        <w:tc>
          <w:tcPr>
            <w:tcW w:w="3969" w:type="dxa"/>
          </w:tcPr>
          <w:p w14:paraId="3DD41C3A" w14:textId="77777777" w:rsidR="00432AAD" w:rsidRPr="00E45A81" w:rsidRDefault="00432AAD" w:rsidP="00E45A81">
            <w:pPr>
              <w:spacing w:line="360" w:lineRule="auto"/>
              <w:ind w:left="2722"/>
              <w:jc w:val="both"/>
              <w:rPr>
                <w:rFonts w:ascii="Bookman Old Style" w:hAnsi="Bookman Old Style"/>
                <w:sz w:val="24"/>
                <w:szCs w:val="24"/>
              </w:rPr>
            </w:pPr>
          </w:p>
        </w:tc>
        <w:tc>
          <w:tcPr>
            <w:tcW w:w="4536" w:type="dxa"/>
          </w:tcPr>
          <w:p w14:paraId="44B7F59E" w14:textId="77777777" w:rsidR="00432AAD" w:rsidRPr="00E45A81" w:rsidRDefault="00432AAD" w:rsidP="00E45A81">
            <w:pPr>
              <w:spacing w:line="360" w:lineRule="auto"/>
              <w:ind w:left="2722"/>
              <w:jc w:val="both"/>
              <w:rPr>
                <w:rFonts w:ascii="Bookman Old Style" w:hAnsi="Bookman Old Style"/>
                <w:sz w:val="24"/>
                <w:szCs w:val="24"/>
              </w:rPr>
            </w:pPr>
          </w:p>
        </w:tc>
      </w:tr>
      <w:tr w:rsidR="00432AAD" w:rsidRPr="00535477" w14:paraId="76379CA0" w14:textId="60568E9B" w:rsidTr="00AF03F6">
        <w:tc>
          <w:tcPr>
            <w:tcW w:w="8784" w:type="dxa"/>
          </w:tcPr>
          <w:p w14:paraId="3CE3476B" w14:textId="77777777" w:rsidR="00432AAD" w:rsidRPr="00535477" w:rsidRDefault="00432AAD" w:rsidP="001A4A2F">
            <w:pPr>
              <w:pStyle w:val="ListParagraph"/>
              <w:numPr>
                <w:ilvl w:val="0"/>
                <w:numId w:val="5"/>
              </w:numPr>
              <w:spacing w:line="360" w:lineRule="auto"/>
              <w:ind w:left="2722" w:hanging="425"/>
              <w:jc w:val="both"/>
              <w:rPr>
                <w:rFonts w:ascii="Bookman Old Style" w:hAnsi="Bookman Old Style"/>
                <w:sz w:val="24"/>
                <w:szCs w:val="24"/>
              </w:rPr>
            </w:pPr>
            <w:r w:rsidRPr="00535477">
              <w:rPr>
                <w:rFonts w:ascii="Bookman Old Style" w:hAnsi="Bookman Old Style"/>
                <w:sz w:val="24"/>
                <w:szCs w:val="24"/>
              </w:rPr>
              <w:t xml:space="preserve">Dewan Direktur berwenang dan bertanggung jawab paling sedikit: </w:t>
            </w:r>
          </w:p>
        </w:tc>
        <w:tc>
          <w:tcPr>
            <w:tcW w:w="3969" w:type="dxa"/>
          </w:tcPr>
          <w:p w14:paraId="2D3354A1"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73A9B2D6"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4DEFFDA" w14:textId="503EB679" w:rsidTr="00AF03F6">
        <w:tc>
          <w:tcPr>
            <w:tcW w:w="8784" w:type="dxa"/>
          </w:tcPr>
          <w:p w14:paraId="4E808E46" w14:textId="77777777" w:rsidR="00432AAD" w:rsidRPr="00535477" w:rsidRDefault="00432AAD" w:rsidP="001A4A2F">
            <w:pPr>
              <w:pStyle w:val="ListParagraph"/>
              <w:numPr>
                <w:ilvl w:val="0"/>
                <w:numId w:val="7"/>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menyusun kebijakan, strategi, dan prosedur pengelolaan modal sesuai dengan ukuran, karakteristik, kompleksitas usaha, dan tingkat risiko LPEI serta memastikan LPEI senantiasa memelihara tingkat permodalan yang memadai untuk mengantisipasi risiko-risiko LPEI;</w:t>
            </w:r>
          </w:p>
        </w:tc>
        <w:tc>
          <w:tcPr>
            <w:tcW w:w="3969" w:type="dxa"/>
          </w:tcPr>
          <w:p w14:paraId="7EB69F12"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0EB2E2E"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1BA5DF0" w14:textId="2957559B" w:rsidTr="00AF03F6">
        <w:tc>
          <w:tcPr>
            <w:tcW w:w="8784" w:type="dxa"/>
          </w:tcPr>
          <w:p w14:paraId="6A0A21AA" w14:textId="77777777" w:rsidR="00432AAD" w:rsidRPr="00535477" w:rsidRDefault="00432AAD" w:rsidP="001A4A2F">
            <w:pPr>
              <w:pStyle w:val="ListParagraph"/>
              <w:numPr>
                <w:ilvl w:val="0"/>
                <w:numId w:val="7"/>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mengembangkan kerangka untuk menilai tingkat risiko yang dihadapi LPEI dan proses yang mengaitkan tingkat risiko dengan kebutuhan modal;</w:t>
            </w:r>
          </w:p>
        </w:tc>
        <w:tc>
          <w:tcPr>
            <w:tcW w:w="3969" w:type="dxa"/>
          </w:tcPr>
          <w:p w14:paraId="33B8E6AC"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67BEC4F"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ABB6A8B" w14:textId="2B2553BD" w:rsidTr="00AF03F6">
        <w:tc>
          <w:tcPr>
            <w:tcW w:w="8784" w:type="dxa"/>
          </w:tcPr>
          <w:p w14:paraId="05B2783D" w14:textId="77777777" w:rsidR="00432AAD" w:rsidRPr="00535477" w:rsidRDefault="00432AAD" w:rsidP="001A4A2F">
            <w:pPr>
              <w:pStyle w:val="ListParagraph"/>
              <w:numPr>
                <w:ilvl w:val="0"/>
                <w:numId w:val="7"/>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memastikan bahwa rencana strategis LPEI mencakup strategi pengelolaan modal yang menggambarkan kebutuhan modal, antisipasi belanja modal (</w:t>
            </w:r>
            <w:r w:rsidRPr="00535477">
              <w:rPr>
                <w:rFonts w:ascii="Bookman Old Style" w:hAnsi="Bookman Old Style"/>
                <w:i/>
                <w:sz w:val="24"/>
                <w:szCs w:val="24"/>
              </w:rPr>
              <w:t>capital expenditure</w:t>
            </w:r>
            <w:r w:rsidRPr="00535477">
              <w:rPr>
                <w:rFonts w:ascii="Bookman Old Style" w:hAnsi="Bookman Old Style"/>
                <w:sz w:val="24"/>
                <w:szCs w:val="24"/>
              </w:rPr>
              <w:t>), target permodalan yang ingin dicapai, dan sumber permodalan yang diharapkan; dan</w:t>
            </w:r>
          </w:p>
        </w:tc>
        <w:tc>
          <w:tcPr>
            <w:tcW w:w="3969" w:type="dxa"/>
          </w:tcPr>
          <w:p w14:paraId="69103806"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520A469C"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73536A49" w14:textId="6F43BD6A" w:rsidTr="00AF03F6">
        <w:tc>
          <w:tcPr>
            <w:tcW w:w="8784" w:type="dxa"/>
          </w:tcPr>
          <w:p w14:paraId="72F31AAE" w14:textId="77777777" w:rsidR="00432AAD" w:rsidRPr="00535477" w:rsidRDefault="00432AAD" w:rsidP="001A4A2F">
            <w:pPr>
              <w:pStyle w:val="ListParagraph"/>
              <w:numPr>
                <w:ilvl w:val="0"/>
                <w:numId w:val="7"/>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memastikan strategi, kebijakan, dan prosedur pengelolaan modal dikomunikasikan dan dilaksanakan secara menyeluruh (LPEI-</w:t>
            </w:r>
            <w:r w:rsidRPr="00832525">
              <w:rPr>
                <w:rFonts w:ascii="Bookman Old Style" w:hAnsi="Bookman Old Style"/>
                <w:i/>
                <w:sz w:val="24"/>
                <w:szCs w:val="24"/>
              </w:rPr>
              <w:t>wide</w:t>
            </w:r>
            <w:r w:rsidRPr="00535477">
              <w:rPr>
                <w:rFonts w:ascii="Bookman Old Style" w:hAnsi="Bookman Old Style"/>
                <w:sz w:val="24"/>
                <w:szCs w:val="24"/>
              </w:rPr>
              <w:t>).</w:t>
            </w:r>
          </w:p>
        </w:tc>
        <w:tc>
          <w:tcPr>
            <w:tcW w:w="3969" w:type="dxa"/>
          </w:tcPr>
          <w:p w14:paraId="3CDBF8BC"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4C6772F"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86EB2A0" w14:textId="1CD6FA4D" w:rsidTr="00AF03F6">
        <w:tc>
          <w:tcPr>
            <w:tcW w:w="8784" w:type="dxa"/>
          </w:tcPr>
          <w:p w14:paraId="62217412" w14:textId="77777777" w:rsidR="00432AAD" w:rsidRPr="00535477" w:rsidRDefault="00432AAD" w:rsidP="009A10C2">
            <w:pPr>
              <w:pStyle w:val="ListParagraph"/>
              <w:numPr>
                <w:ilvl w:val="0"/>
                <w:numId w:val="5"/>
              </w:numPr>
              <w:spacing w:line="360" w:lineRule="auto"/>
              <w:ind w:left="2722" w:hanging="425"/>
              <w:jc w:val="both"/>
              <w:rPr>
                <w:rFonts w:ascii="Bookman Old Style" w:hAnsi="Bookman Old Style"/>
                <w:sz w:val="24"/>
                <w:szCs w:val="24"/>
              </w:rPr>
            </w:pPr>
            <w:r w:rsidRPr="00535477">
              <w:rPr>
                <w:rFonts w:ascii="Bookman Old Style" w:eastAsia="Bookman Old Style" w:hAnsi="Bookman Old Style" w:cs="Bookman Old Style"/>
                <w:sz w:val="24"/>
                <w:szCs w:val="24"/>
              </w:rPr>
              <w:t xml:space="preserve">Direktur Eksekutif </w:t>
            </w:r>
            <w:r w:rsidRPr="00535477">
              <w:rPr>
                <w:rFonts w:ascii="Bookman Old Style" w:hAnsi="Bookman Old Style"/>
                <w:sz w:val="24"/>
                <w:szCs w:val="24"/>
              </w:rPr>
              <w:t xml:space="preserve">berwenang dan bertanggung jawab paling sedikit: </w:t>
            </w:r>
          </w:p>
        </w:tc>
        <w:tc>
          <w:tcPr>
            <w:tcW w:w="3969" w:type="dxa"/>
          </w:tcPr>
          <w:p w14:paraId="43BCB824" w14:textId="77777777" w:rsidR="00432AAD" w:rsidRPr="00E45A81" w:rsidRDefault="00432AAD" w:rsidP="00E45A81">
            <w:pPr>
              <w:spacing w:line="360" w:lineRule="auto"/>
              <w:ind w:left="360"/>
              <w:jc w:val="both"/>
              <w:rPr>
                <w:rFonts w:ascii="Bookman Old Style" w:eastAsia="Bookman Old Style" w:hAnsi="Bookman Old Style" w:cs="Bookman Old Style"/>
                <w:sz w:val="24"/>
                <w:szCs w:val="24"/>
              </w:rPr>
            </w:pPr>
          </w:p>
        </w:tc>
        <w:tc>
          <w:tcPr>
            <w:tcW w:w="4536" w:type="dxa"/>
          </w:tcPr>
          <w:p w14:paraId="7E4D2699" w14:textId="77777777" w:rsidR="00432AAD" w:rsidRPr="00E45A81" w:rsidRDefault="00432AAD" w:rsidP="00E45A81">
            <w:pPr>
              <w:spacing w:line="360" w:lineRule="auto"/>
              <w:ind w:left="360"/>
              <w:jc w:val="both"/>
              <w:rPr>
                <w:rFonts w:ascii="Bookman Old Style" w:eastAsia="Bookman Old Style" w:hAnsi="Bookman Old Style" w:cs="Bookman Old Style"/>
                <w:sz w:val="24"/>
                <w:szCs w:val="24"/>
              </w:rPr>
            </w:pPr>
          </w:p>
        </w:tc>
      </w:tr>
      <w:tr w:rsidR="00432AAD" w:rsidRPr="00535477" w14:paraId="46940EC1" w14:textId="70CEB87C" w:rsidTr="00AF03F6">
        <w:tc>
          <w:tcPr>
            <w:tcW w:w="8784" w:type="dxa"/>
          </w:tcPr>
          <w:p w14:paraId="09C78709" w14:textId="77777777" w:rsidR="00432AAD" w:rsidRPr="00535477" w:rsidRDefault="00432AAD" w:rsidP="001A4A2F">
            <w:pPr>
              <w:pStyle w:val="ListParagraph"/>
              <w:numPr>
                <w:ilvl w:val="0"/>
                <w:numId w:val="8"/>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menyetujui kebijakan, strategi, dan prosedur pengelolaan modal LPEI;</w:t>
            </w:r>
          </w:p>
        </w:tc>
        <w:tc>
          <w:tcPr>
            <w:tcW w:w="3969" w:type="dxa"/>
          </w:tcPr>
          <w:p w14:paraId="712E655C"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45886575"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572291F5" w14:textId="1CA90F73" w:rsidTr="00AF03F6">
        <w:tc>
          <w:tcPr>
            <w:tcW w:w="8784" w:type="dxa"/>
          </w:tcPr>
          <w:p w14:paraId="3906DB94" w14:textId="77777777" w:rsidR="00432AAD" w:rsidRPr="00535477" w:rsidRDefault="00432AAD" w:rsidP="001A4A2F">
            <w:pPr>
              <w:pStyle w:val="ListParagraph"/>
              <w:numPr>
                <w:ilvl w:val="0"/>
                <w:numId w:val="8"/>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melakukan kaji ulang terhadap kualitas dan efektivitas pengelolaan modal yang dilakukan oleh Direktur Eksekutif; dan</w:t>
            </w:r>
          </w:p>
        </w:tc>
        <w:tc>
          <w:tcPr>
            <w:tcW w:w="3969" w:type="dxa"/>
          </w:tcPr>
          <w:p w14:paraId="645B58F9"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CC26F5E"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78C49659" w14:textId="6A3732A7" w:rsidTr="00AF03F6">
        <w:tc>
          <w:tcPr>
            <w:tcW w:w="8784" w:type="dxa"/>
          </w:tcPr>
          <w:p w14:paraId="644651FF" w14:textId="77777777" w:rsidR="00432AAD" w:rsidRPr="00535477" w:rsidRDefault="00432AAD" w:rsidP="001A4A2F">
            <w:pPr>
              <w:pStyle w:val="ListParagraph"/>
              <w:numPr>
                <w:ilvl w:val="0"/>
                <w:numId w:val="8"/>
              </w:numPr>
              <w:spacing w:line="360" w:lineRule="auto"/>
              <w:ind w:left="3289" w:hanging="567"/>
              <w:jc w:val="both"/>
              <w:rPr>
                <w:rFonts w:ascii="Bookman Old Style" w:hAnsi="Bookman Old Style"/>
                <w:sz w:val="24"/>
                <w:szCs w:val="24"/>
              </w:rPr>
            </w:pPr>
            <w:r w:rsidRPr="00535477">
              <w:rPr>
                <w:rFonts w:ascii="Bookman Old Style" w:hAnsi="Bookman Old Style"/>
                <w:sz w:val="24"/>
                <w:szCs w:val="24"/>
              </w:rPr>
              <w:t>melakukan evaluasi berkala terhadap kualitas dan efektivitas kebijakan, strategi, dan prosedur pengelolaan modal serta melakukan penyesuaian dalam hal diperlukan.</w:t>
            </w:r>
          </w:p>
        </w:tc>
        <w:tc>
          <w:tcPr>
            <w:tcW w:w="3969" w:type="dxa"/>
          </w:tcPr>
          <w:p w14:paraId="56DAFA21"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629F11C6"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C157783" w14:textId="0B79C25B" w:rsidTr="00AF03F6">
        <w:tc>
          <w:tcPr>
            <w:tcW w:w="8784" w:type="dxa"/>
          </w:tcPr>
          <w:p w14:paraId="28C8D80F" w14:textId="77777777" w:rsidR="00432AAD" w:rsidRPr="00535477" w:rsidRDefault="00432AAD" w:rsidP="001A4A2F">
            <w:pPr>
              <w:pStyle w:val="ListParagraph"/>
              <w:numPr>
                <w:ilvl w:val="0"/>
                <w:numId w:val="4"/>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Penilaian kecukupan modal, paling sedikit mencakup:</w:t>
            </w:r>
          </w:p>
        </w:tc>
        <w:tc>
          <w:tcPr>
            <w:tcW w:w="3969" w:type="dxa"/>
          </w:tcPr>
          <w:p w14:paraId="76570A6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921E656"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89EF797" w14:textId="048E63D0" w:rsidTr="00AF03F6">
        <w:tc>
          <w:tcPr>
            <w:tcW w:w="8784" w:type="dxa"/>
          </w:tcPr>
          <w:p w14:paraId="1E96C20C" w14:textId="77777777" w:rsidR="00432AAD" w:rsidRPr="00535477" w:rsidRDefault="00432AAD" w:rsidP="001A4A2F">
            <w:pPr>
              <w:pStyle w:val="ListParagraph"/>
              <w:numPr>
                <w:ilvl w:val="0"/>
                <w:numId w:val="9"/>
              </w:numPr>
              <w:spacing w:line="360" w:lineRule="auto"/>
              <w:ind w:left="2931" w:hanging="567"/>
              <w:jc w:val="both"/>
              <w:rPr>
                <w:rFonts w:ascii="Bookman Old Style" w:hAnsi="Bookman Old Style"/>
                <w:sz w:val="24"/>
                <w:szCs w:val="24"/>
              </w:rPr>
            </w:pPr>
            <w:r w:rsidRPr="00535477">
              <w:rPr>
                <w:rFonts w:ascii="Bookman Old Style" w:hAnsi="Bookman Old Style"/>
                <w:sz w:val="24"/>
                <w:szCs w:val="24"/>
              </w:rPr>
              <w:t>kebijakan dan prosedur yang memadai untuk memastikan seluruh risiko telah diidentifikasi, diukur, dan dilaporkan secara berkala kepada Direktur Eksekutif dan Dewan Direktur. Jenis risiko dan faktor-faktor yang dipertimbangkan dalam penilaian setiap risiko mengacu pada ketentuan Otoritas Jasa Keuangan yang mengatur mengenai penilaian tingkat kesehatan LPEI, sedangkan untuk penerapan manajemen risiko seperti proses identifikasi dan pengukuran mengacu pada ketentuan Otoritas Jasa Keuangan yang mengatur mengenai penerapan manajemen risiko bagi LPEI;</w:t>
            </w:r>
          </w:p>
        </w:tc>
        <w:tc>
          <w:tcPr>
            <w:tcW w:w="3969" w:type="dxa"/>
          </w:tcPr>
          <w:p w14:paraId="661DF00F" w14:textId="77777777" w:rsidR="00432AAD" w:rsidRPr="006918B8" w:rsidRDefault="00432AAD" w:rsidP="006918B8">
            <w:pPr>
              <w:spacing w:line="360" w:lineRule="auto"/>
              <w:ind w:left="2364"/>
              <w:jc w:val="both"/>
              <w:rPr>
                <w:rFonts w:ascii="Bookman Old Style" w:hAnsi="Bookman Old Style"/>
                <w:sz w:val="24"/>
                <w:szCs w:val="24"/>
              </w:rPr>
            </w:pPr>
          </w:p>
        </w:tc>
        <w:tc>
          <w:tcPr>
            <w:tcW w:w="4536" w:type="dxa"/>
          </w:tcPr>
          <w:p w14:paraId="6597CB9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1834B2E" w14:textId="0B6B8149" w:rsidTr="00AF03F6">
        <w:tc>
          <w:tcPr>
            <w:tcW w:w="8784" w:type="dxa"/>
          </w:tcPr>
          <w:p w14:paraId="258D1C4C" w14:textId="77777777" w:rsidR="00432AAD" w:rsidRPr="00535477" w:rsidRDefault="00432AAD" w:rsidP="001A4A2F">
            <w:pPr>
              <w:pStyle w:val="ListParagraph"/>
              <w:numPr>
                <w:ilvl w:val="0"/>
                <w:numId w:val="9"/>
              </w:numPr>
              <w:spacing w:line="360" w:lineRule="auto"/>
              <w:ind w:left="2931" w:hanging="567"/>
              <w:jc w:val="both"/>
              <w:rPr>
                <w:rFonts w:ascii="Bookman Old Style" w:hAnsi="Bookman Old Style"/>
                <w:sz w:val="24"/>
                <w:szCs w:val="24"/>
              </w:rPr>
            </w:pPr>
            <w:r w:rsidRPr="00535477">
              <w:rPr>
                <w:rFonts w:ascii="Bookman Old Style" w:hAnsi="Bookman Old Style"/>
                <w:sz w:val="24"/>
                <w:szCs w:val="24"/>
              </w:rPr>
              <w:t>metode dan proses dalam melakukan penilaian kecukupan permodalan dengan mengaitkan tingkat risiko dengan tingkat permodalan yang dibutuhkan untuk menyerap potensi kerugian dari risiko dimaksud;</w:t>
            </w:r>
          </w:p>
        </w:tc>
        <w:tc>
          <w:tcPr>
            <w:tcW w:w="3969" w:type="dxa"/>
          </w:tcPr>
          <w:p w14:paraId="0884E4D2"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364B7DED"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F8A2357" w14:textId="092AAD9D" w:rsidTr="00AF03F6">
        <w:tc>
          <w:tcPr>
            <w:tcW w:w="8784" w:type="dxa"/>
          </w:tcPr>
          <w:p w14:paraId="14E7E6B3" w14:textId="77777777" w:rsidR="00432AAD" w:rsidRPr="00535477" w:rsidRDefault="00432AAD" w:rsidP="001A4A2F">
            <w:pPr>
              <w:pStyle w:val="ListParagraph"/>
              <w:numPr>
                <w:ilvl w:val="0"/>
                <w:numId w:val="9"/>
              </w:numPr>
              <w:spacing w:line="360" w:lineRule="auto"/>
              <w:ind w:left="2931" w:hanging="567"/>
              <w:jc w:val="both"/>
              <w:rPr>
                <w:rFonts w:ascii="Bookman Old Style" w:hAnsi="Bookman Old Style"/>
                <w:sz w:val="24"/>
                <w:szCs w:val="24"/>
              </w:rPr>
            </w:pPr>
            <w:r w:rsidRPr="00535477">
              <w:rPr>
                <w:rFonts w:ascii="Bookman Old Style" w:hAnsi="Bookman Old Style"/>
                <w:sz w:val="24"/>
                <w:szCs w:val="24"/>
              </w:rPr>
              <w:t>penyesuaian metode dan asumsi yang digunakan dalam hal terjadi perubahan pada rencana bisnis, profil risiko, dan faktor eksternal; dan</w:t>
            </w:r>
          </w:p>
        </w:tc>
        <w:tc>
          <w:tcPr>
            <w:tcW w:w="3969" w:type="dxa"/>
          </w:tcPr>
          <w:p w14:paraId="722029EA"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553229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616C983" w14:textId="21622045" w:rsidTr="00AF03F6">
        <w:tc>
          <w:tcPr>
            <w:tcW w:w="8784" w:type="dxa"/>
          </w:tcPr>
          <w:p w14:paraId="117A90EF" w14:textId="77777777" w:rsidR="00432AAD" w:rsidRPr="00535477" w:rsidRDefault="00432AAD" w:rsidP="001A4A2F">
            <w:pPr>
              <w:pStyle w:val="ListParagraph"/>
              <w:numPr>
                <w:ilvl w:val="0"/>
                <w:numId w:val="9"/>
              </w:numPr>
              <w:spacing w:line="360" w:lineRule="auto"/>
              <w:ind w:left="2931" w:hanging="567"/>
              <w:jc w:val="both"/>
              <w:rPr>
                <w:rFonts w:ascii="Bookman Old Style" w:hAnsi="Bookman Old Style"/>
                <w:sz w:val="24"/>
                <w:szCs w:val="24"/>
              </w:rPr>
            </w:pPr>
            <w:r w:rsidRPr="00535477">
              <w:rPr>
                <w:rFonts w:ascii="Bookman Old Style" w:hAnsi="Bookman Old Style"/>
                <w:sz w:val="24"/>
                <w:szCs w:val="24"/>
              </w:rPr>
              <w:t>dokumentasi hasil pengukuran risiko dan perhitungan tingkat permodalan yang dibutuhkan, termasuk metode dan asumsi yang digunakan.</w:t>
            </w:r>
          </w:p>
        </w:tc>
        <w:tc>
          <w:tcPr>
            <w:tcW w:w="3969" w:type="dxa"/>
          </w:tcPr>
          <w:p w14:paraId="0CF859FE" w14:textId="77777777" w:rsidR="00432AAD" w:rsidRPr="006918B8" w:rsidRDefault="00432AAD" w:rsidP="006918B8">
            <w:pPr>
              <w:spacing w:line="360" w:lineRule="auto"/>
              <w:ind w:left="360"/>
              <w:jc w:val="both"/>
              <w:rPr>
                <w:rFonts w:ascii="Bookman Old Style" w:hAnsi="Bookman Old Style"/>
                <w:sz w:val="24"/>
                <w:szCs w:val="24"/>
              </w:rPr>
            </w:pPr>
          </w:p>
        </w:tc>
        <w:tc>
          <w:tcPr>
            <w:tcW w:w="4536" w:type="dxa"/>
          </w:tcPr>
          <w:p w14:paraId="4C7CB9C1"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77558613" w14:textId="67EEEDEA" w:rsidTr="00AF03F6">
        <w:tc>
          <w:tcPr>
            <w:tcW w:w="8784" w:type="dxa"/>
          </w:tcPr>
          <w:p w14:paraId="533D7244" w14:textId="77777777" w:rsidR="00432AAD" w:rsidRPr="00535477" w:rsidRDefault="00432AAD" w:rsidP="001A4A2F">
            <w:pPr>
              <w:pStyle w:val="ListParagraph"/>
              <w:numPr>
                <w:ilvl w:val="0"/>
                <w:numId w:val="4"/>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Pemantauan dan pelaporan, paling sedikit mencakup:</w:t>
            </w:r>
          </w:p>
        </w:tc>
        <w:tc>
          <w:tcPr>
            <w:tcW w:w="3969" w:type="dxa"/>
          </w:tcPr>
          <w:p w14:paraId="732B8758"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42A0AD0"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609776E" w14:textId="6BEDC179" w:rsidTr="00AF03F6">
        <w:tc>
          <w:tcPr>
            <w:tcW w:w="8784" w:type="dxa"/>
          </w:tcPr>
          <w:p w14:paraId="27056BE8" w14:textId="77777777" w:rsidR="00432AAD" w:rsidRPr="00535477" w:rsidRDefault="00432AAD" w:rsidP="001A4A2F">
            <w:pPr>
              <w:pStyle w:val="ListParagraph"/>
              <w:numPr>
                <w:ilvl w:val="0"/>
                <w:numId w:val="10"/>
              </w:numPr>
              <w:spacing w:line="360" w:lineRule="auto"/>
              <w:ind w:left="2864" w:hanging="567"/>
              <w:jc w:val="both"/>
              <w:rPr>
                <w:rFonts w:ascii="Bookman Old Style" w:hAnsi="Bookman Old Style"/>
                <w:sz w:val="24"/>
                <w:szCs w:val="24"/>
              </w:rPr>
            </w:pPr>
            <w:r w:rsidRPr="00535477">
              <w:rPr>
                <w:rFonts w:ascii="Bookman Old Style" w:hAnsi="Bookman Old Style"/>
                <w:sz w:val="24"/>
                <w:szCs w:val="24"/>
              </w:rPr>
              <w:t>sistem informasi yang memadai untuk memantau dan melaporkan eksposur risiko serta mengukur dampak perubahan profil risiko terhadap kebutuhan modal LPEI; dan</w:t>
            </w:r>
          </w:p>
        </w:tc>
        <w:tc>
          <w:tcPr>
            <w:tcW w:w="3969" w:type="dxa"/>
          </w:tcPr>
          <w:p w14:paraId="1EC2C1D7"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B243F16"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CE13D86" w14:textId="5894F9D8" w:rsidTr="00AF03F6">
        <w:trPr>
          <w:trHeight w:val="67"/>
        </w:trPr>
        <w:tc>
          <w:tcPr>
            <w:tcW w:w="8784" w:type="dxa"/>
          </w:tcPr>
          <w:p w14:paraId="043769C4" w14:textId="77777777" w:rsidR="00432AAD" w:rsidRPr="00535477" w:rsidRDefault="00432AAD" w:rsidP="001A4A2F">
            <w:pPr>
              <w:pStyle w:val="ListParagraph"/>
              <w:numPr>
                <w:ilvl w:val="0"/>
                <w:numId w:val="10"/>
              </w:numPr>
              <w:spacing w:line="360" w:lineRule="auto"/>
              <w:ind w:left="2864" w:hanging="567"/>
              <w:jc w:val="both"/>
              <w:rPr>
                <w:rFonts w:ascii="Bookman Old Style" w:hAnsi="Bookman Old Style"/>
                <w:sz w:val="24"/>
                <w:szCs w:val="24"/>
              </w:rPr>
            </w:pPr>
            <w:r w:rsidRPr="00535477">
              <w:rPr>
                <w:rFonts w:ascii="Bookman Old Style" w:hAnsi="Bookman Old Style"/>
                <w:sz w:val="24"/>
                <w:szCs w:val="24"/>
              </w:rPr>
              <w:t>laporan profil risiko dan tingkat permodalan yang disampaikan secara berkala kepada Direktur Eksekutif dan Dewan Direktur, yang digunakan oleh Direktur Eksekutif untuk:</w:t>
            </w:r>
          </w:p>
        </w:tc>
        <w:tc>
          <w:tcPr>
            <w:tcW w:w="3969" w:type="dxa"/>
          </w:tcPr>
          <w:p w14:paraId="17468511"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6641BEEA"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30AFDF7" w14:textId="034602FC" w:rsidTr="00AF03F6">
        <w:trPr>
          <w:trHeight w:val="67"/>
        </w:trPr>
        <w:tc>
          <w:tcPr>
            <w:tcW w:w="8784" w:type="dxa"/>
          </w:tcPr>
          <w:p w14:paraId="480215CC" w14:textId="77777777" w:rsidR="00432AAD" w:rsidRPr="00535477" w:rsidRDefault="00432AAD" w:rsidP="001A4A2F">
            <w:pPr>
              <w:pStyle w:val="ListParagraph"/>
              <w:numPr>
                <w:ilvl w:val="0"/>
                <w:numId w:val="11"/>
              </w:numPr>
              <w:spacing w:line="360" w:lineRule="auto"/>
              <w:ind w:left="3498" w:hanging="567"/>
              <w:jc w:val="both"/>
              <w:rPr>
                <w:rFonts w:ascii="Bookman Old Style" w:hAnsi="Bookman Old Style"/>
                <w:sz w:val="24"/>
                <w:szCs w:val="24"/>
              </w:rPr>
            </w:pPr>
            <w:r w:rsidRPr="00535477">
              <w:rPr>
                <w:rFonts w:ascii="Bookman Old Style" w:hAnsi="Bookman Old Style"/>
                <w:sz w:val="24"/>
                <w:szCs w:val="24"/>
              </w:rPr>
              <w:t>mengevaluasi tingkat risiko, kecenderungan (</w:t>
            </w:r>
            <w:r w:rsidRPr="00535477">
              <w:rPr>
                <w:rFonts w:ascii="Bookman Old Style" w:hAnsi="Bookman Old Style"/>
                <w:i/>
                <w:sz w:val="24"/>
                <w:szCs w:val="24"/>
              </w:rPr>
              <w:t>trend</w:t>
            </w:r>
            <w:r w:rsidRPr="00535477">
              <w:rPr>
                <w:rFonts w:ascii="Bookman Old Style" w:hAnsi="Bookman Old Style"/>
                <w:sz w:val="24"/>
                <w:szCs w:val="24"/>
              </w:rPr>
              <w:t>) pergerakan risiko, dan dampak yang ditimbulkan terhadap tingkat permodalan;</w:t>
            </w:r>
          </w:p>
        </w:tc>
        <w:tc>
          <w:tcPr>
            <w:tcW w:w="3969" w:type="dxa"/>
          </w:tcPr>
          <w:p w14:paraId="45767E62"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2FED2735"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35B6489" w14:textId="3805F5CC" w:rsidTr="00AF03F6">
        <w:trPr>
          <w:trHeight w:val="67"/>
        </w:trPr>
        <w:tc>
          <w:tcPr>
            <w:tcW w:w="8784" w:type="dxa"/>
          </w:tcPr>
          <w:p w14:paraId="27BDB1D1" w14:textId="77777777" w:rsidR="00432AAD" w:rsidRPr="00535477" w:rsidRDefault="00432AAD" w:rsidP="001A4A2F">
            <w:pPr>
              <w:pStyle w:val="ListParagraph"/>
              <w:numPr>
                <w:ilvl w:val="0"/>
                <w:numId w:val="11"/>
              </w:numPr>
              <w:spacing w:line="360" w:lineRule="auto"/>
              <w:ind w:left="3498" w:hanging="567"/>
              <w:jc w:val="both"/>
              <w:rPr>
                <w:rFonts w:ascii="Bookman Old Style" w:hAnsi="Bookman Old Style"/>
                <w:sz w:val="24"/>
                <w:szCs w:val="24"/>
              </w:rPr>
            </w:pPr>
            <w:r w:rsidRPr="00535477">
              <w:rPr>
                <w:rFonts w:ascii="Bookman Old Style" w:hAnsi="Bookman Old Style"/>
                <w:sz w:val="24"/>
                <w:szCs w:val="24"/>
              </w:rPr>
              <w:t>mengevaluasi kewajaran metode serta sensitivitas dan kewajaran asumsi yang digunakan dalam pengukuran tingkat risiko dan penilaian kecukupan modal LPEI;</w:t>
            </w:r>
          </w:p>
        </w:tc>
        <w:tc>
          <w:tcPr>
            <w:tcW w:w="3969" w:type="dxa"/>
          </w:tcPr>
          <w:p w14:paraId="0FE2A67A"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57B35FE9"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50C76449" w14:textId="17734E74" w:rsidTr="00AF03F6">
        <w:trPr>
          <w:trHeight w:val="67"/>
        </w:trPr>
        <w:tc>
          <w:tcPr>
            <w:tcW w:w="8784" w:type="dxa"/>
          </w:tcPr>
          <w:p w14:paraId="542CABCB" w14:textId="77777777" w:rsidR="00432AAD" w:rsidRPr="00535477" w:rsidRDefault="00432AAD" w:rsidP="001A4A2F">
            <w:pPr>
              <w:pStyle w:val="ListParagraph"/>
              <w:numPr>
                <w:ilvl w:val="0"/>
                <w:numId w:val="11"/>
              </w:numPr>
              <w:spacing w:line="360" w:lineRule="auto"/>
              <w:ind w:left="3498" w:hanging="567"/>
              <w:jc w:val="both"/>
              <w:rPr>
                <w:rFonts w:ascii="Bookman Old Style" w:hAnsi="Bookman Old Style"/>
                <w:sz w:val="24"/>
                <w:szCs w:val="24"/>
              </w:rPr>
            </w:pPr>
            <w:r w:rsidRPr="00535477">
              <w:rPr>
                <w:rFonts w:ascii="Bookman Old Style" w:hAnsi="Bookman Old Style"/>
                <w:sz w:val="24"/>
                <w:szCs w:val="24"/>
              </w:rPr>
              <w:t>menetapkan ketersediaan modal LPEI yang memadai sesuai profil risiko; dan</w:t>
            </w:r>
          </w:p>
        </w:tc>
        <w:tc>
          <w:tcPr>
            <w:tcW w:w="3969" w:type="dxa"/>
          </w:tcPr>
          <w:p w14:paraId="39728347"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3D9585B1"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8759D16" w14:textId="2C36B111" w:rsidTr="00AF03F6">
        <w:trPr>
          <w:trHeight w:val="67"/>
        </w:trPr>
        <w:tc>
          <w:tcPr>
            <w:tcW w:w="8784" w:type="dxa"/>
          </w:tcPr>
          <w:p w14:paraId="0C5F20AF" w14:textId="77777777" w:rsidR="00432AAD" w:rsidRPr="00535477" w:rsidRDefault="00432AAD" w:rsidP="001A4A2F">
            <w:pPr>
              <w:pStyle w:val="ListParagraph"/>
              <w:numPr>
                <w:ilvl w:val="0"/>
                <w:numId w:val="11"/>
              </w:numPr>
              <w:spacing w:line="360" w:lineRule="auto"/>
              <w:ind w:left="3498" w:hanging="567"/>
              <w:jc w:val="both"/>
              <w:rPr>
                <w:rFonts w:ascii="Bookman Old Style" w:hAnsi="Bookman Old Style"/>
                <w:sz w:val="24"/>
                <w:szCs w:val="24"/>
              </w:rPr>
            </w:pPr>
            <w:r w:rsidRPr="00535477">
              <w:rPr>
                <w:rFonts w:ascii="Bookman Old Style" w:hAnsi="Bookman Old Style"/>
                <w:sz w:val="24"/>
                <w:szCs w:val="24"/>
              </w:rPr>
              <w:t>mengukur estimasi kebutuhan modal pada masa mendatang berdasarkan hasil penilaian profil risiko terkini dan melakukan penyesuaian rencana strategis LPEI dalam hal diperlukan.</w:t>
            </w:r>
          </w:p>
        </w:tc>
        <w:tc>
          <w:tcPr>
            <w:tcW w:w="3969" w:type="dxa"/>
          </w:tcPr>
          <w:p w14:paraId="50E9E763"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4933A3E1"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1FD269AF" w14:textId="5D22CC3F" w:rsidTr="00AF03F6">
        <w:trPr>
          <w:trHeight w:val="67"/>
        </w:trPr>
        <w:tc>
          <w:tcPr>
            <w:tcW w:w="8784" w:type="dxa"/>
          </w:tcPr>
          <w:p w14:paraId="131821B9" w14:textId="77777777" w:rsidR="00432AAD" w:rsidRPr="00535477" w:rsidRDefault="00432AAD" w:rsidP="001A4A2F">
            <w:pPr>
              <w:pStyle w:val="ListParagraph"/>
              <w:numPr>
                <w:ilvl w:val="0"/>
                <w:numId w:val="4"/>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 xml:space="preserve">Pengendalian internal, paling sedikit mencakup: </w:t>
            </w:r>
          </w:p>
        </w:tc>
        <w:tc>
          <w:tcPr>
            <w:tcW w:w="3969" w:type="dxa"/>
          </w:tcPr>
          <w:p w14:paraId="207CA17A"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B02811A"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6EA0BA46" w14:textId="4A1F91B8" w:rsidTr="00AF03F6">
        <w:trPr>
          <w:trHeight w:val="67"/>
        </w:trPr>
        <w:tc>
          <w:tcPr>
            <w:tcW w:w="8784" w:type="dxa"/>
          </w:tcPr>
          <w:p w14:paraId="662D303E" w14:textId="77777777" w:rsidR="00432AAD" w:rsidRPr="00535477" w:rsidRDefault="00432AAD" w:rsidP="001A4A2F">
            <w:pPr>
              <w:pStyle w:val="ListParagraph"/>
              <w:numPr>
                <w:ilvl w:val="0"/>
                <w:numId w:val="12"/>
              </w:numPr>
              <w:spacing w:line="360" w:lineRule="auto"/>
              <w:ind w:left="2931" w:hanging="567"/>
              <w:jc w:val="both"/>
              <w:rPr>
                <w:rFonts w:ascii="Bookman Old Style" w:hAnsi="Bookman Old Style"/>
                <w:sz w:val="24"/>
                <w:szCs w:val="24"/>
              </w:rPr>
            </w:pPr>
            <w:r w:rsidRPr="00535477">
              <w:rPr>
                <w:rFonts w:ascii="Bookman Old Style" w:hAnsi="Bookman Old Style"/>
                <w:sz w:val="24"/>
                <w:szCs w:val="24"/>
              </w:rPr>
              <w:t>sistem pengendalian internal yang memadai untuk memastikan keandalan dari ICAAP yang diterapkan; dan</w:t>
            </w:r>
          </w:p>
        </w:tc>
        <w:tc>
          <w:tcPr>
            <w:tcW w:w="3969" w:type="dxa"/>
          </w:tcPr>
          <w:p w14:paraId="3323B33F"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3826206D"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901FF92" w14:textId="29B6D49C" w:rsidTr="00AF03F6">
        <w:trPr>
          <w:trHeight w:val="67"/>
        </w:trPr>
        <w:tc>
          <w:tcPr>
            <w:tcW w:w="8784" w:type="dxa"/>
          </w:tcPr>
          <w:p w14:paraId="27170405" w14:textId="77777777" w:rsidR="00432AAD" w:rsidRPr="00535477" w:rsidRDefault="00432AAD" w:rsidP="001A4A2F">
            <w:pPr>
              <w:pStyle w:val="ListParagraph"/>
              <w:numPr>
                <w:ilvl w:val="0"/>
                <w:numId w:val="12"/>
              </w:numPr>
              <w:spacing w:line="360" w:lineRule="auto"/>
              <w:ind w:left="2931" w:hanging="567"/>
              <w:jc w:val="both"/>
              <w:rPr>
                <w:rFonts w:ascii="Bookman Old Style" w:hAnsi="Bookman Old Style"/>
                <w:sz w:val="24"/>
                <w:szCs w:val="24"/>
              </w:rPr>
            </w:pPr>
            <w:r w:rsidRPr="00535477">
              <w:rPr>
                <w:rFonts w:ascii="Bookman Old Style" w:hAnsi="Bookman Old Style"/>
                <w:sz w:val="24"/>
                <w:szCs w:val="24"/>
              </w:rPr>
              <w:t>kaji ulang ICAAP secara berkala paling sedikit 1 (satu) tahun sekali dan sewaktu-waktu sesuai kebutuhan LPEI, untuk memastikan keandalan, akurasi, dan kewajaran dari proses dimaksud. Proses kaji ulang dilakukan oleh pihak internal LPEI yang memiliki kompetensi yang memadai dan independen terhadap proses penetapan kecukupan modal.</w:t>
            </w:r>
          </w:p>
        </w:tc>
        <w:tc>
          <w:tcPr>
            <w:tcW w:w="3969" w:type="dxa"/>
          </w:tcPr>
          <w:p w14:paraId="4FD6A4F7"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6607246F"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19288A57" w14:textId="3B0DA645" w:rsidTr="00AF03F6">
        <w:trPr>
          <w:trHeight w:val="67"/>
        </w:trPr>
        <w:tc>
          <w:tcPr>
            <w:tcW w:w="8784" w:type="dxa"/>
          </w:tcPr>
          <w:p w14:paraId="1CB65005" w14:textId="77777777" w:rsidR="00432AAD" w:rsidRPr="00535477" w:rsidRDefault="00432AAD" w:rsidP="0044583D">
            <w:pPr>
              <w:spacing w:line="360" w:lineRule="auto"/>
              <w:ind w:left="2864"/>
              <w:jc w:val="both"/>
              <w:rPr>
                <w:rFonts w:ascii="Bookman Old Style" w:hAnsi="Bookman Old Style"/>
                <w:sz w:val="24"/>
                <w:szCs w:val="24"/>
              </w:rPr>
            </w:pPr>
            <w:r w:rsidRPr="00535477">
              <w:rPr>
                <w:rFonts w:ascii="Bookman Old Style" w:hAnsi="Bookman Old Style"/>
                <w:sz w:val="24"/>
                <w:szCs w:val="24"/>
              </w:rPr>
              <w:t xml:space="preserve">Cakupan kaji ulang ICAAP paling sedikit: </w:t>
            </w:r>
          </w:p>
        </w:tc>
        <w:tc>
          <w:tcPr>
            <w:tcW w:w="3969" w:type="dxa"/>
          </w:tcPr>
          <w:p w14:paraId="68FB996E" w14:textId="77777777" w:rsidR="00432AAD" w:rsidRPr="00E45A81" w:rsidRDefault="00432AAD" w:rsidP="00E45A81">
            <w:pPr>
              <w:spacing w:line="360" w:lineRule="auto"/>
              <w:ind w:left="3240"/>
              <w:jc w:val="both"/>
              <w:rPr>
                <w:rFonts w:ascii="Bookman Old Style" w:hAnsi="Bookman Old Style"/>
                <w:sz w:val="24"/>
                <w:szCs w:val="24"/>
              </w:rPr>
            </w:pPr>
          </w:p>
        </w:tc>
        <w:tc>
          <w:tcPr>
            <w:tcW w:w="4536" w:type="dxa"/>
          </w:tcPr>
          <w:p w14:paraId="15B066C8" w14:textId="77777777" w:rsidR="00432AAD" w:rsidRPr="00E45A81" w:rsidRDefault="00432AAD" w:rsidP="00E45A81">
            <w:pPr>
              <w:spacing w:line="360" w:lineRule="auto"/>
              <w:ind w:left="3240"/>
              <w:jc w:val="both"/>
              <w:rPr>
                <w:rFonts w:ascii="Bookman Old Style" w:hAnsi="Bookman Old Style"/>
                <w:sz w:val="24"/>
                <w:szCs w:val="24"/>
              </w:rPr>
            </w:pPr>
          </w:p>
        </w:tc>
      </w:tr>
      <w:tr w:rsidR="00432AAD" w:rsidRPr="00535477" w14:paraId="6961E37B" w14:textId="2B63C599" w:rsidTr="00AF03F6">
        <w:trPr>
          <w:trHeight w:val="67"/>
        </w:trPr>
        <w:tc>
          <w:tcPr>
            <w:tcW w:w="8784" w:type="dxa"/>
          </w:tcPr>
          <w:p w14:paraId="434FD9C3" w14:textId="77777777" w:rsidR="00432AAD" w:rsidRPr="00535477" w:rsidRDefault="00432AAD" w:rsidP="001A4A2F">
            <w:pPr>
              <w:pStyle w:val="ListParagraph"/>
              <w:numPr>
                <w:ilvl w:val="0"/>
                <w:numId w:val="13"/>
              </w:numPr>
              <w:spacing w:line="360" w:lineRule="auto"/>
              <w:ind w:left="3431" w:hanging="502"/>
              <w:jc w:val="both"/>
              <w:rPr>
                <w:rFonts w:ascii="Bookman Old Style" w:hAnsi="Bookman Old Style"/>
                <w:sz w:val="24"/>
                <w:szCs w:val="24"/>
              </w:rPr>
            </w:pPr>
            <w:r w:rsidRPr="00535477">
              <w:rPr>
                <w:rFonts w:ascii="Bookman Old Style" w:hAnsi="Bookman Old Style"/>
                <w:sz w:val="24"/>
                <w:szCs w:val="24"/>
              </w:rPr>
              <w:t>kesesuaian proses penilaian kecukupan modal dengan ukuran, karakteristik, dan kompleksitas usaha LPEI;</w:t>
            </w:r>
          </w:p>
        </w:tc>
        <w:tc>
          <w:tcPr>
            <w:tcW w:w="3969" w:type="dxa"/>
          </w:tcPr>
          <w:p w14:paraId="2510FF37"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2DA0483D"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7D29C09C" w14:textId="790014D6" w:rsidTr="00AF03F6">
        <w:trPr>
          <w:trHeight w:val="67"/>
        </w:trPr>
        <w:tc>
          <w:tcPr>
            <w:tcW w:w="8784" w:type="dxa"/>
          </w:tcPr>
          <w:p w14:paraId="6B60D71F" w14:textId="77777777" w:rsidR="00432AAD" w:rsidRPr="00535477" w:rsidRDefault="00432AAD" w:rsidP="001A4A2F">
            <w:pPr>
              <w:pStyle w:val="ListParagraph"/>
              <w:numPr>
                <w:ilvl w:val="0"/>
                <w:numId w:val="13"/>
              </w:numPr>
              <w:spacing w:line="360" w:lineRule="auto"/>
              <w:ind w:left="3431" w:hanging="502"/>
              <w:jc w:val="both"/>
              <w:rPr>
                <w:rFonts w:ascii="Bookman Old Style" w:hAnsi="Bookman Old Style"/>
                <w:sz w:val="24"/>
                <w:szCs w:val="24"/>
              </w:rPr>
            </w:pPr>
            <w:r w:rsidRPr="00535477">
              <w:rPr>
                <w:rFonts w:ascii="Bookman Old Style" w:hAnsi="Bookman Old Style"/>
                <w:sz w:val="24"/>
                <w:szCs w:val="24"/>
              </w:rPr>
              <w:t>akurasi dan kelengkapan data yang digunakan dalam proses penilaian kecukupan modal;</w:t>
            </w:r>
          </w:p>
        </w:tc>
        <w:tc>
          <w:tcPr>
            <w:tcW w:w="3969" w:type="dxa"/>
          </w:tcPr>
          <w:p w14:paraId="76854DE1"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32C5D4A"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70D3909" w14:textId="2803A9FD" w:rsidTr="00AF03F6">
        <w:trPr>
          <w:trHeight w:val="67"/>
        </w:trPr>
        <w:tc>
          <w:tcPr>
            <w:tcW w:w="8784" w:type="dxa"/>
          </w:tcPr>
          <w:p w14:paraId="45CF26B8" w14:textId="77777777" w:rsidR="00432AAD" w:rsidRPr="00535477" w:rsidRDefault="00432AAD" w:rsidP="001A4A2F">
            <w:pPr>
              <w:pStyle w:val="ListParagraph"/>
              <w:numPr>
                <w:ilvl w:val="0"/>
                <w:numId w:val="13"/>
              </w:numPr>
              <w:spacing w:line="360" w:lineRule="auto"/>
              <w:ind w:left="3431" w:hanging="502"/>
              <w:jc w:val="both"/>
              <w:rPr>
                <w:rFonts w:ascii="Bookman Old Style" w:hAnsi="Bookman Old Style"/>
                <w:sz w:val="24"/>
                <w:szCs w:val="24"/>
              </w:rPr>
            </w:pPr>
            <w:r w:rsidRPr="00535477">
              <w:rPr>
                <w:rFonts w:ascii="Bookman Old Style" w:hAnsi="Bookman Old Style"/>
                <w:sz w:val="24"/>
                <w:szCs w:val="24"/>
              </w:rPr>
              <w:t>kewajaran metode dan asumsi yang digunakan dalam proses penilaian kecukupan modal; dan</w:t>
            </w:r>
          </w:p>
        </w:tc>
        <w:tc>
          <w:tcPr>
            <w:tcW w:w="3969" w:type="dxa"/>
          </w:tcPr>
          <w:p w14:paraId="52B10382"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2F9D1B0A"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0D0EB9AF" w14:textId="39231717" w:rsidTr="00AF03F6">
        <w:trPr>
          <w:trHeight w:val="67"/>
        </w:trPr>
        <w:tc>
          <w:tcPr>
            <w:tcW w:w="8784" w:type="dxa"/>
          </w:tcPr>
          <w:p w14:paraId="1151E018" w14:textId="77777777" w:rsidR="00432AAD" w:rsidRPr="00535477" w:rsidRDefault="00432AAD" w:rsidP="001A4A2F">
            <w:pPr>
              <w:pStyle w:val="ListParagraph"/>
              <w:numPr>
                <w:ilvl w:val="0"/>
                <w:numId w:val="13"/>
              </w:numPr>
              <w:spacing w:line="360" w:lineRule="auto"/>
              <w:ind w:left="3431" w:hanging="502"/>
              <w:jc w:val="both"/>
              <w:rPr>
                <w:rFonts w:ascii="Bookman Old Style" w:hAnsi="Bookman Old Style"/>
                <w:sz w:val="24"/>
                <w:szCs w:val="24"/>
              </w:rPr>
            </w:pPr>
            <w:r w:rsidRPr="00535477">
              <w:rPr>
                <w:rFonts w:ascii="Bookman Old Style" w:hAnsi="Bookman Old Style"/>
                <w:sz w:val="24"/>
                <w:szCs w:val="24"/>
              </w:rPr>
              <w:t>kewajaran skenario stress testing yang digunakan dalam proses penilaian kecukupan modal.</w:t>
            </w:r>
          </w:p>
        </w:tc>
        <w:tc>
          <w:tcPr>
            <w:tcW w:w="3969" w:type="dxa"/>
          </w:tcPr>
          <w:p w14:paraId="1D0E894C"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23999A3"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684B1E73" w14:textId="46C7B23E" w:rsidTr="00AF03F6">
        <w:trPr>
          <w:trHeight w:val="67"/>
        </w:trPr>
        <w:tc>
          <w:tcPr>
            <w:tcW w:w="8784" w:type="dxa"/>
          </w:tcPr>
          <w:p w14:paraId="08F63490" w14:textId="77777777" w:rsidR="00432AAD" w:rsidRPr="00535477" w:rsidRDefault="00432AAD" w:rsidP="0044583D">
            <w:pPr>
              <w:spacing w:line="360" w:lineRule="auto"/>
              <w:jc w:val="both"/>
              <w:rPr>
                <w:rFonts w:ascii="Bookman Old Style" w:hAnsi="Bookman Old Style"/>
                <w:sz w:val="24"/>
                <w:szCs w:val="24"/>
              </w:rPr>
            </w:pPr>
          </w:p>
        </w:tc>
        <w:tc>
          <w:tcPr>
            <w:tcW w:w="3969" w:type="dxa"/>
          </w:tcPr>
          <w:p w14:paraId="4A2D79A1"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760DDEEB"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8EE6FF0" w14:textId="0D2DDAE1" w:rsidTr="00AF03F6">
        <w:trPr>
          <w:trHeight w:val="67"/>
        </w:trPr>
        <w:tc>
          <w:tcPr>
            <w:tcW w:w="8784" w:type="dxa"/>
          </w:tcPr>
          <w:p w14:paraId="24DC0D14" w14:textId="77777777" w:rsidR="00432AAD" w:rsidRPr="00535477" w:rsidRDefault="00432AAD" w:rsidP="001A4A2F">
            <w:pPr>
              <w:pStyle w:val="ListParagraph"/>
              <w:numPr>
                <w:ilvl w:val="0"/>
                <w:numId w:val="2"/>
              </w:numPr>
              <w:spacing w:line="360" w:lineRule="auto"/>
              <w:ind w:left="1304" w:hanging="567"/>
              <w:jc w:val="both"/>
              <w:rPr>
                <w:rFonts w:ascii="Bookman Old Style" w:hAnsi="Bookman Old Style"/>
                <w:sz w:val="24"/>
                <w:szCs w:val="24"/>
              </w:rPr>
            </w:pPr>
            <w:r w:rsidRPr="00535477">
              <w:rPr>
                <w:rFonts w:ascii="Bookman Old Style" w:hAnsi="Bookman Old Style"/>
                <w:i/>
                <w:sz w:val="24"/>
                <w:szCs w:val="24"/>
              </w:rPr>
              <w:t>Supervisory Review and Evaluation Process</w:t>
            </w:r>
            <w:r w:rsidRPr="00535477">
              <w:rPr>
                <w:rFonts w:ascii="Bookman Old Style" w:hAnsi="Bookman Old Style"/>
                <w:sz w:val="24"/>
                <w:szCs w:val="24"/>
              </w:rPr>
              <w:t xml:space="preserve"> (SREP)</w:t>
            </w:r>
          </w:p>
        </w:tc>
        <w:tc>
          <w:tcPr>
            <w:tcW w:w="3969" w:type="dxa"/>
          </w:tcPr>
          <w:p w14:paraId="09C4912D" w14:textId="77777777" w:rsidR="00432AAD" w:rsidRPr="00E45A81" w:rsidRDefault="00432AAD" w:rsidP="00E45A81">
            <w:pPr>
              <w:spacing w:line="360" w:lineRule="auto"/>
              <w:ind w:left="360"/>
              <w:jc w:val="both"/>
              <w:rPr>
                <w:rFonts w:ascii="Bookman Old Style" w:hAnsi="Bookman Old Style"/>
                <w:i/>
                <w:sz w:val="24"/>
                <w:szCs w:val="24"/>
              </w:rPr>
            </w:pPr>
          </w:p>
        </w:tc>
        <w:tc>
          <w:tcPr>
            <w:tcW w:w="4536" w:type="dxa"/>
          </w:tcPr>
          <w:p w14:paraId="3332A6CE" w14:textId="77777777" w:rsidR="00432AAD" w:rsidRPr="00E45A81" w:rsidRDefault="00432AAD" w:rsidP="00E45A81">
            <w:pPr>
              <w:spacing w:line="360" w:lineRule="auto"/>
              <w:ind w:left="360"/>
              <w:jc w:val="both"/>
              <w:rPr>
                <w:rFonts w:ascii="Bookman Old Style" w:hAnsi="Bookman Old Style"/>
                <w:i/>
                <w:sz w:val="24"/>
                <w:szCs w:val="24"/>
              </w:rPr>
            </w:pPr>
          </w:p>
        </w:tc>
      </w:tr>
      <w:tr w:rsidR="00432AAD" w:rsidRPr="00535477" w14:paraId="36BB94EE" w14:textId="39360819" w:rsidTr="00AF03F6">
        <w:trPr>
          <w:trHeight w:val="67"/>
        </w:trPr>
        <w:tc>
          <w:tcPr>
            <w:tcW w:w="8784" w:type="dxa"/>
          </w:tcPr>
          <w:p w14:paraId="5E492274" w14:textId="77777777" w:rsidR="00432AAD" w:rsidRPr="00535477" w:rsidRDefault="00432AAD" w:rsidP="001A4A2F">
            <w:pPr>
              <w:pStyle w:val="ListParagraph"/>
              <w:numPr>
                <w:ilvl w:val="0"/>
                <w:numId w:val="14"/>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 xml:space="preserve">SREP adalah proses kaji ulang yang dilakukan oleh Otoritas Jasa Keuangan atas hasil ICAAP LPEI. </w:t>
            </w:r>
          </w:p>
        </w:tc>
        <w:tc>
          <w:tcPr>
            <w:tcW w:w="3969" w:type="dxa"/>
          </w:tcPr>
          <w:p w14:paraId="4ED545C5"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68E18A0F"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1242D37B" w14:textId="2F7A5FA1" w:rsidTr="00AF03F6">
        <w:trPr>
          <w:trHeight w:val="67"/>
        </w:trPr>
        <w:tc>
          <w:tcPr>
            <w:tcW w:w="8784" w:type="dxa"/>
          </w:tcPr>
          <w:p w14:paraId="554D51AA" w14:textId="77777777" w:rsidR="00432AAD" w:rsidRPr="00535477" w:rsidRDefault="00432AAD" w:rsidP="001A4A2F">
            <w:pPr>
              <w:pStyle w:val="ListParagraph"/>
              <w:numPr>
                <w:ilvl w:val="0"/>
                <w:numId w:val="14"/>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SREP meliputi penilaian terhadap kecukupan:</w:t>
            </w:r>
          </w:p>
        </w:tc>
        <w:tc>
          <w:tcPr>
            <w:tcW w:w="3969" w:type="dxa"/>
          </w:tcPr>
          <w:p w14:paraId="195DC7AE"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04B378D6"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0E5F673" w14:textId="742F58F2" w:rsidTr="00AF03F6">
        <w:trPr>
          <w:trHeight w:val="67"/>
        </w:trPr>
        <w:tc>
          <w:tcPr>
            <w:tcW w:w="8784" w:type="dxa"/>
          </w:tcPr>
          <w:p w14:paraId="28B7DEAA" w14:textId="77777777" w:rsidR="00432AAD" w:rsidRPr="00535477" w:rsidRDefault="00432AAD" w:rsidP="00BF0D6E">
            <w:pPr>
              <w:pStyle w:val="ListParagraph"/>
              <w:numPr>
                <w:ilvl w:val="0"/>
                <w:numId w:val="15"/>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peng</w:t>
            </w:r>
            <w:r>
              <w:rPr>
                <w:rFonts w:ascii="Bookman Old Style" w:hAnsi="Bookman Old Style"/>
                <w:sz w:val="24"/>
                <w:szCs w:val="24"/>
              </w:rPr>
              <w:t>awasan aktif Direktur Eksekutif dan Dewan Direktur</w:t>
            </w:r>
            <w:r w:rsidRPr="00535477">
              <w:rPr>
                <w:rFonts w:ascii="Bookman Old Style" w:hAnsi="Bookman Old Style"/>
                <w:sz w:val="24"/>
                <w:szCs w:val="24"/>
              </w:rPr>
              <w:t>;</w:t>
            </w:r>
          </w:p>
        </w:tc>
        <w:tc>
          <w:tcPr>
            <w:tcW w:w="3969" w:type="dxa"/>
          </w:tcPr>
          <w:p w14:paraId="5880E65E"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57742663"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2451B99" w14:textId="1DF18227" w:rsidTr="00AF03F6">
        <w:trPr>
          <w:trHeight w:val="67"/>
        </w:trPr>
        <w:tc>
          <w:tcPr>
            <w:tcW w:w="8784" w:type="dxa"/>
          </w:tcPr>
          <w:p w14:paraId="012C79B1" w14:textId="77777777" w:rsidR="00432AAD" w:rsidRPr="00535477" w:rsidRDefault="00432AAD" w:rsidP="001A4A2F">
            <w:pPr>
              <w:pStyle w:val="ListParagraph"/>
              <w:numPr>
                <w:ilvl w:val="0"/>
                <w:numId w:val="15"/>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penilaian kecukupan modal;</w:t>
            </w:r>
          </w:p>
        </w:tc>
        <w:tc>
          <w:tcPr>
            <w:tcW w:w="3969" w:type="dxa"/>
          </w:tcPr>
          <w:p w14:paraId="36F647DF"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551AD202"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54BE599C" w14:textId="00F76747" w:rsidTr="00AF03F6">
        <w:trPr>
          <w:trHeight w:val="67"/>
        </w:trPr>
        <w:tc>
          <w:tcPr>
            <w:tcW w:w="8784" w:type="dxa"/>
          </w:tcPr>
          <w:p w14:paraId="50407B13" w14:textId="77777777" w:rsidR="00432AAD" w:rsidRPr="00535477" w:rsidRDefault="00432AAD" w:rsidP="001A4A2F">
            <w:pPr>
              <w:pStyle w:val="ListParagraph"/>
              <w:numPr>
                <w:ilvl w:val="0"/>
                <w:numId w:val="15"/>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pemantauan dan pelaporan; dan</w:t>
            </w:r>
          </w:p>
        </w:tc>
        <w:tc>
          <w:tcPr>
            <w:tcW w:w="3969" w:type="dxa"/>
          </w:tcPr>
          <w:p w14:paraId="4CABE68E"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2E41CC63"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53641FDA" w14:textId="2D4AB148" w:rsidTr="00AF03F6">
        <w:trPr>
          <w:trHeight w:val="67"/>
        </w:trPr>
        <w:tc>
          <w:tcPr>
            <w:tcW w:w="8784" w:type="dxa"/>
          </w:tcPr>
          <w:p w14:paraId="2580A5C4" w14:textId="77777777" w:rsidR="00432AAD" w:rsidRPr="00535477" w:rsidRDefault="00432AAD" w:rsidP="001A4A2F">
            <w:pPr>
              <w:pStyle w:val="ListParagraph"/>
              <w:numPr>
                <w:ilvl w:val="0"/>
                <w:numId w:val="15"/>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pengendalian internal.</w:t>
            </w:r>
          </w:p>
        </w:tc>
        <w:tc>
          <w:tcPr>
            <w:tcW w:w="3969" w:type="dxa"/>
          </w:tcPr>
          <w:p w14:paraId="3EA46975"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257FE8CB"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42506D61" w14:textId="37127678" w:rsidTr="00AF03F6">
        <w:trPr>
          <w:trHeight w:val="67"/>
        </w:trPr>
        <w:tc>
          <w:tcPr>
            <w:tcW w:w="8784" w:type="dxa"/>
          </w:tcPr>
          <w:p w14:paraId="4326CB42" w14:textId="77777777" w:rsidR="00432AAD" w:rsidRPr="00535477" w:rsidRDefault="00432AAD" w:rsidP="0044583D">
            <w:pPr>
              <w:spacing w:line="360" w:lineRule="auto"/>
              <w:jc w:val="both"/>
              <w:rPr>
                <w:rFonts w:ascii="Bookman Old Style" w:hAnsi="Bookman Old Style"/>
                <w:sz w:val="24"/>
                <w:szCs w:val="24"/>
              </w:rPr>
            </w:pPr>
          </w:p>
        </w:tc>
        <w:tc>
          <w:tcPr>
            <w:tcW w:w="3969" w:type="dxa"/>
          </w:tcPr>
          <w:p w14:paraId="5F6D8B16"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5A57BD0F"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4B72A47F" w14:textId="72FCDA56" w:rsidTr="00AF03F6">
        <w:trPr>
          <w:trHeight w:val="67"/>
        </w:trPr>
        <w:tc>
          <w:tcPr>
            <w:tcW w:w="8784" w:type="dxa"/>
          </w:tcPr>
          <w:p w14:paraId="22810A3E" w14:textId="77777777" w:rsidR="00432AAD" w:rsidRPr="00535477" w:rsidRDefault="00432AAD" w:rsidP="001A4A2F">
            <w:pPr>
              <w:pStyle w:val="ListParagraph"/>
              <w:numPr>
                <w:ilvl w:val="0"/>
                <w:numId w:val="2"/>
              </w:numPr>
              <w:spacing w:line="360" w:lineRule="auto"/>
              <w:ind w:left="1304" w:hanging="567"/>
              <w:jc w:val="both"/>
              <w:rPr>
                <w:rFonts w:ascii="Bookman Old Style" w:hAnsi="Bookman Old Style"/>
                <w:sz w:val="24"/>
                <w:szCs w:val="24"/>
              </w:rPr>
            </w:pPr>
            <w:r w:rsidRPr="00535477">
              <w:rPr>
                <w:rFonts w:ascii="Bookman Old Style" w:hAnsi="Bookman Old Style"/>
                <w:sz w:val="24"/>
                <w:szCs w:val="24"/>
              </w:rPr>
              <w:t xml:space="preserve">Perhitungan Kewajiban Penyediaan Modal Minimum Sesuai Profil Risiko </w:t>
            </w:r>
          </w:p>
        </w:tc>
        <w:tc>
          <w:tcPr>
            <w:tcW w:w="3969" w:type="dxa"/>
          </w:tcPr>
          <w:p w14:paraId="5B2E62C0"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6951190A"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6B74FE50" w14:textId="673A81F3" w:rsidTr="00AF03F6">
        <w:trPr>
          <w:trHeight w:val="67"/>
        </w:trPr>
        <w:tc>
          <w:tcPr>
            <w:tcW w:w="8784" w:type="dxa"/>
          </w:tcPr>
          <w:p w14:paraId="081D69EB" w14:textId="77777777" w:rsidR="00432AAD" w:rsidRPr="00535477" w:rsidRDefault="00432AAD" w:rsidP="000B7636">
            <w:pPr>
              <w:pStyle w:val="ListParagraph"/>
              <w:numPr>
                <w:ilvl w:val="0"/>
                <w:numId w:val="16"/>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lang w:val="id-ID"/>
              </w:rPr>
              <w:t xml:space="preserve">LPEI </w:t>
            </w:r>
            <w:r w:rsidRPr="00535477">
              <w:rPr>
                <w:rFonts w:ascii="Bookman Old Style" w:hAnsi="Bookman Old Style"/>
                <w:sz w:val="24"/>
                <w:szCs w:val="24"/>
              </w:rPr>
              <w:t xml:space="preserve">wajib </w:t>
            </w:r>
            <w:r w:rsidRPr="00535477">
              <w:rPr>
                <w:rFonts w:ascii="Bookman Old Style" w:hAnsi="Bookman Old Style"/>
                <w:sz w:val="24"/>
                <w:szCs w:val="24"/>
                <w:lang w:val="id-ID"/>
              </w:rPr>
              <w:t>memelihara rasio kewa</w:t>
            </w:r>
            <w:r>
              <w:rPr>
                <w:rFonts w:ascii="Bookman Old Style" w:hAnsi="Bookman Old Style"/>
                <w:sz w:val="24"/>
                <w:szCs w:val="24"/>
                <w:lang w:val="id-ID"/>
              </w:rPr>
              <w:t xml:space="preserve">jiban penyediaan modal minimum </w:t>
            </w:r>
            <w:r w:rsidRPr="00535477">
              <w:rPr>
                <w:rFonts w:ascii="Bookman Old Style" w:hAnsi="Bookman Old Style"/>
                <w:sz w:val="24"/>
                <w:szCs w:val="24"/>
                <w:lang w:val="id-ID"/>
              </w:rPr>
              <w:t>paling rendah sebesar 8% (delapan persen) dan/atau sesuai profil Risiko LPEI yang wajib dipenuhi oleh LPEI.</w:t>
            </w:r>
          </w:p>
        </w:tc>
        <w:tc>
          <w:tcPr>
            <w:tcW w:w="3969" w:type="dxa"/>
          </w:tcPr>
          <w:p w14:paraId="1DAF045A" w14:textId="77777777" w:rsidR="00432AAD" w:rsidRPr="00E45A81" w:rsidRDefault="00432AAD" w:rsidP="00E45A81">
            <w:pPr>
              <w:spacing w:line="360" w:lineRule="auto"/>
              <w:ind w:left="360"/>
              <w:jc w:val="both"/>
              <w:rPr>
                <w:rFonts w:ascii="Bookman Old Style" w:hAnsi="Bookman Old Style"/>
                <w:sz w:val="24"/>
                <w:szCs w:val="24"/>
                <w:lang w:val="id-ID"/>
              </w:rPr>
            </w:pPr>
          </w:p>
        </w:tc>
        <w:tc>
          <w:tcPr>
            <w:tcW w:w="4536" w:type="dxa"/>
          </w:tcPr>
          <w:p w14:paraId="4A984801" w14:textId="77777777" w:rsidR="00432AAD" w:rsidRPr="00E45A81" w:rsidRDefault="00432AAD" w:rsidP="00E45A81">
            <w:pPr>
              <w:spacing w:line="360" w:lineRule="auto"/>
              <w:ind w:left="360"/>
              <w:jc w:val="both"/>
              <w:rPr>
                <w:rFonts w:ascii="Bookman Old Style" w:hAnsi="Bookman Old Style"/>
                <w:sz w:val="24"/>
                <w:szCs w:val="24"/>
                <w:lang w:val="id-ID"/>
              </w:rPr>
            </w:pPr>
          </w:p>
        </w:tc>
      </w:tr>
      <w:tr w:rsidR="00432AAD" w:rsidRPr="00535477" w14:paraId="64FB68D6" w14:textId="4F0F2A73" w:rsidTr="00AF03F6">
        <w:trPr>
          <w:trHeight w:val="67"/>
        </w:trPr>
        <w:tc>
          <w:tcPr>
            <w:tcW w:w="8784" w:type="dxa"/>
          </w:tcPr>
          <w:p w14:paraId="024D27C5" w14:textId="77777777" w:rsidR="00432AAD" w:rsidRPr="00535477" w:rsidRDefault="00432AAD" w:rsidP="000B7636">
            <w:pPr>
              <w:pStyle w:val="ListParagraph"/>
              <w:numPr>
                <w:ilvl w:val="0"/>
                <w:numId w:val="16"/>
              </w:numPr>
              <w:spacing w:line="360" w:lineRule="auto"/>
              <w:ind w:left="1797" w:hanging="567"/>
              <w:jc w:val="both"/>
              <w:rPr>
                <w:rFonts w:ascii="Bookman Old Style" w:hAnsi="Bookman Old Style"/>
                <w:sz w:val="24"/>
                <w:szCs w:val="24"/>
                <w:lang w:val="id-ID"/>
              </w:rPr>
            </w:pPr>
            <w:proofErr w:type="gramStart"/>
            <w:r>
              <w:rPr>
                <w:rFonts w:ascii="Bookman Old Style" w:eastAsia="Bookman Old Style" w:hAnsi="Bookman Old Style" w:cs="Bookman Old Style"/>
                <w:sz w:val="24"/>
                <w:szCs w:val="24"/>
              </w:rPr>
              <w:t>Rasio  kewajiban</w:t>
            </w:r>
            <w:proofErr w:type="gramEnd"/>
            <w:r>
              <w:rPr>
                <w:rFonts w:ascii="Bookman Old Style" w:eastAsia="Bookman Old Style" w:hAnsi="Bookman Old Style" w:cs="Bookman Old Style"/>
                <w:sz w:val="24"/>
                <w:szCs w:val="24"/>
              </w:rPr>
              <w:t xml:space="preserve"> </w:t>
            </w:r>
            <w:r w:rsidRPr="00535477">
              <w:rPr>
                <w:rFonts w:ascii="Bookman Old Style" w:eastAsia="Bookman Old Style" w:hAnsi="Bookman Old Style" w:cs="Bookman Old Style"/>
                <w:sz w:val="24"/>
                <w:szCs w:val="24"/>
              </w:rPr>
              <w:t xml:space="preserve">penyediaan modal minimum sebagaimana dimaksud pada angka 1 merupakan perbandingan antara modal dengan </w:t>
            </w:r>
            <w:r>
              <w:rPr>
                <w:rFonts w:ascii="Bookman Old Style" w:eastAsia="Bookman Old Style" w:hAnsi="Bookman Old Style" w:cs="Bookman Old Style"/>
                <w:sz w:val="24"/>
                <w:szCs w:val="24"/>
              </w:rPr>
              <w:t>ATMR</w:t>
            </w:r>
            <w:r w:rsidRPr="00535477">
              <w:rPr>
                <w:rFonts w:ascii="Bookman Old Style" w:eastAsia="Bookman Old Style" w:hAnsi="Bookman Old Style" w:cs="Bookman Old Style"/>
                <w:sz w:val="24"/>
                <w:szCs w:val="24"/>
              </w:rPr>
              <w:t>.</w:t>
            </w:r>
          </w:p>
        </w:tc>
        <w:tc>
          <w:tcPr>
            <w:tcW w:w="3969" w:type="dxa"/>
          </w:tcPr>
          <w:p w14:paraId="5B818AB3" w14:textId="77777777" w:rsidR="00432AAD" w:rsidRPr="00E45A81" w:rsidRDefault="00432AAD" w:rsidP="00E45A81">
            <w:pPr>
              <w:spacing w:line="360" w:lineRule="auto"/>
              <w:ind w:left="360"/>
              <w:jc w:val="both"/>
              <w:rPr>
                <w:rFonts w:ascii="Bookman Old Style" w:eastAsia="Bookman Old Style" w:hAnsi="Bookman Old Style" w:cs="Bookman Old Style"/>
                <w:sz w:val="24"/>
                <w:szCs w:val="24"/>
              </w:rPr>
            </w:pPr>
          </w:p>
        </w:tc>
        <w:tc>
          <w:tcPr>
            <w:tcW w:w="4536" w:type="dxa"/>
          </w:tcPr>
          <w:p w14:paraId="13DC60B0" w14:textId="77777777" w:rsidR="00432AAD" w:rsidRPr="00E45A81" w:rsidRDefault="00432AAD" w:rsidP="00E45A81">
            <w:pPr>
              <w:spacing w:line="360" w:lineRule="auto"/>
              <w:ind w:left="360"/>
              <w:jc w:val="both"/>
              <w:rPr>
                <w:rFonts w:ascii="Bookman Old Style" w:eastAsia="Bookman Old Style" w:hAnsi="Bookman Old Style" w:cs="Bookman Old Style"/>
                <w:sz w:val="24"/>
                <w:szCs w:val="24"/>
              </w:rPr>
            </w:pPr>
          </w:p>
        </w:tc>
      </w:tr>
      <w:tr w:rsidR="00432AAD" w:rsidRPr="00535477" w14:paraId="24E1C885" w14:textId="0875EA6D" w:rsidTr="00AF03F6">
        <w:trPr>
          <w:trHeight w:val="67"/>
        </w:trPr>
        <w:tc>
          <w:tcPr>
            <w:tcW w:w="8784" w:type="dxa"/>
          </w:tcPr>
          <w:p w14:paraId="1BF1C365" w14:textId="77777777" w:rsidR="00432AAD" w:rsidRPr="00535477" w:rsidRDefault="00432AAD" w:rsidP="000B7636">
            <w:pPr>
              <w:pStyle w:val="ListParagraph"/>
              <w:numPr>
                <w:ilvl w:val="0"/>
                <w:numId w:val="16"/>
              </w:numPr>
              <w:spacing w:line="360" w:lineRule="auto"/>
              <w:ind w:left="1797" w:hanging="567"/>
              <w:jc w:val="both"/>
              <w:rPr>
                <w:rFonts w:ascii="Bookman Old Style" w:hAnsi="Bookman Old Style"/>
                <w:sz w:val="24"/>
                <w:szCs w:val="24"/>
              </w:rPr>
            </w:pPr>
            <w:r w:rsidRPr="00535477">
              <w:rPr>
                <w:rFonts w:ascii="Bookman Old Style" w:eastAsia="Bookman Old Style" w:hAnsi="Bookman Old Style" w:cs="Bookman Old Style"/>
                <w:sz w:val="24"/>
                <w:szCs w:val="24"/>
              </w:rPr>
              <w:t>Rasio  kewajiban</w:t>
            </w:r>
            <w:r w:rsidRPr="00535477">
              <w:rPr>
                <w:rFonts w:ascii="Bookman Old Style" w:eastAsia="Bookman Old Style" w:hAnsi="Bookman Old Style" w:cs="Bookman Old Style"/>
                <w:sz w:val="24"/>
                <w:szCs w:val="24"/>
              </w:rPr>
              <w:tab/>
              <w:t xml:space="preserve"> penyediaan modal minimum sesuai profil Risiko LPEI sebagaimana dimaksud pada ayat (1) ditetapkan paling rendah</w:t>
            </w:r>
            <w:r w:rsidRPr="00535477">
              <w:rPr>
                <w:rFonts w:ascii="Bookman Old Style" w:hAnsi="Bookman Old Style"/>
                <w:sz w:val="24"/>
                <w:szCs w:val="24"/>
              </w:rPr>
              <w:t xml:space="preserve">: </w:t>
            </w:r>
          </w:p>
        </w:tc>
        <w:tc>
          <w:tcPr>
            <w:tcW w:w="3969" w:type="dxa"/>
          </w:tcPr>
          <w:p w14:paraId="51884059" w14:textId="77777777" w:rsidR="00432AAD" w:rsidRPr="00E45A81" w:rsidRDefault="00432AAD" w:rsidP="00E45A81">
            <w:pPr>
              <w:spacing w:line="360" w:lineRule="auto"/>
              <w:ind w:left="1980"/>
              <w:jc w:val="both"/>
              <w:rPr>
                <w:rFonts w:ascii="Bookman Old Style" w:eastAsia="Bookman Old Style" w:hAnsi="Bookman Old Style" w:cs="Bookman Old Style"/>
                <w:sz w:val="24"/>
                <w:szCs w:val="24"/>
              </w:rPr>
            </w:pPr>
          </w:p>
        </w:tc>
        <w:tc>
          <w:tcPr>
            <w:tcW w:w="4536" w:type="dxa"/>
          </w:tcPr>
          <w:p w14:paraId="2EAF0AB3" w14:textId="77777777" w:rsidR="00432AAD" w:rsidRPr="00E45A81" w:rsidRDefault="00432AAD" w:rsidP="00E45A81">
            <w:pPr>
              <w:spacing w:line="360" w:lineRule="auto"/>
              <w:ind w:left="360"/>
              <w:jc w:val="both"/>
              <w:rPr>
                <w:rFonts w:ascii="Bookman Old Style" w:eastAsia="Bookman Old Style" w:hAnsi="Bookman Old Style" w:cs="Bookman Old Style"/>
                <w:sz w:val="24"/>
                <w:szCs w:val="24"/>
              </w:rPr>
            </w:pPr>
          </w:p>
        </w:tc>
      </w:tr>
      <w:tr w:rsidR="00432AAD" w:rsidRPr="00535477" w14:paraId="2C583CBB" w14:textId="0C3A4A39" w:rsidTr="00AF03F6">
        <w:trPr>
          <w:trHeight w:val="67"/>
        </w:trPr>
        <w:tc>
          <w:tcPr>
            <w:tcW w:w="8784" w:type="dxa"/>
          </w:tcPr>
          <w:p w14:paraId="04D64D18" w14:textId="77777777" w:rsidR="00432AAD" w:rsidRPr="00535477" w:rsidRDefault="00432AAD" w:rsidP="001A4A2F">
            <w:pPr>
              <w:pStyle w:val="ListParagraph"/>
              <w:numPr>
                <w:ilvl w:val="0"/>
                <w:numId w:val="17"/>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8% (delapan persen) dari ATMR, untuk LPEI dengan profil risiko Peringkat 1;</w:t>
            </w:r>
          </w:p>
        </w:tc>
        <w:tc>
          <w:tcPr>
            <w:tcW w:w="3969" w:type="dxa"/>
          </w:tcPr>
          <w:p w14:paraId="349D3AE1"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333E3457"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F720D7D" w14:textId="746AB9F4" w:rsidTr="00AF03F6">
        <w:trPr>
          <w:trHeight w:val="67"/>
        </w:trPr>
        <w:tc>
          <w:tcPr>
            <w:tcW w:w="8784" w:type="dxa"/>
          </w:tcPr>
          <w:p w14:paraId="501E8F73" w14:textId="77777777" w:rsidR="00432AAD" w:rsidRPr="00535477" w:rsidRDefault="00432AAD" w:rsidP="001A4A2F">
            <w:pPr>
              <w:pStyle w:val="ListParagraph"/>
              <w:numPr>
                <w:ilvl w:val="0"/>
                <w:numId w:val="17"/>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9% (sembilan persen) sampai dengan kurang dari 10% (sepuluh persen) dari ATMR, untuk LPEI dengan profil risiko Peringkat 2;</w:t>
            </w:r>
          </w:p>
        </w:tc>
        <w:tc>
          <w:tcPr>
            <w:tcW w:w="3969" w:type="dxa"/>
          </w:tcPr>
          <w:p w14:paraId="0A855CB9"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3D6CC95D"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5A7CD9D2" w14:textId="1175DB37" w:rsidTr="00AF03F6">
        <w:trPr>
          <w:trHeight w:val="67"/>
        </w:trPr>
        <w:tc>
          <w:tcPr>
            <w:tcW w:w="8784" w:type="dxa"/>
          </w:tcPr>
          <w:p w14:paraId="157C3EAB" w14:textId="77777777" w:rsidR="00432AAD" w:rsidRPr="00535477" w:rsidRDefault="00432AAD" w:rsidP="001A4A2F">
            <w:pPr>
              <w:pStyle w:val="ListParagraph"/>
              <w:numPr>
                <w:ilvl w:val="0"/>
                <w:numId w:val="17"/>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10% (sepuluh persen) sampai dengan kurang dari 11% (sebelas persen) dari ATMR, untuk LPEI dengan profil risiko Peringkat 3; atau</w:t>
            </w:r>
          </w:p>
        </w:tc>
        <w:tc>
          <w:tcPr>
            <w:tcW w:w="3969" w:type="dxa"/>
          </w:tcPr>
          <w:p w14:paraId="53435179"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71678C11"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F7B98AD" w14:textId="2C756622" w:rsidTr="00AF03F6">
        <w:trPr>
          <w:trHeight w:val="67"/>
        </w:trPr>
        <w:tc>
          <w:tcPr>
            <w:tcW w:w="8784" w:type="dxa"/>
          </w:tcPr>
          <w:p w14:paraId="02BD33DF" w14:textId="77777777" w:rsidR="00432AAD" w:rsidRPr="00535477" w:rsidRDefault="00432AAD" w:rsidP="001A4A2F">
            <w:pPr>
              <w:pStyle w:val="ListParagraph"/>
              <w:numPr>
                <w:ilvl w:val="0"/>
                <w:numId w:val="17"/>
              </w:numPr>
              <w:spacing w:line="360" w:lineRule="auto"/>
              <w:ind w:left="2364" w:hanging="567"/>
              <w:jc w:val="both"/>
              <w:rPr>
                <w:rFonts w:ascii="Bookman Old Style" w:hAnsi="Bookman Old Style"/>
                <w:sz w:val="24"/>
                <w:szCs w:val="24"/>
              </w:rPr>
            </w:pPr>
            <w:r w:rsidRPr="00535477">
              <w:rPr>
                <w:rFonts w:ascii="Bookman Old Style" w:hAnsi="Bookman Old Style"/>
                <w:sz w:val="24"/>
                <w:szCs w:val="24"/>
              </w:rPr>
              <w:t>11% (sebelas persen) sampai dengan 14% (empat belas persen) dari ATMR, untuk LPEI dengan profil Risiko Peringkat 4 atau Peringkat 5.</w:t>
            </w:r>
          </w:p>
        </w:tc>
        <w:tc>
          <w:tcPr>
            <w:tcW w:w="3969" w:type="dxa"/>
          </w:tcPr>
          <w:p w14:paraId="0F36B8B8"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2EDBE6DE"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75120B8" w14:textId="4534952F" w:rsidTr="00AF03F6">
        <w:trPr>
          <w:trHeight w:val="67"/>
        </w:trPr>
        <w:tc>
          <w:tcPr>
            <w:tcW w:w="8784" w:type="dxa"/>
          </w:tcPr>
          <w:p w14:paraId="339CF433" w14:textId="77777777" w:rsidR="00432AAD" w:rsidRPr="00535477" w:rsidRDefault="00432AAD" w:rsidP="001A4A2F">
            <w:pPr>
              <w:pStyle w:val="ListParagraph"/>
              <w:numPr>
                <w:ilvl w:val="0"/>
                <w:numId w:val="16"/>
              </w:numPr>
              <w:pBdr>
                <w:top w:val="nil"/>
                <w:left w:val="nil"/>
                <w:bottom w:val="nil"/>
                <w:right w:val="nil"/>
                <w:between w:val="nil"/>
              </w:pBdr>
              <w:spacing w:line="360" w:lineRule="auto"/>
              <w:ind w:left="1797" w:hanging="567"/>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 xml:space="preserve">Kewajiban pemenuhan rasio kecukupan Modal sesuai profil Risiko LPEI sebagaimana dimaksud pada angka 1 ditetapkan: </w:t>
            </w:r>
          </w:p>
        </w:tc>
        <w:tc>
          <w:tcPr>
            <w:tcW w:w="3969" w:type="dxa"/>
          </w:tcPr>
          <w:p w14:paraId="11605350"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0D4C114E"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1AFCD516" w14:textId="3A40A006" w:rsidTr="00AF03F6">
        <w:trPr>
          <w:trHeight w:val="67"/>
        </w:trPr>
        <w:tc>
          <w:tcPr>
            <w:tcW w:w="8784" w:type="dxa"/>
          </w:tcPr>
          <w:p w14:paraId="6E6104AA" w14:textId="77777777" w:rsidR="00432AAD" w:rsidRPr="00535477" w:rsidRDefault="00432AAD" w:rsidP="001A4A2F">
            <w:pPr>
              <w:numPr>
                <w:ilvl w:val="1"/>
                <w:numId w:val="24"/>
              </w:numPr>
              <w:pBdr>
                <w:top w:val="nil"/>
                <w:left w:val="nil"/>
                <w:bottom w:val="nil"/>
                <w:right w:val="nil"/>
                <w:between w:val="nil"/>
              </w:pBdr>
              <w:spacing w:line="360" w:lineRule="auto"/>
              <w:ind w:left="2296" w:hanging="567"/>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 xml:space="preserve">pemenuhan  rasio  kecukupan Modal posisi bulan Maret sampai dengan bulan Mei didasarkan pada peringkat profil Risiko posisi bulan Desember tahun sebelumnya; </w:t>
            </w:r>
          </w:p>
        </w:tc>
        <w:tc>
          <w:tcPr>
            <w:tcW w:w="3969" w:type="dxa"/>
          </w:tcPr>
          <w:p w14:paraId="4B0DA738"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5C47D2FB"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17558D32" w14:textId="4A75C7FE" w:rsidTr="00AF03F6">
        <w:trPr>
          <w:trHeight w:val="67"/>
        </w:trPr>
        <w:tc>
          <w:tcPr>
            <w:tcW w:w="8784" w:type="dxa"/>
          </w:tcPr>
          <w:p w14:paraId="7087730C" w14:textId="77777777" w:rsidR="00432AAD" w:rsidRPr="00535477" w:rsidRDefault="00432AAD" w:rsidP="001A4A2F">
            <w:pPr>
              <w:numPr>
                <w:ilvl w:val="1"/>
                <w:numId w:val="24"/>
              </w:numPr>
              <w:pBdr>
                <w:top w:val="nil"/>
                <w:left w:val="nil"/>
                <w:bottom w:val="nil"/>
                <w:right w:val="nil"/>
                <w:between w:val="nil"/>
              </w:pBdr>
              <w:spacing w:line="360" w:lineRule="auto"/>
              <w:ind w:left="2296" w:hanging="567"/>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 xml:space="preserve">pemenuhan  rasio  kecukupan Modal posisi bulan Juni sampai dengan bulan Agustus didasarkan pada peringkat profil Risiko posisi bulan Maret; </w:t>
            </w:r>
          </w:p>
        </w:tc>
        <w:tc>
          <w:tcPr>
            <w:tcW w:w="3969" w:type="dxa"/>
          </w:tcPr>
          <w:p w14:paraId="35BD2DD5"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238628D4"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210B4FF9" w14:textId="6CD9006A" w:rsidTr="00AF03F6">
        <w:trPr>
          <w:trHeight w:val="67"/>
        </w:trPr>
        <w:tc>
          <w:tcPr>
            <w:tcW w:w="8784" w:type="dxa"/>
          </w:tcPr>
          <w:p w14:paraId="48167820" w14:textId="77777777" w:rsidR="00432AAD" w:rsidRPr="00535477" w:rsidRDefault="00432AAD" w:rsidP="001A4A2F">
            <w:pPr>
              <w:numPr>
                <w:ilvl w:val="1"/>
                <w:numId w:val="24"/>
              </w:numPr>
              <w:pBdr>
                <w:top w:val="nil"/>
                <w:left w:val="nil"/>
                <w:bottom w:val="nil"/>
                <w:right w:val="nil"/>
                <w:between w:val="nil"/>
              </w:pBdr>
              <w:spacing w:line="360" w:lineRule="auto"/>
              <w:ind w:left="2296" w:hanging="567"/>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pemenuhan  rasio  kecukupan Modal posisi bulan September sampai dengan bulan November didasarkan pada peringkat profil Risiko posisi bulan Juni; dan</w:t>
            </w:r>
          </w:p>
        </w:tc>
        <w:tc>
          <w:tcPr>
            <w:tcW w:w="3969" w:type="dxa"/>
          </w:tcPr>
          <w:p w14:paraId="0B27C0BF"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5BF1D393"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28C1D54E" w14:textId="674E8BFC" w:rsidTr="00AF03F6">
        <w:trPr>
          <w:trHeight w:val="67"/>
        </w:trPr>
        <w:tc>
          <w:tcPr>
            <w:tcW w:w="8784" w:type="dxa"/>
          </w:tcPr>
          <w:p w14:paraId="4A07CFF5" w14:textId="77777777" w:rsidR="00432AAD" w:rsidRPr="00535477" w:rsidRDefault="00432AAD" w:rsidP="003D5508">
            <w:pPr>
              <w:numPr>
                <w:ilvl w:val="1"/>
                <w:numId w:val="24"/>
              </w:numPr>
              <w:pBdr>
                <w:top w:val="nil"/>
                <w:left w:val="nil"/>
                <w:bottom w:val="nil"/>
                <w:right w:val="nil"/>
                <w:between w:val="nil"/>
              </w:pBdr>
              <w:spacing w:line="360" w:lineRule="auto"/>
              <w:ind w:left="2296" w:hanging="567"/>
              <w:jc w:val="both"/>
              <w:rPr>
                <w:rFonts w:ascii="Bookman Old Style" w:eastAsia="Bookman Old Style" w:hAnsi="Bookman Old Style" w:cs="Bookman Old Style"/>
                <w:sz w:val="24"/>
                <w:szCs w:val="24"/>
              </w:rPr>
            </w:pPr>
            <w:proofErr w:type="gramStart"/>
            <w:r w:rsidRPr="00535477">
              <w:rPr>
                <w:rFonts w:ascii="Bookman Old Style" w:eastAsia="Bookman Old Style" w:hAnsi="Bookman Old Style" w:cs="Bookman Old Style"/>
                <w:sz w:val="24"/>
                <w:szCs w:val="24"/>
              </w:rPr>
              <w:t>pemenuhan  rasio</w:t>
            </w:r>
            <w:proofErr w:type="gramEnd"/>
            <w:r w:rsidRPr="00535477">
              <w:rPr>
                <w:rFonts w:ascii="Bookman Old Style" w:eastAsia="Bookman Old Style" w:hAnsi="Bookman Old Style" w:cs="Bookman Old Style"/>
                <w:sz w:val="24"/>
                <w:szCs w:val="24"/>
              </w:rPr>
              <w:t xml:space="preserve">  kecukupan Modal posisi bulan Desember sampai dengan bulan Februari tahun berikutnya didasarkan pada peringkat profil</w:t>
            </w:r>
            <w:r>
              <w:rPr>
                <w:rFonts w:ascii="Bookman Old Style" w:eastAsia="Bookman Old Style" w:hAnsi="Bookman Old Style" w:cs="Bookman Old Style"/>
                <w:sz w:val="24"/>
                <w:szCs w:val="24"/>
              </w:rPr>
              <w:t xml:space="preserve"> risiko posisi bulan September. </w:t>
            </w:r>
          </w:p>
        </w:tc>
        <w:tc>
          <w:tcPr>
            <w:tcW w:w="3969" w:type="dxa"/>
          </w:tcPr>
          <w:p w14:paraId="792C991B"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4B5D3DBB"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17CC29FF" w14:textId="5315FA16" w:rsidTr="00AF03F6">
        <w:trPr>
          <w:trHeight w:val="67"/>
        </w:trPr>
        <w:tc>
          <w:tcPr>
            <w:tcW w:w="8784" w:type="dxa"/>
          </w:tcPr>
          <w:p w14:paraId="2F20C902" w14:textId="77777777" w:rsidR="00432AAD" w:rsidRPr="00535477" w:rsidRDefault="00432AAD" w:rsidP="001A4A2F">
            <w:pPr>
              <w:pStyle w:val="ListParagraph"/>
              <w:numPr>
                <w:ilvl w:val="0"/>
                <w:numId w:val="16"/>
              </w:numPr>
              <w:pBdr>
                <w:top w:val="nil"/>
                <w:left w:val="nil"/>
                <w:bottom w:val="nil"/>
                <w:right w:val="nil"/>
                <w:between w:val="nil"/>
              </w:pBdr>
              <w:spacing w:line="360" w:lineRule="auto"/>
              <w:ind w:left="1797" w:hanging="567"/>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Modal sebagaimana dimaksud pada ayat (2), terdiri dari:</w:t>
            </w:r>
          </w:p>
        </w:tc>
        <w:tc>
          <w:tcPr>
            <w:tcW w:w="3969" w:type="dxa"/>
          </w:tcPr>
          <w:p w14:paraId="2E4AD57F" w14:textId="77777777" w:rsidR="00432AAD" w:rsidRPr="00E45A81" w:rsidRDefault="00432AAD" w:rsidP="00E45A81">
            <w:pPr>
              <w:pBdr>
                <w:top w:val="nil"/>
                <w:left w:val="nil"/>
                <w:bottom w:val="nil"/>
                <w:right w:val="nil"/>
                <w:between w:val="nil"/>
              </w:pBdr>
              <w:spacing w:line="360" w:lineRule="auto"/>
              <w:ind w:left="1980"/>
              <w:jc w:val="both"/>
              <w:rPr>
                <w:rFonts w:ascii="Bookman Old Style" w:eastAsia="Bookman Old Style" w:hAnsi="Bookman Old Style" w:cs="Bookman Old Style"/>
                <w:sz w:val="24"/>
                <w:szCs w:val="24"/>
              </w:rPr>
            </w:pPr>
          </w:p>
        </w:tc>
        <w:tc>
          <w:tcPr>
            <w:tcW w:w="4536" w:type="dxa"/>
          </w:tcPr>
          <w:p w14:paraId="0D27FEF4"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0BB51F05" w14:textId="526C8BC4" w:rsidTr="00AF03F6">
        <w:trPr>
          <w:trHeight w:val="67"/>
        </w:trPr>
        <w:tc>
          <w:tcPr>
            <w:tcW w:w="8784" w:type="dxa"/>
          </w:tcPr>
          <w:p w14:paraId="0E73CE11" w14:textId="77777777" w:rsidR="00432AAD" w:rsidRPr="00535477" w:rsidRDefault="00432AAD" w:rsidP="00902686">
            <w:pPr>
              <w:numPr>
                <w:ilvl w:val="0"/>
                <w:numId w:val="25"/>
              </w:numPr>
              <w:pBdr>
                <w:top w:val="nil"/>
                <w:left w:val="nil"/>
                <w:bottom w:val="nil"/>
                <w:right w:val="nil"/>
                <w:between w:val="nil"/>
              </w:pBdr>
              <w:spacing w:line="360" w:lineRule="auto"/>
              <w:ind w:left="2297" w:hanging="420"/>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Modal inti;</w:t>
            </w:r>
          </w:p>
        </w:tc>
        <w:tc>
          <w:tcPr>
            <w:tcW w:w="3969" w:type="dxa"/>
          </w:tcPr>
          <w:p w14:paraId="314C83BB"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293AAFBA"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7AF98C53" w14:textId="4B743E06" w:rsidTr="00AF03F6">
        <w:trPr>
          <w:trHeight w:val="67"/>
        </w:trPr>
        <w:tc>
          <w:tcPr>
            <w:tcW w:w="8784" w:type="dxa"/>
          </w:tcPr>
          <w:p w14:paraId="3E73C92D" w14:textId="77777777" w:rsidR="00432AAD" w:rsidRPr="00535477" w:rsidRDefault="00432AAD" w:rsidP="00902686">
            <w:pPr>
              <w:numPr>
                <w:ilvl w:val="0"/>
                <w:numId w:val="25"/>
              </w:numPr>
              <w:pBdr>
                <w:top w:val="nil"/>
                <w:left w:val="nil"/>
                <w:bottom w:val="nil"/>
                <w:right w:val="nil"/>
                <w:between w:val="nil"/>
              </w:pBdr>
              <w:spacing w:line="360" w:lineRule="auto"/>
              <w:ind w:left="2297" w:hanging="420"/>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Modal pelengkap; dan</w:t>
            </w:r>
          </w:p>
        </w:tc>
        <w:tc>
          <w:tcPr>
            <w:tcW w:w="3969" w:type="dxa"/>
          </w:tcPr>
          <w:p w14:paraId="7694565E"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457C42A6"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285B2FCA" w14:textId="4B15A54F" w:rsidTr="00AF03F6">
        <w:trPr>
          <w:trHeight w:val="67"/>
        </w:trPr>
        <w:tc>
          <w:tcPr>
            <w:tcW w:w="8784" w:type="dxa"/>
          </w:tcPr>
          <w:p w14:paraId="52894935" w14:textId="77777777" w:rsidR="00432AAD" w:rsidRDefault="00432AAD" w:rsidP="00902686">
            <w:pPr>
              <w:numPr>
                <w:ilvl w:val="0"/>
                <w:numId w:val="25"/>
              </w:numPr>
              <w:pBdr>
                <w:top w:val="nil"/>
                <w:left w:val="nil"/>
                <w:bottom w:val="nil"/>
                <w:right w:val="nil"/>
                <w:between w:val="nil"/>
              </w:pBdr>
              <w:spacing w:line="360" w:lineRule="auto"/>
              <w:ind w:left="2297" w:hanging="420"/>
              <w:jc w:val="both"/>
              <w:rPr>
                <w:rFonts w:ascii="Bookman Old Style" w:eastAsia="Bookman Old Style" w:hAnsi="Bookman Old Style" w:cs="Bookman Old Style"/>
                <w:sz w:val="24"/>
                <w:szCs w:val="24"/>
              </w:rPr>
            </w:pPr>
            <w:r w:rsidRPr="00535477">
              <w:rPr>
                <w:rFonts w:ascii="Bookman Old Style" w:eastAsia="Bookman Old Style" w:hAnsi="Bookman Old Style" w:cs="Bookman Old Style"/>
                <w:sz w:val="24"/>
                <w:szCs w:val="24"/>
              </w:rPr>
              <w:t xml:space="preserve">Modal </w:t>
            </w:r>
            <w:r>
              <w:rPr>
                <w:rFonts w:ascii="Bookman Old Style" w:eastAsia="Bookman Old Style" w:hAnsi="Bookman Old Style" w:cs="Bookman Old Style"/>
                <w:sz w:val="24"/>
                <w:szCs w:val="24"/>
              </w:rPr>
              <w:t xml:space="preserve">pelengkap tambahan, </w:t>
            </w:r>
          </w:p>
          <w:p w14:paraId="77CA563C" w14:textId="77777777" w:rsidR="00432AAD" w:rsidRPr="00535477" w:rsidRDefault="00432AAD" w:rsidP="0060399D">
            <w:pPr>
              <w:pBdr>
                <w:top w:val="nil"/>
                <w:left w:val="nil"/>
                <w:bottom w:val="nil"/>
                <w:right w:val="nil"/>
                <w:between w:val="nil"/>
              </w:pBdr>
              <w:spacing w:line="360" w:lineRule="auto"/>
              <w:ind w:left="1877"/>
              <w:jc w:val="both"/>
              <w:rPr>
                <w:rFonts w:ascii="Bookman Old Style" w:eastAsia="Bookman Old Style" w:hAnsi="Bookman Old Style" w:cs="Bookman Old Style"/>
                <w:sz w:val="24"/>
                <w:szCs w:val="24"/>
              </w:rPr>
            </w:pPr>
            <w:r w:rsidRPr="00535477">
              <w:rPr>
                <w:rFonts w:ascii="Bookman Old Style" w:hAnsi="Bookman Old Style"/>
                <w:sz w:val="24"/>
                <w:szCs w:val="24"/>
              </w:rPr>
              <w:t xml:space="preserve">berpedoman pada </w:t>
            </w:r>
            <w:proofErr w:type="gramStart"/>
            <w:r w:rsidRPr="00535477">
              <w:rPr>
                <w:rFonts w:ascii="Bookman Old Style" w:hAnsi="Bookman Old Style"/>
                <w:sz w:val="24"/>
                <w:szCs w:val="24"/>
              </w:rPr>
              <w:t xml:space="preserve">Lampiran </w:t>
            </w:r>
            <w:r>
              <w:rPr>
                <w:rFonts w:ascii="Bookman Old Style" w:hAnsi="Bookman Old Style"/>
                <w:sz w:val="24"/>
                <w:szCs w:val="24"/>
              </w:rPr>
              <w:t xml:space="preserve"> I</w:t>
            </w:r>
            <w:proofErr w:type="gramEnd"/>
            <w:r>
              <w:rPr>
                <w:rFonts w:ascii="Bookman Old Style" w:hAnsi="Bookman Old Style"/>
                <w:sz w:val="24"/>
                <w:szCs w:val="24"/>
              </w:rPr>
              <w:t xml:space="preserve"> </w:t>
            </w:r>
            <w:r w:rsidRPr="00535477">
              <w:rPr>
                <w:rFonts w:ascii="Bookman Old Style" w:hAnsi="Bookman Old Style"/>
                <w:sz w:val="24"/>
                <w:szCs w:val="24"/>
              </w:rPr>
              <w:t>yang merupakan bagian tidak terpisahkan dari Surat Edaran Otoritas Jasa Keuangan ini.</w:t>
            </w:r>
          </w:p>
        </w:tc>
        <w:tc>
          <w:tcPr>
            <w:tcW w:w="3969" w:type="dxa"/>
          </w:tcPr>
          <w:p w14:paraId="427563A5"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18739AB9"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6DED3CB1" w14:textId="26036893" w:rsidTr="00AF03F6">
        <w:trPr>
          <w:trHeight w:val="67"/>
        </w:trPr>
        <w:tc>
          <w:tcPr>
            <w:tcW w:w="8784" w:type="dxa"/>
          </w:tcPr>
          <w:p w14:paraId="4D4512C0" w14:textId="77777777" w:rsidR="00432AAD" w:rsidRPr="00535477" w:rsidRDefault="00432AAD" w:rsidP="001A4A2F">
            <w:pPr>
              <w:pStyle w:val="ListParagraph"/>
              <w:numPr>
                <w:ilvl w:val="0"/>
                <w:numId w:val="16"/>
              </w:numPr>
              <w:pBdr>
                <w:top w:val="nil"/>
                <w:left w:val="nil"/>
                <w:bottom w:val="nil"/>
                <w:right w:val="nil"/>
                <w:between w:val="nil"/>
              </w:pBdr>
              <w:spacing w:line="360" w:lineRule="auto"/>
              <w:ind w:left="1797" w:hanging="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ATMR</w:t>
            </w:r>
            <w:r w:rsidRPr="00535477">
              <w:rPr>
                <w:rFonts w:ascii="Bookman Old Style" w:eastAsia="Bookman Old Style" w:hAnsi="Bookman Old Style" w:cs="Bookman Old Style"/>
                <w:sz w:val="24"/>
                <w:szCs w:val="24"/>
              </w:rPr>
              <w:t xml:space="preserve"> sebagaimana dimaksud pada ayat (2) terdiri dari:</w:t>
            </w:r>
          </w:p>
        </w:tc>
        <w:tc>
          <w:tcPr>
            <w:tcW w:w="3969" w:type="dxa"/>
          </w:tcPr>
          <w:p w14:paraId="40E20C75"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6BCFA02C"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0F8B29A1" w14:textId="1740B0D9" w:rsidTr="00AF03F6">
        <w:trPr>
          <w:trHeight w:val="67"/>
        </w:trPr>
        <w:tc>
          <w:tcPr>
            <w:tcW w:w="8784" w:type="dxa"/>
          </w:tcPr>
          <w:p w14:paraId="413E568D" w14:textId="77777777" w:rsidR="00432AAD" w:rsidRPr="00535477" w:rsidRDefault="00432AAD" w:rsidP="00902686">
            <w:pPr>
              <w:numPr>
                <w:ilvl w:val="0"/>
                <w:numId w:val="26"/>
              </w:numPr>
              <w:pBdr>
                <w:top w:val="nil"/>
                <w:left w:val="nil"/>
                <w:bottom w:val="nil"/>
                <w:right w:val="nil"/>
                <w:between w:val="nil"/>
              </w:pBdr>
              <w:spacing w:line="360" w:lineRule="auto"/>
              <w:ind w:left="2297" w:hanging="4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ATMR</w:t>
            </w:r>
            <w:r w:rsidRPr="00535477">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untuk Risiko K</w:t>
            </w:r>
            <w:r w:rsidRPr="00535477">
              <w:rPr>
                <w:rFonts w:ascii="Bookman Old Style" w:eastAsia="Bookman Old Style" w:hAnsi="Bookman Old Style" w:cs="Bookman Old Style"/>
                <w:sz w:val="24"/>
                <w:szCs w:val="24"/>
              </w:rPr>
              <w:t>redit;</w:t>
            </w:r>
          </w:p>
        </w:tc>
        <w:tc>
          <w:tcPr>
            <w:tcW w:w="3969" w:type="dxa"/>
          </w:tcPr>
          <w:p w14:paraId="4093E14E"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27CD27DC"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798BF4F5" w14:textId="047EF127" w:rsidTr="00AF03F6">
        <w:trPr>
          <w:trHeight w:val="67"/>
        </w:trPr>
        <w:tc>
          <w:tcPr>
            <w:tcW w:w="8784" w:type="dxa"/>
          </w:tcPr>
          <w:p w14:paraId="68C8C720" w14:textId="77777777" w:rsidR="00432AAD" w:rsidRPr="00535477" w:rsidRDefault="00432AAD" w:rsidP="00902686">
            <w:pPr>
              <w:numPr>
                <w:ilvl w:val="0"/>
                <w:numId w:val="26"/>
              </w:numPr>
              <w:pBdr>
                <w:top w:val="nil"/>
                <w:left w:val="nil"/>
                <w:bottom w:val="nil"/>
                <w:right w:val="nil"/>
                <w:between w:val="nil"/>
              </w:pBdr>
              <w:spacing w:line="360" w:lineRule="auto"/>
              <w:ind w:left="2297" w:hanging="4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ATMR</w:t>
            </w:r>
            <w:r w:rsidRPr="00535477">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untuk Risiko P</w:t>
            </w:r>
            <w:r w:rsidRPr="00535477">
              <w:rPr>
                <w:rFonts w:ascii="Bookman Old Style" w:eastAsia="Bookman Old Style" w:hAnsi="Bookman Old Style" w:cs="Bookman Old Style"/>
                <w:sz w:val="24"/>
                <w:szCs w:val="24"/>
              </w:rPr>
              <w:t>asar; dan</w:t>
            </w:r>
          </w:p>
        </w:tc>
        <w:tc>
          <w:tcPr>
            <w:tcW w:w="3969" w:type="dxa"/>
          </w:tcPr>
          <w:p w14:paraId="561D0D41"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14F60A8F"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298606E6" w14:textId="3DFFDBED" w:rsidTr="00AF03F6">
        <w:trPr>
          <w:trHeight w:val="67"/>
        </w:trPr>
        <w:tc>
          <w:tcPr>
            <w:tcW w:w="8784" w:type="dxa"/>
          </w:tcPr>
          <w:p w14:paraId="09414F25" w14:textId="77777777" w:rsidR="00432AAD" w:rsidRPr="00535477" w:rsidRDefault="00432AAD" w:rsidP="00902686">
            <w:pPr>
              <w:numPr>
                <w:ilvl w:val="0"/>
                <w:numId w:val="26"/>
              </w:numPr>
              <w:pBdr>
                <w:top w:val="nil"/>
                <w:left w:val="nil"/>
                <w:bottom w:val="nil"/>
                <w:right w:val="nil"/>
                <w:between w:val="nil"/>
              </w:pBdr>
              <w:spacing w:line="360" w:lineRule="auto"/>
              <w:ind w:left="2297" w:hanging="4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ATMR</w:t>
            </w:r>
            <w:r w:rsidRPr="00535477">
              <w:rPr>
                <w:rFonts w:ascii="Bookman Old Style" w:eastAsia="Bookman Old Style" w:hAnsi="Bookman Old Style" w:cs="Bookman Old Style"/>
                <w:sz w:val="24"/>
                <w:szCs w:val="24"/>
              </w:rPr>
              <w:t xml:space="preserve"> untuk Risiko </w:t>
            </w:r>
            <w:r>
              <w:rPr>
                <w:rFonts w:ascii="Bookman Old Style" w:eastAsia="Bookman Old Style" w:hAnsi="Bookman Old Style" w:cs="Bookman Old Style"/>
                <w:sz w:val="24"/>
                <w:szCs w:val="24"/>
              </w:rPr>
              <w:t>O</w:t>
            </w:r>
            <w:r w:rsidRPr="00535477">
              <w:rPr>
                <w:rFonts w:ascii="Bookman Old Style" w:eastAsia="Bookman Old Style" w:hAnsi="Bookman Old Style" w:cs="Bookman Old Style"/>
                <w:sz w:val="24"/>
                <w:szCs w:val="24"/>
              </w:rPr>
              <w:t>perasional.</w:t>
            </w:r>
          </w:p>
        </w:tc>
        <w:tc>
          <w:tcPr>
            <w:tcW w:w="3969" w:type="dxa"/>
          </w:tcPr>
          <w:p w14:paraId="0FEB9AE4"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c>
          <w:tcPr>
            <w:tcW w:w="4536" w:type="dxa"/>
          </w:tcPr>
          <w:p w14:paraId="1BA4F3FC" w14:textId="77777777" w:rsidR="00432AAD" w:rsidRPr="00E45A81" w:rsidRDefault="00432AAD" w:rsidP="00E45A81">
            <w:pPr>
              <w:pBdr>
                <w:top w:val="nil"/>
                <w:left w:val="nil"/>
                <w:bottom w:val="nil"/>
                <w:right w:val="nil"/>
                <w:between w:val="nil"/>
              </w:pBdr>
              <w:spacing w:line="360" w:lineRule="auto"/>
              <w:ind w:left="360"/>
              <w:jc w:val="both"/>
              <w:rPr>
                <w:rFonts w:ascii="Bookman Old Style" w:eastAsia="Bookman Old Style" w:hAnsi="Bookman Old Style" w:cs="Bookman Old Style"/>
                <w:sz w:val="24"/>
                <w:szCs w:val="24"/>
              </w:rPr>
            </w:pPr>
          </w:p>
        </w:tc>
      </w:tr>
      <w:tr w:rsidR="00432AAD" w:rsidRPr="00535477" w14:paraId="05F2CEC6" w14:textId="2230B8B4" w:rsidTr="00AF03F6">
        <w:trPr>
          <w:trHeight w:val="67"/>
        </w:trPr>
        <w:tc>
          <w:tcPr>
            <w:tcW w:w="8784" w:type="dxa"/>
          </w:tcPr>
          <w:p w14:paraId="15C371D6" w14:textId="77777777" w:rsidR="00432AAD" w:rsidRPr="00535477" w:rsidRDefault="00432AAD" w:rsidP="001A4A2F">
            <w:pPr>
              <w:pStyle w:val="ListParagraph"/>
              <w:numPr>
                <w:ilvl w:val="0"/>
                <w:numId w:val="16"/>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 xml:space="preserve">Otoritas Jasa Keuangan berwenang menetapkan modal minimum lebih besar dari modal minimum sebagaimana pada angka 3, dalam hal </w:t>
            </w:r>
            <w:r w:rsidRPr="00535477">
              <w:rPr>
                <w:rFonts w:ascii="Bookman Old Style" w:hAnsi="Bookman Old Style"/>
                <w:sz w:val="24"/>
                <w:szCs w:val="24"/>
                <w:lang w:val="id-ID"/>
              </w:rPr>
              <w:t xml:space="preserve">Otoritas Jasa Keuangan </w:t>
            </w:r>
            <w:r w:rsidRPr="00535477">
              <w:rPr>
                <w:rFonts w:ascii="Bookman Old Style" w:hAnsi="Bookman Old Style"/>
                <w:sz w:val="24"/>
                <w:szCs w:val="24"/>
              </w:rPr>
              <w:t>menilai LPEI menghadapi potensi kerugian yang membutuhkan modal lebih besar.</w:t>
            </w:r>
          </w:p>
        </w:tc>
        <w:tc>
          <w:tcPr>
            <w:tcW w:w="3969" w:type="dxa"/>
          </w:tcPr>
          <w:p w14:paraId="4A110BD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22AA709"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5CFEBDF" w14:textId="7956CF58" w:rsidTr="00AF03F6">
        <w:trPr>
          <w:trHeight w:val="67"/>
        </w:trPr>
        <w:tc>
          <w:tcPr>
            <w:tcW w:w="8784" w:type="dxa"/>
          </w:tcPr>
          <w:p w14:paraId="4EF345F7" w14:textId="77777777" w:rsidR="00432AAD" w:rsidRPr="00535477" w:rsidRDefault="00432AAD" w:rsidP="001A4A2F">
            <w:pPr>
              <w:pStyle w:val="ListParagraph"/>
              <w:numPr>
                <w:ilvl w:val="0"/>
                <w:numId w:val="16"/>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 xml:space="preserve">Beberapa ilustrasi perhitungan modal minimum sesuai profil risiko </w:t>
            </w:r>
            <w:r w:rsidRPr="00535477">
              <w:rPr>
                <w:rFonts w:ascii="Bookman Old Style" w:hAnsi="Bookman Old Style"/>
                <w:sz w:val="24"/>
                <w:szCs w:val="24"/>
                <w:lang w:val="id-ID"/>
              </w:rPr>
              <w:t>sebagai berikut</w:t>
            </w:r>
            <w:r w:rsidRPr="00535477">
              <w:rPr>
                <w:rFonts w:ascii="Bookman Old Style" w:hAnsi="Bookman Old Style"/>
                <w:sz w:val="24"/>
                <w:szCs w:val="24"/>
              </w:rPr>
              <w:t>:</w:t>
            </w:r>
          </w:p>
        </w:tc>
        <w:tc>
          <w:tcPr>
            <w:tcW w:w="3969" w:type="dxa"/>
          </w:tcPr>
          <w:p w14:paraId="354DA8F1"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25D6353"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4B300B6D" w14:textId="23B82079" w:rsidTr="00AF03F6">
        <w:trPr>
          <w:trHeight w:val="67"/>
        </w:trPr>
        <w:tc>
          <w:tcPr>
            <w:tcW w:w="8784" w:type="dxa"/>
          </w:tcPr>
          <w:p w14:paraId="7498AD5D" w14:textId="77777777" w:rsidR="00432AAD" w:rsidRPr="00535477" w:rsidRDefault="00432AAD" w:rsidP="0044583D">
            <w:pPr>
              <w:autoSpaceDE w:val="0"/>
              <w:autoSpaceDN w:val="0"/>
              <w:adjustRightInd w:val="0"/>
              <w:spacing w:line="360" w:lineRule="auto"/>
              <w:ind w:left="1791"/>
              <w:jc w:val="both"/>
              <w:rPr>
                <w:rFonts w:ascii="Bookman Old Style" w:hAnsi="Bookman Old Style"/>
                <w:sz w:val="24"/>
                <w:szCs w:val="24"/>
              </w:rPr>
            </w:pPr>
            <w:r w:rsidRPr="00535477">
              <w:rPr>
                <w:rFonts w:ascii="Bookman Old Style" w:hAnsi="Bookman Old Style"/>
                <w:sz w:val="24"/>
                <w:szCs w:val="24"/>
              </w:rPr>
              <w:t>Ilustrasi 1:</w:t>
            </w:r>
          </w:p>
          <w:p w14:paraId="203FC372" w14:textId="77777777" w:rsidR="00432AAD" w:rsidRPr="00535477" w:rsidRDefault="00432AAD" w:rsidP="0044583D">
            <w:pPr>
              <w:autoSpaceDE w:val="0"/>
              <w:autoSpaceDN w:val="0"/>
              <w:adjustRightInd w:val="0"/>
              <w:spacing w:line="360" w:lineRule="auto"/>
              <w:ind w:left="1791"/>
              <w:jc w:val="both"/>
              <w:rPr>
                <w:rFonts w:ascii="Bookman Old Style" w:hAnsi="Bookman Old Style"/>
                <w:sz w:val="24"/>
                <w:szCs w:val="24"/>
              </w:rPr>
            </w:pPr>
            <w:r w:rsidRPr="00535477">
              <w:rPr>
                <w:rFonts w:ascii="Bookman Old Style" w:hAnsi="Bookman Old Style"/>
                <w:sz w:val="24"/>
                <w:szCs w:val="24"/>
              </w:rPr>
              <w:t>LPEI memiliki total modal sebesar Rp130</w:t>
            </w:r>
            <w:r w:rsidRPr="00535477">
              <w:rPr>
                <w:rFonts w:ascii="Bookman Old Style" w:hAnsi="Bookman Old Style"/>
                <w:sz w:val="24"/>
                <w:szCs w:val="24"/>
                <w:lang w:val="id-ID"/>
              </w:rPr>
              <w:t xml:space="preserve"> miliar</w:t>
            </w:r>
            <w:r w:rsidRPr="00535477">
              <w:rPr>
                <w:rFonts w:ascii="Bookman Old Style" w:hAnsi="Bookman Old Style"/>
                <w:sz w:val="24"/>
                <w:szCs w:val="24"/>
              </w:rPr>
              <w:t xml:space="preserve"> dan total ATMR sebesar Rp1.300</w:t>
            </w:r>
            <w:r w:rsidRPr="00535477">
              <w:rPr>
                <w:rFonts w:ascii="Bookman Old Style" w:hAnsi="Bookman Old Style"/>
                <w:sz w:val="24"/>
                <w:szCs w:val="24"/>
                <w:lang w:val="id-ID"/>
              </w:rPr>
              <w:t xml:space="preserve"> miliar</w:t>
            </w:r>
            <w:r w:rsidRPr="00535477">
              <w:rPr>
                <w:rFonts w:ascii="Bookman Old Style" w:hAnsi="Bookman Old Style"/>
                <w:sz w:val="24"/>
                <w:szCs w:val="24"/>
              </w:rPr>
              <w:t xml:space="preserve"> sehingga rasio KPMM LPEI adalah sebesar 10%</w:t>
            </w:r>
            <w:r w:rsidRPr="00535477">
              <w:rPr>
                <w:rFonts w:ascii="Bookman Old Style" w:hAnsi="Bookman Old Style"/>
                <w:sz w:val="24"/>
                <w:szCs w:val="24"/>
                <w:lang w:val="id-ID"/>
              </w:rPr>
              <w:t xml:space="preserve">. </w:t>
            </w:r>
            <w:r w:rsidRPr="00535477">
              <w:rPr>
                <w:rFonts w:ascii="Bookman Old Style" w:hAnsi="Bookman Old Style"/>
                <w:sz w:val="24"/>
                <w:szCs w:val="24"/>
              </w:rPr>
              <w:t>LPEI memiliki profil risiko dengan Peringkat 2. Berdasarkan hasil ICAAP dan perhitungan Otoritas Jasa Keuangan, LPEI perlu menyediakan modal minimum sesuai profil risiko sebesar 9%</w:t>
            </w:r>
            <w:r w:rsidRPr="00535477">
              <w:rPr>
                <w:rFonts w:ascii="Bookman Old Style" w:hAnsi="Bookman Old Style"/>
                <w:sz w:val="24"/>
                <w:szCs w:val="24"/>
                <w:lang w:val="id-ID"/>
              </w:rPr>
              <w:t xml:space="preserve"> </w:t>
            </w:r>
            <w:r w:rsidRPr="00535477">
              <w:rPr>
                <w:rFonts w:ascii="Bookman Old Style" w:hAnsi="Bookman Old Style"/>
                <w:sz w:val="24"/>
                <w:szCs w:val="24"/>
              </w:rPr>
              <w:t xml:space="preserve">dari ATMR.  </w:t>
            </w:r>
          </w:p>
          <w:p w14:paraId="4939AD3A" w14:textId="77777777" w:rsidR="00432AAD" w:rsidRPr="00535477" w:rsidRDefault="00432AAD" w:rsidP="0044583D">
            <w:pPr>
              <w:autoSpaceDE w:val="0"/>
              <w:autoSpaceDN w:val="0"/>
              <w:adjustRightInd w:val="0"/>
              <w:spacing w:line="360" w:lineRule="auto"/>
              <w:ind w:left="1791"/>
              <w:jc w:val="both"/>
              <w:rPr>
                <w:rFonts w:ascii="Bookman Old Style" w:hAnsi="Bookman Old Style"/>
                <w:sz w:val="24"/>
                <w:szCs w:val="24"/>
              </w:rPr>
            </w:pPr>
            <w:r w:rsidRPr="00535477">
              <w:rPr>
                <w:rFonts w:ascii="Bookman Old Style" w:hAnsi="Bookman Old Style"/>
                <w:sz w:val="24"/>
                <w:szCs w:val="24"/>
              </w:rPr>
              <w:t xml:space="preserve">Dengan demikian, LPEI wajib menyediakan modal minimum sesuai profil risiko sebesar </w:t>
            </w:r>
            <w:r w:rsidRPr="00535477">
              <w:rPr>
                <w:rFonts w:ascii="Bookman Old Style" w:hAnsi="Bookman Old Style"/>
                <w:sz w:val="24"/>
                <w:szCs w:val="24"/>
                <w:lang w:val="id-ID"/>
              </w:rPr>
              <w:t xml:space="preserve">9% dari Rp1.300 miliar atau sebesar </w:t>
            </w:r>
            <w:r w:rsidRPr="00535477">
              <w:rPr>
                <w:rFonts w:ascii="Bookman Old Style" w:hAnsi="Bookman Old Style"/>
                <w:sz w:val="24"/>
                <w:szCs w:val="24"/>
              </w:rPr>
              <w:t>Rp117</w:t>
            </w:r>
            <w:r w:rsidRPr="00535477">
              <w:rPr>
                <w:rFonts w:ascii="Bookman Old Style" w:hAnsi="Bookman Old Style"/>
                <w:sz w:val="24"/>
                <w:szCs w:val="24"/>
                <w:lang w:val="id-ID"/>
              </w:rPr>
              <w:t xml:space="preserve"> miliar.</w:t>
            </w:r>
            <w:r w:rsidRPr="00535477">
              <w:rPr>
                <w:rFonts w:ascii="Bookman Old Style" w:hAnsi="Bookman Old Style"/>
                <w:sz w:val="24"/>
                <w:szCs w:val="24"/>
              </w:rPr>
              <w:t xml:space="preserve"> </w:t>
            </w:r>
          </w:p>
          <w:p w14:paraId="44B7687B" w14:textId="77777777" w:rsidR="00432AAD" w:rsidRPr="00535477" w:rsidRDefault="00432AAD" w:rsidP="0044583D">
            <w:pPr>
              <w:autoSpaceDE w:val="0"/>
              <w:autoSpaceDN w:val="0"/>
              <w:adjustRightInd w:val="0"/>
              <w:spacing w:line="360" w:lineRule="auto"/>
              <w:ind w:left="1791"/>
              <w:jc w:val="both"/>
              <w:rPr>
                <w:rFonts w:ascii="Bookman Old Style" w:hAnsi="Bookman Old Style"/>
                <w:sz w:val="24"/>
                <w:szCs w:val="24"/>
              </w:rPr>
            </w:pPr>
            <w:r w:rsidRPr="00535477">
              <w:rPr>
                <w:rFonts w:ascii="Bookman Old Style" w:hAnsi="Bookman Old Style"/>
                <w:sz w:val="24"/>
                <w:szCs w:val="24"/>
              </w:rPr>
              <w:t>Dengan rasio KPMM LPEI sebesar 10% maka dalam hal ini LPEI telah memenuhi persyaratan minimum rasio KPMM sesuai profil risiko</w:t>
            </w:r>
            <w:r w:rsidRPr="00535477">
              <w:rPr>
                <w:rFonts w:ascii="Bookman Old Style" w:hAnsi="Bookman Old Style"/>
                <w:sz w:val="24"/>
                <w:szCs w:val="24"/>
                <w:lang w:val="id-ID"/>
              </w:rPr>
              <w:t xml:space="preserve"> </w:t>
            </w:r>
            <w:r w:rsidRPr="00535477">
              <w:rPr>
                <w:rFonts w:ascii="Bookman Old Style" w:hAnsi="Bookman Old Style"/>
                <w:sz w:val="24"/>
                <w:szCs w:val="24"/>
              </w:rPr>
              <w:t>sebesar 9%</w:t>
            </w:r>
            <w:r w:rsidRPr="00535477">
              <w:rPr>
                <w:rFonts w:ascii="Bookman Old Style" w:hAnsi="Bookman Old Style"/>
                <w:sz w:val="24"/>
                <w:szCs w:val="24"/>
                <w:lang w:val="id-ID"/>
              </w:rPr>
              <w:t>.</w:t>
            </w:r>
          </w:p>
        </w:tc>
        <w:tc>
          <w:tcPr>
            <w:tcW w:w="3969" w:type="dxa"/>
          </w:tcPr>
          <w:p w14:paraId="44FE2E9E" w14:textId="77777777" w:rsidR="00432AAD" w:rsidRPr="00535477" w:rsidRDefault="00432AAD" w:rsidP="0044583D">
            <w:pPr>
              <w:autoSpaceDE w:val="0"/>
              <w:autoSpaceDN w:val="0"/>
              <w:adjustRightInd w:val="0"/>
              <w:spacing w:line="360" w:lineRule="auto"/>
              <w:ind w:left="1791"/>
              <w:jc w:val="both"/>
              <w:rPr>
                <w:rFonts w:ascii="Bookman Old Style" w:hAnsi="Bookman Old Style"/>
                <w:sz w:val="24"/>
                <w:szCs w:val="24"/>
              </w:rPr>
            </w:pPr>
          </w:p>
        </w:tc>
        <w:tc>
          <w:tcPr>
            <w:tcW w:w="4536" w:type="dxa"/>
          </w:tcPr>
          <w:p w14:paraId="69C29A12" w14:textId="77777777" w:rsidR="00432AAD" w:rsidRPr="00535477" w:rsidRDefault="00432AAD" w:rsidP="0044583D">
            <w:pPr>
              <w:autoSpaceDE w:val="0"/>
              <w:autoSpaceDN w:val="0"/>
              <w:adjustRightInd w:val="0"/>
              <w:spacing w:line="360" w:lineRule="auto"/>
              <w:ind w:left="1791"/>
              <w:jc w:val="both"/>
              <w:rPr>
                <w:rFonts w:ascii="Bookman Old Style" w:hAnsi="Bookman Old Style"/>
                <w:sz w:val="24"/>
                <w:szCs w:val="24"/>
              </w:rPr>
            </w:pPr>
          </w:p>
        </w:tc>
      </w:tr>
      <w:tr w:rsidR="00432AAD" w:rsidRPr="00535477" w14:paraId="4AE7FA6D" w14:textId="699D95C1" w:rsidTr="00AF03F6">
        <w:trPr>
          <w:trHeight w:val="67"/>
        </w:trPr>
        <w:tc>
          <w:tcPr>
            <w:tcW w:w="8784" w:type="dxa"/>
          </w:tcPr>
          <w:p w14:paraId="0D333F26" w14:textId="77777777" w:rsidR="00432AAD" w:rsidRPr="00535477" w:rsidRDefault="00432AAD" w:rsidP="0044583D">
            <w:pPr>
              <w:autoSpaceDE w:val="0"/>
              <w:autoSpaceDN w:val="0"/>
              <w:adjustRightInd w:val="0"/>
              <w:spacing w:line="360" w:lineRule="auto"/>
              <w:ind w:left="1763"/>
              <w:jc w:val="both"/>
              <w:rPr>
                <w:rFonts w:ascii="Bookman Old Style" w:hAnsi="Bookman Old Style"/>
                <w:sz w:val="24"/>
                <w:szCs w:val="24"/>
              </w:rPr>
            </w:pPr>
            <w:r w:rsidRPr="00535477">
              <w:rPr>
                <w:rFonts w:ascii="Bookman Old Style" w:hAnsi="Bookman Old Style"/>
                <w:sz w:val="24"/>
                <w:szCs w:val="24"/>
              </w:rPr>
              <w:t>Ilustrasi 2:</w:t>
            </w:r>
          </w:p>
          <w:p w14:paraId="020A5386" w14:textId="77777777" w:rsidR="00432AAD" w:rsidRPr="00535477" w:rsidRDefault="00432AAD" w:rsidP="0044583D">
            <w:pPr>
              <w:autoSpaceDE w:val="0"/>
              <w:autoSpaceDN w:val="0"/>
              <w:adjustRightInd w:val="0"/>
              <w:spacing w:line="360" w:lineRule="auto"/>
              <w:ind w:left="1763"/>
              <w:jc w:val="both"/>
              <w:rPr>
                <w:rFonts w:ascii="Bookman Old Style" w:hAnsi="Bookman Old Style"/>
                <w:sz w:val="24"/>
                <w:szCs w:val="24"/>
              </w:rPr>
            </w:pPr>
            <w:r w:rsidRPr="00535477">
              <w:rPr>
                <w:rFonts w:ascii="Bookman Old Style" w:hAnsi="Bookman Old Style"/>
                <w:sz w:val="24"/>
                <w:szCs w:val="24"/>
              </w:rPr>
              <w:t>LPEI memiliki total modal sebesar Rp900</w:t>
            </w:r>
            <w:r w:rsidRPr="00535477">
              <w:rPr>
                <w:rFonts w:ascii="Bookman Old Style" w:hAnsi="Bookman Old Style"/>
                <w:sz w:val="24"/>
                <w:szCs w:val="24"/>
                <w:lang w:val="id-ID"/>
              </w:rPr>
              <w:t xml:space="preserve"> miliar </w:t>
            </w:r>
            <w:r w:rsidRPr="00535477">
              <w:rPr>
                <w:rFonts w:ascii="Bookman Old Style" w:hAnsi="Bookman Old Style"/>
                <w:sz w:val="24"/>
                <w:szCs w:val="24"/>
              </w:rPr>
              <w:t>dan total ATMR sebesar Rp9.000</w:t>
            </w:r>
            <w:r w:rsidRPr="00535477">
              <w:rPr>
                <w:rFonts w:ascii="Bookman Old Style" w:hAnsi="Bookman Old Style"/>
                <w:sz w:val="24"/>
                <w:szCs w:val="24"/>
                <w:lang w:val="id-ID"/>
              </w:rPr>
              <w:t xml:space="preserve"> miliar</w:t>
            </w:r>
            <w:r w:rsidRPr="00535477">
              <w:rPr>
                <w:rFonts w:ascii="Bookman Old Style" w:hAnsi="Bookman Old Style"/>
                <w:sz w:val="24"/>
                <w:szCs w:val="24"/>
              </w:rPr>
              <w:t xml:space="preserve"> sehingga rasio KPMM LPEI adalah 10%</w:t>
            </w:r>
            <w:r w:rsidRPr="00535477">
              <w:rPr>
                <w:rFonts w:ascii="Bookman Old Style" w:hAnsi="Bookman Old Style"/>
                <w:sz w:val="24"/>
                <w:szCs w:val="24"/>
                <w:lang w:val="id-ID"/>
              </w:rPr>
              <w:t>.</w:t>
            </w:r>
            <w:r w:rsidRPr="00535477">
              <w:rPr>
                <w:rFonts w:ascii="Bookman Old Style" w:hAnsi="Bookman Old Style"/>
                <w:sz w:val="24"/>
                <w:szCs w:val="24"/>
              </w:rPr>
              <w:t xml:space="preserve"> LPEI memiliki profil risiko dengan Peringkat 3. Berdasarkan hasil ICAAP, LPEI memerlukan modal minimum sebesar 10% dari ATMR</w:t>
            </w:r>
            <w:r w:rsidRPr="00535477">
              <w:rPr>
                <w:rFonts w:ascii="Bookman Old Style" w:hAnsi="Bookman Old Style"/>
                <w:sz w:val="24"/>
                <w:szCs w:val="24"/>
                <w:lang w:val="id-ID"/>
              </w:rPr>
              <w:t>,</w:t>
            </w:r>
            <w:r w:rsidRPr="00535477">
              <w:rPr>
                <w:rFonts w:ascii="Bookman Old Style" w:hAnsi="Bookman Old Style"/>
                <w:sz w:val="24"/>
                <w:szCs w:val="24"/>
              </w:rPr>
              <w:t xml:space="preserve"> </w:t>
            </w:r>
            <w:r w:rsidRPr="00535477">
              <w:rPr>
                <w:rFonts w:ascii="Bookman Old Style" w:hAnsi="Bookman Old Style"/>
                <w:sz w:val="24"/>
                <w:szCs w:val="24"/>
                <w:lang w:val="id-ID"/>
              </w:rPr>
              <w:t>n</w:t>
            </w:r>
            <w:r w:rsidRPr="00535477">
              <w:rPr>
                <w:rFonts w:ascii="Bookman Old Style" w:hAnsi="Bookman Old Style"/>
                <w:sz w:val="24"/>
                <w:szCs w:val="24"/>
              </w:rPr>
              <w:t>amun berdasarkan hasil penilaian Otoritas Jasa Keuangan, LPEI memerlukan modal minimum sebesar 11%, antara lain karena terdapat potensi kerugian yang membutuhkan modal lebih besar.</w:t>
            </w:r>
          </w:p>
          <w:p w14:paraId="6132F06D" w14:textId="77777777" w:rsidR="00432AAD" w:rsidRPr="00535477" w:rsidRDefault="00432AAD" w:rsidP="0044583D">
            <w:pPr>
              <w:autoSpaceDE w:val="0"/>
              <w:autoSpaceDN w:val="0"/>
              <w:adjustRightInd w:val="0"/>
              <w:spacing w:line="360" w:lineRule="auto"/>
              <w:ind w:left="1763"/>
              <w:jc w:val="both"/>
              <w:rPr>
                <w:rFonts w:ascii="Bookman Old Style" w:hAnsi="Bookman Old Style"/>
                <w:sz w:val="24"/>
                <w:szCs w:val="24"/>
              </w:rPr>
            </w:pPr>
            <w:r w:rsidRPr="00535477">
              <w:rPr>
                <w:rFonts w:ascii="Bookman Old Style" w:hAnsi="Bookman Old Style"/>
                <w:sz w:val="24"/>
                <w:szCs w:val="24"/>
              </w:rPr>
              <w:t xml:space="preserve">Dengan demikian, LPEI wajib menyediakan modal minimum sesuai profil risiko sebesar </w:t>
            </w:r>
            <w:r w:rsidRPr="00535477">
              <w:rPr>
                <w:rFonts w:ascii="Bookman Old Style" w:hAnsi="Bookman Old Style"/>
                <w:sz w:val="24"/>
                <w:szCs w:val="24"/>
                <w:lang w:val="id-ID"/>
              </w:rPr>
              <w:t xml:space="preserve">11% dari Rp9.000 miliar atau sebesar </w:t>
            </w:r>
            <w:r w:rsidRPr="00535477">
              <w:rPr>
                <w:rFonts w:ascii="Bookman Old Style" w:hAnsi="Bookman Old Style"/>
                <w:sz w:val="24"/>
                <w:szCs w:val="24"/>
              </w:rPr>
              <w:t>Rp990</w:t>
            </w:r>
            <w:r w:rsidRPr="00535477">
              <w:rPr>
                <w:rFonts w:ascii="Bookman Old Style" w:hAnsi="Bookman Old Style"/>
                <w:sz w:val="24"/>
                <w:szCs w:val="24"/>
                <w:lang w:val="id-ID"/>
              </w:rPr>
              <w:t xml:space="preserve"> miliar</w:t>
            </w:r>
            <w:r w:rsidRPr="00535477">
              <w:rPr>
                <w:rFonts w:ascii="Bookman Old Style" w:hAnsi="Bookman Old Style"/>
                <w:sz w:val="24"/>
                <w:szCs w:val="24"/>
              </w:rPr>
              <w:t>.</w:t>
            </w:r>
          </w:p>
          <w:p w14:paraId="7A3E8101" w14:textId="77777777" w:rsidR="00432AAD" w:rsidRPr="00535477" w:rsidRDefault="00432AAD" w:rsidP="0044583D">
            <w:pPr>
              <w:autoSpaceDE w:val="0"/>
              <w:autoSpaceDN w:val="0"/>
              <w:adjustRightInd w:val="0"/>
              <w:spacing w:line="360" w:lineRule="auto"/>
              <w:ind w:left="1763"/>
              <w:jc w:val="both"/>
              <w:rPr>
                <w:rFonts w:ascii="Bookman Old Style" w:hAnsi="Bookman Old Style"/>
                <w:sz w:val="24"/>
                <w:szCs w:val="24"/>
              </w:rPr>
            </w:pPr>
            <w:r w:rsidRPr="00535477">
              <w:rPr>
                <w:rFonts w:ascii="Bookman Old Style" w:hAnsi="Bookman Old Style"/>
                <w:sz w:val="24"/>
                <w:szCs w:val="24"/>
              </w:rPr>
              <w:t xml:space="preserve">Dengan rasio KPMM LPEI sebesar 10% maka LPEI tidak memenuhi persyaratan minimum rasio KPMM sesuai profil risiko yaitu sebesar 11%. LPEI memerlukan tambahan modal paling </w:t>
            </w:r>
            <w:r w:rsidRPr="00535477">
              <w:rPr>
                <w:rFonts w:ascii="Bookman Old Style" w:hAnsi="Bookman Old Style"/>
                <w:sz w:val="24"/>
                <w:szCs w:val="24"/>
                <w:lang w:val="id-ID"/>
              </w:rPr>
              <w:t>sedikit sebesar</w:t>
            </w:r>
            <w:r w:rsidRPr="00535477">
              <w:rPr>
                <w:rFonts w:ascii="Bookman Old Style" w:hAnsi="Bookman Old Style"/>
                <w:sz w:val="24"/>
                <w:szCs w:val="24"/>
              </w:rPr>
              <w:t xml:space="preserve"> Rp990</w:t>
            </w:r>
            <w:r w:rsidRPr="00535477">
              <w:rPr>
                <w:rFonts w:ascii="Bookman Old Style" w:hAnsi="Bookman Old Style"/>
                <w:sz w:val="24"/>
                <w:szCs w:val="24"/>
                <w:lang w:val="id-ID"/>
              </w:rPr>
              <w:t xml:space="preserve"> miliar</w:t>
            </w:r>
            <w:r w:rsidRPr="00535477">
              <w:rPr>
                <w:rFonts w:ascii="Bookman Old Style" w:hAnsi="Bookman Old Style"/>
                <w:sz w:val="24"/>
                <w:szCs w:val="24"/>
              </w:rPr>
              <w:t xml:space="preserve"> dikurangi Rp900</w:t>
            </w:r>
            <w:r w:rsidRPr="00535477">
              <w:rPr>
                <w:rFonts w:ascii="Bookman Old Style" w:hAnsi="Bookman Old Style"/>
                <w:sz w:val="24"/>
                <w:szCs w:val="24"/>
                <w:lang w:val="id-ID"/>
              </w:rPr>
              <w:t xml:space="preserve"> miliar</w:t>
            </w:r>
            <w:r w:rsidRPr="00535477">
              <w:rPr>
                <w:rFonts w:ascii="Bookman Old Style" w:hAnsi="Bookman Old Style"/>
                <w:sz w:val="24"/>
                <w:szCs w:val="24"/>
              </w:rPr>
              <w:t xml:space="preserve"> </w:t>
            </w:r>
            <w:r w:rsidRPr="00535477">
              <w:rPr>
                <w:rFonts w:ascii="Bookman Old Style" w:hAnsi="Bookman Old Style"/>
                <w:sz w:val="24"/>
                <w:szCs w:val="24"/>
                <w:lang w:val="id-ID"/>
              </w:rPr>
              <w:t xml:space="preserve">atau </w:t>
            </w:r>
            <w:r w:rsidRPr="00535477">
              <w:rPr>
                <w:rFonts w:ascii="Bookman Old Style" w:hAnsi="Bookman Old Style"/>
                <w:sz w:val="24"/>
                <w:szCs w:val="24"/>
              </w:rPr>
              <w:t xml:space="preserve">sebesar Rp90 </w:t>
            </w:r>
            <w:r w:rsidRPr="00535477">
              <w:rPr>
                <w:rFonts w:ascii="Bookman Old Style" w:hAnsi="Bookman Old Style"/>
                <w:sz w:val="24"/>
                <w:szCs w:val="24"/>
                <w:lang w:val="id-ID"/>
              </w:rPr>
              <w:t>miliar.</w:t>
            </w:r>
            <w:r w:rsidRPr="00535477">
              <w:rPr>
                <w:rFonts w:ascii="Bookman Old Style" w:hAnsi="Bookman Old Style"/>
                <w:sz w:val="24"/>
                <w:szCs w:val="24"/>
              </w:rPr>
              <w:t xml:space="preserve"> </w:t>
            </w:r>
          </w:p>
        </w:tc>
        <w:tc>
          <w:tcPr>
            <w:tcW w:w="3969" w:type="dxa"/>
          </w:tcPr>
          <w:p w14:paraId="069179FF" w14:textId="77777777" w:rsidR="00432AAD" w:rsidRPr="00535477" w:rsidRDefault="00432AAD" w:rsidP="0044583D">
            <w:pPr>
              <w:autoSpaceDE w:val="0"/>
              <w:autoSpaceDN w:val="0"/>
              <w:adjustRightInd w:val="0"/>
              <w:spacing w:line="360" w:lineRule="auto"/>
              <w:ind w:left="1763"/>
              <w:jc w:val="both"/>
              <w:rPr>
                <w:rFonts w:ascii="Bookman Old Style" w:hAnsi="Bookman Old Style"/>
                <w:sz w:val="24"/>
                <w:szCs w:val="24"/>
              </w:rPr>
            </w:pPr>
          </w:p>
        </w:tc>
        <w:tc>
          <w:tcPr>
            <w:tcW w:w="4536" w:type="dxa"/>
          </w:tcPr>
          <w:p w14:paraId="5D86F88F" w14:textId="77777777" w:rsidR="00432AAD" w:rsidRPr="00535477" w:rsidRDefault="00432AAD" w:rsidP="0044583D">
            <w:pPr>
              <w:autoSpaceDE w:val="0"/>
              <w:autoSpaceDN w:val="0"/>
              <w:adjustRightInd w:val="0"/>
              <w:spacing w:line="360" w:lineRule="auto"/>
              <w:ind w:left="1763"/>
              <w:jc w:val="both"/>
              <w:rPr>
                <w:rFonts w:ascii="Bookman Old Style" w:hAnsi="Bookman Old Style"/>
                <w:sz w:val="24"/>
                <w:szCs w:val="24"/>
              </w:rPr>
            </w:pPr>
          </w:p>
        </w:tc>
      </w:tr>
      <w:tr w:rsidR="00432AAD" w:rsidRPr="00535477" w14:paraId="6144CFEE" w14:textId="1DFA71EC" w:rsidTr="00AF03F6">
        <w:trPr>
          <w:trHeight w:val="67"/>
        </w:trPr>
        <w:tc>
          <w:tcPr>
            <w:tcW w:w="8784" w:type="dxa"/>
          </w:tcPr>
          <w:p w14:paraId="407EF333" w14:textId="77777777" w:rsidR="00432AAD" w:rsidRPr="00535477" w:rsidRDefault="00432AAD" w:rsidP="0044583D">
            <w:pPr>
              <w:pStyle w:val="ListParagraph"/>
              <w:spacing w:line="360" w:lineRule="auto"/>
              <w:ind w:left="738"/>
              <w:jc w:val="both"/>
              <w:rPr>
                <w:rFonts w:ascii="Bookman Old Style" w:hAnsi="Bookman Old Style"/>
                <w:sz w:val="24"/>
                <w:szCs w:val="24"/>
              </w:rPr>
            </w:pPr>
          </w:p>
        </w:tc>
        <w:tc>
          <w:tcPr>
            <w:tcW w:w="3969" w:type="dxa"/>
          </w:tcPr>
          <w:p w14:paraId="5E3E4B36" w14:textId="77777777" w:rsidR="00432AAD" w:rsidRPr="00535477" w:rsidRDefault="00432AAD" w:rsidP="0044583D">
            <w:pPr>
              <w:pStyle w:val="ListParagraph"/>
              <w:spacing w:line="360" w:lineRule="auto"/>
              <w:ind w:left="738"/>
              <w:jc w:val="both"/>
              <w:rPr>
                <w:rFonts w:ascii="Bookman Old Style" w:hAnsi="Bookman Old Style"/>
                <w:sz w:val="24"/>
                <w:szCs w:val="24"/>
              </w:rPr>
            </w:pPr>
          </w:p>
        </w:tc>
        <w:tc>
          <w:tcPr>
            <w:tcW w:w="4536" w:type="dxa"/>
          </w:tcPr>
          <w:p w14:paraId="2BF13AC2" w14:textId="77777777" w:rsidR="00432AAD" w:rsidRPr="00535477" w:rsidRDefault="00432AAD" w:rsidP="0044583D">
            <w:pPr>
              <w:pStyle w:val="ListParagraph"/>
              <w:spacing w:line="360" w:lineRule="auto"/>
              <w:ind w:left="738"/>
              <w:jc w:val="both"/>
              <w:rPr>
                <w:rFonts w:ascii="Bookman Old Style" w:hAnsi="Bookman Old Style"/>
                <w:sz w:val="24"/>
                <w:szCs w:val="24"/>
              </w:rPr>
            </w:pPr>
          </w:p>
        </w:tc>
      </w:tr>
      <w:tr w:rsidR="00432AAD" w:rsidRPr="00535477" w14:paraId="4E743C43" w14:textId="6067FE04" w:rsidTr="00AF03F6">
        <w:trPr>
          <w:trHeight w:val="67"/>
        </w:trPr>
        <w:tc>
          <w:tcPr>
            <w:tcW w:w="8784" w:type="dxa"/>
          </w:tcPr>
          <w:p w14:paraId="27E9C696"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PERHI</w:t>
            </w:r>
            <w:r>
              <w:rPr>
                <w:rFonts w:ascii="Bookman Old Style" w:hAnsi="Bookman Old Style"/>
                <w:sz w:val="24"/>
                <w:szCs w:val="24"/>
              </w:rPr>
              <w:t>TUNGAN ATMR UNTUK</w:t>
            </w:r>
            <w:r>
              <w:rPr>
                <w:rFonts w:ascii="Bookman Old Style" w:hAnsi="Bookman Old Style"/>
                <w:sz w:val="24"/>
                <w:szCs w:val="24"/>
              </w:rPr>
              <w:tab/>
              <w:t xml:space="preserve"> RISIKO OPERASIONAL </w:t>
            </w:r>
            <w:r w:rsidRPr="00535477">
              <w:rPr>
                <w:rFonts w:ascii="Bookman Old Style" w:hAnsi="Bookman Old Style"/>
                <w:sz w:val="24"/>
                <w:szCs w:val="24"/>
              </w:rPr>
              <w:t>DENGAN MENGGUNAKAN PENDEKATAN STANDAR</w:t>
            </w:r>
          </w:p>
        </w:tc>
        <w:tc>
          <w:tcPr>
            <w:tcW w:w="3969" w:type="dxa"/>
          </w:tcPr>
          <w:p w14:paraId="7E43901F" w14:textId="77777777" w:rsidR="00432AAD" w:rsidRPr="006918B8" w:rsidRDefault="00432AAD" w:rsidP="006918B8">
            <w:pPr>
              <w:spacing w:line="360" w:lineRule="auto"/>
              <w:ind w:left="18"/>
              <w:jc w:val="both"/>
              <w:rPr>
                <w:rFonts w:ascii="Bookman Old Style" w:hAnsi="Bookman Old Style"/>
                <w:sz w:val="24"/>
                <w:szCs w:val="24"/>
              </w:rPr>
            </w:pPr>
          </w:p>
        </w:tc>
        <w:tc>
          <w:tcPr>
            <w:tcW w:w="4536" w:type="dxa"/>
          </w:tcPr>
          <w:p w14:paraId="1088BB9E"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638E179" w14:textId="68925FE8" w:rsidTr="00AF03F6">
        <w:trPr>
          <w:trHeight w:val="67"/>
        </w:trPr>
        <w:tc>
          <w:tcPr>
            <w:tcW w:w="8784" w:type="dxa"/>
          </w:tcPr>
          <w:p w14:paraId="5C38B306"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Indikator Bisnis (IB) yaitu proksi untuk Risiko Operasional berdasarkan laporan keuangan.</w:t>
            </w:r>
          </w:p>
        </w:tc>
        <w:tc>
          <w:tcPr>
            <w:tcW w:w="3969" w:type="dxa"/>
          </w:tcPr>
          <w:p w14:paraId="02FA2CA3"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2763A5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21E9E47" w14:textId="1CAA285A" w:rsidTr="00AF03F6">
        <w:trPr>
          <w:trHeight w:val="67"/>
        </w:trPr>
        <w:tc>
          <w:tcPr>
            <w:tcW w:w="8784" w:type="dxa"/>
          </w:tcPr>
          <w:p w14:paraId="4F2E8ED6"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Komponen Indikator Bisnis (KIB) yaitu komponen yang dihasilkan melalui</w:t>
            </w:r>
            <w:r w:rsidRPr="00535477">
              <w:rPr>
                <w:rFonts w:ascii="Bookman Old Style" w:hAnsi="Bookman Old Style"/>
                <w:sz w:val="24"/>
                <w:szCs w:val="24"/>
              </w:rPr>
              <w:tab/>
              <w:t>perkalian</w:t>
            </w:r>
            <w:r w:rsidRPr="00535477">
              <w:rPr>
                <w:rFonts w:ascii="Bookman Old Style" w:hAnsi="Bookman Old Style"/>
                <w:sz w:val="24"/>
                <w:szCs w:val="24"/>
              </w:rPr>
              <w:tab/>
              <w:t>antara</w:t>
            </w:r>
            <w:r w:rsidRPr="00535477">
              <w:rPr>
                <w:rFonts w:ascii="Bookman Old Style" w:hAnsi="Bookman Old Style"/>
                <w:sz w:val="24"/>
                <w:szCs w:val="24"/>
              </w:rPr>
              <w:tab/>
              <w:t>IB</w:t>
            </w:r>
            <w:r w:rsidRPr="00535477">
              <w:rPr>
                <w:rFonts w:ascii="Bookman Old Style" w:hAnsi="Bookman Old Style"/>
                <w:sz w:val="24"/>
                <w:szCs w:val="24"/>
              </w:rPr>
              <w:tab/>
              <w:t>dengan koefisien marjinal (</w:t>
            </w:r>
            <w:r w:rsidRPr="008E7456">
              <w:rPr>
                <w:rFonts w:ascii="Bookman Old Style" w:hAnsi="Bookman Old Style" w:cs="Calibri"/>
                <w:sz w:val="24"/>
                <w:szCs w:val="24"/>
              </w:rPr>
              <w:sym w:font="Symbol" w:char="F061"/>
            </w:r>
            <w:r w:rsidRPr="00535477">
              <w:rPr>
                <w:rFonts w:ascii="Bookman Old Style" w:hAnsi="Bookman Old Style"/>
                <w:sz w:val="24"/>
                <w:szCs w:val="24"/>
              </w:rPr>
              <w:t>).</w:t>
            </w:r>
          </w:p>
          <w:p w14:paraId="482A8434"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Faktor Pengali Kerugian Intern (FPKI) yaitu faktor pengali yang dihitung berdasarkan nilai rata-rata kerugian historis yang dialami oleh LPEI dan nilai KIB.</w:t>
            </w:r>
          </w:p>
        </w:tc>
        <w:tc>
          <w:tcPr>
            <w:tcW w:w="3969" w:type="dxa"/>
          </w:tcPr>
          <w:p w14:paraId="57832D03" w14:textId="77777777" w:rsidR="00432AAD" w:rsidRPr="006918B8" w:rsidRDefault="00432AAD" w:rsidP="006918B8">
            <w:pPr>
              <w:spacing w:line="360" w:lineRule="auto"/>
              <w:ind w:left="738"/>
              <w:jc w:val="both"/>
              <w:rPr>
                <w:rFonts w:ascii="Bookman Old Style" w:hAnsi="Bookman Old Style"/>
                <w:sz w:val="24"/>
                <w:szCs w:val="24"/>
              </w:rPr>
            </w:pPr>
          </w:p>
        </w:tc>
        <w:tc>
          <w:tcPr>
            <w:tcW w:w="4536" w:type="dxa"/>
          </w:tcPr>
          <w:p w14:paraId="46DAD65E"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2487E43" w14:textId="545EAD89" w:rsidTr="00AF03F6">
        <w:trPr>
          <w:trHeight w:val="67"/>
        </w:trPr>
        <w:tc>
          <w:tcPr>
            <w:tcW w:w="8784" w:type="dxa"/>
          </w:tcPr>
          <w:p w14:paraId="0BAAC60A"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 xml:space="preserve">Modal Minimum Risiko Operasional (MMRO) dengan menggunakan pendekatan standar yaitu modal minimum yang dihitung berdasarkan hasil perkalian antara KIB dan FPKI dengan rumus sebagai berikut: </w:t>
            </w:r>
          </w:p>
          <w:p w14:paraId="317C229C" w14:textId="77777777" w:rsidR="00432AAD" w:rsidRPr="00535477" w:rsidRDefault="00432AAD" w:rsidP="0044583D">
            <w:pPr>
              <w:pStyle w:val="ListParagraph"/>
              <w:spacing w:line="360" w:lineRule="auto"/>
              <w:ind w:left="738"/>
              <w:jc w:val="center"/>
              <w:rPr>
                <w:rFonts w:ascii="Bookman Old Style" w:hAnsi="Bookman Old Style"/>
                <w:sz w:val="24"/>
                <w:szCs w:val="24"/>
              </w:rPr>
            </w:pPr>
            <w:r w:rsidRPr="00535477">
              <w:rPr>
                <w:rFonts w:ascii="Bookman Old Style" w:hAnsi="Bookman Old Style"/>
                <w:sz w:val="24"/>
                <w:szCs w:val="24"/>
              </w:rPr>
              <w:t xml:space="preserve">MMRO = KIB x FPKI = (IB x </w:t>
            </w:r>
            <w:r w:rsidRPr="008E7456">
              <w:rPr>
                <w:rFonts w:ascii="Bookman Old Style" w:hAnsi="Bookman Old Style" w:cs="Calibri"/>
                <w:sz w:val="24"/>
                <w:szCs w:val="24"/>
              </w:rPr>
              <w:sym w:font="Symbol" w:char="F061"/>
            </w:r>
            <w:r w:rsidRPr="00535477">
              <w:rPr>
                <w:rFonts w:ascii="Bookman Old Style" w:hAnsi="Bookman Old Style"/>
                <w:sz w:val="24"/>
                <w:szCs w:val="24"/>
              </w:rPr>
              <w:t>) x FPKI</w:t>
            </w:r>
          </w:p>
        </w:tc>
        <w:tc>
          <w:tcPr>
            <w:tcW w:w="3969" w:type="dxa"/>
          </w:tcPr>
          <w:p w14:paraId="0DB77CC5"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F34555B"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3820535" w14:textId="25BB762D" w:rsidTr="00AF03F6">
        <w:trPr>
          <w:trHeight w:val="67"/>
        </w:trPr>
        <w:tc>
          <w:tcPr>
            <w:tcW w:w="8784" w:type="dxa"/>
          </w:tcPr>
          <w:p w14:paraId="32207DAC" w14:textId="77777777" w:rsidR="00432AAD" w:rsidRPr="00535477" w:rsidRDefault="00432AAD" w:rsidP="00AA293F">
            <w:pPr>
              <w:pStyle w:val="ListParagraph"/>
              <w:numPr>
                <w:ilvl w:val="3"/>
                <w:numId w:val="26"/>
              </w:numPr>
              <w:spacing w:line="360" w:lineRule="auto"/>
              <w:ind w:left="1305" w:hanging="567"/>
              <w:jc w:val="both"/>
              <w:rPr>
                <w:rFonts w:ascii="Bookman Old Style" w:hAnsi="Bookman Old Style"/>
                <w:sz w:val="24"/>
                <w:szCs w:val="24"/>
              </w:rPr>
            </w:pPr>
            <w:r w:rsidRPr="00CC18DE">
              <w:rPr>
                <w:rFonts w:ascii="Bookman Old Style" w:hAnsi="Bookman Old Style"/>
                <w:sz w:val="24"/>
                <w:szCs w:val="24"/>
              </w:rPr>
              <w:t>Dalam memperhitungkan KIB, LPEI dibagi dalam 3 (tiga) kategori (</w:t>
            </w:r>
            <w:r w:rsidRPr="00CC18DE">
              <w:rPr>
                <w:rFonts w:ascii="Bookman Old Style" w:hAnsi="Bookman Old Style"/>
                <w:i/>
                <w:sz w:val="24"/>
                <w:szCs w:val="24"/>
              </w:rPr>
              <w:t>bucket</w:t>
            </w:r>
            <w:r w:rsidRPr="00CC18DE">
              <w:rPr>
                <w:rFonts w:ascii="Bookman Old Style" w:hAnsi="Bookman Old Style"/>
                <w:sz w:val="24"/>
                <w:szCs w:val="24"/>
              </w:rPr>
              <w:t>) yang dibedakan berdasarkan rentang IB.</w:t>
            </w:r>
          </w:p>
        </w:tc>
        <w:tc>
          <w:tcPr>
            <w:tcW w:w="3969" w:type="dxa"/>
          </w:tcPr>
          <w:p w14:paraId="7C639514"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3B16854"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B750381" w14:textId="67FC1908" w:rsidTr="00AF03F6">
        <w:trPr>
          <w:trHeight w:val="67"/>
        </w:trPr>
        <w:tc>
          <w:tcPr>
            <w:tcW w:w="8784" w:type="dxa"/>
          </w:tcPr>
          <w:p w14:paraId="4E0E84F1" w14:textId="77777777" w:rsidR="00432AAD" w:rsidRPr="001A4A2F"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1A4A2F">
              <w:rPr>
                <w:rFonts w:ascii="Bookman Old Style" w:hAnsi="Bookman Old Style"/>
                <w:sz w:val="24"/>
                <w:szCs w:val="24"/>
              </w:rPr>
              <w:t>Dalam hal LPEI bermaksud mengajukan permohonan persetujuan kepada Otoritas Jasa Keuangan untuk dapat:</w:t>
            </w:r>
          </w:p>
          <w:p w14:paraId="1E0EDE5B" w14:textId="77777777" w:rsidR="00432AAD" w:rsidRPr="001A4A2F" w:rsidRDefault="00432AAD" w:rsidP="001A4A2F">
            <w:pPr>
              <w:pStyle w:val="ListParagraph"/>
              <w:numPr>
                <w:ilvl w:val="1"/>
                <w:numId w:val="28"/>
              </w:numPr>
              <w:spacing w:line="360" w:lineRule="auto"/>
              <w:ind w:left="1871" w:hanging="567"/>
              <w:jc w:val="both"/>
              <w:rPr>
                <w:rFonts w:ascii="Bookman Old Style" w:hAnsi="Bookman Old Style"/>
                <w:sz w:val="24"/>
                <w:szCs w:val="24"/>
              </w:rPr>
            </w:pPr>
            <w:r w:rsidRPr="001A4A2F">
              <w:rPr>
                <w:rFonts w:ascii="Bookman Old Style" w:hAnsi="Bookman Old Style"/>
                <w:sz w:val="24"/>
                <w:szCs w:val="24"/>
              </w:rPr>
              <w:t>memperhitungkan data kerugian intern dalam perhitungan FPKI, bagi LPEI yang tergolong dalam kategori (</w:t>
            </w:r>
            <w:r w:rsidRPr="001A4A2F">
              <w:rPr>
                <w:rFonts w:ascii="Bookman Old Style" w:hAnsi="Bookman Old Style"/>
                <w:i/>
                <w:sz w:val="24"/>
                <w:szCs w:val="24"/>
              </w:rPr>
              <w:t>bucket</w:t>
            </w:r>
            <w:r w:rsidRPr="001A4A2F">
              <w:rPr>
                <w:rFonts w:ascii="Bookman Old Style" w:hAnsi="Bookman Old Style"/>
                <w:sz w:val="24"/>
                <w:szCs w:val="24"/>
              </w:rPr>
              <w:t>) IB 1;</w:t>
            </w:r>
          </w:p>
        </w:tc>
        <w:tc>
          <w:tcPr>
            <w:tcW w:w="3969" w:type="dxa"/>
          </w:tcPr>
          <w:p w14:paraId="2BB4196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D5942CA"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9EB7147" w14:textId="74641506" w:rsidTr="00AF03F6">
        <w:trPr>
          <w:trHeight w:val="67"/>
        </w:trPr>
        <w:tc>
          <w:tcPr>
            <w:tcW w:w="8784" w:type="dxa"/>
          </w:tcPr>
          <w:p w14:paraId="1314396B" w14:textId="77777777" w:rsidR="00432AAD" w:rsidRPr="001A4A2F" w:rsidRDefault="00432AAD" w:rsidP="001A4A2F">
            <w:pPr>
              <w:pStyle w:val="ListParagraph"/>
              <w:numPr>
                <w:ilvl w:val="1"/>
                <w:numId w:val="28"/>
              </w:numPr>
              <w:spacing w:line="360" w:lineRule="auto"/>
              <w:ind w:left="1871" w:hanging="567"/>
              <w:jc w:val="both"/>
              <w:rPr>
                <w:rFonts w:ascii="Bookman Old Style" w:hAnsi="Bookman Old Style"/>
                <w:sz w:val="24"/>
                <w:szCs w:val="24"/>
              </w:rPr>
            </w:pPr>
            <w:r w:rsidRPr="001A4A2F">
              <w:rPr>
                <w:rFonts w:ascii="Bookman Old Style" w:hAnsi="Bookman Old Style"/>
                <w:sz w:val="24"/>
                <w:szCs w:val="24"/>
              </w:rPr>
              <w:t>mengecualikan kejadian kerugian intern Risiko Operasional yang tidak relevan dengan profil risiko LPEI dari data kerugian intern; dan/atau</w:t>
            </w:r>
          </w:p>
        </w:tc>
        <w:tc>
          <w:tcPr>
            <w:tcW w:w="3969" w:type="dxa"/>
          </w:tcPr>
          <w:p w14:paraId="35694710" w14:textId="77777777" w:rsidR="00432AAD" w:rsidRPr="006918B8" w:rsidRDefault="00432AAD" w:rsidP="006918B8">
            <w:pPr>
              <w:spacing w:line="360" w:lineRule="auto"/>
              <w:ind w:left="1304"/>
              <w:jc w:val="both"/>
              <w:rPr>
                <w:rFonts w:ascii="Bookman Old Style" w:hAnsi="Bookman Old Style"/>
                <w:sz w:val="24"/>
                <w:szCs w:val="24"/>
              </w:rPr>
            </w:pPr>
          </w:p>
        </w:tc>
        <w:tc>
          <w:tcPr>
            <w:tcW w:w="4536" w:type="dxa"/>
          </w:tcPr>
          <w:p w14:paraId="3E87789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27FD6DC" w14:textId="6E2B45E6" w:rsidTr="00AF03F6">
        <w:trPr>
          <w:trHeight w:val="67"/>
        </w:trPr>
        <w:tc>
          <w:tcPr>
            <w:tcW w:w="8784" w:type="dxa"/>
          </w:tcPr>
          <w:p w14:paraId="28655523" w14:textId="77777777" w:rsidR="00432AAD" w:rsidRPr="001A4A2F" w:rsidRDefault="00432AAD" w:rsidP="001A4A2F">
            <w:pPr>
              <w:pStyle w:val="ListParagraph"/>
              <w:numPr>
                <w:ilvl w:val="1"/>
                <w:numId w:val="28"/>
              </w:numPr>
              <w:spacing w:line="360" w:lineRule="auto"/>
              <w:ind w:left="1871" w:hanging="567"/>
              <w:jc w:val="both"/>
              <w:rPr>
                <w:rFonts w:ascii="Bookman Old Style" w:hAnsi="Bookman Old Style"/>
                <w:sz w:val="24"/>
                <w:szCs w:val="24"/>
              </w:rPr>
            </w:pPr>
            <w:r w:rsidRPr="001A4A2F">
              <w:rPr>
                <w:rFonts w:ascii="Bookman Old Style" w:hAnsi="Bookman Old Style"/>
                <w:sz w:val="24"/>
                <w:szCs w:val="24"/>
              </w:rPr>
              <w:t>mengecualikan aktivitas yang didivestasi dari perhitungan IB,</w:t>
            </w:r>
          </w:p>
        </w:tc>
        <w:tc>
          <w:tcPr>
            <w:tcW w:w="3969" w:type="dxa"/>
          </w:tcPr>
          <w:p w14:paraId="52463B0F"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0D25761A"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D25CFFE" w14:textId="71308C7F" w:rsidTr="00AF03F6">
        <w:trPr>
          <w:trHeight w:val="67"/>
        </w:trPr>
        <w:tc>
          <w:tcPr>
            <w:tcW w:w="8784" w:type="dxa"/>
          </w:tcPr>
          <w:p w14:paraId="0D62AA24" w14:textId="77777777" w:rsidR="00432AAD" w:rsidRPr="00535477" w:rsidRDefault="00432AAD" w:rsidP="003D5174">
            <w:pPr>
              <w:spacing w:line="360" w:lineRule="auto"/>
              <w:ind w:left="1305"/>
              <w:jc w:val="both"/>
              <w:rPr>
                <w:rFonts w:ascii="Bookman Old Style" w:hAnsi="Bookman Old Style"/>
                <w:sz w:val="24"/>
                <w:szCs w:val="24"/>
              </w:rPr>
            </w:pPr>
            <w:r w:rsidRPr="00535477">
              <w:rPr>
                <w:rFonts w:ascii="Bookman Old Style" w:hAnsi="Bookman Old Style"/>
                <w:sz w:val="24"/>
                <w:szCs w:val="24"/>
              </w:rPr>
              <w:t xml:space="preserve">LPEI dapat mengajukan permohonan persetujuan secara tertulis kepada Otoritas Jasa Keuangan melalui </w:t>
            </w:r>
            <w:r>
              <w:rPr>
                <w:rFonts w:ascii="Bookman Old Style" w:hAnsi="Bookman Old Style"/>
                <w:sz w:val="24"/>
                <w:szCs w:val="24"/>
              </w:rPr>
              <w:t>Direktorat</w:t>
            </w:r>
            <w:r w:rsidRPr="00535477">
              <w:rPr>
                <w:rFonts w:ascii="Bookman Old Style" w:hAnsi="Bookman Old Style"/>
                <w:sz w:val="24"/>
                <w:szCs w:val="24"/>
              </w:rPr>
              <w:t xml:space="preserve"> Pengawasan Lembaga Keuangan Khusus.</w:t>
            </w:r>
          </w:p>
        </w:tc>
        <w:tc>
          <w:tcPr>
            <w:tcW w:w="3969" w:type="dxa"/>
          </w:tcPr>
          <w:p w14:paraId="25F1A590" w14:textId="77777777" w:rsidR="00432AAD" w:rsidRPr="00535477" w:rsidRDefault="00432AAD" w:rsidP="003D5174">
            <w:pPr>
              <w:spacing w:line="360" w:lineRule="auto"/>
              <w:ind w:left="1305"/>
              <w:jc w:val="both"/>
              <w:rPr>
                <w:rFonts w:ascii="Bookman Old Style" w:hAnsi="Bookman Old Style"/>
                <w:sz w:val="24"/>
                <w:szCs w:val="24"/>
              </w:rPr>
            </w:pPr>
          </w:p>
        </w:tc>
        <w:tc>
          <w:tcPr>
            <w:tcW w:w="4536" w:type="dxa"/>
          </w:tcPr>
          <w:p w14:paraId="6E8AE828" w14:textId="77777777" w:rsidR="00432AAD" w:rsidRPr="00535477" w:rsidRDefault="00432AAD" w:rsidP="003D5174">
            <w:pPr>
              <w:spacing w:line="360" w:lineRule="auto"/>
              <w:ind w:left="1305"/>
              <w:jc w:val="both"/>
              <w:rPr>
                <w:rFonts w:ascii="Bookman Old Style" w:hAnsi="Bookman Old Style"/>
                <w:sz w:val="24"/>
                <w:szCs w:val="24"/>
              </w:rPr>
            </w:pPr>
          </w:p>
        </w:tc>
      </w:tr>
      <w:tr w:rsidR="00432AAD" w:rsidRPr="00535477" w14:paraId="74AB43C8" w14:textId="61F948D4" w:rsidTr="00AF03F6">
        <w:trPr>
          <w:trHeight w:val="67"/>
        </w:trPr>
        <w:tc>
          <w:tcPr>
            <w:tcW w:w="8784" w:type="dxa"/>
          </w:tcPr>
          <w:p w14:paraId="4EA8FD7E"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Untuk menghitung ATMR untuk Risiko Operasional dalam perhitungan KPMM, LPEI menggunakan rumus sebagai berikut:</w:t>
            </w:r>
          </w:p>
          <w:p w14:paraId="4411A9C8" w14:textId="77777777" w:rsidR="00432AAD" w:rsidRPr="00535477" w:rsidRDefault="00432AAD" w:rsidP="0044583D">
            <w:pPr>
              <w:pStyle w:val="ListParagraph"/>
              <w:spacing w:line="360" w:lineRule="auto"/>
              <w:ind w:left="1305"/>
              <w:jc w:val="both"/>
              <w:rPr>
                <w:rFonts w:ascii="Bookman Old Style" w:hAnsi="Bookman Old Style"/>
                <w:sz w:val="24"/>
                <w:szCs w:val="24"/>
              </w:rPr>
            </w:pPr>
            <w:r w:rsidRPr="00535477">
              <w:rPr>
                <w:rFonts w:ascii="Bookman Old Style" w:hAnsi="Bookman Old Style"/>
                <w:sz w:val="24"/>
                <w:szCs w:val="24"/>
              </w:rPr>
              <w:t>ATMR Risiko Operasional dengan Menggunakan Pendekatan Standar = 12.5 x MMRO</w:t>
            </w:r>
          </w:p>
        </w:tc>
        <w:tc>
          <w:tcPr>
            <w:tcW w:w="3969" w:type="dxa"/>
          </w:tcPr>
          <w:p w14:paraId="5EA53626"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336BE86C"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F76AA14" w14:textId="4DC0574B" w:rsidTr="00AF03F6">
        <w:trPr>
          <w:trHeight w:val="67"/>
        </w:trPr>
        <w:tc>
          <w:tcPr>
            <w:tcW w:w="8784" w:type="dxa"/>
          </w:tcPr>
          <w:p w14:paraId="69543F99"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Perhitungan ATMR untuk Risiko Operasional dengan menggunakan pendekatan standar digunakan dalam perhitungan rasio KPMM LPEI sepanjang tahun tersebut.</w:t>
            </w:r>
          </w:p>
          <w:p w14:paraId="6018B8CE" w14:textId="77777777" w:rsidR="00432AAD" w:rsidRPr="00535477" w:rsidRDefault="00432AAD" w:rsidP="0044583D">
            <w:pPr>
              <w:pStyle w:val="ListParagraph"/>
              <w:spacing w:line="360" w:lineRule="auto"/>
              <w:ind w:left="1305"/>
              <w:jc w:val="both"/>
              <w:rPr>
                <w:rFonts w:ascii="Bookman Old Style" w:hAnsi="Bookman Old Style"/>
                <w:sz w:val="24"/>
                <w:szCs w:val="24"/>
              </w:rPr>
            </w:pPr>
            <w:r w:rsidRPr="00535477">
              <w:rPr>
                <w:rFonts w:ascii="Bookman Old Style" w:hAnsi="Bookman Old Style"/>
                <w:sz w:val="24"/>
                <w:szCs w:val="24"/>
              </w:rPr>
              <w:t>Contoh: ATMR untuk Risiko Operasional tahun 2023 akan digunakan dalam perhitungan rasio KPMM posisi bulan Januari 2023 sampai dengan bulan Desember 2023.</w:t>
            </w:r>
          </w:p>
        </w:tc>
        <w:tc>
          <w:tcPr>
            <w:tcW w:w="3969" w:type="dxa"/>
          </w:tcPr>
          <w:p w14:paraId="484100C3"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66E1ACD7"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7C0D16A3" w14:textId="7AB090B7" w:rsidTr="00AF03F6">
        <w:trPr>
          <w:trHeight w:val="67"/>
        </w:trPr>
        <w:tc>
          <w:tcPr>
            <w:tcW w:w="8784" w:type="dxa"/>
          </w:tcPr>
          <w:p w14:paraId="766782AD" w14:textId="77777777" w:rsidR="00432AAD" w:rsidRPr="00535477" w:rsidRDefault="00432AAD" w:rsidP="001C51AB">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 xml:space="preserve">ATMR untuk Risiko Operasional dengan menggunakan pendekatan standar dalam Surat Edaran Otoritas Jasa Keuangan ini pertama kali diperhitungkan dalam rasio KPMM untuk posisi Januari 2023. </w:t>
            </w:r>
          </w:p>
        </w:tc>
        <w:tc>
          <w:tcPr>
            <w:tcW w:w="3969" w:type="dxa"/>
          </w:tcPr>
          <w:p w14:paraId="7188F5D9"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62ACA9CD"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7F733919" w14:textId="14FAF7EA" w:rsidTr="00AF03F6">
        <w:trPr>
          <w:trHeight w:val="67"/>
        </w:trPr>
        <w:tc>
          <w:tcPr>
            <w:tcW w:w="8784" w:type="dxa"/>
          </w:tcPr>
          <w:p w14:paraId="1D2A6BB8" w14:textId="77777777"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Perhitungan ATMR untuk Risiko Operasional dengan menggunakan pendekatan standar dalam Surat Edaran Otoritas Jasa Keuangan ini diterapkan LPEI secara individu dan secara konsolidasi.</w:t>
            </w:r>
          </w:p>
        </w:tc>
        <w:tc>
          <w:tcPr>
            <w:tcW w:w="3969" w:type="dxa"/>
          </w:tcPr>
          <w:p w14:paraId="457A6A1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7B0588B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495978B" w14:textId="1E5A19D0" w:rsidTr="00AF03F6">
        <w:trPr>
          <w:trHeight w:val="67"/>
        </w:trPr>
        <w:tc>
          <w:tcPr>
            <w:tcW w:w="8784" w:type="dxa"/>
          </w:tcPr>
          <w:p w14:paraId="02626A53" w14:textId="094AFA4D" w:rsidR="00432AAD" w:rsidRPr="00535477" w:rsidRDefault="00432AAD" w:rsidP="001A4A2F">
            <w:pPr>
              <w:pStyle w:val="ListParagraph"/>
              <w:numPr>
                <w:ilvl w:val="3"/>
                <w:numId w:val="26"/>
              </w:numPr>
              <w:spacing w:line="360" w:lineRule="auto"/>
              <w:ind w:left="1305" w:hanging="567"/>
              <w:jc w:val="both"/>
              <w:rPr>
                <w:rFonts w:ascii="Bookman Old Style" w:hAnsi="Bookman Old Style"/>
                <w:sz w:val="24"/>
                <w:szCs w:val="24"/>
              </w:rPr>
            </w:pPr>
            <w:r w:rsidRPr="00535477">
              <w:rPr>
                <w:rFonts w:ascii="Bookman Old Style" w:hAnsi="Bookman Old Style"/>
                <w:sz w:val="24"/>
                <w:szCs w:val="24"/>
              </w:rPr>
              <w:t>Tata cara perhitungan ATMR untuk Risiko Operasional dengan menggunakan pendekatan standar berpedoman pada Lampiran</w:t>
            </w:r>
            <w:r w:rsidR="006918B8">
              <w:rPr>
                <w:rFonts w:ascii="Bookman Old Style" w:hAnsi="Bookman Old Style"/>
                <w:sz w:val="24"/>
                <w:szCs w:val="24"/>
              </w:rPr>
              <w:t xml:space="preserve"> </w:t>
            </w:r>
            <w:r>
              <w:rPr>
                <w:rFonts w:ascii="Bookman Old Style" w:hAnsi="Bookman Old Style"/>
                <w:sz w:val="24"/>
                <w:szCs w:val="24"/>
              </w:rPr>
              <w:t xml:space="preserve">II </w:t>
            </w:r>
            <w:r w:rsidRPr="00535477">
              <w:rPr>
                <w:rFonts w:ascii="Bookman Old Style" w:hAnsi="Bookman Old Style"/>
                <w:sz w:val="24"/>
                <w:szCs w:val="24"/>
              </w:rPr>
              <w:t>yang merupakan bagian tidak terpisahkan dari Surat Edaran Otoritas Jasa Keuangan ini.</w:t>
            </w:r>
          </w:p>
        </w:tc>
        <w:tc>
          <w:tcPr>
            <w:tcW w:w="3969" w:type="dxa"/>
          </w:tcPr>
          <w:p w14:paraId="026A69F0" w14:textId="77777777" w:rsidR="00432AAD" w:rsidRPr="006918B8" w:rsidRDefault="00432AAD" w:rsidP="006918B8">
            <w:pPr>
              <w:spacing w:line="360" w:lineRule="auto"/>
              <w:ind w:left="738"/>
              <w:jc w:val="both"/>
              <w:rPr>
                <w:rFonts w:ascii="Bookman Old Style" w:hAnsi="Bookman Old Style"/>
                <w:sz w:val="24"/>
                <w:szCs w:val="24"/>
              </w:rPr>
            </w:pPr>
          </w:p>
        </w:tc>
        <w:tc>
          <w:tcPr>
            <w:tcW w:w="4536" w:type="dxa"/>
          </w:tcPr>
          <w:p w14:paraId="019D11DD"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704C8D8" w14:textId="01C301D6" w:rsidTr="00AF03F6">
        <w:trPr>
          <w:trHeight w:val="67"/>
        </w:trPr>
        <w:tc>
          <w:tcPr>
            <w:tcW w:w="8784" w:type="dxa"/>
          </w:tcPr>
          <w:p w14:paraId="49E37B7A" w14:textId="77777777" w:rsidR="00432AAD" w:rsidRPr="00535477" w:rsidRDefault="00432AAD" w:rsidP="0044583D">
            <w:pPr>
              <w:pStyle w:val="ListParagraph"/>
              <w:spacing w:line="360" w:lineRule="auto"/>
              <w:ind w:left="1305"/>
              <w:jc w:val="both"/>
              <w:rPr>
                <w:rFonts w:ascii="Bookman Old Style" w:hAnsi="Bookman Old Style"/>
                <w:sz w:val="24"/>
                <w:szCs w:val="24"/>
              </w:rPr>
            </w:pPr>
          </w:p>
        </w:tc>
        <w:tc>
          <w:tcPr>
            <w:tcW w:w="3969" w:type="dxa"/>
          </w:tcPr>
          <w:p w14:paraId="00442865" w14:textId="77777777" w:rsidR="00432AAD" w:rsidRPr="00535477" w:rsidRDefault="00432AAD" w:rsidP="0044583D">
            <w:pPr>
              <w:pStyle w:val="ListParagraph"/>
              <w:spacing w:line="360" w:lineRule="auto"/>
              <w:ind w:left="1305"/>
              <w:jc w:val="both"/>
              <w:rPr>
                <w:rFonts w:ascii="Bookman Old Style" w:hAnsi="Bookman Old Style"/>
                <w:sz w:val="24"/>
                <w:szCs w:val="24"/>
              </w:rPr>
            </w:pPr>
          </w:p>
        </w:tc>
        <w:tc>
          <w:tcPr>
            <w:tcW w:w="4536" w:type="dxa"/>
          </w:tcPr>
          <w:p w14:paraId="312A2B36" w14:textId="77777777" w:rsidR="00432AAD" w:rsidRPr="00535477" w:rsidRDefault="00432AAD" w:rsidP="0044583D">
            <w:pPr>
              <w:pStyle w:val="ListParagraph"/>
              <w:spacing w:line="360" w:lineRule="auto"/>
              <w:ind w:left="1305"/>
              <w:jc w:val="both"/>
              <w:rPr>
                <w:rFonts w:ascii="Bookman Old Style" w:hAnsi="Bookman Old Style"/>
                <w:sz w:val="24"/>
                <w:szCs w:val="24"/>
              </w:rPr>
            </w:pPr>
          </w:p>
        </w:tc>
      </w:tr>
      <w:tr w:rsidR="00432AAD" w:rsidRPr="00535477" w14:paraId="21172134" w14:textId="39C88BFF" w:rsidTr="00AF03F6">
        <w:trPr>
          <w:trHeight w:val="67"/>
        </w:trPr>
        <w:tc>
          <w:tcPr>
            <w:tcW w:w="8784" w:type="dxa"/>
          </w:tcPr>
          <w:p w14:paraId="4D99D1EC"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PERHITUNGAN ATMR UNTUK RISIKO KREDIT DENGAN MENGGUNAKAN PENDEKATAN STANDAR</w:t>
            </w:r>
          </w:p>
        </w:tc>
        <w:tc>
          <w:tcPr>
            <w:tcW w:w="3969" w:type="dxa"/>
          </w:tcPr>
          <w:p w14:paraId="7430729A"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DAF8ADE"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D4D2E37" w14:textId="326F44E9" w:rsidTr="00AF03F6">
        <w:trPr>
          <w:trHeight w:val="67"/>
        </w:trPr>
        <w:tc>
          <w:tcPr>
            <w:tcW w:w="8784" w:type="dxa"/>
          </w:tcPr>
          <w:p w14:paraId="0F6192E6" w14:textId="77777777" w:rsidR="00432AAD" w:rsidRPr="00535477" w:rsidRDefault="00432AAD" w:rsidP="001A4A2F">
            <w:pPr>
              <w:pStyle w:val="ListParagraph"/>
              <w:numPr>
                <w:ilvl w:val="0"/>
                <w:numId w:val="29"/>
              </w:numPr>
              <w:spacing w:line="360" w:lineRule="auto"/>
              <w:ind w:left="1304" w:hanging="567"/>
              <w:jc w:val="both"/>
              <w:rPr>
                <w:rFonts w:ascii="Bookman Old Style" w:hAnsi="Bookman Old Style"/>
                <w:sz w:val="24"/>
                <w:szCs w:val="24"/>
              </w:rPr>
            </w:pPr>
            <w:r w:rsidRPr="00535477">
              <w:rPr>
                <w:rFonts w:ascii="Bookman Old Style" w:hAnsi="Bookman Old Style"/>
                <w:sz w:val="24"/>
                <w:szCs w:val="24"/>
              </w:rPr>
              <w:t>Perhitungan ATMR Risiko Kredit-Pendekatan Standar</w:t>
            </w:r>
          </w:p>
        </w:tc>
        <w:tc>
          <w:tcPr>
            <w:tcW w:w="3969" w:type="dxa"/>
          </w:tcPr>
          <w:p w14:paraId="5EE90315" w14:textId="77777777" w:rsidR="00432AAD" w:rsidRPr="006918B8" w:rsidRDefault="00432AAD" w:rsidP="006918B8">
            <w:pPr>
              <w:spacing w:line="360" w:lineRule="auto"/>
              <w:ind w:left="737"/>
              <w:jc w:val="both"/>
              <w:rPr>
                <w:rFonts w:ascii="Bookman Old Style" w:hAnsi="Bookman Old Style"/>
                <w:sz w:val="24"/>
                <w:szCs w:val="24"/>
              </w:rPr>
            </w:pPr>
          </w:p>
        </w:tc>
        <w:tc>
          <w:tcPr>
            <w:tcW w:w="4536" w:type="dxa"/>
          </w:tcPr>
          <w:p w14:paraId="71B36573"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D8A741A" w14:textId="0A47DF92" w:rsidTr="00AF03F6">
        <w:trPr>
          <w:trHeight w:val="67"/>
        </w:trPr>
        <w:tc>
          <w:tcPr>
            <w:tcW w:w="8784" w:type="dxa"/>
          </w:tcPr>
          <w:p w14:paraId="04F2B15A" w14:textId="77777777" w:rsidR="00432AAD" w:rsidRPr="00535477" w:rsidRDefault="00432AAD" w:rsidP="001A4A2F">
            <w:pPr>
              <w:pStyle w:val="ListParagraph"/>
              <w:numPr>
                <w:ilvl w:val="0"/>
                <w:numId w:val="36"/>
              </w:numPr>
              <w:spacing w:line="360" w:lineRule="auto"/>
              <w:ind w:left="1871" w:hanging="567"/>
              <w:jc w:val="both"/>
              <w:rPr>
                <w:rFonts w:ascii="Bookman Old Style" w:hAnsi="Bookman Old Style"/>
                <w:sz w:val="24"/>
                <w:szCs w:val="24"/>
              </w:rPr>
            </w:pPr>
            <w:r w:rsidRPr="00535477">
              <w:rPr>
                <w:rFonts w:ascii="Bookman Old Style" w:hAnsi="Bookman Old Style"/>
                <w:sz w:val="24"/>
                <w:szCs w:val="24"/>
              </w:rPr>
              <w:t>Perhitungan ATMR Risiko Kredit-Pendekatan Standar yang dihitung oleh LPEI mencakup:</w:t>
            </w:r>
          </w:p>
        </w:tc>
        <w:tc>
          <w:tcPr>
            <w:tcW w:w="3969" w:type="dxa"/>
          </w:tcPr>
          <w:p w14:paraId="1D8A81D6"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0258A20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68643BA" w14:textId="1D4BE286" w:rsidTr="00AF03F6">
        <w:trPr>
          <w:trHeight w:val="67"/>
        </w:trPr>
        <w:tc>
          <w:tcPr>
            <w:tcW w:w="8784" w:type="dxa"/>
          </w:tcPr>
          <w:p w14:paraId="7395024D" w14:textId="77777777" w:rsidR="00432AAD" w:rsidRPr="00535477" w:rsidRDefault="00432AAD" w:rsidP="001A4A2F">
            <w:pPr>
              <w:pStyle w:val="ListParagraph"/>
              <w:numPr>
                <w:ilvl w:val="0"/>
                <w:numId w:val="30"/>
              </w:numPr>
              <w:spacing w:line="360" w:lineRule="auto"/>
              <w:ind w:left="2297" w:hanging="425"/>
              <w:jc w:val="both"/>
              <w:rPr>
                <w:rFonts w:ascii="Bookman Old Style" w:hAnsi="Bookman Old Style"/>
                <w:sz w:val="24"/>
                <w:szCs w:val="24"/>
              </w:rPr>
            </w:pPr>
            <w:r w:rsidRPr="00535477">
              <w:rPr>
                <w:rFonts w:ascii="Bookman Old Style" w:hAnsi="Bookman Old Style"/>
                <w:sz w:val="24"/>
                <w:szCs w:val="24"/>
              </w:rPr>
              <w:t>Eksposur aset dalam laporan posisi keuangan serta kewajiban komitmen atau kewajiban kontinjensi pada Transaksi Rekening Administratif (TRA), namun tidak termasuk:</w:t>
            </w:r>
          </w:p>
        </w:tc>
        <w:tc>
          <w:tcPr>
            <w:tcW w:w="3969" w:type="dxa"/>
          </w:tcPr>
          <w:p w14:paraId="566CD825"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033DE037"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E84B1BB" w14:textId="77CF4491" w:rsidTr="00AF03F6">
        <w:trPr>
          <w:trHeight w:val="67"/>
        </w:trPr>
        <w:tc>
          <w:tcPr>
            <w:tcW w:w="8784" w:type="dxa"/>
          </w:tcPr>
          <w:p w14:paraId="57E104DF" w14:textId="77777777" w:rsidR="00432AAD" w:rsidRPr="00535477" w:rsidRDefault="00432AAD" w:rsidP="00F7251C">
            <w:pPr>
              <w:pStyle w:val="ListParagraph"/>
              <w:numPr>
                <w:ilvl w:val="0"/>
                <w:numId w:val="37"/>
              </w:numPr>
              <w:spacing w:line="360" w:lineRule="auto"/>
              <w:ind w:left="2863" w:hanging="567"/>
              <w:jc w:val="both"/>
              <w:rPr>
                <w:rFonts w:ascii="Bookman Old Style" w:hAnsi="Bookman Old Style"/>
                <w:sz w:val="24"/>
                <w:szCs w:val="24"/>
              </w:rPr>
            </w:pPr>
            <w:r w:rsidRPr="00535477">
              <w:rPr>
                <w:rFonts w:ascii="Bookman Old Style" w:hAnsi="Bookman Old Style"/>
                <w:sz w:val="24"/>
                <w:szCs w:val="24"/>
              </w:rPr>
              <w:t xml:space="preserve">posisi </w:t>
            </w:r>
            <w:r w:rsidRPr="00535477">
              <w:rPr>
                <w:rFonts w:ascii="Bookman Old Style" w:hAnsi="Bookman Old Style"/>
                <w:i/>
                <w:sz w:val="24"/>
                <w:szCs w:val="24"/>
              </w:rPr>
              <w:t>Trading Book</w:t>
            </w:r>
            <w:r w:rsidRPr="00535477">
              <w:rPr>
                <w:rFonts w:ascii="Bookman Old Style" w:hAnsi="Bookman Old Style"/>
                <w:sz w:val="24"/>
                <w:szCs w:val="24"/>
              </w:rPr>
              <w:t xml:space="preserve"> yang telah dihitung dalam ATMR untuk Risiko Pasar;</w:t>
            </w:r>
          </w:p>
        </w:tc>
        <w:tc>
          <w:tcPr>
            <w:tcW w:w="3969" w:type="dxa"/>
          </w:tcPr>
          <w:p w14:paraId="0E0A7E4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65865D6C"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9075680" w14:textId="6EBAD49E" w:rsidTr="00AF03F6">
        <w:trPr>
          <w:trHeight w:val="67"/>
        </w:trPr>
        <w:tc>
          <w:tcPr>
            <w:tcW w:w="8784" w:type="dxa"/>
          </w:tcPr>
          <w:p w14:paraId="73A34126" w14:textId="77777777" w:rsidR="00432AAD" w:rsidRPr="00535477" w:rsidRDefault="00432AAD" w:rsidP="00F7251C">
            <w:pPr>
              <w:pStyle w:val="ListParagraph"/>
              <w:numPr>
                <w:ilvl w:val="0"/>
                <w:numId w:val="37"/>
              </w:numPr>
              <w:spacing w:line="360" w:lineRule="auto"/>
              <w:ind w:left="2863" w:hanging="567"/>
              <w:jc w:val="both"/>
              <w:rPr>
                <w:rFonts w:ascii="Bookman Old Style" w:hAnsi="Bookman Old Style"/>
                <w:sz w:val="24"/>
                <w:szCs w:val="24"/>
              </w:rPr>
            </w:pPr>
            <w:r w:rsidRPr="00535477">
              <w:rPr>
                <w:rFonts w:ascii="Bookman Old Style" w:hAnsi="Bookman Old Style"/>
                <w:sz w:val="24"/>
                <w:szCs w:val="24"/>
              </w:rPr>
              <w:t>faktor pengurang modal yang tidak diperhitungkan lagi dalam perhitungan ATMR Risiko Kredit-Pendekatan Standar;</w:t>
            </w:r>
          </w:p>
        </w:tc>
        <w:tc>
          <w:tcPr>
            <w:tcW w:w="3969" w:type="dxa"/>
          </w:tcPr>
          <w:p w14:paraId="479B2A6E"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107BB02E"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31E84C62" w14:textId="74229512" w:rsidTr="00AF03F6">
        <w:trPr>
          <w:trHeight w:val="67"/>
        </w:trPr>
        <w:tc>
          <w:tcPr>
            <w:tcW w:w="8784" w:type="dxa"/>
          </w:tcPr>
          <w:p w14:paraId="098E448B" w14:textId="77777777" w:rsidR="00432AAD" w:rsidRPr="00535477" w:rsidRDefault="00432AAD" w:rsidP="001A4A2F">
            <w:pPr>
              <w:pStyle w:val="ListParagraph"/>
              <w:numPr>
                <w:ilvl w:val="0"/>
                <w:numId w:val="37"/>
              </w:numPr>
              <w:spacing w:line="360" w:lineRule="auto"/>
              <w:ind w:left="2863" w:hanging="567"/>
              <w:jc w:val="both"/>
              <w:rPr>
                <w:rFonts w:ascii="Bookman Old Style" w:hAnsi="Bookman Old Style"/>
                <w:sz w:val="24"/>
                <w:szCs w:val="24"/>
              </w:rPr>
            </w:pPr>
            <w:r w:rsidRPr="00535477">
              <w:rPr>
                <w:rFonts w:ascii="Bookman Old Style" w:hAnsi="Bookman Old Style"/>
                <w:sz w:val="24"/>
                <w:szCs w:val="24"/>
              </w:rPr>
              <w:t>tagihan yang akan diperhitungkan dalam eksposur yang menimbulkan Risiko Kredit akibat kegagalan pihak lawan, terdiri dari:</w:t>
            </w:r>
          </w:p>
        </w:tc>
        <w:tc>
          <w:tcPr>
            <w:tcW w:w="3969" w:type="dxa"/>
          </w:tcPr>
          <w:p w14:paraId="6DDF92C7"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6DBDD4DD"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6B760E6E" w14:textId="269C0FE8" w:rsidTr="00AF03F6">
        <w:trPr>
          <w:trHeight w:val="67"/>
        </w:trPr>
        <w:tc>
          <w:tcPr>
            <w:tcW w:w="8784" w:type="dxa"/>
          </w:tcPr>
          <w:p w14:paraId="37C714CF" w14:textId="77777777" w:rsidR="00432AAD" w:rsidRPr="00535477" w:rsidRDefault="00432AAD" w:rsidP="001A4A2F">
            <w:pPr>
              <w:pStyle w:val="ListParagraph"/>
              <w:numPr>
                <w:ilvl w:val="0"/>
                <w:numId w:val="38"/>
              </w:numPr>
              <w:spacing w:line="360" w:lineRule="auto"/>
              <w:ind w:left="3431"/>
              <w:jc w:val="both"/>
              <w:rPr>
                <w:rFonts w:ascii="Bookman Old Style" w:hAnsi="Bookman Old Style"/>
                <w:sz w:val="24"/>
                <w:szCs w:val="24"/>
              </w:rPr>
            </w:pPr>
            <w:r w:rsidRPr="00535477">
              <w:rPr>
                <w:rFonts w:ascii="Bookman Old Style" w:hAnsi="Bookman Old Style"/>
                <w:sz w:val="24"/>
                <w:szCs w:val="24"/>
              </w:rPr>
              <w:t>tagihan derivatif dan kewajiban komitmen yang timbul dari transaksi derivatif; dan</w:t>
            </w:r>
          </w:p>
        </w:tc>
        <w:tc>
          <w:tcPr>
            <w:tcW w:w="3969" w:type="dxa"/>
          </w:tcPr>
          <w:p w14:paraId="14A6D77A" w14:textId="77777777" w:rsidR="00432AAD" w:rsidRPr="00E45A81" w:rsidRDefault="00432AAD" w:rsidP="00E45A81">
            <w:pPr>
              <w:spacing w:line="360" w:lineRule="auto"/>
              <w:ind w:left="3240"/>
              <w:jc w:val="both"/>
              <w:rPr>
                <w:rFonts w:ascii="Bookman Old Style" w:hAnsi="Bookman Old Style"/>
                <w:sz w:val="24"/>
                <w:szCs w:val="24"/>
              </w:rPr>
            </w:pPr>
          </w:p>
        </w:tc>
        <w:tc>
          <w:tcPr>
            <w:tcW w:w="4536" w:type="dxa"/>
          </w:tcPr>
          <w:p w14:paraId="4C1B073B" w14:textId="77777777" w:rsidR="00432AAD" w:rsidRPr="00E45A81" w:rsidRDefault="00432AAD" w:rsidP="00E45A81">
            <w:pPr>
              <w:spacing w:line="360" w:lineRule="auto"/>
              <w:ind w:left="3240"/>
              <w:jc w:val="both"/>
              <w:rPr>
                <w:rFonts w:ascii="Bookman Old Style" w:hAnsi="Bookman Old Style"/>
                <w:sz w:val="24"/>
                <w:szCs w:val="24"/>
              </w:rPr>
            </w:pPr>
          </w:p>
        </w:tc>
      </w:tr>
      <w:tr w:rsidR="00432AAD" w:rsidRPr="00535477" w14:paraId="4E46B1DE" w14:textId="43F13501" w:rsidTr="00AF03F6">
        <w:trPr>
          <w:trHeight w:val="67"/>
        </w:trPr>
        <w:tc>
          <w:tcPr>
            <w:tcW w:w="8784" w:type="dxa"/>
          </w:tcPr>
          <w:p w14:paraId="2B148BDF" w14:textId="77777777" w:rsidR="00432AAD" w:rsidRPr="00535477" w:rsidRDefault="00432AAD" w:rsidP="001A4A2F">
            <w:pPr>
              <w:pStyle w:val="ListParagraph"/>
              <w:numPr>
                <w:ilvl w:val="0"/>
                <w:numId w:val="38"/>
              </w:numPr>
              <w:spacing w:line="360" w:lineRule="auto"/>
              <w:ind w:left="3431"/>
              <w:jc w:val="both"/>
              <w:rPr>
                <w:rFonts w:ascii="Bookman Old Style" w:hAnsi="Bookman Old Style"/>
                <w:sz w:val="24"/>
                <w:szCs w:val="24"/>
              </w:rPr>
            </w:pPr>
            <w:r w:rsidRPr="00535477">
              <w:rPr>
                <w:rFonts w:ascii="Bookman Old Style" w:hAnsi="Bookman Old Style"/>
                <w:sz w:val="24"/>
                <w:szCs w:val="24"/>
              </w:rPr>
              <w:t xml:space="preserve">tagihan </w:t>
            </w:r>
            <w:r w:rsidRPr="00535477">
              <w:rPr>
                <w:rFonts w:ascii="Bookman Old Style" w:hAnsi="Bookman Old Style"/>
                <w:i/>
                <w:sz w:val="24"/>
                <w:szCs w:val="24"/>
              </w:rPr>
              <w:t>reverse repo</w:t>
            </w:r>
            <w:r w:rsidRPr="00535477">
              <w:rPr>
                <w:rFonts w:ascii="Bookman Old Style" w:hAnsi="Bookman Old Style"/>
                <w:sz w:val="24"/>
                <w:szCs w:val="24"/>
              </w:rPr>
              <w:t>;</w:t>
            </w:r>
          </w:p>
        </w:tc>
        <w:tc>
          <w:tcPr>
            <w:tcW w:w="3969" w:type="dxa"/>
          </w:tcPr>
          <w:p w14:paraId="5A239065" w14:textId="77777777" w:rsidR="00432AAD" w:rsidRPr="00E45A81" w:rsidRDefault="00432AAD" w:rsidP="00E45A81">
            <w:pPr>
              <w:spacing w:line="360" w:lineRule="auto"/>
              <w:ind w:left="3240"/>
              <w:jc w:val="both"/>
              <w:rPr>
                <w:rFonts w:ascii="Bookman Old Style" w:hAnsi="Bookman Old Style"/>
                <w:sz w:val="24"/>
                <w:szCs w:val="24"/>
              </w:rPr>
            </w:pPr>
          </w:p>
        </w:tc>
        <w:tc>
          <w:tcPr>
            <w:tcW w:w="4536" w:type="dxa"/>
          </w:tcPr>
          <w:p w14:paraId="178B47A6" w14:textId="77777777" w:rsidR="00432AAD" w:rsidRPr="00E45A81" w:rsidRDefault="00432AAD" w:rsidP="00E45A81">
            <w:pPr>
              <w:spacing w:line="360" w:lineRule="auto"/>
              <w:ind w:left="3240"/>
              <w:jc w:val="both"/>
              <w:rPr>
                <w:rFonts w:ascii="Bookman Old Style" w:hAnsi="Bookman Old Style"/>
                <w:sz w:val="24"/>
                <w:szCs w:val="24"/>
              </w:rPr>
            </w:pPr>
          </w:p>
        </w:tc>
      </w:tr>
      <w:tr w:rsidR="00432AAD" w:rsidRPr="00535477" w14:paraId="099EFF48" w14:textId="55486E71" w:rsidTr="00AF03F6">
        <w:trPr>
          <w:trHeight w:val="67"/>
        </w:trPr>
        <w:tc>
          <w:tcPr>
            <w:tcW w:w="8784" w:type="dxa"/>
          </w:tcPr>
          <w:p w14:paraId="092272E9" w14:textId="77777777" w:rsidR="00432AAD" w:rsidRPr="00535477" w:rsidRDefault="00432AAD" w:rsidP="001A4A2F">
            <w:pPr>
              <w:pStyle w:val="ListParagraph"/>
              <w:numPr>
                <w:ilvl w:val="0"/>
                <w:numId w:val="37"/>
              </w:numPr>
              <w:spacing w:line="360" w:lineRule="auto"/>
              <w:ind w:left="2863" w:hanging="567"/>
              <w:jc w:val="both"/>
              <w:rPr>
                <w:rFonts w:ascii="Bookman Old Style" w:hAnsi="Bookman Old Style"/>
                <w:sz w:val="24"/>
                <w:szCs w:val="24"/>
              </w:rPr>
            </w:pPr>
            <w:r w:rsidRPr="00535477">
              <w:rPr>
                <w:rFonts w:ascii="Bookman Old Style" w:hAnsi="Bookman Old Style"/>
                <w:sz w:val="24"/>
                <w:szCs w:val="24"/>
              </w:rPr>
              <w:t>tagihan yang timbul dari transaksi yang mengalami kegagalan penyerahan kas dan/atau instrumen keuangan yang akan diperhitungkan dalam eksposur transaksi penjualan atau pembelian instrumen keuangan yang mengalami kegagalan penyerahan kas dan/atau instrumen keuangan pada tanggal penyelesaian lebih dari 4 (empat) hari kerja, yang menimbulkan Risiko Kredit akibat kegagalan penyelesaian; dan</w:t>
            </w:r>
          </w:p>
        </w:tc>
        <w:tc>
          <w:tcPr>
            <w:tcW w:w="3969" w:type="dxa"/>
          </w:tcPr>
          <w:p w14:paraId="13AAA6AD" w14:textId="77777777" w:rsidR="00432AAD" w:rsidRPr="00E45A81" w:rsidRDefault="00432AAD" w:rsidP="00E45A81">
            <w:pPr>
              <w:spacing w:line="360" w:lineRule="auto"/>
              <w:ind w:left="360"/>
              <w:jc w:val="both"/>
              <w:rPr>
                <w:rFonts w:ascii="Bookman Old Style" w:hAnsi="Bookman Old Style"/>
                <w:sz w:val="24"/>
                <w:szCs w:val="24"/>
              </w:rPr>
            </w:pPr>
          </w:p>
        </w:tc>
        <w:tc>
          <w:tcPr>
            <w:tcW w:w="4536" w:type="dxa"/>
          </w:tcPr>
          <w:p w14:paraId="56C1B54C" w14:textId="77777777" w:rsidR="00432AAD" w:rsidRPr="00E45A81" w:rsidRDefault="00432AAD" w:rsidP="00E45A81">
            <w:pPr>
              <w:spacing w:line="360" w:lineRule="auto"/>
              <w:ind w:left="360"/>
              <w:jc w:val="both"/>
              <w:rPr>
                <w:rFonts w:ascii="Bookman Old Style" w:hAnsi="Bookman Old Style"/>
                <w:sz w:val="24"/>
                <w:szCs w:val="24"/>
              </w:rPr>
            </w:pPr>
          </w:p>
        </w:tc>
      </w:tr>
      <w:tr w:rsidR="00432AAD" w:rsidRPr="00535477" w14:paraId="225D011E" w14:textId="6055130D" w:rsidTr="00AF03F6">
        <w:trPr>
          <w:trHeight w:val="67"/>
        </w:trPr>
        <w:tc>
          <w:tcPr>
            <w:tcW w:w="8784" w:type="dxa"/>
          </w:tcPr>
          <w:p w14:paraId="33B42E32" w14:textId="77777777" w:rsidR="00432AAD" w:rsidRPr="00535477" w:rsidRDefault="00432AAD" w:rsidP="001A4A2F">
            <w:pPr>
              <w:pStyle w:val="ListParagraph"/>
              <w:numPr>
                <w:ilvl w:val="0"/>
                <w:numId w:val="37"/>
              </w:numPr>
              <w:spacing w:line="360" w:lineRule="auto"/>
              <w:ind w:left="2863" w:hanging="567"/>
              <w:jc w:val="both"/>
              <w:rPr>
                <w:rFonts w:ascii="Bookman Old Style" w:hAnsi="Bookman Old Style"/>
                <w:sz w:val="24"/>
                <w:szCs w:val="24"/>
              </w:rPr>
            </w:pPr>
            <w:r w:rsidRPr="00535477">
              <w:rPr>
                <w:rFonts w:ascii="Bookman Old Style" w:hAnsi="Bookman Old Style"/>
                <w:sz w:val="24"/>
                <w:szCs w:val="24"/>
              </w:rPr>
              <w:t>eksposur sekuritisasi</w:t>
            </w:r>
            <w:r>
              <w:rPr>
                <w:rFonts w:ascii="Bookman Old Style" w:hAnsi="Bookman Old Style"/>
                <w:sz w:val="24"/>
                <w:szCs w:val="24"/>
              </w:rPr>
              <w:t xml:space="preserve"> (apabila ada)</w:t>
            </w:r>
            <w:r w:rsidRPr="00535477">
              <w:rPr>
                <w:rFonts w:ascii="Bookman Old Style" w:hAnsi="Bookman Old Style"/>
                <w:sz w:val="24"/>
                <w:szCs w:val="24"/>
              </w:rPr>
              <w:t>.</w:t>
            </w:r>
          </w:p>
        </w:tc>
        <w:tc>
          <w:tcPr>
            <w:tcW w:w="3969" w:type="dxa"/>
          </w:tcPr>
          <w:p w14:paraId="7B74576F"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3AC8CFE3"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4AB2377" w14:textId="44DBFC19" w:rsidTr="00AF03F6">
        <w:trPr>
          <w:trHeight w:val="67"/>
        </w:trPr>
        <w:tc>
          <w:tcPr>
            <w:tcW w:w="8784" w:type="dxa"/>
          </w:tcPr>
          <w:p w14:paraId="6500A447" w14:textId="77777777" w:rsidR="00432AAD" w:rsidRPr="00535477" w:rsidRDefault="00432AAD" w:rsidP="001A4A2F">
            <w:pPr>
              <w:pStyle w:val="ListParagraph"/>
              <w:numPr>
                <w:ilvl w:val="0"/>
                <w:numId w:val="30"/>
              </w:numPr>
              <w:spacing w:line="360" w:lineRule="auto"/>
              <w:ind w:left="2297" w:hanging="425"/>
              <w:jc w:val="both"/>
              <w:rPr>
                <w:rFonts w:ascii="Bookman Old Style" w:hAnsi="Bookman Old Style"/>
                <w:sz w:val="24"/>
                <w:szCs w:val="24"/>
              </w:rPr>
            </w:pPr>
            <w:r w:rsidRPr="00535477">
              <w:rPr>
                <w:rFonts w:ascii="Bookman Old Style" w:hAnsi="Bookman Old Style"/>
                <w:sz w:val="24"/>
                <w:szCs w:val="24"/>
              </w:rPr>
              <w:t xml:space="preserve">Eksposur yang menimbulkan Risiko Kredit akibat kegagalan pihak lawan antara lain transaksi derivatif </w:t>
            </w:r>
            <w:r w:rsidRPr="00535477">
              <w:rPr>
                <w:rFonts w:ascii="Bookman Old Style" w:hAnsi="Bookman Old Style"/>
                <w:i/>
                <w:sz w:val="24"/>
                <w:szCs w:val="24"/>
              </w:rPr>
              <w:t>Over The Counter</w:t>
            </w:r>
            <w:r w:rsidRPr="00535477">
              <w:rPr>
                <w:rFonts w:ascii="Bookman Old Style" w:hAnsi="Bookman Old Style"/>
                <w:sz w:val="24"/>
                <w:szCs w:val="24"/>
              </w:rPr>
              <w:t xml:space="preserve"> (OTC), transaksi derivatif melalui bursa (</w:t>
            </w:r>
            <w:r w:rsidRPr="00535477">
              <w:rPr>
                <w:rFonts w:ascii="Bookman Old Style" w:hAnsi="Bookman Old Style"/>
                <w:i/>
                <w:sz w:val="24"/>
                <w:szCs w:val="24"/>
              </w:rPr>
              <w:t>exchange traded derivative</w:t>
            </w:r>
            <w:r w:rsidRPr="00535477">
              <w:rPr>
                <w:rFonts w:ascii="Bookman Old Style" w:hAnsi="Bookman Old Style"/>
                <w:sz w:val="24"/>
                <w:szCs w:val="24"/>
              </w:rPr>
              <w:t xml:space="preserve">), dan </w:t>
            </w:r>
            <w:r w:rsidRPr="00535477">
              <w:rPr>
                <w:rFonts w:ascii="Bookman Old Style" w:hAnsi="Bookman Old Style"/>
                <w:i/>
                <w:sz w:val="24"/>
                <w:szCs w:val="24"/>
              </w:rPr>
              <w:t>long settlement transaction</w:t>
            </w:r>
            <w:r w:rsidRPr="00535477">
              <w:rPr>
                <w:rFonts w:ascii="Bookman Old Style" w:hAnsi="Bookman Old Style"/>
                <w:sz w:val="24"/>
                <w:szCs w:val="24"/>
              </w:rPr>
              <w:t xml:space="preserve">, serta </w:t>
            </w:r>
            <w:r w:rsidRPr="00535477">
              <w:rPr>
                <w:rFonts w:ascii="Bookman Old Style" w:hAnsi="Bookman Old Style"/>
                <w:i/>
                <w:sz w:val="24"/>
                <w:szCs w:val="24"/>
              </w:rPr>
              <w:t>Securities Financing Transaction</w:t>
            </w:r>
            <w:r w:rsidRPr="00535477">
              <w:rPr>
                <w:rFonts w:ascii="Bookman Old Style" w:hAnsi="Bookman Old Style"/>
                <w:sz w:val="24"/>
                <w:szCs w:val="24"/>
              </w:rPr>
              <w:t xml:space="preserve"> (SFT) seperti transaksi repo atau </w:t>
            </w:r>
            <w:r w:rsidRPr="00535477">
              <w:rPr>
                <w:rFonts w:ascii="Bookman Old Style" w:hAnsi="Bookman Old Style"/>
                <w:i/>
                <w:sz w:val="24"/>
                <w:szCs w:val="24"/>
              </w:rPr>
              <w:t>reverse repo</w:t>
            </w:r>
            <w:r w:rsidRPr="00535477">
              <w:rPr>
                <w:rFonts w:ascii="Bookman Old Style" w:hAnsi="Bookman Old Style"/>
                <w:sz w:val="24"/>
                <w:szCs w:val="24"/>
              </w:rPr>
              <w:t xml:space="preserve">, baik atas posisi </w:t>
            </w:r>
            <w:r w:rsidRPr="00535477">
              <w:rPr>
                <w:rFonts w:ascii="Bookman Old Style" w:hAnsi="Bookman Old Style"/>
                <w:i/>
                <w:sz w:val="24"/>
                <w:szCs w:val="24"/>
              </w:rPr>
              <w:t>Trading Book</w:t>
            </w:r>
            <w:r w:rsidRPr="00535477">
              <w:rPr>
                <w:rFonts w:ascii="Bookman Old Style" w:hAnsi="Bookman Old Style"/>
                <w:sz w:val="24"/>
                <w:szCs w:val="24"/>
              </w:rPr>
              <w:t xml:space="preserve"> maupun </w:t>
            </w:r>
            <w:r w:rsidRPr="00535477">
              <w:rPr>
                <w:rFonts w:ascii="Bookman Old Style" w:hAnsi="Bookman Old Style"/>
                <w:i/>
                <w:sz w:val="24"/>
                <w:szCs w:val="24"/>
              </w:rPr>
              <w:t>Banking Book</w:t>
            </w:r>
            <w:r w:rsidRPr="00535477">
              <w:rPr>
                <w:rFonts w:ascii="Bookman Old Style" w:hAnsi="Bookman Old Style"/>
                <w:sz w:val="24"/>
                <w:szCs w:val="24"/>
              </w:rPr>
              <w:t>.</w:t>
            </w:r>
          </w:p>
        </w:tc>
        <w:tc>
          <w:tcPr>
            <w:tcW w:w="3969" w:type="dxa"/>
          </w:tcPr>
          <w:p w14:paraId="1498ABD5"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663339B"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37E710D" w14:textId="66BFAA0E" w:rsidTr="00AF03F6">
        <w:trPr>
          <w:trHeight w:val="67"/>
        </w:trPr>
        <w:tc>
          <w:tcPr>
            <w:tcW w:w="8784" w:type="dxa"/>
          </w:tcPr>
          <w:p w14:paraId="147C66BF" w14:textId="2155DF10" w:rsidR="00432AAD" w:rsidRPr="00535477" w:rsidRDefault="00432AAD" w:rsidP="001A4A2F">
            <w:pPr>
              <w:pStyle w:val="ListParagraph"/>
              <w:numPr>
                <w:ilvl w:val="0"/>
                <w:numId w:val="30"/>
              </w:numPr>
              <w:spacing w:line="360" w:lineRule="auto"/>
              <w:ind w:left="2297" w:hanging="425"/>
              <w:jc w:val="both"/>
              <w:rPr>
                <w:rFonts w:ascii="Bookman Old Style" w:hAnsi="Bookman Old Style"/>
                <w:sz w:val="24"/>
                <w:szCs w:val="24"/>
              </w:rPr>
            </w:pPr>
            <w:r w:rsidRPr="00535477">
              <w:rPr>
                <w:rFonts w:ascii="Bookman Old Style" w:hAnsi="Bookman Old Style"/>
                <w:sz w:val="24"/>
                <w:szCs w:val="24"/>
              </w:rPr>
              <w:t>Eksposur tran</w:t>
            </w:r>
            <w:r w:rsidR="000C1CE0">
              <w:rPr>
                <w:rFonts w:ascii="Bookman Old Style" w:hAnsi="Bookman Old Style"/>
                <w:sz w:val="24"/>
                <w:szCs w:val="24"/>
              </w:rPr>
              <w:t>saksi penjualan atau</w:t>
            </w:r>
            <w:r w:rsidR="000C1CE0">
              <w:rPr>
                <w:rFonts w:ascii="Bookman Old Style" w:hAnsi="Bookman Old Style"/>
                <w:sz w:val="24"/>
                <w:szCs w:val="24"/>
              </w:rPr>
              <w:tab/>
              <w:t xml:space="preserve"> pembelian </w:t>
            </w:r>
            <w:r w:rsidRPr="00535477">
              <w:rPr>
                <w:rFonts w:ascii="Bookman Old Style" w:hAnsi="Bookman Old Style"/>
                <w:sz w:val="24"/>
                <w:szCs w:val="24"/>
              </w:rPr>
              <w:t xml:space="preserve">instrumen keuangan yang mengalami kegagalan penyerahan kas dan/atau instrument keuangan (kegagalan penyelesaian) pada tanggal penyelesaian lebih dari 4 (empat) hari kerja, yang menimbulkan Risiko Kredit akibat kegagalan penyelesaian, antara lain transaksi penjualan atau pembelian surat berharga atau valuta asing termasuk transaksi </w:t>
            </w:r>
            <w:r w:rsidRPr="00535477">
              <w:rPr>
                <w:rFonts w:ascii="Bookman Old Style" w:hAnsi="Bookman Old Style"/>
                <w:i/>
                <w:sz w:val="24"/>
                <w:szCs w:val="24"/>
              </w:rPr>
              <w:t>Delivery versus Payment</w:t>
            </w:r>
            <w:r w:rsidRPr="00535477">
              <w:rPr>
                <w:rFonts w:ascii="Bookman Old Style" w:hAnsi="Bookman Old Style"/>
                <w:sz w:val="24"/>
                <w:szCs w:val="24"/>
              </w:rPr>
              <w:t xml:space="preserve"> (DvP). Dalam rangka perhitungan ATMR Risiko Kredit-Pendekatan Standar, transaksi DvP mencakup transaksi </w:t>
            </w:r>
            <w:r w:rsidRPr="00535477">
              <w:rPr>
                <w:rFonts w:ascii="Bookman Old Style" w:hAnsi="Bookman Old Style"/>
                <w:i/>
                <w:sz w:val="24"/>
                <w:szCs w:val="24"/>
              </w:rPr>
              <w:t>Payment versus Payment</w:t>
            </w:r>
            <w:r w:rsidRPr="00535477">
              <w:rPr>
                <w:rFonts w:ascii="Bookman Old Style" w:hAnsi="Bookman Old Style"/>
                <w:sz w:val="24"/>
                <w:szCs w:val="24"/>
              </w:rPr>
              <w:t xml:space="preserve"> (PvP). Meskipun ATMR hanya diperhitungkan atas transaksi yang mengalami kegagalan penyelesaian lebih dari 4 (empat) hari kerja, LPEI memantau Risiko Kredit akibat kegagalan penyelesaian atas transaksi penjualan atau pembelian instrumen keuangan sejak hari pertama terjadi kegagalan penyelesaian.</w:t>
            </w:r>
          </w:p>
        </w:tc>
        <w:tc>
          <w:tcPr>
            <w:tcW w:w="3969" w:type="dxa"/>
          </w:tcPr>
          <w:p w14:paraId="13025491"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61EBD8BD"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2DE1BC8" w14:textId="2FE6BBF4" w:rsidTr="00AF03F6">
        <w:trPr>
          <w:trHeight w:val="67"/>
        </w:trPr>
        <w:tc>
          <w:tcPr>
            <w:tcW w:w="8784" w:type="dxa"/>
          </w:tcPr>
          <w:p w14:paraId="24C3B406" w14:textId="77777777" w:rsidR="00432AAD" w:rsidRPr="00535477" w:rsidRDefault="00432AAD" w:rsidP="001A4A2F">
            <w:pPr>
              <w:pStyle w:val="ListParagraph"/>
              <w:numPr>
                <w:ilvl w:val="0"/>
                <w:numId w:val="30"/>
              </w:numPr>
              <w:spacing w:line="360" w:lineRule="auto"/>
              <w:ind w:left="2297" w:hanging="425"/>
              <w:jc w:val="both"/>
              <w:rPr>
                <w:rFonts w:ascii="Bookman Old Style" w:hAnsi="Bookman Old Style"/>
                <w:sz w:val="24"/>
                <w:szCs w:val="24"/>
              </w:rPr>
            </w:pPr>
            <w:r w:rsidRPr="00535477">
              <w:rPr>
                <w:rFonts w:ascii="Bookman Old Style" w:hAnsi="Bookman Old Style"/>
                <w:sz w:val="24"/>
                <w:szCs w:val="24"/>
              </w:rPr>
              <w:t>Eksposur sekuritisasi dilaksanakan sesuai dengan Peraturan Otoritas Jasa Keuangan mengenai prinsip kehati-hatian dalam aktivitas sekuritisasi aset bagi LPEI.</w:t>
            </w:r>
          </w:p>
        </w:tc>
        <w:tc>
          <w:tcPr>
            <w:tcW w:w="3969" w:type="dxa"/>
          </w:tcPr>
          <w:p w14:paraId="65A65DF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1C54BB1"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D5005D5" w14:textId="48F5AD27" w:rsidTr="00AF03F6">
        <w:trPr>
          <w:trHeight w:val="67"/>
        </w:trPr>
        <w:tc>
          <w:tcPr>
            <w:tcW w:w="8784" w:type="dxa"/>
          </w:tcPr>
          <w:p w14:paraId="1DDC73B7" w14:textId="77777777" w:rsidR="00432AAD" w:rsidRPr="00535477" w:rsidRDefault="00432AAD" w:rsidP="001A4A2F">
            <w:pPr>
              <w:pStyle w:val="ListParagraph"/>
              <w:numPr>
                <w:ilvl w:val="0"/>
                <w:numId w:val="36"/>
              </w:numPr>
              <w:spacing w:line="360" w:lineRule="auto"/>
              <w:ind w:left="1871" w:hanging="567"/>
              <w:jc w:val="both"/>
              <w:rPr>
                <w:rFonts w:ascii="Bookman Old Style" w:hAnsi="Bookman Old Style"/>
                <w:sz w:val="24"/>
                <w:szCs w:val="24"/>
              </w:rPr>
            </w:pPr>
            <w:r w:rsidRPr="00535477">
              <w:rPr>
                <w:rFonts w:ascii="Bookman Old Style" w:hAnsi="Bookman Old Style"/>
                <w:sz w:val="24"/>
                <w:szCs w:val="24"/>
              </w:rPr>
              <w:t>Dalam menghitung ATMR Risiko Kredit-Pendekatan Standar, LPEI dapat mengakui keberadaan agunan, garansi, penjaminan, atau asuransi kredit sebagai teknik Mitigasi Risiko Kredit (MRK).</w:t>
            </w:r>
          </w:p>
        </w:tc>
        <w:tc>
          <w:tcPr>
            <w:tcW w:w="3969" w:type="dxa"/>
          </w:tcPr>
          <w:p w14:paraId="042060A2"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400819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7DA3A77C" w14:textId="72776DB1" w:rsidTr="00AF03F6">
        <w:trPr>
          <w:trHeight w:val="67"/>
        </w:trPr>
        <w:tc>
          <w:tcPr>
            <w:tcW w:w="8784" w:type="dxa"/>
          </w:tcPr>
          <w:p w14:paraId="71FC7865" w14:textId="77777777" w:rsidR="00432AAD" w:rsidRPr="00535477" w:rsidRDefault="00432AAD" w:rsidP="001A4A2F">
            <w:pPr>
              <w:pStyle w:val="ListParagraph"/>
              <w:numPr>
                <w:ilvl w:val="0"/>
                <w:numId w:val="36"/>
              </w:numPr>
              <w:spacing w:line="360" w:lineRule="auto"/>
              <w:ind w:left="1871" w:hanging="567"/>
              <w:jc w:val="both"/>
              <w:rPr>
                <w:rFonts w:ascii="Bookman Old Style" w:hAnsi="Bookman Old Style"/>
                <w:sz w:val="24"/>
                <w:szCs w:val="24"/>
              </w:rPr>
            </w:pPr>
            <w:r w:rsidRPr="00535477">
              <w:rPr>
                <w:rFonts w:ascii="Bookman Old Style" w:hAnsi="Bookman Old Style"/>
                <w:sz w:val="24"/>
                <w:szCs w:val="24"/>
              </w:rPr>
              <w:t>Tata cara perhitungan ATMR Risiko Kredit-P</w:t>
            </w:r>
            <w:r>
              <w:rPr>
                <w:rFonts w:ascii="Bookman Old Style" w:hAnsi="Bookman Old Style"/>
                <w:sz w:val="24"/>
                <w:szCs w:val="24"/>
              </w:rPr>
              <w:t>endekatan Standar mengacu pada L</w:t>
            </w:r>
            <w:r w:rsidRPr="00535477">
              <w:rPr>
                <w:rFonts w:ascii="Bookman Old Style" w:hAnsi="Bookman Old Style"/>
                <w:sz w:val="24"/>
                <w:szCs w:val="24"/>
              </w:rPr>
              <w:t>ampiran</w:t>
            </w:r>
            <w:r>
              <w:rPr>
                <w:rFonts w:ascii="Bookman Old Style" w:hAnsi="Bookman Old Style"/>
                <w:sz w:val="24"/>
                <w:szCs w:val="24"/>
              </w:rPr>
              <w:t xml:space="preserve"> II</w:t>
            </w:r>
            <w:r w:rsidRPr="00535477">
              <w:rPr>
                <w:rFonts w:ascii="Bookman Old Style" w:hAnsi="Bookman Old Style"/>
                <w:sz w:val="24"/>
                <w:szCs w:val="24"/>
              </w:rPr>
              <w:t xml:space="preserve"> yang merupakan bagian tidak terpisahkan dari Surat Edaran Otoritas Jasa Keuangan ini.</w:t>
            </w:r>
          </w:p>
        </w:tc>
        <w:tc>
          <w:tcPr>
            <w:tcW w:w="3969" w:type="dxa"/>
          </w:tcPr>
          <w:p w14:paraId="399EF24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6AB80D38"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4FB3A12" w14:textId="31E0092B" w:rsidTr="00AF03F6">
        <w:trPr>
          <w:trHeight w:val="67"/>
        </w:trPr>
        <w:tc>
          <w:tcPr>
            <w:tcW w:w="8784" w:type="dxa"/>
          </w:tcPr>
          <w:p w14:paraId="0A5D365D" w14:textId="77777777" w:rsidR="00432AAD" w:rsidRPr="00535477" w:rsidRDefault="00432AAD" w:rsidP="001A4A2F">
            <w:pPr>
              <w:pStyle w:val="ListParagraph"/>
              <w:numPr>
                <w:ilvl w:val="0"/>
                <w:numId w:val="29"/>
              </w:numPr>
              <w:spacing w:line="360" w:lineRule="auto"/>
              <w:ind w:left="1304" w:hanging="567"/>
              <w:jc w:val="both"/>
              <w:rPr>
                <w:rFonts w:ascii="Bookman Old Style" w:hAnsi="Bookman Old Style"/>
                <w:sz w:val="24"/>
                <w:szCs w:val="24"/>
              </w:rPr>
            </w:pPr>
            <w:r w:rsidRPr="00535477">
              <w:rPr>
                <w:rFonts w:ascii="Bookman Old Style" w:hAnsi="Bookman Old Style"/>
                <w:sz w:val="24"/>
                <w:szCs w:val="24"/>
              </w:rPr>
              <w:t>Persyaratan uji tuntas (</w:t>
            </w:r>
            <w:r w:rsidRPr="00535477">
              <w:rPr>
                <w:rFonts w:ascii="Bookman Old Style" w:hAnsi="Bookman Old Style"/>
                <w:i/>
                <w:sz w:val="24"/>
                <w:szCs w:val="24"/>
              </w:rPr>
              <w:t>due diligence</w:t>
            </w:r>
            <w:r w:rsidRPr="00535477">
              <w:rPr>
                <w:rFonts w:ascii="Bookman Old Style" w:hAnsi="Bookman Old Style"/>
                <w:sz w:val="24"/>
                <w:szCs w:val="24"/>
              </w:rPr>
              <w:t>) dalam perhitungan ATMR untuk Risiko Kredit dengan menggunakan pendekatan standar</w:t>
            </w:r>
          </w:p>
        </w:tc>
        <w:tc>
          <w:tcPr>
            <w:tcW w:w="3969" w:type="dxa"/>
          </w:tcPr>
          <w:p w14:paraId="32F13B9C"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7ACC78B4" w14:textId="7E30EF8F" w:rsidR="006918B8" w:rsidRPr="006918B8" w:rsidRDefault="006918B8" w:rsidP="006918B8">
            <w:pPr>
              <w:spacing w:line="360" w:lineRule="auto"/>
              <w:jc w:val="both"/>
              <w:rPr>
                <w:rFonts w:ascii="Bookman Old Style" w:hAnsi="Bookman Old Style"/>
                <w:sz w:val="24"/>
                <w:szCs w:val="24"/>
              </w:rPr>
            </w:pPr>
          </w:p>
        </w:tc>
      </w:tr>
      <w:tr w:rsidR="00432AAD" w:rsidRPr="00535477" w14:paraId="13DE8BFB" w14:textId="113F998A" w:rsidTr="00AF03F6">
        <w:trPr>
          <w:trHeight w:val="67"/>
        </w:trPr>
        <w:tc>
          <w:tcPr>
            <w:tcW w:w="8784" w:type="dxa"/>
          </w:tcPr>
          <w:p w14:paraId="24EF856E" w14:textId="77777777" w:rsidR="00432AAD" w:rsidRPr="00535477" w:rsidRDefault="00432AAD" w:rsidP="001A4A2F">
            <w:pPr>
              <w:pStyle w:val="ListParagraph"/>
              <w:numPr>
                <w:ilvl w:val="0"/>
                <w:numId w:val="39"/>
              </w:numPr>
              <w:spacing w:line="360" w:lineRule="auto"/>
              <w:ind w:left="1939" w:hanging="567"/>
              <w:jc w:val="both"/>
              <w:rPr>
                <w:rFonts w:ascii="Bookman Old Style" w:hAnsi="Bookman Old Style"/>
                <w:sz w:val="24"/>
                <w:szCs w:val="24"/>
              </w:rPr>
            </w:pPr>
            <w:r w:rsidRPr="00535477">
              <w:rPr>
                <w:rFonts w:ascii="Bookman Old Style" w:hAnsi="Bookman Old Style"/>
                <w:sz w:val="24"/>
                <w:szCs w:val="24"/>
              </w:rPr>
              <w:t>Dalam perhitungan ATMR Risiko Kredit-Pendekatan Standar, LPEI harus melakukan uji tuntas untuk memastikan bahwa LPEI mempunyai pemahaman yang memadai terhadap profil risiko dan karakteristik dari pihak lawan, baik pada saat awal transaksi maupun untuk selanjutnya, yang dilakukan secara berkala paling sedikit 1 (satu) tahun sekali.</w:t>
            </w:r>
          </w:p>
        </w:tc>
        <w:tc>
          <w:tcPr>
            <w:tcW w:w="3969" w:type="dxa"/>
          </w:tcPr>
          <w:p w14:paraId="750CB60F"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FF1F84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E45C7FA" w14:textId="10CDCD80" w:rsidTr="00AF03F6">
        <w:trPr>
          <w:trHeight w:val="67"/>
        </w:trPr>
        <w:tc>
          <w:tcPr>
            <w:tcW w:w="8784" w:type="dxa"/>
          </w:tcPr>
          <w:p w14:paraId="5BACC671" w14:textId="77777777" w:rsidR="00432AAD" w:rsidRPr="00535477" w:rsidRDefault="00432AAD" w:rsidP="001A4A2F">
            <w:pPr>
              <w:pStyle w:val="ListParagraph"/>
              <w:numPr>
                <w:ilvl w:val="0"/>
                <w:numId w:val="39"/>
              </w:numPr>
              <w:spacing w:line="360" w:lineRule="auto"/>
              <w:ind w:left="1939" w:hanging="567"/>
              <w:jc w:val="both"/>
              <w:rPr>
                <w:rFonts w:ascii="Bookman Old Style" w:hAnsi="Bookman Old Style"/>
                <w:sz w:val="24"/>
                <w:szCs w:val="24"/>
              </w:rPr>
            </w:pPr>
            <w:r w:rsidRPr="00535477">
              <w:rPr>
                <w:rFonts w:ascii="Bookman Old Style" w:hAnsi="Bookman Old Style"/>
                <w:sz w:val="24"/>
                <w:szCs w:val="24"/>
              </w:rPr>
              <w:t>Mekanisme uji tuntas dilakukan oleh LPEI sesuai dengan ukuran dan kompleksitas kegiatan usaha LPEI</w:t>
            </w:r>
            <w:r>
              <w:rPr>
                <w:rFonts w:ascii="Bookman Old Style" w:hAnsi="Bookman Old Style"/>
                <w:sz w:val="24"/>
                <w:szCs w:val="24"/>
              </w:rPr>
              <w:t>. LPEI harus melakukan langkah-</w:t>
            </w:r>
            <w:r w:rsidRPr="00535477">
              <w:rPr>
                <w:rFonts w:ascii="Bookman Old Style" w:hAnsi="Bookman Old Style"/>
                <w:sz w:val="24"/>
                <w:szCs w:val="24"/>
              </w:rPr>
              <w:t xml:space="preserve">langkah yang sesuai dan memadai dalam menilai tren, kinerja operasional, dan kinerja keuangan melalui analisis kredit secara internal dan/atau melalui pihak ketiga untuk setiap </w:t>
            </w:r>
            <w:proofErr w:type="gramStart"/>
            <w:r w:rsidRPr="00535477">
              <w:rPr>
                <w:rFonts w:ascii="Bookman Old Style" w:hAnsi="Bookman Old Style"/>
                <w:sz w:val="24"/>
                <w:szCs w:val="24"/>
              </w:rPr>
              <w:t>pihak  lawan</w:t>
            </w:r>
            <w:proofErr w:type="gramEnd"/>
            <w:r w:rsidRPr="00535477">
              <w:rPr>
                <w:rFonts w:ascii="Bookman Old Style" w:hAnsi="Bookman Old Style"/>
                <w:sz w:val="24"/>
                <w:szCs w:val="24"/>
              </w:rPr>
              <w:t>. LPEI harus dapat mengakses informasi tentang pihak lawan secara berkala untuk melengkapi analisis uji tuntas.</w:t>
            </w:r>
          </w:p>
        </w:tc>
        <w:tc>
          <w:tcPr>
            <w:tcW w:w="3969" w:type="dxa"/>
          </w:tcPr>
          <w:p w14:paraId="4754168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25172F4"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169C8F6" w14:textId="49B3D11C" w:rsidTr="00AF03F6">
        <w:trPr>
          <w:trHeight w:val="67"/>
        </w:trPr>
        <w:tc>
          <w:tcPr>
            <w:tcW w:w="8784" w:type="dxa"/>
          </w:tcPr>
          <w:p w14:paraId="26157D04" w14:textId="77777777" w:rsidR="00432AAD" w:rsidRPr="00535477" w:rsidRDefault="00432AAD" w:rsidP="001A4A2F">
            <w:pPr>
              <w:pStyle w:val="ListParagraph"/>
              <w:numPr>
                <w:ilvl w:val="0"/>
                <w:numId w:val="39"/>
              </w:numPr>
              <w:spacing w:line="360" w:lineRule="auto"/>
              <w:ind w:left="1939" w:hanging="567"/>
              <w:jc w:val="both"/>
              <w:rPr>
                <w:rFonts w:ascii="Bookman Old Style" w:hAnsi="Bookman Old Style"/>
                <w:sz w:val="24"/>
                <w:szCs w:val="24"/>
              </w:rPr>
            </w:pPr>
            <w:r w:rsidRPr="00535477">
              <w:rPr>
                <w:rFonts w:ascii="Bookman Old Style" w:hAnsi="Bookman Old Style"/>
                <w:sz w:val="24"/>
                <w:szCs w:val="24"/>
              </w:rPr>
              <w:t>LPEI harus memiliki kebijakan, proses, sistem, dan pengendalian internal yang efektif untuk memastikan kesesuaian bobot risiko pihak lawan. LPEI harus dapat menunjukkan kepada Otoritas Jasa Keuangan bahwa analisis uji tuntas yang dilakukan sudah memadai.</w:t>
            </w:r>
          </w:p>
        </w:tc>
        <w:tc>
          <w:tcPr>
            <w:tcW w:w="3969" w:type="dxa"/>
          </w:tcPr>
          <w:p w14:paraId="01C442CA"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269EA2E"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9942AF8" w14:textId="0449935F" w:rsidTr="00AF03F6">
        <w:trPr>
          <w:trHeight w:val="67"/>
        </w:trPr>
        <w:tc>
          <w:tcPr>
            <w:tcW w:w="8784" w:type="dxa"/>
          </w:tcPr>
          <w:p w14:paraId="724F5C48" w14:textId="77777777" w:rsidR="00432AAD" w:rsidRPr="00535477" w:rsidRDefault="00432AAD" w:rsidP="001A4A2F">
            <w:pPr>
              <w:pStyle w:val="ListParagraph"/>
              <w:numPr>
                <w:ilvl w:val="0"/>
                <w:numId w:val="39"/>
              </w:numPr>
              <w:spacing w:line="360" w:lineRule="auto"/>
              <w:ind w:left="1939" w:hanging="567"/>
              <w:jc w:val="both"/>
              <w:rPr>
                <w:rFonts w:ascii="Bookman Old Style" w:hAnsi="Bookman Old Style"/>
                <w:sz w:val="24"/>
                <w:szCs w:val="24"/>
              </w:rPr>
            </w:pPr>
            <w:r w:rsidRPr="00535477">
              <w:rPr>
                <w:rFonts w:ascii="Bookman Old Style" w:hAnsi="Bookman Old Style"/>
                <w:sz w:val="24"/>
                <w:szCs w:val="24"/>
              </w:rPr>
              <w:t>Untuk eksposur kepada entitas terkonsolidasi (</w:t>
            </w:r>
            <w:r w:rsidRPr="00535477">
              <w:rPr>
                <w:rFonts w:ascii="Bookman Old Style" w:hAnsi="Bookman Old Style"/>
                <w:i/>
                <w:sz w:val="24"/>
                <w:szCs w:val="24"/>
              </w:rPr>
              <w:t>consolidated groups</w:t>
            </w:r>
            <w:r w:rsidRPr="00535477">
              <w:rPr>
                <w:rFonts w:ascii="Bookman Old Style" w:hAnsi="Bookman Old Style"/>
                <w:sz w:val="24"/>
                <w:szCs w:val="24"/>
              </w:rPr>
              <w:t>), uji tuntas harus dilakukan sampai pada tingkat entitas individu yang memiliki eksposur kredit, sepanjang dimungkinkan. Dalam mengevaluasi kemampuan membayar dari entitas individu, LPEI perlu mempertimbangkan dukungan dari grup maupun potensi dampak permasalahan pada grup terhadap entitas individu.</w:t>
            </w:r>
          </w:p>
        </w:tc>
        <w:tc>
          <w:tcPr>
            <w:tcW w:w="3969" w:type="dxa"/>
          </w:tcPr>
          <w:p w14:paraId="6009F7FE"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5A760E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82D279A" w14:textId="513C6883" w:rsidTr="00AF03F6">
        <w:trPr>
          <w:trHeight w:val="67"/>
        </w:trPr>
        <w:tc>
          <w:tcPr>
            <w:tcW w:w="8784" w:type="dxa"/>
          </w:tcPr>
          <w:p w14:paraId="74414CD3" w14:textId="77777777" w:rsidR="00432AAD" w:rsidRPr="00535477" w:rsidRDefault="00432AAD" w:rsidP="001A4A2F">
            <w:pPr>
              <w:pStyle w:val="ListParagraph"/>
              <w:numPr>
                <w:ilvl w:val="0"/>
                <w:numId w:val="39"/>
              </w:numPr>
              <w:spacing w:line="360" w:lineRule="auto"/>
              <w:ind w:left="1939" w:hanging="567"/>
              <w:jc w:val="both"/>
              <w:rPr>
                <w:rFonts w:ascii="Bookman Old Style" w:hAnsi="Bookman Old Style"/>
                <w:sz w:val="24"/>
                <w:szCs w:val="24"/>
              </w:rPr>
            </w:pPr>
            <w:r w:rsidRPr="00535477">
              <w:rPr>
                <w:rFonts w:ascii="Bookman Old Style" w:hAnsi="Bookman Old Style"/>
                <w:sz w:val="24"/>
                <w:szCs w:val="24"/>
              </w:rPr>
              <w:t>Dalam hal LPEI menggunakan peringkat yang diterbitkan oleh lembaga pemeringkat, uji tuntas perlu dilakukan untuk menilai risiko dari eksposur tersebut dalam rangka penerapan manajemen risiko dan prinsip kehati-hatian. LPEI harus melakukan uji tuntas untuk memastikan penggunaan peringkat eksternal yang menggambarkan kelayakan kredit secara memadai dan konservatif atas pihak lawan, kecuali untuk tagihan kepada pemerintah dan entitas sektor publik.</w:t>
            </w:r>
          </w:p>
        </w:tc>
        <w:tc>
          <w:tcPr>
            <w:tcW w:w="3969" w:type="dxa"/>
          </w:tcPr>
          <w:p w14:paraId="18DBAB4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5823C17"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185E3AB" w14:textId="4047F14F" w:rsidTr="00AF03F6">
        <w:trPr>
          <w:trHeight w:val="67"/>
        </w:trPr>
        <w:tc>
          <w:tcPr>
            <w:tcW w:w="8784" w:type="dxa"/>
          </w:tcPr>
          <w:p w14:paraId="4754F69E" w14:textId="77777777" w:rsidR="00432AAD" w:rsidRPr="00535477" w:rsidRDefault="00432AAD" w:rsidP="001A4A2F">
            <w:pPr>
              <w:pStyle w:val="ListParagraph"/>
              <w:numPr>
                <w:ilvl w:val="0"/>
                <w:numId w:val="39"/>
              </w:numPr>
              <w:spacing w:line="360" w:lineRule="auto"/>
              <w:ind w:left="1939" w:hanging="567"/>
              <w:jc w:val="both"/>
              <w:rPr>
                <w:rFonts w:ascii="Bookman Old Style" w:hAnsi="Bookman Old Style"/>
                <w:sz w:val="24"/>
                <w:szCs w:val="24"/>
              </w:rPr>
            </w:pPr>
            <w:r w:rsidRPr="00535477">
              <w:rPr>
                <w:rFonts w:ascii="Bookman Old Style" w:hAnsi="Bookman Old Style"/>
                <w:sz w:val="24"/>
                <w:szCs w:val="24"/>
              </w:rPr>
              <w:t>Dalam hal analisis uji tuntas menghasilkan karakteristik risiko yang lebih tinggi dibandingkan dengan peringkat eksternal (misalnya AAA hingga AA-, A+ sampai A-, dan seterusnya) maka LPEI harus menggunakan bobot risiko setidaknya satu tingkat lebih tinggi dibandingkan bobot risiko “dasar” sesuai peringkat eksternal. Analisis uji tuntas yang dilakukan tidak boleh menyebabkan penetapan bobot risiko yang lebih rendah dibandingkan dengan peringkat eksternal.</w:t>
            </w:r>
          </w:p>
        </w:tc>
        <w:tc>
          <w:tcPr>
            <w:tcW w:w="3969" w:type="dxa"/>
          </w:tcPr>
          <w:p w14:paraId="572A85FA"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3012AF5"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FEFE311" w14:textId="7ED9C8E0" w:rsidTr="00AF03F6">
        <w:trPr>
          <w:trHeight w:val="67"/>
        </w:trPr>
        <w:tc>
          <w:tcPr>
            <w:tcW w:w="8784" w:type="dxa"/>
          </w:tcPr>
          <w:p w14:paraId="287BC98D" w14:textId="77777777" w:rsidR="00432AAD" w:rsidRPr="00535477" w:rsidRDefault="00432AAD" w:rsidP="0044583D">
            <w:pPr>
              <w:spacing w:line="360" w:lineRule="auto"/>
              <w:jc w:val="both"/>
              <w:rPr>
                <w:rFonts w:ascii="Bookman Old Style" w:hAnsi="Bookman Old Style"/>
                <w:sz w:val="24"/>
                <w:szCs w:val="24"/>
              </w:rPr>
            </w:pPr>
          </w:p>
        </w:tc>
        <w:tc>
          <w:tcPr>
            <w:tcW w:w="3969" w:type="dxa"/>
          </w:tcPr>
          <w:p w14:paraId="0539928D" w14:textId="77777777" w:rsidR="00432AAD" w:rsidRPr="00535477" w:rsidRDefault="00432AAD" w:rsidP="0044583D">
            <w:pPr>
              <w:spacing w:line="360" w:lineRule="auto"/>
              <w:jc w:val="both"/>
              <w:rPr>
                <w:rFonts w:ascii="Bookman Old Style" w:hAnsi="Bookman Old Style"/>
                <w:sz w:val="24"/>
                <w:szCs w:val="24"/>
              </w:rPr>
            </w:pPr>
          </w:p>
        </w:tc>
        <w:tc>
          <w:tcPr>
            <w:tcW w:w="4536" w:type="dxa"/>
          </w:tcPr>
          <w:p w14:paraId="03FC2B58" w14:textId="77777777" w:rsidR="00432AAD" w:rsidRPr="00535477" w:rsidRDefault="00432AAD" w:rsidP="0044583D">
            <w:pPr>
              <w:spacing w:line="360" w:lineRule="auto"/>
              <w:jc w:val="both"/>
              <w:rPr>
                <w:rFonts w:ascii="Bookman Old Style" w:hAnsi="Bookman Old Style"/>
                <w:sz w:val="24"/>
                <w:szCs w:val="24"/>
              </w:rPr>
            </w:pPr>
          </w:p>
        </w:tc>
      </w:tr>
      <w:tr w:rsidR="00432AAD" w:rsidRPr="00535477" w14:paraId="50CE55C0" w14:textId="7C178D15" w:rsidTr="00AF03F6">
        <w:trPr>
          <w:trHeight w:val="67"/>
        </w:trPr>
        <w:tc>
          <w:tcPr>
            <w:tcW w:w="8784" w:type="dxa"/>
          </w:tcPr>
          <w:p w14:paraId="20E6C989" w14:textId="77777777" w:rsidR="00432AAD" w:rsidRPr="00535477" w:rsidRDefault="00432AAD" w:rsidP="00361DF6">
            <w:pPr>
              <w:pStyle w:val="ListParagraph"/>
              <w:numPr>
                <w:ilvl w:val="0"/>
                <w:numId w:val="29"/>
              </w:numPr>
              <w:spacing w:line="360" w:lineRule="auto"/>
              <w:ind w:left="1304" w:hanging="567"/>
              <w:jc w:val="both"/>
              <w:rPr>
                <w:rFonts w:ascii="Bookman Old Style" w:hAnsi="Bookman Old Style"/>
                <w:sz w:val="24"/>
                <w:szCs w:val="24"/>
              </w:rPr>
            </w:pPr>
            <w:r w:rsidRPr="00535477">
              <w:rPr>
                <w:rFonts w:ascii="Bookman Old Style" w:hAnsi="Bookman Old Style"/>
                <w:sz w:val="24"/>
                <w:szCs w:val="24"/>
              </w:rPr>
              <w:t xml:space="preserve">Perhitungan ATMR Risiko Kredit-pendekatan standar bagi </w:t>
            </w:r>
            <w:r>
              <w:rPr>
                <w:rFonts w:ascii="Bookman Old Style" w:hAnsi="Bookman Old Style"/>
                <w:sz w:val="24"/>
                <w:szCs w:val="24"/>
              </w:rPr>
              <w:t>UUS</w:t>
            </w:r>
            <w:r w:rsidRPr="00535477">
              <w:rPr>
                <w:rFonts w:ascii="Bookman Old Style" w:hAnsi="Bookman Old Style"/>
                <w:sz w:val="24"/>
                <w:szCs w:val="24"/>
              </w:rPr>
              <w:t xml:space="preserve"> LPEI dan/atau ATMR Risiko Kredit secara konsolidasi dalam hal LPEI memiliki Perusahaan Anak</w:t>
            </w:r>
            <w:r>
              <w:rPr>
                <w:rFonts w:ascii="Bookman Old Style" w:hAnsi="Bookman Old Style"/>
                <w:sz w:val="24"/>
                <w:szCs w:val="24"/>
              </w:rPr>
              <w:t xml:space="preserve">. </w:t>
            </w:r>
          </w:p>
        </w:tc>
        <w:tc>
          <w:tcPr>
            <w:tcW w:w="3969" w:type="dxa"/>
          </w:tcPr>
          <w:p w14:paraId="0577043D" w14:textId="77777777" w:rsidR="00432AAD" w:rsidRPr="006918B8" w:rsidRDefault="00432AAD" w:rsidP="006918B8">
            <w:pPr>
              <w:spacing w:line="360" w:lineRule="auto"/>
              <w:ind w:left="737"/>
              <w:jc w:val="both"/>
              <w:rPr>
                <w:rFonts w:ascii="Bookman Old Style" w:hAnsi="Bookman Old Style"/>
                <w:sz w:val="24"/>
                <w:szCs w:val="24"/>
              </w:rPr>
            </w:pPr>
          </w:p>
        </w:tc>
        <w:tc>
          <w:tcPr>
            <w:tcW w:w="4536" w:type="dxa"/>
          </w:tcPr>
          <w:p w14:paraId="2E8C4EB9"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82537F5" w14:textId="57B4DEDB" w:rsidTr="00AF03F6">
        <w:trPr>
          <w:trHeight w:val="67"/>
        </w:trPr>
        <w:tc>
          <w:tcPr>
            <w:tcW w:w="8784" w:type="dxa"/>
          </w:tcPr>
          <w:p w14:paraId="16BC7D72" w14:textId="77777777" w:rsidR="00432AAD" w:rsidRPr="00535477" w:rsidRDefault="00432AAD" w:rsidP="00F54847">
            <w:pPr>
              <w:pStyle w:val="ListParagraph"/>
              <w:numPr>
                <w:ilvl w:val="3"/>
                <w:numId w:val="40"/>
              </w:numPr>
              <w:spacing w:line="360" w:lineRule="auto"/>
              <w:ind w:left="1588"/>
              <w:jc w:val="both"/>
              <w:rPr>
                <w:rFonts w:ascii="Bookman Old Style" w:hAnsi="Bookman Old Style"/>
                <w:sz w:val="24"/>
                <w:szCs w:val="24"/>
              </w:rPr>
            </w:pPr>
            <w:r w:rsidRPr="00535477">
              <w:rPr>
                <w:rFonts w:ascii="Bookman Old Style" w:hAnsi="Bookman Old Style"/>
                <w:sz w:val="24"/>
                <w:szCs w:val="24"/>
              </w:rPr>
              <w:t>Perhitungan ATMR Risiko Kredit-Pendekatan Standar untuk LPEI secara individu</w:t>
            </w:r>
            <w:r>
              <w:rPr>
                <w:rFonts w:ascii="Bookman Old Style" w:hAnsi="Bookman Old Style"/>
                <w:sz w:val="24"/>
                <w:szCs w:val="24"/>
              </w:rPr>
              <w:t xml:space="preserve"> dan UUS</w:t>
            </w:r>
            <w:r w:rsidRPr="00535477">
              <w:rPr>
                <w:rFonts w:ascii="Bookman Old Style" w:hAnsi="Bookman Old Style"/>
                <w:sz w:val="24"/>
                <w:szCs w:val="24"/>
              </w:rPr>
              <w:t xml:space="preserve"> dilakukan dengan cara menggabungkan eksposur UUS dalam eksposur LPEI secara keseluruhan. Cakupan eksposur yang diperhitungkan, tagihan bersih, penetapan bobot risiko, dan pengakuan teknik Mitigasi Risiko Kredit (MRK)</w:t>
            </w:r>
            <w:r>
              <w:rPr>
                <w:rFonts w:ascii="Bookman Old Style" w:hAnsi="Bookman Old Style"/>
                <w:sz w:val="24"/>
                <w:szCs w:val="24"/>
              </w:rPr>
              <w:t xml:space="preserve"> </w:t>
            </w:r>
            <w:r w:rsidRPr="00535477">
              <w:rPr>
                <w:rFonts w:ascii="Bookman Old Style" w:hAnsi="Bookman Old Style"/>
                <w:sz w:val="24"/>
                <w:szCs w:val="24"/>
              </w:rPr>
              <w:t>sesuai dengan Surat Edaran Otoritas Jasa Keuangan ini.</w:t>
            </w:r>
          </w:p>
        </w:tc>
        <w:tc>
          <w:tcPr>
            <w:tcW w:w="3969" w:type="dxa"/>
          </w:tcPr>
          <w:p w14:paraId="5231173C"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0D6549E"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2418E09" w14:textId="4979222A" w:rsidTr="00AF03F6">
        <w:trPr>
          <w:trHeight w:val="67"/>
        </w:trPr>
        <w:tc>
          <w:tcPr>
            <w:tcW w:w="8784" w:type="dxa"/>
          </w:tcPr>
          <w:p w14:paraId="26E09F07" w14:textId="77777777" w:rsidR="00432AAD" w:rsidRPr="00535477" w:rsidRDefault="00432AAD" w:rsidP="001A4A2F">
            <w:pPr>
              <w:pStyle w:val="ListParagraph"/>
              <w:numPr>
                <w:ilvl w:val="3"/>
                <w:numId w:val="40"/>
              </w:numPr>
              <w:spacing w:line="360" w:lineRule="auto"/>
              <w:ind w:left="1588"/>
              <w:jc w:val="both"/>
              <w:rPr>
                <w:rFonts w:ascii="Bookman Old Style" w:hAnsi="Bookman Old Style"/>
                <w:sz w:val="24"/>
                <w:szCs w:val="24"/>
              </w:rPr>
            </w:pPr>
            <w:r w:rsidRPr="00535477">
              <w:rPr>
                <w:rFonts w:ascii="Bookman Old Style" w:hAnsi="Bookman Old Style"/>
                <w:sz w:val="24"/>
                <w:szCs w:val="24"/>
              </w:rPr>
              <w:t>Perhitungan ATMR Risiko Kredit-Pendekatan Standar secara konsolidasi untuk LPEI yang memiliki Perusahaan Anak dilakukan sebagai berikut:</w:t>
            </w:r>
          </w:p>
        </w:tc>
        <w:tc>
          <w:tcPr>
            <w:tcW w:w="3969" w:type="dxa"/>
          </w:tcPr>
          <w:p w14:paraId="1FC3A60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7208D42" w14:textId="77777777" w:rsidR="00432AAD" w:rsidRPr="006918B8" w:rsidRDefault="00432AAD" w:rsidP="006918B8">
            <w:pPr>
              <w:spacing w:line="360" w:lineRule="auto"/>
              <w:ind w:left="1228"/>
              <w:jc w:val="both"/>
              <w:rPr>
                <w:rFonts w:ascii="Bookman Old Style" w:hAnsi="Bookman Old Style"/>
                <w:sz w:val="24"/>
                <w:szCs w:val="24"/>
              </w:rPr>
            </w:pPr>
          </w:p>
        </w:tc>
      </w:tr>
      <w:tr w:rsidR="00432AAD" w:rsidRPr="00535477" w14:paraId="3528EABA" w14:textId="46D7FB50" w:rsidTr="00AF03F6">
        <w:trPr>
          <w:trHeight w:val="67"/>
        </w:trPr>
        <w:tc>
          <w:tcPr>
            <w:tcW w:w="8784" w:type="dxa"/>
          </w:tcPr>
          <w:p w14:paraId="77F2B579" w14:textId="77777777" w:rsidR="00432AAD" w:rsidRPr="00535477" w:rsidRDefault="00432AAD" w:rsidP="001A4A2F">
            <w:pPr>
              <w:pStyle w:val="ListParagraph"/>
              <w:numPr>
                <w:ilvl w:val="1"/>
                <w:numId w:val="31"/>
              </w:numPr>
              <w:spacing w:line="360" w:lineRule="auto"/>
              <w:ind w:left="2155" w:hanging="567"/>
              <w:jc w:val="both"/>
              <w:rPr>
                <w:rFonts w:ascii="Bookman Old Style" w:hAnsi="Bookman Old Style"/>
                <w:sz w:val="24"/>
                <w:szCs w:val="24"/>
              </w:rPr>
            </w:pPr>
            <w:r w:rsidRPr="00535477">
              <w:rPr>
                <w:rFonts w:ascii="Bookman Old Style" w:hAnsi="Bookman Old Style"/>
                <w:sz w:val="24"/>
                <w:szCs w:val="24"/>
              </w:rPr>
              <w:t>Untuk LPEI yang seluruh perusahaan anaknya beroperasi secara konvensional maka perhitungan ATMR Risiko Kredit-Pendekatan Standar secara konsolidasi didasarkan pada laporan keuangan konsolidasi yaitu penjumlahan ATMR Risiko Kredit-Pendekatan Standar:</w:t>
            </w:r>
          </w:p>
        </w:tc>
        <w:tc>
          <w:tcPr>
            <w:tcW w:w="3969" w:type="dxa"/>
          </w:tcPr>
          <w:p w14:paraId="504E753E" w14:textId="77777777" w:rsidR="00432AAD" w:rsidRPr="006918B8" w:rsidRDefault="00432AAD" w:rsidP="006918B8">
            <w:pPr>
              <w:spacing w:line="360" w:lineRule="auto"/>
              <w:ind w:left="1588"/>
              <w:jc w:val="both"/>
              <w:rPr>
                <w:rFonts w:ascii="Bookman Old Style" w:hAnsi="Bookman Old Style"/>
                <w:sz w:val="24"/>
                <w:szCs w:val="24"/>
              </w:rPr>
            </w:pPr>
          </w:p>
        </w:tc>
        <w:tc>
          <w:tcPr>
            <w:tcW w:w="4536" w:type="dxa"/>
          </w:tcPr>
          <w:p w14:paraId="66D0F9D6"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D02F407" w14:textId="7A0D7568" w:rsidTr="00AF03F6">
        <w:trPr>
          <w:trHeight w:val="67"/>
        </w:trPr>
        <w:tc>
          <w:tcPr>
            <w:tcW w:w="8784" w:type="dxa"/>
          </w:tcPr>
          <w:p w14:paraId="7DC1C080" w14:textId="77777777" w:rsidR="00432AAD" w:rsidRPr="00535477" w:rsidRDefault="00432AAD" w:rsidP="001A4A2F">
            <w:pPr>
              <w:pStyle w:val="ListParagraph"/>
              <w:numPr>
                <w:ilvl w:val="0"/>
                <w:numId w:val="41"/>
              </w:numPr>
              <w:spacing w:line="360" w:lineRule="auto"/>
              <w:ind w:hanging="567"/>
              <w:jc w:val="both"/>
              <w:rPr>
                <w:rFonts w:ascii="Bookman Old Style" w:hAnsi="Bookman Old Style"/>
                <w:sz w:val="24"/>
                <w:szCs w:val="24"/>
              </w:rPr>
            </w:pPr>
            <w:r w:rsidRPr="00535477">
              <w:rPr>
                <w:rFonts w:ascii="Bookman Old Style" w:hAnsi="Bookman Old Style"/>
                <w:sz w:val="24"/>
                <w:szCs w:val="24"/>
              </w:rPr>
              <w:t>bagi LPEI secara individu; dan</w:t>
            </w:r>
          </w:p>
        </w:tc>
        <w:tc>
          <w:tcPr>
            <w:tcW w:w="3969" w:type="dxa"/>
          </w:tcPr>
          <w:p w14:paraId="03FF49DA" w14:textId="77777777" w:rsidR="00432AAD" w:rsidRPr="006918B8" w:rsidRDefault="00432AAD" w:rsidP="006918B8">
            <w:pPr>
              <w:spacing w:line="360" w:lineRule="auto"/>
              <w:ind w:left="2155"/>
              <w:jc w:val="both"/>
              <w:rPr>
                <w:rFonts w:ascii="Bookman Old Style" w:hAnsi="Bookman Old Style"/>
                <w:sz w:val="24"/>
                <w:szCs w:val="24"/>
              </w:rPr>
            </w:pPr>
          </w:p>
        </w:tc>
        <w:tc>
          <w:tcPr>
            <w:tcW w:w="4536" w:type="dxa"/>
          </w:tcPr>
          <w:p w14:paraId="715E21D8"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6CB974B" w14:textId="43456077" w:rsidTr="00AF03F6">
        <w:trPr>
          <w:trHeight w:val="67"/>
        </w:trPr>
        <w:tc>
          <w:tcPr>
            <w:tcW w:w="8784" w:type="dxa"/>
          </w:tcPr>
          <w:p w14:paraId="45585808" w14:textId="77777777" w:rsidR="00432AAD" w:rsidRPr="00535477" w:rsidRDefault="00432AAD" w:rsidP="001A4A2F">
            <w:pPr>
              <w:pStyle w:val="ListParagraph"/>
              <w:numPr>
                <w:ilvl w:val="0"/>
                <w:numId w:val="41"/>
              </w:numPr>
              <w:spacing w:line="360" w:lineRule="auto"/>
              <w:ind w:hanging="567"/>
              <w:jc w:val="both"/>
              <w:rPr>
                <w:rFonts w:ascii="Bookman Old Style" w:hAnsi="Bookman Old Style"/>
                <w:sz w:val="24"/>
                <w:szCs w:val="24"/>
              </w:rPr>
            </w:pPr>
            <w:r w:rsidRPr="00535477">
              <w:rPr>
                <w:rFonts w:ascii="Bookman Old Style" w:hAnsi="Bookman Old Style"/>
                <w:sz w:val="24"/>
                <w:szCs w:val="24"/>
              </w:rPr>
              <w:t>bagi Perusahaan Anak yang melakukan kegiatan usaha secara konvensional,</w:t>
            </w:r>
          </w:p>
          <w:p w14:paraId="6935FA2E" w14:textId="77777777" w:rsidR="00432AAD" w:rsidRPr="00535477" w:rsidRDefault="00432AAD" w:rsidP="0044583D">
            <w:pPr>
              <w:spacing w:line="360" w:lineRule="auto"/>
              <w:ind w:left="2155"/>
              <w:jc w:val="both"/>
              <w:rPr>
                <w:rFonts w:ascii="Bookman Old Style" w:hAnsi="Bookman Old Style"/>
                <w:sz w:val="24"/>
                <w:szCs w:val="24"/>
              </w:rPr>
            </w:pPr>
            <w:r w:rsidRPr="00535477">
              <w:rPr>
                <w:rFonts w:ascii="Bookman Old Style" w:hAnsi="Bookman Old Style"/>
                <w:sz w:val="24"/>
                <w:szCs w:val="24"/>
              </w:rPr>
              <w:t>dengan cakupan eksposur yang diperhitungkan, tagihan bersih, penetapan bobot risiko, dan pengakuan teknik Mitigasi Risiko Kredit (MRK)</w:t>
            </w:r>
            <w:r>
              <w:rPr>
                <w:rFonts w:ascii="Bookman Old Style" w:hAnsi="Bookman Old Style"/>
                <w:sz w:val="24"/>
                <w:szCs w:val="24"/>
              </w:rPr>
              <w:t xml:space="preserve"> </w:t>
            </w:r>
            <w:r w:rsidRPr="00535477">
              <w:rPr>
                <w:rFonts w:ascii="Bookman Old Style" w:hAnsi="Bookman Old Style"/>
                <w:sz w:val="24"/>
                <w:szCs w:val="24"/>
              </w:rPr>
              <w:t>sesuai dengan Surat Edaran Otoritas Jasa Keuangan ini, setelah mengeliminasi (</w:t>
            </w:r>
            <w:r w:rsidRPr="00535477">
              <w:rPr>
                <w:rFonts w:ascii="Bookman Old Style" w:hAnsi="Bookman Old Style"/>
                <w:i/>
                <w:sz w:val="24"/>
                <w:szCs w:val="24"/>
              </w:rPr>
              <w:t>set-off</w:t>
            </w:r>
            <w:r w:rsidRPr="00535477">
              <w:rPr>
                <w:rFonts w:ascii="Bookman Old Style" w:hAnsi="Bookman Old Style"/>
                <w:sz w:val="24"/>
                <w:szCs w:val="24"/>
              </w:rPr>
              <w:t>) transaksi antar entitas dalam kelompok usaha yang dikonsolidasi.</w:t>
            </w:r>
          </w:p>
        </w:tc>
        <w:tc>
          <w:tcPr>
            <w:tcW w:w="3969" w:type="dxa"/>
          </w:tcPr>
          <w:p w14:paraId="4B667E16"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7929EF4"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4555EBE" w14:textId="2EE8DBCC" w:rsidTr="00AF03F6">
        <w:trPr>
          <w:trHeight w:val="67"/>
        </w:trPr>
        <w:tc>
          <w:tcPr>
            <w:tcW w:w="8784" w:type="dxa"/>
          </w:tcPr>
          <w:p w14:paraId="5B77F741" w14:textId="357BB213" w:rsidR="00432AAD" w:rsidRPr="00535477" w:rsidRDefault="00432AAD" w:rsidP="001A4A2F">
            <w:pPr>
              <w:pStyle w:val="ListParagraph"/>
              <w:numPr>
                <w:ilvl w:val="1"/>
                <w:numId w:val="31"/>
              </w:numPr>
              <w:spacing w:line="360" w:lineRule="auto"/>
              <w:ind w:left="2155" w:hanging="567"/>
              <w:jc w:val="both"/>
              <w:rPr>
                <w:rFonts w:ascii="Bookman Old Style" w:hAnsi="Bookman Old Style"/>
                <w:sz w:val="24"/>
                <w:szCs w:val="24"/>
              </w:rPr>
            </w:pPr>
            <w:r w:rsidRPr="00535477">
              <w:rPr>
                <w:rFonts w:ascii="Bookman Old Style" w:hAnsi="Bookman Old Style"/>
                <w:sz w:val="24"/>
                <w:szCs w:val="24"/>
              </w:rPr>
              <w:t xml:space="preserve">Untuk LPEI yang sebagian </w:t>
            </w:r>
            <w:r w:rsidR="00F50633" w:rsidRPr="00535477">
              <w:rPr>
                <w:rFonts w:ascii="Bookman Old Style" w:hAnsi="Bookman Old Style"/>
                <w:sz w:val="24"/>
                <w:szCs w:val="24"/>
              </w:rPr>
              <w:t>Perusahaan Anak</w:t>
            </w:r>
            <w:r w:rsidRPr="00535477">
              <w:rPr>
                <w:rFonts w:ascii="Bookman Old Style" w:hAnsi="Bookman Old Style"/>
                <w:sz w:val="24"/>
                <w:szCs w:val="24"/>
              </w:rPr>
              <w:t xml:space="preserve">nya melakukan kegiatan usaha berdasarkan </w:t>
            </w:r>
            <w:r w:rsidR="00C3664B" w:rsidRPr="00535477">
              <w:rPr>
                <w:rFonts w:ascii="Bookman Old Style" w:hAnsi="Bookman Old Style"/>
                <w:sz w:val="24"/>
                <w:szCs w:val="24"/>
              </w:rPr>
              <w:t>Prinsip Syariah</w:t>
            </w:r>
            <w:r w:rsidRPr="00535477">
              <w:rPr>
                <w:rFonts w:ascii="Bookman Old Style" w:hAnsi="Bookman Old Style"/>
                <w:sz w:val="24"/>
                <w:szCs w:val="24"/>
              </w:rPr>
              <w:t xml:space="preserve"> maka perhitungan ATMR Risiko Kredit-Pendekatan Standar secara konsolidasi, merupakan penjumlahan ATMR Risiko Kredit-Pendekatan Standar:</w:t>
            </w:r>
          </w:p>
        </w:tc>
        <w:tc>
          <w:tcPr>
            <w:tcW w:w="3969" w:type="dxa"/>
          </w:tcPr>
          <w:p w14:paraId="34F32878"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3644DCD4"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4859C405" w14:textId="0AD881F1" w:rsidTr="00AF03F6">
        <w:trPr>
          <w:trHeight w:val="67"/>
        </w:trPr>
        <w:tc>
          <w:tcPr>
            <w:tcW w:w="8784" w:type="dxa"/>
          </w:tcPr>
          <w:p w14:paraId="7A20689A" w14:textId="77777777" w:rsidR="00432AAD" w:rsidRPr="00535477" w:rsidRDefault="00432AAD" w:rsidP="001A4A2F">
            <w:pPr>
              <w:pStyle w:val="ListParagraph"/>
              <w:numPr>
                <w:ilvl w:val="0"/>
                <w:numId w:val="42"/>
              </w:numPr>
              <w:spacing w:line="360" w:lineRule="auto"/>
              <w:jc w:val="both"/>
              <w:rPr>
                <w:rFonts w:ascii="Bookman Old Style" w:hAnsi="Bookman Old Style"/>
                <w:sz w:val="24"/>
                <w:szCs w:val="24"/>
              </w:rPr>
            </w:pPr>
            <w:r w:rsidRPr="00535477">
              <w:rPr>
                <w:rFonts w:ascii="Bookman Old Style" w:hAnsi="Bookman Old Style"/>
                <w:sz w:val="24"/>
                <w:szCs w:val="24"/>
              </w:rPr>
              <w:t>bagi LPEI secara individu, dengan cakupan eksposur yang diperhitungkan, tagihan bersih, penetapan bobot risiko, dan pengakuan teknik Mitigasi Risiko Kredit (MRK)</w:t>
            </w:r>
            <w:r>
              <w:rPr>
                <w:rFonts w:ascii="Bookman Old Style" w:hAnsi="Bookman Old Style"/>
                <w:sz w:val="24"/>
                <w:szCs w:val="24"/>
              </w:rPr>
              <w:t xml:space="preserve"> </w:t>
            </w:r>
            <w:r w:rsidRPr="00535477">
              <w:rPr>
                <w:rFonts w:ascii="Bookman Old Style" w:hAnsi="Bookman Old Style"/>
                <w:sz w:val="24"/>
                <w:szCs w:val="24"/>
              </w:rPr>
              <w:t>sesuai dengan Surat Edaran Otoritas Jasa Keuangan ini;</w:t>
            </w:r>
          </w:p>
        </w:tc>
        <w:tc>
          <w:tcPr>
            <w:tcW w:w="3969" w:type="dxa"/>
          </w:tcPr>
          <w:p w14:paraId="745C2B4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EFDB49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45B623C9" w14:textId="560708D5" w:rsidTr="00AF03F6">
        <w:trPr>
          <w:trHeight w:val="67"/>
        </w:trPr>
        <w:tc>
          <w:tcPr>
            <w:tcW w:w="8784" w:type="dxa"/>
          </w:tcPr>
          <w:p w14:paraId="36C1D932" w14:textId="77777777" w:rsidR="00432AAD" w:rsidRPr="00535477" w:rsidRDefault="00432AAD" w:rsidP="001A4A2F">
            <w:pPr>
              <w:pStyle w:val="ListParagraph"/>
              <w:numPr>
                <w:ilvl w:val="0"/>
                <w:numId w:val="42"/>
              </w:numPr>
              <w:spacing w:line="360" w:lineRule="auto"/>
              <w:jc w:val="both"/>
              <w:rPr>
                <w:rFonts w:ascii="Bookman Old Style" w:hAnsi="Bookman Old Style"/>
                <w:sz w:val="24"/>
                <w:szCs w:val="24"/>
              </w:rPr>
            </w:pPr>
            <w:r w:rsidRPr="00535477">
              <w:rPr>
                <w:rFonts w:ascii="Bookman Old Style" w:hAnsi="Bookman Old Style"/>
                <w:sz w:val="24"/>
                <w:szCs w:val="24"/>
              </w:rPr>
              <w:t>bagi Perusahaan Anak yang melakukan kegiatan usaha secara konvensional, dengan cakupan eksposur yang diperhitungkan, tagihan bersih, penetapan bobot risiko, dan pengakuan teknik Mitigasi Risiko Kredit (MRK)</w:t>
            </w:r>
            <w:r>
              <w:rPr>
                <w:rFonts w:ascii="Bookman Old Style" w:hAnsi="Bookman Old Style"/>
                <w:sz w:val="24"/>
                <w:szCs w:val="24"/>
              </w:rPr>
              <w:t xml:space="preserve"> </w:t>
            </w:r>
            <w:r w:rsidRPr="00535477">
              <w:rPr>
                <w:rFonts w:ascii="Bookman Old Style" w:hAnsi="Bookman Old Style"/>
                <w:sz w:val="24"/>
                <w:szCs w:val="24"/>
              </w:rPr>
              <w:t>sesuai dengan Surat Edaran Otoritas Jasa Keuangan ini; dan</w:t>
            </w:r>
          </w:p>
        </w:tc>
        <w:tc>
          <w:tcPr>
            <w:tcW w:w="3969" w:type="dxa"/>
          </w:tcPr>
          <w:p w14:paraId="05E69E42" w14:textId="77777777" w:rsidR="00432AAD" w:rsidRPr="006918B8" w:rsidRDefault="00432AAD" w:rsidP="006918B8">
            <w:pPr>
              <w:spacing w:line="360" w:lineRule="auto"/>
              <w:ind w:left="2089"/>
              <w:jc w:val="both"/>
              <w:rPr>
                <w:rFonts w:ascii="Bookman Old Style" w:hAnsi="Bookman Old Style"/>
                <w:sz w:val="24"/>
                <w:szCs w:val="24"/>
              </w:rPr>
            </w:pPr>
          </w:p>
        </w:tc>
        <w:tc>
          <w:tcPr>
            <w:tcW w:w="4536" w:type="dxa"/>
          </w:tcPr>
          <w:p w14:paraId="66EAC1B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E01BF1C" w14:textId="5717AB94" w:rsidTr="00AF03F6">
        <w:trPr>
          <w:trHeight w:val="67"/>
        </w:trPr>
        <w:tc>
          <w:tcPr>
            <w:tcW w:w="8784" w:type="dxa"/>
          </w:tcPr>
          <w:p w14:paraId="7787C0F0" w14:textId="5E37398A" w:rsidR="00432AAD" w:rsidRPr="00535477" w:rsidRDefault="00432AAD" w:rsidP="006C3691">
            <w:pPr>
              <w:pStyle w:val="ListParagraph"/>
              <w:numPr>
                <w:ilvl w:val="0"/>
                <w:numId w:val="42"/>
              </w:numPr>
              <w:spacing w:line="360" w:lineRule="auto"/>
              <w:jc w:val="both"/>
              <w:rPr>
                <w:rFonts w:ascii="Bookman Old Style" w:hAnsi="Bookman Old Style"/>
                <w:sz w:val="24"/>
                <w:szCs w:val="24"/>
              </w:rPr>
            </w:pPr>
            <w:r w:rsidRPr="00535477">
              <w:rPr>
                <w:rFonts w:ascii="Bookman Old Style" w:hAnsi="Bookman Old Style"/>
                <w:sz w:val="24"/>
                <w:szCs w:val="24"/>
              </w:rPr>
              <w:t xml:space="preserve">bagi Perusahaan Anak yang melakukan kegiatan usaha berdasarkan </w:t>
            </w:r>
            <w:r w:rsidR="00C3664B" w:rsidRPr="00535477">
              <w:rPr>
                <w:rFonts w:ascii="Bookman Old Style" w:hAnsi="Bookman Old Style"/>
                <w:sz w:val="24"/>
                <w:szCs w:val="24"/>
              </w:rPr>
              <w:t xml:space="preserve">Prinsip Syariah </w:t>
            </w:r>
            <w:r w:rsidRPr="00535477">
              <w:rPr>
                <w:rFonts w:ascii="Bookman Old Style" w:hAnsi="Bookman Old Style"/>
                <w:sz w:val="24"/>
                <w:szCs w:val="24"/>
              </w:rPr>
              <w:t xml:space="preserve">sesuai dengan Surat Edaran Otoritas Jasa Keuangan mengenai perhitungan </w:t>
            </w:r>
            <w:r>
              <w:rPr>
                <w:rFonts w:ascii="Bookman Old Style" w:hAnsi="Bookman Old Style"/>
                <w:sz w:val="24"/>
                <w:szCs w:val="24"/>
              </w:rPr>
              <w:t>ATMR</w:t>
            </w:r>
            <w:r w:rsidRPr="00535477">
              <w:rPr>
                <w:rFonts w:ascii="Bookman Old Style" w:hAnsi="Bookman Old Style"/>
                <w:sz w:val="24"/>
                <w:szCs w:val="24"/>
              </w:rPr>
              <w:t xml:space="preserve"> untuk Risiko Kredit dengan menggunakan pendekatan standar bagi </w:t>
            </w:r>
            <w:r>
              <w:rPr>
                <w:rFonts w:ascii="Bookman Old Style" w:hAnsi="Bookman Old Style"/>
                <w:sz w:val="24"/>
                <w:szCs w:val="24"/>
              </w:rPr>
              <w:t>UUS</w:t>
            </w:r>
            <w:r w:rsidRPr="00535477">
              <w:rPr>
                <w:rFonts w:ascii="Bookman Old Style" w:hAnsi="Bookman Old Style"/>
                <w:sz w:val="24"/>
                <w:szCs w:val="24"/>
              </w:rPr>
              <w:t>, setelah mengeliminasi (</w:t>
            </w:r>
            <w:r w:rsidRPr="00535477">
              <w:rPr>
                <w:rFonts w:ascii="Bookman Old Style" w:hAnsi="Bookman Old Style"/>
                <w:i/>
                <w:sz w:val="24"/>
                <w:szCs w:val="24"/>
              </w:rPr>
              <w:t>set-off</w:t>
            </w:r>
            <w:r w:rsidRPr="00535477">
              <w:rPr>
                <w:rFonts w:ascii="Bookman Old Style" w:hAnsi="Bookman Old Style"/>
                <w:sz w:val="24"/>
                <w:szCs w:val="24"/>
              </w:rPr>
              <w:t>) transaksi antar entitas dalam kelompok usaha yang dikonsolidasi.</w:t>
            </w:r>
          </w:p>
        </w:tc>
        <w:tc>
          <w:tcPr>
            <w:tcW w:w="3969" w:type="dxa"/>
          </w:tcPr>
          <w:p w14:paraId="119AD228"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21E3BE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F88B8DE" w14:textId="1CEC3541" w:rsidTr="00AF03F6">
        <w:trPr>
          <w:trHeight w:val="67"/>
        </w:trPr>
        <w:tc>
          <w:tcPr>
            <w:tcW w:w="8784" w:type="dxa"/>
          </w:tcPr>
          <w:p w14:paraId="140D5BD5" w14:textId="77777777" w:rsidR="00432AAD" w:rsidRPr="00535477" w:rsidRDefault="00432AAD" w:rsidP="0044583D">
            <w:pPr>
              <w:pStyle w:val="ListParagraph"/>
              <w:spacing w:line="360" w:lineRule="auto"/>
              <w:ind w:left="2296" w:hanging="567"/>
              <w:jc w:val="both"/>
              <w:rPr>
                <w:rFonts w:ascii="Bookman Old Style" w:hAnsi="Bookman Old Style"/>
                <w:sz w:val="24"/>
                <w:szCs w:val="24"/>
              </w:rPr>
            </w:pPr>
          </w:p>
        </w:tc>
        <w:tc>
          <w:tcPr>
            <w:tcW w:w="3969" w:type="dxa"/>
          </w:tcPr>
          <w:p w14:paraId="0338FD49" w14:textId="77777777" w:rsidR="00432AAD" w:rsidRPr="00535477" w:rsidRDefault="00432AAD" w:rsidP="0044583D">
            <w:pPr>
              <w:pStyle w:val="ListParagraph"/>
              <w:spacing w:line="360" w:lineRule="auto"/>
              <w:ind w:left="2296" w:hanging="567"/>
              <w:jc w:val="both"/>
              <w:rPr>
                <w:rFonts w:ascii="Bookman Old Style" w:hAnsi="Bookman Old Style"/>
                <w:sz w:val="24"/>
                <w:szCs w:val="24"/>
              </w:rPr>
            </w:pPr>
          </w:p>
        </w:tc>
        <w:tc>
          <w:tcPr>
            <w:tcW w:w="4536" w:type="dxa"/>
          </w:tcPr>
          <w:p w14:paraId="2CC3C486" w14:textId="77777777" w:rsidR="00432AAD" w:rsidRPr="00535477" w:rsidRDefault="00432AAD" w:rsidP="0044583D">
            <w:pPr>
              <w:pStyle w:val="ListParagraph"/>
              <w:spacing w:line="360" w:lineRule="auto"/>
              <w:ind w:left="2296" w:hanging="567"/>
              <w:jc w:val="both"/>
              <w:rPr>
                <w:rFonts w:ascii="Bookman Old Style" w:hAnsi="Bookman Old Style"/>
                <w:sz w:val="24"/>
                <w:szCs w:val="24"/>
              </w:rPr>
            </w:pPr>
          </w:p>
        </w:tc>
      </w:tr>
      <w:tr w:rsidR="00432AAD" w:rsidRPr="00535477" w14:paraId="10538AC1" w14:textId="6D570E36" w:rsidTr="00AF03F6">
        <w:trPr>
          <w:trHeight w:val="67"/>
        </w:trPr>
        <w:tc>
          <w:tcPr>
            <w:tcW w:w="8784" w:type="dxa"/>
          </w:tcPr>
          <w:p w14:paraId="1B290939"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PENGGUNAAN METODE STANDAR DALAM PERHITUNGAN KPMM DENGAN MEMPERHITUNGKAN RISIKO PASAR</w:t>
            </w:r>
          </w:p>
        </w:tc>
        <w:tc>
          <w:tcPr>
            <w:tcW w:w="3969" w:type="dxa"/>
          </w:tcPr>
          <w:p w14:paraId="509FFA09" w14:textId="77777777" w:rsidR="00432AAD" w:rsidRPr="006918B8" w:rsidRDefault="00432AAD" w:rsidP="006918B8">
            <w:pPr>
              <w:spacing w:line="360" w:lineRule="auto"/>
              <w:ind w:left="18"/>
              <w:jc w:val="both"/>
              <w:rPr>
                <w:rFonts w:ascii="Bookman Old Style" w:hAnsi="Bookman Old Style"/>
                <w:sz w:val="24"/>
                <w:szCs w:val="24"/>
              </w:rPr>
            </w:pPr>
          </w:p>
        </w:tc>
        <w:tc>
          <w:tcPr>
            <w:tcW w:w="4536" w:type="dxa"/>
          </w:tcPr>
          <w:p w14:paraId="3FC91D09"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C1906BC" w14:textId="216BC002" w:rsidTr="00AF03F6">
        <w:trPr>
          <w:trHeight w:val="67"/>
        </w:trPr>
        <w:tc>
          <w:tcPr>
            <w:tcW w:w="8784" w:type="dxa"/>
          </w:tcPr>
          <w:p w14:paraId="6FFEC6AE" w14:textId="77777777" w:rsidR="00432AAD" w:rsidRPr="00535477" w:rsidRDefault="00432AAD" w:rsidP="00D03252">
            <w:pPr>
              <w:pStyle w:val="ListParagraph"/>
              <w:spacing w:line="360" w:lineRule="auto"/>
              <w:ind w:left="738"/>
              <w:jc w:val="both"/>
              <w:rPr>
                <w:rFonts w:ascii="Bookman Old Style" w:hAnsi="Bookman Old Style"/>
                <w:sz w:val="24"/>
                <w:szCs w:val="24"/>
              </w:rPr>
            </w:pPr>
            <w:r w:rsidRPr="00535477">
              <w:rPr>
                <w:rFonts w:ascii="Bookman Old Style" w:hAnsi="Bookman Old Style"/>
                <w:sz w:val="24"/>
                <w:szCs w:val="24"/>
              </w:rPr>
              <w:t xml:space="preserve">Perhitungan Risiko Pasar mencakup perhitungan risiko suku bunga dan risiko nilai tukar termasuk risiko perubahan harga </w:t>
            </w:r>
            <w:r w:rsidRPr="00250628">
              <w:rPr>
                <w:rFonts w:ascii="Bookman Old Style" w:hAnsi="Bookman Old Style"/>
                <w:i/>
                <w:sz w:val="24"/>
                <w:szCs w:val="24"/>
              </w:rPr>
              <w:t>option</w:t>
            </w:r>
            <w:r>
              <w:rPr>
                <w:rFonts w:ascii="Bookman Old Style" w:hAnsi="Bookman Old Style"/>
                <w:i/>
                <w:sz w:val="24"/>
                <w:szCs w:val="24"/>
              </w:rPr>
              <w:t xml:space="preserve">. </w:t>
            </w:r>
          </w:p>
        </w:tc>
        <w:tc>
          <w:tcPr>
            <w:tcW w:w="3969" w:type="dxa"/>
          </w:tcPr>
          <w:p w14:paraId="7D9F0ACF" w14:textId="77777777" w:rsidR="00432AAD" w:rsidRPr="00535477" w:rsidRDefault="00432AAD" w:rsidP="00D03252">
            <w:pPr>
              <w:pStyle w:val="ListParagraph"/>
              <w:spacing w:line="360" w:lineRule="auto"/>
              <w:ind w:left="738"/>
              <w:jc w:val="both"/>
              <w:rPr>
                <w:rFonts w:ascii="Bookman Old Style" w:hAnsi="Bookman Old Style"/>
                <w:sz w:val="24"/>
                <w:szCs w:val="24"/>
              </w:rPr>
            </w:pPr>
          </w:p>
        </w:tc>
        <w:tc>
          <w:tcPr>
            <w:tcW w:w="4536" w:type="dxa"/>
          </w:tcPr>
          <w:p w14:paraId="3DB1C91F" w14:textId="77777777" w:rsidR="00432AAD" w:rsidRPr="00535477" w:rsidRDefault="00432AAD" w:rsidP="00D03252">
            <w:pPr>
              <w:pStyle w:val="ListParagraph"/>
              <w:spacing w:line="360" w:lineRule="auto"/>
              <w:ind w:left="738"/>
              <w:jc w:val="both"/>
              <w:rPr>
                <w:rFonts w:ascii="Bookman Old Style" w:hAnsi="Bookman Old Style"/>
                <w:sz w:val="24"/>
                <w:szCs w:val="24"/>
              </w:rPr>
            </w:pPr>
          </w:p>
        </w:tc>
      </w:tr>
      <w:tr w:rsidR="00432AAD" w:rsidRPr="00535477" w14:paraId="4FC477D7" w14:textId="687D6D2C" w:rsidTr="00AF03F6">
        <w:trPr>
          <w:trHeight w:val="67"/>
        </w:trPr>
        <w:tc>
          <w:tcPr>
            <w:tcW w:w="8784" w:type="dxa"/>
          </w:tcPr>
          <w:p w14:paraId="07242827" w14:textId="77777777" w:rsidR="00432AAD" w:rsidRPr="00535477" w:rsidRDefault="00432AAD" w:rsidP="001A4A2F">
            <w:pPr>
              <w:pStyle w:val="ListParagraph"/>
              <w:numPr>
                <w:ilvl w:val="0"/>
                <w:numId w:val="32"/>
              </w:numPr>
              <w:spacing w:line="360" w:lineRule="auto"/>
              <w:ind w:left="1230" w:hanging="567"/>
              <w:jc w:val="both"/>
              <w:rPr>
                <w:rFonts w:ascii="Bookman Old Style" w:hAnsi="Bookman Old Style"/>
                <w:sz w:val="24"/>
                <w:szCs w:val="24"/>
              </w:rPr>
            </w:pPr>
            <w:r w:rsidRPr="00535477">
              <w:rPr>
                <w:rFonts w:ascii="Bookman Old Style" w:hAnsi="Bookman Old Style"/>
                <w:sz w:val="24"/>
                <w:szCs w:val="24"/>
              </w:rPr>
              <w:t>Perhitungan Risiko Suku Bunga</w:t>
            </w:r>
          </w:p>
          <w:p w14:paraId="11250915" w14:textId="77777777" w:rsidR="00432AAD" w:rsidRPr="005B530A" w:rsidRDefault="00432AAD" w:rsidP="005B530A">
            <w:pPr>
              <w:pStyle w:val="ListParagraph"/>
              <w:numPr>
                <w:ilvl w:val="0"/>
                <w:numId w:val="33"/>
              </w:numPr>
              <w:spacing w:after="160" w:line="360" w:lineRule="auto"/>
              <w:ind w:left="1797" w:hanging="567"/>
              <w:jc w:val="both"/>
              <w:rPr>
                <w:rFonts w:ascii="Bookman Old Style" w:hAnsi="Bookman Old Style"/>
                <w:sz w:val="24"/>
                <w:szCs w:val="24"/>
              </w:rPr>
            </w:pPr>
            <w:r w:rsidRPr="00535477">
              <w:rPr>
                <w:rFonts w:ascii="Bookman Old Style" w:hAnsi="Bookman Old Style"/>
                <w:sz w:val="24"/>
                <w:szCs w:val="24"/>
              </w:rPr>
              <w:t xml:space="preserve">Perhitungan risiko suku bunga dilakukan terhadap posisi instrumen keuangan dalam </w:t>
            </w:r>
            <w:r w:rsidRPr="00EC155D">
              <w:rPr>
                <w:rFonts w:ascii="Bookman Old Style" w:hAnsi="Bookman Old Style"/>
                <w:i/>
                <w:sz w:val="24"/>
                <w:szCs w:val="24"/>
              </w:rPr>
              <w:t>Trading Book</w:t>
            </w:r>
            <w:r w:rsidRPr="00535477">
              <w:rPr>
                <w:rFonts w:ascii="Bookman Old Style" w:hAnsi="Bookman Old Style"/>
                <w:sz w:val="24"/>
                <w:szCs w:val="24"/>
              </w:rPr>
              <w:t xml:space="preserve"> yang terekspos risiko suku bunga.</w:t>
            </w:r>
          </w:p>
          <w:p w14:paraId="54DA24D9" w14:textId="77777777" w:rsidR="00432AAD" w:rsidRPr="00535477" w:rsidRDefault="00432AAD" w:rsidP="001A4A2F">
            <w:pPr>
              <w:pStyle w:val="ListParagraph"/>
              <w:numPr>
                <w:ilvl w:val="0"/>
                <w:numId w:val="33"/>
              </w:numPr>
              <w:spacing w:line="360" w:lineRule="auto"/>
              <w:ind w:left="1797" w:hanging="567"/>
              <w:jc w:val="both"/>
              <w:rPr>
                <w:rFonts w:ascii="Bookman Old Style" w:hAnsi="Bookman Old Style"/>
                <w:sz w:val="24"/>
                <w:szCs w:val="24"/>
              </w:rPr>
            </w:pPr>
            <w:r w:rsidRPr="00535477">
              <w:rPr>
                <w:rFonts w:ascii="Bookman Old Style" w:hAnsi="Bookman Old Style"/>
                <w:sz w:val="24"/>
                <w:szCs w:val="24"/>
              </w:rPr>
              <w:t>Perhitungan risiko suku bunga meliputi perhitungan risiko spesifik dan risiko umum.</w:t>
            </w:r>
          </w:p>
        </w:tc>
        <w:tc>
          <w:tcPr>
            <w:tcW w:w="3969" w:type="dxa"/>
          </w:tcPr>
          <w:p w14:paraId="05890733"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ED212B1"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AE876C9" w14:textId="4C23E4BF" w:rsidTr="00AF03F6">
        <w:trPr>
          <w:trHeight w:val="67"/>
        </w:trPr>
        <w:tc>
          <w:tcPr>
            <w:tcW w:w="8784" w:type="dxa"/>
          </w:tcPr>
          <w:p w14:paraId="3F36593C" w14:textId="77777777" w:rsidR="00432AAD" w:rsidRDefault="00432AAD" w:rsidP="00362EF9">
            <w:pPr>
              <w:pStyle w:val="ListParagraph"/>
              <w:numPr>
                <w:ilvl w:val="0"/>
                <w:numId w:val="32"/>
              </w:numPr>
              <w:spacing w:line="360" w:lineRule="auto"/>
              <w:ind w:left="1230" w:hanging="567"/>
              <w:jc w:val="both"/>
              <w:rPr>
                <w:rFonts w:ascii="Bookman Old Style" w:hAnsi="Bookman Old Style"/>
                <w:sz w:val="24"/>
                <w:szCs w:val="24"/>
              </w:rPr>
            </w:pPr>
            <w:r w:rsidRPr="00535477">
              <w:rPr>
                <w:rFonts w:ascii="Bookman Old Style" w:hAnsi="Bookman Old Style"/>
                <w:sz w:val="24"/>
                <w:szCs w:val="24"/>
              </w:rPr>
              <w:t>Perhitungan Risiko Nilai Tukar</w:t>
            </w:r>
          </w:p>
          <w:p w14:paraId="230A1C61" w14:textId="77777777" w:rsidR="00432AAD" w:rsidRDefault="00432AAD" w:rsidP="00362EF9">
            <w:pPr>
              <w:pStyle w:val="ListParagraph"/>
              <w:spacing w:line="360" w:lineRule="auto"/>
              <w:ind w:left="1230"/>
              <w:jc w:val="both"/>
              <w:rPr>
                <w:rFonts w:ascii="Bookman Old Style" w:hAnsi="Bookman Old Style"/>
                <w:sz w:val="24"/>
                <w:szCs w:val="24"/>
              </w:rPr>
            </w:pPr>
            <w:r w:rsidRPr="00362EF9">
              <w:rPr>
                <w:rFonts w:ascii="Bookman Old Style" w:hAnsi="Bookman Old Style"/>
                <w:sz w:val="24"/>
                <w:szCs w:val="24"/>
              </w:rPr>
              <w:t xml:space="preserve">Perhitungan risiko nilai tukar dilakukan terhadap posisi valuta asing dalam </w:t>
            </w:r>
            <w:r w:rsidRPr="00362EF9">
              <w:rPr>
                <w:rFonts w:ascii="Bookman Old Style" w:hAnsi="Bookman Old Style"/>
                <w:i/>
                <w:sz w:val="24"/>
                <w:szCs w:val="24"/>
              </w:rPr>
              <w:t>Trading Book</w:t>
            </w:r>
            <w:r w:rsidRPr="00362EF9">
              <w:rPr>
                <w:rFonts w:ascii="Bookman Old Style" w:hAnsi="Bookman Old Style"/>
                <w:sz w:val="24"/>
                <w:szCs w:val="24"/>
              </w:rPr>
              <w:t xml:space="preserve"> dan </w:t>
            </w:r>
            <w:r w:rsidRPr="00362EF9">
              <w:rPr>
                <w:rFonts w:ascii="Bookman Old Style" w:hAnsi="Bookman Old Style"/>
                <w:i/>
                <w:sz w:val="24"/>
                <w:szCs w:val="24"/>
              </w:rPr>
              <w:t>Banking Book</w:t>
            </w:r>
            <w:r w:rsidRPr="00362EF9">
              <w:rPr>
                <w:rFonts w:ascii="Bookman Old Style" w:hAnsi="Bookman Old Style"/>
                <w:sz w:val="24"/>
                <w:szCs w:val="24"/>
              </w:rPr>
              <w:t xml:space="preserve"> yang terekspos risiko nilai tukar.</w:t>
            </w:r>
          </w:p>
          <w:p w14:paraId="55EF76F3" w14:textId="77777777" w:rsidR="00432AAD" w:rsidRDefault="00432AAD" w:rsidP="005B530A">
            <w:pPr>
              <w:pStyle w:val="ListParagraph"/>
              <w:numPr>
                <w:ilvl w:val="0"/>
                <w:numId w:val="32"/>
              </w:numPr>
              <w:spacing w:line="360" w:lineRule="auto"/>
              <w:ind w:left="1230" w:hanging="567"/>
              <w:jc w:val="both"/>
              <w:rPr>
                <w:rFonts w:ascii="Bookman Old Style" w:hAnsi="Bookman Old Style"/>
                <w:sz w:val="24"/>
                <w:szCs w:val="24"/>
              </w:rPr>
            </w:pPr>
            <w:r w:rsidRPr="00535477">
              <w:rPr>
                <w:rFonts w:ascii="Bookman Old Style" w:hAnsi="Bookman Old Style"/>
                <w:sz w:val="24"/>
                <w:szCs w:val="24"/>
              </w:rPr>
              <w:t xml:space="preserve">Perhitungan Risiko </w:t>
            </w:r>
            <w:r>
              <w:rPr>
                <w:rFonts w:ascii="Bookman Old Style" w:hAnsi="Bookman Old Style"/>
                <w:sz w:val="24"/>
                <w:szCs w:val="24"/>
              </w:rPr>
              <w:t xml:space="preserve">Perubahan Harga </w:t>
            </w:r>
            <w:r w:rsidRPr="000C1CE0">
              <w:rPr>
                <w:rFonts w:ascii="Bookman Old Style" w:hAnsi="Bookman Old Style"/>
                <w:i/>
                <w:sz w:val="24"/>
                <w:szCs w:val="24"/>
              </w:rPr>
              <w:t>Option</w:t>
            </w:r>
          </w:p>
          <w:p w14:paraId="5EB32D94" w14:textId="77777777" w:rsidR="00432AAD" w:rsidRPr="00C43A30" w:rsidRDefault="00432AAD" w:rsidP="00C43A30">
            <w:pPr>
              <w:pStyle w:val="ListParagraph"/>
              <w:spacing w:line="360" w:lineRule="auto"/>
              <w:ind w:left="1230"/>
              <w:jc w:val="both"/>
              <w:rPr>
                <w:rFonts w:ascii="Bookman Old Style" w:hAnsi="Bookman Old Style"/>
                <w:sz w:val="24"/>
                <w:szCs w:val="24"/>
              </w:rPr>
            </w:pPr>
            <w:r w:rsidRPr="00362EF9">
              <w:rPr>
                <w:rFonts w:ascii="Bookman Old Style" w:hAnsi="Bookman Old Style"/>
                <w:sz w:val="24"/>
                <w:szCs w:val="24"/>
              </w:rPr>
              <w:t xml:space="preserve">Perhitungan risiko </w:t>
            </w:r>
            <w:r>
              <w:rPr>
                <w:rFonts w:ascii="Bookman Old Style" w:hAnsi="Bookman Old Style"/>
                <w:sz w:val="24"/>
                <w:szCs w:val="24"/>
              </w:rPr>
              <w:t xml:space="preserve">perubahan harga </w:t>
            </w:r>
            <w:r>
              <w:rPr>
                <w:rFonts w:ascii="Bookman Old Style" w:hAnsi="Bookman Old Style"/>
                <w:i/>
                <w:sz w:val="24"/>
                <w:szCs w:val="24"/>
              </w:rPr>
              <w:t>option</w:t>
            </w:r>
            <w:r w:rsidRPr="00362EF9">
              <w:rPr>
                <w:rFonts w:ascii="Bookman Old Style" w:hAnsi="Bookman Old Style"/>
                <w:sz w:val="24"/>
                <w:szCs w:val="24"/>
              </w:rPr>
              <w:t xml:space="preserve"> dilakukan terhadap </w:t>
            </w:r>
            <w:r>
              <w:rPr>
                <w:rFonts w:ascii="Bookman Old Style" w:hAnsi="Bookman Old Style"/>
                <w:sz w:val="24"/>
                <w:szCs w:val="24"/>
              </w:rPr>
              <w:t>risiko suku bunga dan risiko nilai tukar</w:t>
            </w:r>
            <w:r w:rsidRPr="00362EF9">
              <w:rPr>
                <w:rFonts w:ascii="Bookman Old Style" w:hAnsi="Bookman Old Style"/>
                <w:sz w:val="24"/>
                <w:szCs w:val="24"/>
              </w:rPr>
              <w:t>.</w:t>
            </w:r>
          </w:p>
        </w:tc>
        <w:tc>
          <w:tcPr>
            <w:tcW w:w="3969" w:type="dxa"/>
          </w:tcPr>
          <w:p w14:paraId="3331044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80B4210"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1C2DF2A6" w14:textId="02F22F04" w:rsidTr="00AF03F6">
        <w:trPr>
          <w:trHeight w:val="67"/>
        </w:trPr>
        <w:tc>
          <w:tcPr>
            <w:tcW w:w="8784" w:type="dxa"/>
          </w:tcPr>
          <w:p w14:paraId="6321C5B3" w14:textId="77777777" w:rsidR="00432AAD" w:rsidRPr="00535477" w:rsidRDefault="00432AAD" w:rsidP="001A4A2F">
            <w:pPr>
              <w:pStyle w:val="ListParagraph"/>
              <w:numPr>
                <w:ilvl w:val="0"/>
                <w:numId w:val="32"/>
              </w:numPr>
              <w:spacing w:line="360" w:lineRule="auto"/>
              <w:ind w:left="1230" w:hanging="567"/>
              <w:jc w:val="both"/>
              <w:rPr>
                <w:rFonts w:ascii="Bookman Old Style" w:hAnsi="Bookman Old Style"/>
                <w:sz w:val="24"/>
                <w:szCs w:val="24"/>
              </w:rPr>
            </w:pPr>
            <w:r w:rsidRPr="00535477">
              <w:rPr>
                <w:rFonts w:ascii="Bookman Old Style" w:hAnsi="Bookman Old Style"/>
                <w:sz w:val="24"/>
                <w:szCs w:val="24"/>
              </w:rPr>
              <w:t>Tata Cara Perhitungan Beban Modal</w:t>
            </w:r>
          </w:p>
          <w:p w14:paraId="21AA4536" w14:textId="77777777" w:rsidR="00432AAD" w:rsidRPr="00535477" w:rsidRDefault="00432AAD" w:rsidP="0043067E">
            <w:pPr>
              <w:pStyle w:val="ListParagraph"/>
              <w:spacing w:line="360" w:lineRule="auto"/>
              <w:ind w:left="1230"/>
              <w:jc w:val="both"/>
              <w:rPr>
                <w:rFonts w:ascii="Bookman Old Style" w:hAnsi="Bookman Old Style"/>
                <w:sz w:val="24"/>
                <w:szCs w:val="24"/>
              </w:rPr>
            </w:pPr>
            <w:r w:rsidRPr="00535477">
              <w:rPr>
                <w:rFonts w:ascii="Bookman Old Style" w:hAnsi="Bookman Old Style"/>
                <w:sz w:val="24"/>
                <w:szCs w:val="24"/>
              </w:rPr>
              <w:t>Tata cara perhitungan beban modal untuk risiko suku bunga, risiko nilai tukar, dan/atau risiko</w:t>
            </w:r>
            <w:r>
              <w:rPr>
                <w:rFonts w:ascii="Bookman Old Style" w:hAnsi="Bookman Old Style"/>
                <w:sz w:val="24"/>
                <w:szCs w:val="24"/>
              </w:rPr>
              <w:t xml:space="preserve"> perubahan harga</w:t>
            </w:r>
            <w:r w:rsidRPr="00535477">
              <w:rPr>
                <w:rFonts w:ascii="Bookman Old Style" w:hAnsi="Bookman Old Style"/>
                <w:sz w:val="24"/>
                <w:szCs w:val="24"/>
              </w:rPr>
              <w:t xml:space="preserve"> </w:t>
            </w:r>
            <w:r w:rsidRPr="00F47C5B">
              <w:rPr>
                <w:rFonts w:ascii="Bookman Old Style" w:hAnsi="Bookman Old Style"/>
                <w:i/>
                <w:sz w:val="24"/>
                <w:szCs w:val="24"/>
              </w:rPr>
              <w:t>option</w:t>
            </w:r>
            <w:r>
              <w:rPr>
                <w:rFonts w:ascii="Bookman Old Style" w:hAnsi="Bookman Old Style"/>
                <w:sz w:val="24"/>
                <w:szCs w:val="24"/>
              </w:rPr>
              <w:t xml:space="preserve"> berpedoman pada Lampiran I</w:t>
            </w:r>
            <w:r w:rsidRPr="00535477">
              <w:rPr>
                <w:rFonts w:ascii="Bookman Old Style" w:hAnsi="Bookman Old Style"/>
                <w:sz w:val="24"/>
                <w:szCs w:val="24"/>
              </w:rPr>
              <w:t>I yang merupakan bagian tidak terpisahkan dari Surat Edaran Otoritas Jasa Keuangan ini.</w:t>
            </w:r>
          </w:p>
        </w:tc>
        <w:tc>
          <w:tcPr>
            <w:tcW w:w="3969" w:type="dxa"/>
          </w:tcPr>
          <w:p w14:paraId="6F975351"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0025FB5"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80694CF" w14:textId="161E5F87" w:rsidTr="00AF03F6">
        <w:trPr>
          <w:trHeight w:val="67"/>
        </w:trPr>
        <w:tc>
          <w:tcPr>
            <w:tcW w:w="8784" w:type="dxa"/>
          </w:tcPr>
          <w:p w14:paraId="29C28F77" w14:textId="77777777" w:rsidR="00432AAD" w:rsidRPr="00535477" w:rsidRDefault="00432AAD" w:rsidP="0044583D">
            <w:pPr>
              <w:pStyle w:val="ListParagraph"/>
              <w:spacing w:line="360" w:lineRule="auto"/>
              <w:ind w:left="2296" w:hanging="567"/>
              <w:jc w:val="both"/>
              <w:rPr>
                <w:rFonts w:ascii="Bookman Old Style" w:hAnsi="Bookman Old Style"/>
                <w:sz w:val="24"/>
                <w:szCs w:val="24"/>
              </w:rPr>
            </w:pPr>
          </w:p>
        </w:tc>
        <w:tc>
          <w:tcPr>
            <w:tcW w:w="3969" w:type="dxa"/>
          </w:tcPr>
          <w:p w14:paraId="7105DA71" w14:textId="77777777" w:rsidR="00432AAD" w:rsidRPr="00535477" w:rsidRDefault="00432AAD" w:rsidP="0044583D">
            <w:pPr>
              <w:pStyle w:val="ListParagraph"/>
              <w:spacing w:line="360" w:lineRule="auto"/>
              <w:ind w:left="2296" w:hanging="567"/>
              <w:jc w:val="both"/>
              <w:rPr>
                <w:rFonts w:ascii="Bookman Old Style" w:hAnsi="Bookman Old Style"/>
                <w:sz w:val="24"/>
                <w:szCs w:val="24"/>
              </w:rPr>
            </w:pPr>
          </w:p>
        </w:tc>
        <w:tc>
          <w:tcPr>
            <w:tcW w:w="4536" w:type="dxa"/>
          </w:tcPr>
          <w:p w14:paraId="26436E13" w14:textId="77777777" w:rsidR="00432AAD" w:rsidRPr="00535477" w:rsidRDefault="00432AAD" w:rsidP="0044583D">
            <w:pPr>
              <w:pStyle w:val="ListParagraph"/>
              <w:spacing w:line="360" w:lineRule="auto"/>
              <w:ind w:left="2296" w:hanging="567"/>
              <w:jc w:val="both"/>
              <w:rPr>
                <w:rFonts w:ascii="Bookman Old Style" w:hAnsi="Bookman Old Style"/>
                <w:sz w:val="24"/>
                <w:szCs w:val="24"/>
              </w:rPr>
            </w:pPr>
          </w:p>
        </w:tc>
      </w:tr>
      <w:tr w:rsidR="00432AAD" w:rsidRPr="00535477" w14:paraId="2F6FE05C" w14:textId="03E292F1" w:rsidTr="00AF03F6">
        <w:trPr>
          <w:trHeight w:val="67"/>
        </w:trPr>
        <w:tc>
          <w:tcPr>
            <w:tcW w:w="8784" w:type="dxa"/>
          </w:tcPr>
          <w:p w14:paraId="1F87951B"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TATA CARA PENYAMPAIAN LAPORAN PENILAIAN KECUKUPAN MODAL MINIMUM SESUAI PROFIL RISIKO</w:t>
            </w:r>
          </w:p>
        </w:tc>
        <w:tc>
          <w:tcPr>
            <w:tcW w:w="3969" w:type="dxa"/>
          </w:tcPr>
          <w:p w14:paraId="181AD90E"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262BD855"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EFEF514" w14:textId="7B16F1DE" w:rsidTr="00AF03F6">
        <w:trPr>
          <w:trHeight w:val="67"/>
        </w:trPr>
        <w:tc>
          <w:tcPr>
            <w:tcW w:w="8784" w:type="dxa"/>
          </w:tcPr>
          <w:p w14:paraId="71FF020F" w14:textId="77777777" w:rsidR="00432AAD" w:rsidRPr="00535477" w:rsidRDefault="00432AAD" w:rsidP="001A4A2F">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LPEI harus menyampaikan laporan penilaian kecukupan modal minimum sesuai profil risiko kepada Otoritas Jasa Keuangan secara dalam jaringan melalui sistem jaringan komunikasi data Otoritas Jasa Keuangan.</w:t>
            </w:r>
          </w:p>
        </w:tc>
        <w:tc>
          <w:tcPr>
            <w:tcW w:w="3969" w:type="dxa"/>
          </w:tcPr>
          <w:p w14:paraId="4A7267B2" w14:textId="77777777" w:rsidR="00432AAD" w:rsidRPr="006918B8" w:rsidRDefault="00432AAD" w:rsidP="006918B8">
            <w:pPr>
              <w:spacing w:line="360" w:lineRule="auto"/>
              <w:ind w:left="803"/>
              <w:jc w:val="both"/>
              <w:rPr>
                <w:rFonts w:ascii="Bookman Old Style" w:hAnsi="Bookman Old Style"/>
                <w:sz w:val="24"/>
                <w:szCs w:val="24"/>
              </w:rPr>
            </w:pPr>
          </w:p>
        </w:tc>
        <w:tc>
          <w:tcPr>
            <w:tcW w:w="4536" w:type="dxa"/>
          </w:tcPr>
          <w:p w14:paraId="3A49CC4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A2E6067" w14:textId="3C2FB383" w:rsidTr="00AF03F6">
        <w:trPr>
          <w:trHeight w:val="67"/>
        </w:trPr>
        <w:tc>
          <w:tcPr>
            <w:tcW w:w="8784" w:type="dxa"/>
          </w:tcPr>
          <w:p w14:paraId="760CF560" w14:textId="77777777" w:rsidR="00432AAD" w:rsidRPr="00535477" w:rsidRDefault="00432AAD" w:rsidP="003B3024">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 xml:space="preserve">LPEI </w:t>
            </w:r>
            <w:r>
              <w:rPr>
                <w:rFonts w:ascii="Bookman Old Style" w:hAnsi="Bookman Old Style"/>
                <w:sz w:val="24"/>
                <w:szCs w:val="24"/>
              </w:rPr>
              <w:t>harus</w:t>
            </w:r>
            <w:r w:rsidRPr="00535477">
              <w:rPr>
                <w:rFonts w:ascii="Bookman Old Style" w:hAnsi="Bookman Old Style"/>
                <w:sz w:val="24"/>
                <w:szCs w:val="24"/>
              </w:rPr>
              <w:t xml:space="preserve"> memastikan bahwa laporan penilaian kecukupan modal minimum sesuai profil risiko yang disampaikan secara dalam jaringan sebagaimana dimaksud pada angka 1 adalah benar dan sama dengan dokumen cetak.</w:t>
            </w:r>
          </w:p>
        </w:tc>
        <w:tc>
          <w:tcPr>
            <w:tcW w:w="3969" w:type="dxa"/>
          </w:tcPr>
          <w:p w14:paraId="1B17FE33" w14:textId="77777777" w:rsidR="00432AAD" w:rsidRPr="006918B8" w:rsidRDefault="00432AAD" w:rsidP="006918B8">
            <w:pPr>
              <w:spacing w:line="360" w:lineRule="auto"/>
              <w:ind w:left="803"/>
              <w:jc w:val="both"/>
              <w:rPr>
                <w:rFonts w:ascii="Bookman Old Style" w:hAnsi="Bookman Old Style"/>
                <w:sz w:val="24"/>
                <w:szCs w:val="24"/>
              </w:rPr>
            </w:pPr>
          </w:p>
        </w:tc>
        <w:tc>
          <w:tcPr>
            <w:tcW w:w="4536" w:type="dxa"/>
          </w:tcPr>
          <w:p w14:paraId="0D068701"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79B5FAC" w14:textId="4E75DFBE" w:rsidTr="00AF03F6">
        <w:trPr>
          <w:trHeight w:val="67"/>
        </w:trPr>
        <w:tc>
          <w:tcPr>
            <w:tcW w:w="8784" w:type="dxa"/>
          </w:tcPr>
          <w:p w14:paraId="10354B6D" w14:textId="77777777" w:rsidR="00432AAD" w:rsidRPr="00535477" w:rsidRDefault="00432AAD" w:rsidP="001A4A2F">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 xml:space="preserve">Dalam hal sistem jaringan komunikasi data Otoritas Jasa Keuangan sebagaimana dimaksud pada angka 1  </w:t>
            </w:r>
            <w:r w:rsidRPr="00DC5AAB">
              <w:rPr>
                <w:rFonts w:ascii="Bookman Old Style" w:hAnsi="Bookman Old Style"/>
                <w:sz w:val="24"/>
                <w:szCs w:val="24"/>
                <w:lang w:val="id-ID"/>
              </w:rPr>
              <w:t xml:space="preserve">belum tersedia atau </w:t>
            </w:r>
            <w:r w:rsidRPr="00535477">
              <w:rPr>
                <w:rFonts w:ascii="Bookman Old Style" w:hAnsi="Bookman Old Style"/>
                <w:sz w:val="24"/>
                <w:szCs w:val="24"/>
              </w:rPr>
              <w:t xml:space="preserve">mengalami gangguan teknis, penyampaian laporan penilaian kecukupan modal minimum sesuai profil risiko disampaikan kepada Otoritas Jasa Keuangan secara luar jaringan dengan cara: </w:t>
            </w:r>
          </w:p>
        </w:tc>
        <w:tc>
          <w:tcPr>
            <w:tcW w:w="3969" w:type="dxa"/>
          </w:tcPr>
          <w:p w14:paraId="76616C93"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B156693"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8C7765A" w14:textId="1F0CD41F" w:rsidTr="00AF03F6">
        <w:trPr>
          <w:trHeight w:val="67"/>
        </w:trPr>
        <w:tc>
          <w:tcPr>
            <w:tcW w:w="8784" w:type="dxa"/>
          </w:tcPr>
          <w:p w14:paraId="4EB249D6" w14:textId="77777777" w:rsidR="00432AAD" w:rsidRPr="00535477" w:rsidRDefault="00432AAD" w:rsidP="001A4A2F">
            <w:pPr>
              <w:pStyle w:val="ListParagraph"/>
              <w:numPr>
                <w:ilvl w:val="0"/>
                <w:numId w:val="27"/>
              </w:numPr>
              <w:spacing w:line="360" w:lineRule="auto"/>
              <w:ind w:left="1872" w:hanging="567"/>
              <w:jc w:val="both"/>
              <w:rPr>
                <w:rFonts w:ascii="Bookman Old Style" w:hAnsi="Bookman Old Style"/>
                <w:sz w:val="24"/>
                <w:szCs w:val="24"/>
              </w:rPr>
            </w:pPr>
            <w:r w:rsidRPr="00535477">
              <w:rPr>
                <w:rFonts w:ascii="Bookman Old Style" w:hAnsi="Bookman Old Style"/>
                <w:sz w:val="24"/>
                <w:szCs w:val="24"/>
              </w:rPr>
              <w:t>diserahkan langsung; atau</w:t>
            </w:r>
          </w:p>
        </w:tc>
        <w:tc>
          <w:tcPr>
            <w:tcW w:w="3969" w:type="dxa"/>
          </w:tcPr>
          <w:p w14:paraId="1A2D7C13"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A325E03"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BE2CC72" w14:textId="094D6E23" w:rsidTr="00AF03F6">
        <w:trPr>
          <w:trHeight w:val="67"/>
        </w:trPr>
        <w:tc>
          <w:tcPr>
            <w:tcW w:w="8784" w:type="dxa"/>
          </w:tcPr>
          <w:p w14:paraId="07142BD9" w14:textId="77777777" w:rsidR="00432AAD" w:rsidRPr="00535477" w:rsidRDefault="00432AAD" w:rsidP="001A4A2F">
            <w:pPr>
              <w:pStyle w:val="ListParagraph"/>
              <w:numPr>
                <w:ilvl w:val="0"/>
                <w:numId w:val="27"/>
              </w:numPr>
              <w:spacing w:line="360" w:lineRule="auto"/>
              <w:ind w:left="1872" w:hanging="567"/>
              <w:jc w:val="both"/>
              <w:rPr>
                <w:rFonts w:ascii="Bookman Old Style" w:hAnsi="Bookman Old Style"/>
                <w:sz w:val="24"/>
                <w:szCs w:val="24"/>
              </w:rPr>
            </w:pPr>
            <w:r w:rsidRPr="00535477">
              <w:rPr>
                <w:rFonts w:ascii="Bookman Old Style" w:hAnsi="Bookman Old Style"/>
                <w:sz w:val="24"/>
                <w:szCs w:val="24"/>
              </w:rPr>
              <w:t>dikirim melalui perusahaan jasa pengiriman.</w:t>
            </w:r>
          </w:p>
        </w:tc>
        <w:tc>
          <w:tcPr>
            <w:tcW w:w="3969" w:type="dxa"/>
          </w:tcPr>
          <w:p w14:paraId="65DCA69F"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7A86EE68"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7CF3F2C0" w14:textId="257506BE" w:rsidTr="00AF03F6">
        <w:trPr>
          <w:trHeight w:val="67"/>
        </w:trPr>
        <w:tc>
          <w:tcPr>
            <w:tcW w:w="8784" w:type="dxa"/>
          </w:tcPr>
          <w:p w14:paraId="36C9F620" w14:textId="77777777" w:rsidR="00432AAD" w:rsidRPr="00535477" w:rsidRDefault="00432AAD" w:rsidP="001A4A2F">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Dalam hal terjadi gangguan teknis sebagaimana dimaksud pada angka 3, Otoritas Jasa Keuangan</w:t>
            </w:r>
            <w:r>
              <w:rPr>
                <w:rFonts w:ascii="Bookman Old Style" w:hAnsi="Bookman Old Style"/>
                <w:sz w:val="24"/>
                <w:szCs w:val="24"/>
              </w:rPr>
              <w:t xml:space="preserve"> mengumumkan melalui situs web </w:t>
            </w:r>
            <w:r w:rsidRPr="00535477">
              <w:rPr>
                <w:rFonts w:ascii="Bookman Old Style" w:hAnsi="Bookman Old Style"/>
                <w:sz w:val="24"/>
                <w:szCs w:val="24"/>
              </w:rPr>
              <w:t xml:space="preserve">Otoritas Jasa Keuangan. </w:t>
            </w:r>
          </w:p>
        </w:tc>
        <w:tc>
          <w:tcPr>
            <w:tcW w:w="3969" w:type="dxa"/>
          </w:tcPr>
          <w:p w14:paraId="2871C0C2"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5905D59"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716CE2C3" w14:textId="5E59ED42" w:rsidTr="00AF03F6">
        <w:trPr>
          <w:trHeight w:val="67"/>
        </w:trPr>
        <w:tc>
          <w:tcPr>
            <w:tcW w:w="8784" w:type="dxa"/>
          </w:tcPr>
          <w:p w14:paraId="35B4BABE" w14:textId="77777777" w:rsidR="00432AAD" w:rsidRPr="00535477" w:rsidRDefault="00432AAD" w:rsidP="001A4A2F">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 xml:space="preserve">Penyampaian laporan secara luar jaringan sebagaimana dimaksud pada angka 3 harus disampaikan dalam bentuk data elektronik dengan menggunakan media berupa </w:t>
            </w:r>
            <w:r w:rsidRPr="00535477">
              <w:rPr>
                <w:rFonts w:ascii="Bookman Old Style" w:hAnsi="Bookman Old Style"/>
                <w:i/>
                <w:sz w:val="24"/>
                <w:szCs w:val="24"/>
              </w:rPr>
              <w:t>compact disc</w:t>
            </w:r>
            <w:r w:rsidRPr="00535477">
              <w:rPr>
                <w:rFonts w:ascii="Bookman Old Style" w:hAnsi="Bookman Old Style"/>
                <w:sz w:val="24"/>
                <w:szCs w:val="24"/>
              </w:rPr>
              <w:t xml:space="preserve"> atau media penyimpanan data elektronik lainnya.</w:t>
            </w:r>
          </w:p>
        </w:tc>
        <w:tc>
          <w:tcPr>
            <w:tcW w:w="3969" w:type="dxa"/>
          </w:tcPr>
          <w:p w14:paraId="2DEA16EB"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3AEFD338"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4B7AD29B" w14:textId="1D86E7CF" w:rsidTr="00AF03F6">
        <w:trPr>
          <w:trHeight w:val="67"/>
        </w:trPr>
        <w:tc>
          <w:tcPr>
            <w:tcW w:w="8784" w:type="dxa"/>
          </w:tcPr>
          <w:p w14:paraId="79444793" w14:textId="77777777" w:rsidR="00432AAD" w:rsidRPr="00535477" w:rsidRDefault="00432AAD" w:rsidP="001A4A2F">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Penyampaian laporan sebagaimana dimaksud pada angka 5 harus dilengkapi surat pengantar dalam bentuk cetak yang ditandatangani oleh Direktur Eksekutif.</w:t>
            </w:r>
          </w:p>
        </w:tc>
        <w:tc>
          <w:tcPr>
            <w:tcW w:w="3969" w:type="dxa"/>
          </w:tcPr>
          <w:p w14:paraId="6614C80E"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B77A938"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6F683771" w14:textId="18A3ABF4" w:rsidTr="00AF03F6">
        <w:trPr>
          <w:trHeight w:val="67"/>
        </w:trPr>
        <w:tc>
          <w:tcPr>
            <w:tcW w:w="8784" w:type="dxa"/>
          </w:tcPr>
          <w:p w14:paraId="6076B4D4" w14:textId="77777777" w:rsidR="00942B85" w:rsidRDefault="00942B85" w:rsidP="00251ED5">
            <w:pPr>
              <w:pStyle w:val="ListParagraph"/>
              <w:numPr>
                <w:ilvl w:val="0"/>
                <w:numId w:val="18"/>
              </w:numPr>
              <w:spacing w:line="360" w:lineRule="auto"/>
              <w:ind w:left="1305" w:hanging="502"/>
              <w:jc w:val="both"/>
              <w:rPr>
                <w:rFonts w:ascii="Bookman Old Style" w:hAnsi="Bookman Old Style"/>
                <w:sz w:val="24"/>
                <w:szCs w:val="24"/>
              </w:rPr>
            </w:pPr>
            <w:r>
              <w:rPr>
                <w:rFonts w:ascii="Bookman Old Style" w:hAnsi="Bookman Old Style"/>
                <w:sz w:val="24"/>
                <w:szCs w:val="24"/>
              </w:rPr>
              <w:t>LPEI</w:t>
            </w:r>
            <w:r w:rsidRPr="00942B85">
              <w:rPr>
                <w:rFonts w:ascii="Bookman Old Style" w:hAnsi="Bookman Old Style"/>
                <w:sz w:val="24"/>
                <w:szCs w:val="24"/>
              </w:rPr>
              <w:t xml:space="preserve"> menyampaikan </w:t>
            </w:r>
            <w:r w:rsidRPr="00535477">
              <w:rPr>
                <w:rFonts w:ascii="Bookman Old Style" w:hAnsi="Bookman Old Style"/>
                <w:sz w:val="24"/>
                <w:szCs w:val="24"/>
              </w:rPr>
              <w:t>laporan penilaian kecukupan modal minimum sesuai profil risiko kepada Otoritas Jasa Keuangan</w:t>
            </w:r>
            <w:r w:rsidRPr="00942B85">
              <w:rPr>
                <w:rFonts w:ascii="Bookman Old Style" w:hAnsi="Bookman Old Style"/>
                <w:sz w:val="24"/>
                <w:szCs w:val="24"/>
              </w:rPr>
              <w:t xml:space="preserve"> sebagai berikut: </w:t>
            </w:r>
          </w:p>
          <w:p w14:paraId="37F11290" w14:textId="171D52C0" w:rsidR="00942B85" w:rsidRDefault="00942B85" w:rsidP="00942B85">
            <w:pPr>
              <w:pStyle w:val="ListParagraph"/>
              <w:numPr>
                <w:ilvl w:val="1"/>
                <w:numId w:val="32"/>
              </w:numPr>
              <w:spacing w:line="360" w:lineRule="auto"/>
              <w:ind w:left="1588"/>
              <w:jc w:val="both"/>
              <w:rPr>
                <w:rFonts w:ascii="Bookman Old Style" w:hAnsi="Bookman Old Style"/>
                <w:sz w:val="24"/>
                <w:szCs w:val="24"/>
              </w:rPr>
            </w:pPr>
            <w:r w:rsidRPr="00942B85">
              <w:rPr>
                <w:rFonts w:ascii="Bookman Old Style" w:hAnsi="Bookman Old Style"/>
                <w:sz w:val="24"/>
                <w:szCs w:val="24"/>
              </w:rPr>
              <w:t xml:space="preserve">paling lambat pada tanggal 15 </w:t>
            </w:r>
            <w:r>
              <w:rPr>
                <w:rFonts w:ascii="Bookman Old Style" w:hAnsi="Bookman Old Style"/>
                <w:sz w:val="24"/>
                <w:szCs w:val="24"/>
              </w:rPr>
              <w:t>Agustus</w:t>
            </w:r>
            <w:r w:rsidRPr="00942B85">
              <w:rPr>
                <w:rFonts w:ascii="Bookman Old Style" w:hAnsi="Bookman Old Style"/>
                <w:sz w:val="24"/>
                <w:szCs w:val="24"/>
              </w:rPr>
              <w:t xml:space="preserve"> untuk </w:t>
            </w:r>
            <w:r w:rsidRPr="00535477">
              <w:rPr>
                <w:rFonts w:ascii="Bookman Old Style" w:hAnsi="Bookman Old Style"/>
                <w:sz w:val="24"/>
                <w:szCs w:val="24"/>
              </w:rPr>
              <w:t>laporan penilaian kecukupan modal minimum sesuai profil risiko</w:t>
            </w:r>
            <w:r w:rsidRPr="00942B85">
              <w:rPr>
                <w:rFonts w:ascii="Bookman Old Style" w:hAnsi="Bookman Old Style"/>
                <w:sz w:val="24"/>
                <w:szCs w:val="24"/>
              </w:rPr>
              <w:t xml:space="preserve"> posisi akhir bulan </w:t>
            </w:r>
            <w:r>
              <w:rPr>
                <w:rFonts w:ascii="Bookman Old Style" w:hAnsi="Bookman Old Style"/>
                <w:sz w:val="24"/>
                <w:szCs w:val="24"/>
              </w:rPr>
              <w:t>Juni</w:t>
            </w:r>
            <w:r w:rsidRPr="00942B85">
              <w:rPr>
                <w:rFonts w:ascii="Bookman Old Style" w:hAnsi="Bookman Old Style"/>
                <w:sz w:val="24"/>
                <w:szCs w:val="24"/>
              </w:rPr>
              <w:t xml:space="preserve">; atau </w:t>
            </w:r>
          </w:p>
          <w:p w14:paraId="0C87ADA5" w14:textId="77777777" w:rsidR="00942B85" w:rsidRDefault="00942B85" w:rsidP="000F217A">
            <w:pPr>
              <w:pStyle w:val="ListParagraph"/>
              <w:numPr>
                <w:ilvl w:val="1"/>
                <w:numId w:val="32"/>
              </w:numPr>
              <w:spacing w:line="360" w:lineRule="auto"/>
              <w:ind w:left="1588"/>
              <w:jc w:val="both"/>
              <w:rPr>
                <w:rFonts w:ascii="Bookman Old Style" w:hAnsi="Bookman Old Style"/>
                <w:sz w:val="24"/>
                <w:szCs w:val="24"/>
              </w:rPr>
            </w:pPr>
            <w:r w:rsidRPr="00942B85">
              <w:rPr>
                <w:rFonts w:ascii="Bookman Old Style" w:hAnsi="Bookman Old Style"/>
                <w:sz w:val="24"/>
                <w:szCs w:val="24"/>
              </w:rPr>
              <w:t xml:space="preserve">paling lambat pada tanggal 15 Februari untuk </w:t>
            </w:r>
            <w:r w:rsidRPr="00535477">
              <w:rPr>
                <w:rFonts w:ascii="Bookman Old Style" w:hAnsi="Bookman Old Style"/>
                <w:sz w:val="24"/>
                <w:szCs w:val="24"/>
              </w:rPr>
              <w:t>laporan penilaian kecukupan modal minimum sesuai profil risiko</w:t>
            </w:r>
            <w:r w:rsidRPr="00942B85">
              <w:rPr>
                <w:rFonts w:ascii="Bookman Old Style" w:hAnsi="Bookman Old Style"/>
                <w:sz w:val="24"/>
                <w:szCs w:val="24"/>
              </w:rPr>
              <w:t xml:space="preserve"> posisi akhir bulan </w:t>
            </w:r>
            <w:r w:rsidR="000F217A">
              <w:rPr>
                <w:rFonts w:ascii="Bookman Old Style" w:hAnsi="Bookman Old Style"/>
                <w:sz w:val="24"/>
                <w:szCs w:val="24"/>
              </w:rPr>
              <w:t xml:space="preserve">Desember, </w:t>
            </w:r>
          </w:p>
          <w:p w14:paraId="41EE560E" w14:textId="3F5C090A" w:rsidR="000F217A" w:rsidRPr="000F217A" w:rsidRDefault="000F217A" w:rsidP="000F217A">
            <w:pPr>
              <w:spacing w:line="360" w:lineRule="auto"/>
              <w:ind w:left="1228"/>
              <w:jc w:val="both"/>
              <w:rPr>
                <w:rFonts w:ascii="Bookman Old Style" w:hAnsi="Bookman Old Style"/>
                <w:sz w:val="24"/>
                <w:szCs w:val="24"/>
              </w:rPr>
            </w:pPr>
            <w:r w:rsidRPr="00535477">
              <w:rPr>
                <w:rFonts w:ascii="Bookman Old Style" w:hAnsi="Bookman Old Style"/>
                <w:sz w:val="24"/>
                <w:szCs w:val="24"/>
              </w:rPr>
              <w:t>dengan mengacu pad</w:t>
            </w:r>
            <w:r w:rsidR="00C0497B">
              <w:rPr>
                <w:rFonts w:ascii="Bookman Old Style" w:hAnsi="Bookman Old Style"/>
                <w:sz w:val="24"/>
                <w:szCs w:val="24"/>
              </w:rPr>
              <w:t xml:space="preserve">a format sebagaimana Lampiran III </w:t>
            </w:r>
            <w:r w:rsidRPr="00535477">
              <w:rPr>
                <w:rFonts w:ascii="Bookman Old Style" w:hAnsi="Bookman Old Style"/>
                <w:sz w:val="24"/>
                <w:szCs w:val="24"/>
              </w:rPr>
              <w:t>yang merupakan bagian tidak terpisahkan dari Surat Ed</w:t>
            </w:r>
            <w:r>
              <w:rPr>
                <w:rFonts w:ascii="Bookman Old Style" w:hAnsi="Bookman Old Style"/>
                <w:sz w:val="24"/>
                <w:szCs w:val="24"/>
              </w:rPr>
              <w:t>aran Otoritas Jasa Keuangan ini.</w:t>
            </w:r>
          </w:p>
        </w:tc>
        <w:tc>
          <w:tcPr>
            <w:tcW w:w="3969" w:type="dxa"/>
          </w:tcPr>
          <w:p w14:paraId="61E73534"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A08649D"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682EC84" w14:textId="0F08C4FD" w:rsidTr="00AF03F6">
        <w:trPr>
          <w:trHeight w:val="67"/>
        </w:trPr>
        <w:tc>
          <w:tcPr>
            <w:tcW w:w="8784" w:type="dxa"/>
          </w:tcPr>
          <w:p w14:paraId="0C23DA86" w14:textId="77777777" w:rsidR="00432AAD" w:rsidRPr="00535477" w:rsidRDefault="00432AAD" w:rsidP="001A4A2F">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Laporan sebagaimana pada angka 1 disampaikan kepada:</w:t>
            </w:r>
          </w:p>
        </w:tc>
        <w:tc>
          <w:tcPr>
            <w:tcW w:w="3969" w:type="dxa"/>
          </w:tcPr>
          <w:p w14:paraId="1D95E983"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E79CB3E"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6A94242" w14:textId="0176DF3F" w:rsidTr="00AF03F6">
        <w:trPr>
          <w:trHeight w:val="67"/>
        </w:trPr>
        <w:tc>
          <w:tcPr>
            <w:tcW w:w="8784" w:type="dxa"/>
          </w:tcPr>
          <w:p w14:paraId="77B879BD" w14:textId="77777777" w:rsidR="00432AAD" w:rsidRDefault="00432AAD" w:rsidP="001A4A2F">
            <w:pPr>
              <w:pStyle w:val="ListParagraph"/>
              <w:numPr>
                <w:ilvl w:val="0"/>
                <w:numId w:val="19"/>
              </w:numPr>
              <w:spacing w:line="360" w:lineRule="auto"/>
              <w:ind w:left="1730"/>
              <w:jc w:val="both"/>
              <w:rPr>
                <w:rFonts w:ascii="Bookman Old Style" w:hAnsi="Bookman Old Style"/>
                <w:sz w:val="24"/>
                <w:szCs w:val="24"/>
              </w:rPr>
            </w:pPr>
            <w:r>
              <w:rPr>
                <w:rFonts w:ascii="Bookman Old Style" w:hAnsi="Bookman Old Style"/>
                <w:sz w:val="24"/>
                <w:szCs w:val="24"/>
              </w:rPr>
              <w:t xml:space="preserve">untuk LPEI: </w:t>
            </w:r>
          </w:p>
          <w:p w14:paraId="7B23362D" w14:textId="77777777" w:rsidR="00432AAD" w:rsidRPr="00494613" w:rsidRDefault="00432AAD" w:rsidP="0044583D">
            <w:pPr>
              <w:pStyle w:val="ListParagraph"/>
              <w:spacing w:line="360" w:lineRule="auto"/>
              <w:ind w:left="1730"/>
              <w:jc w:val="both"/>
              <w:rPr>
                <w:rFonts w:ascii="Bookman Old Style" w:hAnsi="Bookman Old Style"/>
                <w:sz w:val="24"/>
                <w:szCs w:val="24"/>
              </w:rPr>
            </w:pPr>
            <w:r w:rsidRPr="00494613">
              <w:rPr>
                <w:rFonts w:ascii="Bookman Old Style" w:hAnsi="Bookman Old Style"/>
                <w:sz w:val="24"/>
                <w:szCs w:val="24"/>
              </w:rPr>
              <w:t xml:space="preserve">Kepala Eksekutif Pengawas Perasuransian, Dana Pensiun, Lembaga Pembiayaan, dan Lembaga Jasa Keuangan Lainnya </w:t>
            </w:r>
          </w:p>
          <w:p w14:paraId="10E2598E" w14:textId="77777777" w:rsidR="00432AAD" w:rsidRPr="00494613" w:rsidRDefault="00432AAD" w:rsidP="0044583D">
            <w:pPr>
              <w:pStyle w:val="ListParagraph"/>
              <w:spacing w:line="360" w:lineRule="auto"/>
              <w:ind w:left="1730"/>
              <w:jc w:val="both"/>
              <w:rPr>
                <w:rFonts w:ascii="Bookman Old Style" w:hAnsi="Bookman Old Style"/>
                <w:sz w:val="24"/>
                <w:szCs w:val="24"/>
              </w:rPr>
            </w:pPr>
            <w:r w:rsidRPr="00494613">
              <w:rPr>
                <w:rFonts w:ascii="Bookman Old Style" w:hAnsi="Bookman Old Style"/>
                <w:sz w:val="24"/>
                <w:szCs w:val="24"/>
              </w:rPr>
              <w:t xml:space="preserve">Otoritas Jasa Keuangan </w:t>
            </w:r>
          </w:p>
          <w:p w14:paraId="56926424" w14:textId="77777777" w:rsidR="00432AAD" w:rsidRPr="00494613" w:rsidRDefault="00432AAD" w:rsidP="0044583D">
            <w:pPr>
              <w:pStyle w:val="ListParagraph"/>
              <w:spacing w:line="360" w:lineRule="auto"/>
              <w:ind w:left="1730"/>
              <w:jc w:val="both"/>
              <w:rPr>
                <w:rFonts w:ascii="Bookman Old Style" w:hAnsi="Bookman Old Style"/>
                <w:sz w:val="24"/>
                <w:szCs w:val="24"/>
              </w:rPr>
            </w:pPr>
            <w:r w:rsidRPr="00494613">
              <w:rPr>
                <w:rFonts w:ascii="Bookman Old Style" w:hAnsi="Bookman Old Style"/>
                <w:sz w:val="24"/>
                <w:szCs w:val="24"/>
              </w:rPr>
              <w:t xml:space="preserve">u.p. Direktur Pengawasan Lembaga Keuangan Khusus </w:t>
            </w:r>
          </w:p>
          <w:p w14:paraId="4918A4D3" w14:textId="77777777" w:rsidR="00432AAD" w:rsidRPr="00494613" w:rsidRDefault="00432AAD" w:rsidP="0044583D">
            <w:pPr>
              <w:pStyle w:val="ListParagraph"/>
              <w:spacing w:line="360" w:lineRule="auto"/>
              <w:ind w:left="1730"/>
              <w:jc w:val="both"/>
              <w:rPr>
                <w:rFonts w:ascii="Bookman Old Style" w:hAnsi="Bookman Old Style"/>
                <w:sz w:val="24"/>
                <w:szCs w:val="24"/>
              </w:rPr>
            </w:pPr>
            <w:r w:rsidRPr="00494613">
              <w:rPr>
                <w:rFonts w:ascii="Bookman Old Style" w:hAnsi="Bookman Old Style"/>
                <w:sz w:val="24"/>
                <w:szCs w:val="24"/>
              </w:rPr>
              <w:t xml:space="preserve">Gedung Wisma Mulia 2 Lantai 15 </w:t>
            </w:r>
          </w:p>
          <w:p w14:paraId="51781422" w14:textId="77777777" w:rsidR="00432AAD" w:rsidRPr="00535477" w:rsidRDefault="00432AAD" w:rsidP="0044583D">
            <w:pPr>
              <w:pStyle w:val="ListParagraph"/>
              <w:spacing w:line="360" w:lineRule="auto"/>
              <w:ind w:left="1730"/>
              <w:jc w:val="both"/>
              <w:rPr>
                <w:rFonts w:ascii="Bookman Old Style" w:hAnsi="Bookman Old Style"/>
                <w:sz w:val="24"/>
                <w:szCs w:val="24"/>
              </w:rPr>
            </w:pPr>
            <w:r w:rsidRPr="00494613">
              <w:rPr>
                <w:rFonts w:ascii="Bookman Old Style" w:hAnsi="Bookman Old Style"/>
                <w:sz w:val="24"/>
                <w:szCs w:val="24"/>
              </w:rPr>
              <w:t>Jalan Jenderal Gatot Subroto Kav. 40</w:t>
            </w:r>
            <w:r w:rsidRPr="00535477">
              <w:rPr>
                <w:rFonts w:ascii="Bookman Old Style" w:hAnsi="Bookman Old Style"/>
                <w:sz w:val="24"/>
                <w:szCs w:val="24"/>
              </w:rPr>
              <w:t xml:space="preserve"> Jakarta 12710</w:t>
            </w:r>
          </w:p>
        </w:tc>
        <w:tc>
          <w:tcPr>
            <w:tcW w:w="3969" w:type="dxa"/>
          </w:tcPr>
          <w:p w14:paraId="05697EB5"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85F1F92"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43E67F0C" w14:textId="044AF9E9" w:rsidTr="00AF03F6">
        <w:trPr>
          <w:trHeight w:val="67"/>
        </w:trPr>
        <w:tc>
          <w:tcPr>
            <w:tcW w:w="8784" w:type="dxa"/>
          </w:tcPr>
          <w:p w14:paraId="265F92A7" w14:textId="77777777" w:rsidR="00432AAD" w:rsidRDefault="00432AAD" w:rsidP="001A4A2F">
            <w:pPr>
              <w:pStyle w:val="ListParagraph"/>
              <w:numPr>
                <w:ilvl w:val="0"/>
                <w:numId w:val="19"/>
              </w:numPr>
              <w:spacing w:line="360" w:lineRule="auto"/>
              <w:ind w:left="1730"/>
              <w:jc w:val="both"/>
              <w:rPr>
                <w:rFonts w:ascii="Bookman Old Style" w:hAnsi="Bookman Old Style"/>
                <w:sz w:val="24"/>
                <w:szCs w:val="24"/>
              </w:rPr>
            </w:pPr>
            <w:r>
              <w:rPr>
                <w:rFonts w:ascii="Bookman Old Style" w:hAnsi="Bookman Old Style"/>
                <w:sz w:val="24"/>
                <w:szCs w:val="24"/>
              </w:rPr>
              <w:t xml:space="preserve">Untuk UUS: </w:t>
            </w:r>
          </w:p>
          <w:p w14:paraId="3B89DEBE" w14:textId="77777777" w:rsidR="00432AAD" w:rsidRPr="00535477" w:rsidRDefault="00432AAD" w:rsidP="0044583D">
            <w:pPr>
              <w:pStyle w:val="ListParagraph"/>
              <w:spacing w:line="360" w:lineRule="auto"/>
              <w:ind w:left="1730"/>
              <w:jc w:val="both"/>
              <w:rPr>
                <w:rFonts w:ascii="Bookman Old Style" w:hAnsi="Bookman Old Style"/>
                <w:sz w:val="24"/>
                <w:szCs w:val="24"/>
              </w:rPr>
            </w:pPr>
            <w:r w:rsidRPr="00535477">
              <w:rPr>
                <w:rFonts w:ascii="Bookman Old Style" w:hAnsi="Bookman Old Style"/>
                <w:sz w:val="24"/>
                <w:szCs w:val="24"/>
              </w:rPr>
              <w:t xml:space="preserve">Kepala Eksekutif Pengawas Perasuransian, Dana Pensiun, Lembaga Pembiayaan, dan Lembaga Jasa Keuangan Lainnya </w:t>
            </w:r>
          </w:p>
          <w:p w14:paraId="33330334" w14:textId="77777777" w:rsidR="00432AAD" w:rsidRPr="00535477" w:rsidRDefault="00432AAD" w:rsidP="0044583D">
            <w:pPr>
              <w:pStyle w:val="ListParagraph"/>
              <w:spacing w:line="360" w:lineRule="auto"/>
              <w:ind w:left="1730"/>
              <w:jc w:val="both"/>
              <w:rPr>
                <w:rFonts w:ascii="Bookman Old Style" w:hAnsi="Bookman Old Style"/>
                <w:sz w:val="24"/>
                <w:szCs w:val="24"/>
              </w:rPr>
            </w:pPr>
            <w:r w:rsidRPr="00535477">
              <w:rPr>
                <w:rFonts w:ascii="Bookman Old Style" w:hAnsi="Bookman Old Style"/>
                <w:sz w:val="24"/>
                <w:szCs w:val="24"/>
              </w:rPr>
              <w:t xml:space="preserve">Otoritas Jasa Keuangan </w:t>
            </w:r>
          </w:p>
          <w:p w14:paraId="470EB61C" w14:textId="77777777" w:rsidR="00432AAD" w:rsidRPr="00CF78E6" w:rsidRDefault="00432AAD" w:rsidP="0044583D">
            <w:pPr>
              <w:pStyle w:val="ListParagraph"/>
              <w:spacing w:line="360" w:lineRule="auto"/>
              <w:ind w:left="1730"/>
              <w:jc w:val="both"/>
              <w:rPr>
                <w:rFonts w:ascii="Bookman Old Style" w:hAnsi="Bookman Old Style"/>
                <w:sz w:val="24"/>
                <w:szCs w:val="24"/>
              </w:rPr>
            </w:pPr>
            <w:r w:rsidRPr="00535477">
              <w:rPr>
                <w:rFonts w:ascii="Bookman Old Style" w:hAnsi="Bookman Old Style"/>
                <w:sz w:val="24"/>
                <w:szCs w:val="24"/>
              </w:rPr>
              <w:t xml:space="preserve">u.p. Direktur </w:t>
            </w:r>
            <w:r w:rsidRPr="00CF78E6">
              <w:rPr>
                <w:rFonts w:ascii="Bookman Old Style" w:hAnsi="Bookman Old Style"/>
                <w:sz w:val="24"/>
                <w:szCs w:val="24"/>
              </w:rPr>
              <w:t xml:space="preserve">IKNB Syariah </w:t>
            </w:r>
          </w:p>
          <w:p w14:paraId="1A6D304F" w14:textId="77777777" w:rsidR="00432AAD" w:rsidRPr="00535477" w:rsidRDefault="00432AAD" w:rsidP="0044583D">
            <w:pPr>
              <w:pStyle w:val="ListParagraph"/>
              <w:spacing w:line="360" w:lineRule="auto"/>
              <w:ind w:left="1730"/>
              <w:jc w:val="both"/>
              <w:rPr>
                <w:rFonts w:ascii="Bookman Old Style" w:hAnsi="Bookman Old Style"/>
                <w:sz w:val="24"/>
                <w:szCs w:val="24"/>
              </w:rPr>
            </w:pPr>
            <w:r w:rsidRPr="00CF78E6">
              <w:rPr>
                <w:rFonts w:ascii="Bookman Old Style" w:hAnsi="Bookman Old Style"/>
                <w:sz w:val="24"/>
                <w:szCs w:val="24"/>
              </w:rPr>
              <w:t>Gedung Wisma Mulia 2 Lantai 15</w:t>
            </w:r>
            <w:r w:rsidRPr="00535477">
              <w:rPr>
                <w:rFonts w:ascii="Bookman Old Style" w:hAnsi="Bookman Old Style"/>
                <w:sz w:val="24"/>
                <w:szCs w:val="24"/>
              </w:rPr>
              <w:t xml:space="preserve"> </w:t>
            </w:r>
          </w:p>
          <w:p w14:paraId="69E2FBE5" w14:textId="77777777" w:rsidR="00432AAD" w:rsidRPr="00535477" w:rsidRDefault="00432AAD" w:rsidP="0044583D">
            <w:pPr>
              <w:pStyle w:val="ListParagraph"/>
              <w:spacing w:line="360" w:lineRule="auto"/>
              <w:ind w:left="1730"/>
              <w:jc w:val="both"/>
              <w:rPr>
                <w:rFonts w:ascii="Bookman Old Style" w:hAnsi="Bookman Old Style"/>
                <w:sz w:val="24"/>
                <w:szCs w:val="24"/>
              </w:rPr>
            </w:pPr>
            <w:r w:rsidRPr="00535477">
              <w:rPr>
                <w:rFonts w:ascii="Bookman Old Style" w:hAnsi="Bookman Old Style"/>
                <w:sz w:val="24"/>
                <w:szCs w:val="24"/>
              </w:rPr>
              <w:t>Jalan Jenderal Gatot Subroto Kav. 40 Jakarta 12710</w:t>
            </w:r>
          </w:p>
        </w:tc>
        <w:tc>
          <w:tcPr>
            <w:tcW w:w="3969" w:type="dxa"/>
          </w:tcPr>
          <w:p w14:paraId="06B072FD"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4B6224BA"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56017B24" w14:textId="0F27DF8C" w:rsidTr="00AF03F6">
        <w:trPr>
          <w:trHeight w:val="67"/>
        </w:trPr>
        <w:tc>
          <w:tcPr>
            <w:tcW w:w="8784" w:type="dxa"/>
          </w:tcPr>
          <w:p w14:paraId="7CA4B6B0" w14:textId="77777777" w:rsidR="00432AAD" w:rsidRPr="00535477" w:rsidRDefault="00432AAD" w:rsidP="00DC75CC">
            <w:pPr>
              <w:pStyle w:val="ListParagraph"/>
              <w:numPr>
                <w:ilvl w:val="0"/>
                <w:numId w:val="18"/>
              </w:numPr>
              <w:spacing w:line="360" w:lineRule="auto"/>
              <w:ind w:left="1305" w:hanging="502"/>
              <w:jc w:val="both"/>
              <w:rPr>
                <w:rFonts w:ascii="Bookman Old Style" w:hAnsi="Bookman Old Style"/>
                <w:sz w:val="24"/>
                <w:szCs w:val="24"/>
              </w:rPr>
            </w:pPr>
            <w:r w:rsidRPr="00535477">
              <w:rPr>
                <w:rFonts w:ascii="Bookman Old Style" w:hAnsi="Bookman Old Style"/>
                <w:sz w:val="24"/>
                <w:szCs w:val="24"/>
              </w:rPr>
              <w:t xml:space="preserve">Dalam hal terdapat perubahan alamat Kantor Otoritas Jasa Keuangan untuk penyampaian laporan sebagaimana dimaksud pada angka </w:t>
            </w:r>
            <w:r>
              <w:rPr>
                <w:rFonts w:ascii="Bookman Old Style" w:hAnsi="Bookman Old Style"/>
                <w:sz w:val="24"/>
                <w:szCs w:val="24"/>
              </w:rPr>
              <w:t>8</w:t>
            </w:r>
            <w:r w:rsidRPr="00535477">
              <w:rPr>
                <w:rFonts w:ascii="Bookman Old Style" w:hAnsi="Bookman Old Style"/>
                <w:sz w:val="24"/>
                <w:szCs w:val="24"/>
              </w:rPr>
              <w:t>, Otoritas Jasa Keuangan menyampaikan pemberitahuan mengenai perubahan alamat melalui surat atau pengumuman.</w:t>
            </w:r>
          </w:p>
        </w:tc>
        <w:tc>
          <w:tcPr>
            <w:tcW w:w="3969" w:type="dxa"/>
          </w:tcPr>
          <w:p w14:paraId="11104332" w14:textId="77777777" w:rsidR="00432AAD" w:rsidRPr="006918B8" w:rsidRDefault="00432AAD" w:rsidP="006918B8">
            <w:pPr>
              <w:spacing w:line="360" w:lineRule="auto"/>
              <w:ind w:left="803"/>
              <w:jc w:val="both"/>
              <w:rPr>
                <w:rFonts w:ascii="Bookman Old Style" w:hAnsi="Bookman Old Style"/>
                <w:sz w:val="24"/>
                <w:szCs w:val="24"/>
              </w:rPr>
            </w:pPr>
          </w:p>
        </w:tc>
        <w:tc>
          <w:tcPr>
            <w:tcW w:w="4536" w:type="dxa"/>
          </w:tcPr>
          <w:p w14:paraId="07B7A786"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21F76F89" w14:textId="2BA272DB" w:rsidTr="00AF03F6">
        <w:trPr>
          <w:trHeight w:val="67"/>
        </w:trPr>
        <w:tc>
          <w:tcPr>
            <w:tcW w:w="8784" w:type="dxa"/>
          </w:tcPr>
          <w:p w14:paraId="11DE0200" w14:textId="77777777" w:rsidR="00432AAD" w:rsidRPr="00AB38FC" w:rsidRDefault="00432AAD" w:rsidP="001A4A2F">
            <w:pPr>
              <w:pStyle w:val="ListParagraph"/>
              <w:numPr>
                <w:ilvl w:val="0"/>
                <w:numId w:val="18"/>
              </w:numPr>
              <w:spacing w:line="360" w:lineRule="auto"/>
              <w:ind w:left="1305" w:hanging="502"/>
              <w:jc w:val="both"/>
              <w:rPr>
                <w:rFonts w:ascii="Bookman Old Style" w:eastAsia="Calibri" w:hAnsi="Bookman Old Style" w:cs="Bookman Old Style"/>
                <w:sz w:val="24"/>
                <w:szCs w:val="24"/>
                <w:lang w:val="id-ID"/>
              </w:rPr>
            </w:pPr>
            <w:r w:rsidRPr="00AB38FC">
              <w:rPr>
                <w:rFonts w:ascii="Bookman Old Style" w:hAnsi="Bookman Old Style"/>
                <w:sz w:val="24"/>
                <w:szCs w:val="24"/>
              </w:rPr>
              <w:t xml:space="preserve">LPEI </w:t>
            </w:r>
            <w:r w:rsidRPr="00AB38FC">
              <w:rPr>
                <w:rFonts w:ascii="Bookman Old Style" w:eastAsia="Calibri" w:hAnsi="Bookman Old Style" w:cs="Bookman Old Style"/>
                <w:sz w:val="24"/>
                <w:szCs w:val="24"/>
                <w:lang w:val="id-ID"/>
              </w:rPr>
              <w:t xml:space="preserve">dinyatakan telah menyampaikan </w:t>
            </w:r>
            <w:r w:rsidRPr="00535477">
              <w:rPr>
                <w:rFonts w:ascii="Bookman Old Style" w:hAnsi="Bookman Old Style"/>
                <w:sz w:val="24"/>
                <w:szCs w:val="24"/>
              </w:rPr>
              <w:t xml:space="preserve">laporan penilaian kecukupan modal minimum sesuai profil risiko </w:t>
            </w:r>
            <w:r w:rsidRPr="00AB38FC">
              <w:rPr>
                <w:rFonts w:ascii="Bookman Old Style" w:eastAsia="Calibri" w:hAnsi="Bookman Old Style" w:cs="Bookman Old Style"/>
                <w:sz w:val="24"/>
                <w:szCs w:val="24"/>
                <w:lang w:val="id-ID"/>
              </w:rPr>
              <w:t>dengan ketentuan sebagai berikut:</w:t>
            </w:r>
          </w:p>
          <w:p w14:paraId="0CFF7F63" w14:textId="77777777" w:rsidR="00432AAD" w:rsidRDefault="00432AAD" w:rsidP="001A4A2F">
            <w:pPr>
              <w:pStyle w:val="Style8"/>
              <w:widowControl/>
              <w:numPr>
                <w:ilvl w:val="0"/>
                <w:numId w:val="43"/>
              </w:numPr>
              <w:spacing w:line="360" w:lineRule="auto"/>
              <w:ind w:left="1872" w:hanging="567"/>
              <w:rPr>
                <w:rFonts w:eastAsia="Calibri" w:cs="Bookman Old Style"/>
                <w:lang w:val="id-ID"/>
              </w:rPr>
            </w:pPr>
            <w:r w:rsidRPr="00AB38FC">
              <w:rPr>
                <w:rFonts w:eastAsia="Calibri" w:cs="Bookman Old Style"/>
                <w:lang w:val="id-ID"/>
              </w:rPr>
              <w:t>untuk penyampaian secara dalam jaringan melalui sistem jaringan komunikasi data Otoritas</w:t>
            </w:r>
            <w:r w:rsidRPr="00AB333E">
              <w:rPr>
                <w:rFonts w:eastAsia="Calibri" w:cs="Bookman Old Style"/>
                <w:lang w:val="id-ID"/>
              </w:rPr>
              <w:t xml:space="preserve"> Jasa Keuangan, dibuktikan dengan tanda terima dari sistem jaringan komunikasi data Otoritas Jasa Keuangan; atau</w:t>
            </w:r>
          </w:p>
          <w:p w14:paraId="40C6B415" w14:textId="77777777" w:rsidR="00432AAD" w:rsidRPr="00AB38FC" w:rsidRDefault="00432AAD" w:rsidP="001A4A2F">
            <w:pPr>
              <w:pStyle w:val="Style8"/>
              <w:widowControl/>
              <w:numPr>
                <w:ilvl w:val="0"/>
                <w:numId w:val="43"/>
              </w:numPr>
              <w:spacing w:line="360" w:lineRule="auto"/>
              <w:ind w:left="1872" w:hanging="567"/>
              <w:rPr>
                <w:rFonts w:eastAsia="Calibri" w:cs="Bookman Old Style"/>
                <w:lang w:val="id-ID"/>
              </w:rPr>
            </w:pPr>
            <w:r w:rsidRPr="00AB38FC">
              <w:rPr>
                <w:rFonts w:eastAsia="Calibri" w:cs="Bookman Old Style"/>
                <w:lang w:val="id-ID"/>
              </w:rPr>
              <w:t>untuk penyampaian secara luar jaringan dibuktikan dengan tanda terima dari Otoritas Jasa Keuangan.</w:t>
            </w:r>
          </w:p>
        </w:tc>
        <w:tc>
          <w:tcPr>
            <w:tcW w:w="3969" w:type="dxa"/>
          </w:tcPr>
          <w:p w14:paraId="537B9E94"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121D17B9"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0E51D67E" w14:textId="0123D7B9" w:rsidTr="00AF03F6">
        <w:trPr>
          <w:trHeight w:val="67"/>
        </w:trPr>
        <w:tc>
          <w:tcPr>
            <w:tcW w:w="8784" w:type="dxa"/>
          </w:tcPr>
          <w:p w14:paraId="2C7E8F72" w14:textId="77777777" w:rsidR="00432AAD" w:rsidRPr="00535477" w:rsidRDefault="00432AAD" w:rsidP="0044583D">
            <w:pPr>
              <w:pStyle w:val="ListParagraph"/>
              <w:spacing w:line="360" w:lineRule="auto"/>
              <w:ind w:left="1305"/>
              <w:jc w:val="both"/>
              <w:rPr>
                <w:rFonts w:ascii="Bookman Old Style" w:hAnsi="Bookman Old Style"/>
                <w:sz w:val="24"/>
                <w:szCs w:val="24"/>
              </w:rPr>
            </w:pPr>
          </w:p>
        </w:tc>
        <w:tc>
          <w:tcPr>
            <w:tcW w:w="3969" w:type="dxa"/>
          </w:tcPr>
          <w:p w14:paraId="5DD00BA2" w14:textId="77777777" w:rsidR="00432AAD" w:rsidRPr="00535477" w:rsidRDefault="00432AAD" w:rsidP="0044583D">
            <w:pPr>
              <w:pStyle w:val="ListParagraph"/>
              <w:spacing w:line="360" w:lineRule="auto"/>
              <w:ind w:left="1305"/>
              <w:jc w:val="both"/>
              <w:rPr>
                <w:rFonts w:ascii="Bookman Old Style" w:hAnsi="Bookman Old Style"/>
                <w:sz w:val="24"/>
                <w:szCs w:val="24"/>
              </w:rPr>
            </w:pPr>
          </w:p>
        </w:tc>
        <w:tc>
          <w:tcPr>
            <w:tcW w:w="4536" w:type="dxa"/>
          </w:tcPr>
          <w:p w14:paraId="57177A92" w14:textId="77777777" w:rsidR="00432AAD" w:rsidRPr="00535477" w:rsidRDefault="00432AAD" w:rsidP="0044583D">
            <w:pPr>
              <w:pStyle w:val="ListParagraph"/>
              <w:spacing w:line="360" w:lineRule="auto"/>
              <w:ind w:left="1305"/>
              <w:jc w:val="both"/>
              <w:rPr>
                <w:rFonts w:ascii="Bookman Old Style" w:hAnsi="Bookman Old Style"/>
                <w:sz w:val="24"/>
                <w:szCs w:val="24"/>
              </w:rPr>
            </w:pPr>
          </w:p>
        </w:tc>
      </w:tr>
      <w:tr w:rsidR="00432AAD" w:rsidRPr="00535477" w14:paraId="7A793E12" w14:textId="3AC60CE1" w:rsidTr="00AF03F6">
        <w:trPr>
          <w:trHeight w:val="67"/>
        </w:trPr>
        <w:tc>
          <w:tcPr>
            <w:tcW w:w="8784" w:type="dxa"/>
          </w:tcPr>
          <w:p w14:paraId="749E5D96" w14:textId="77777777" w:rsidR="00432AAD" w:rsidRPr="00535477" w:rsidRDefault="00432AAD" w:rsidP="001A4A2F">
            <w:pPr>
              <w:pStyle w:val="ListParagraph"/>
              <w:numPr>
                <w:ilvl w:val="0"/>
                <w:numId w:val="1"/>
              </w:numPr>
              <w:spacing w:line="360" w:lineRule="auto"/>
              <w:ind w:left="738"/>
              <w:jc w:val="both"/>
              <w:rPr>
                <w:rFonts w:ascii="Bookman Old Style" w:hAnsi="Bookman Old Style"/>
                <w:sz w:val="24"/>
                <w:szCs w:val="24"/>
              </w:rPr>
            </w:pPr>
            <w:r w:rsidRPr="00535477">
              <w:rPr>
                <w:rFonts w:ascii="Bookman Old Style" w:hAnsi="Bookman Old Style"/>
                <w:sz w:val="24"/>
                <w:szCs w:val="24"/>
              </w:rPr>
              <w:t>KETENTUAN PENUTUP</w:t>
            </w:r>
          </w:p>
        </w:tc>
        <w:tc>
          <w:tcPr>
            <w:tcW w:w="3969" w:type="dxa"/>
          </w:tcPr>
          <w:p w14:paraId="6F79DF5E" w14:textId="77777777" w:rsidR="00432AAD" w:rsidRPr="006918B8" w:rsidRDefault="00432AAD" w:rsidP="006918B8">
            <w:pPr>
              <w:spacing w:line="360" w:lineRule="auto"/>
              <w:jc w:val="both"/>
              <w:rPr>
                <w:rFonts w:ascii="Bookman Old Style" w:hAnsi="Bookman Old Style"/>
                <w:sz w:val="24"/>
                <w:szCs w:val="24"/>
              </w:rPr>
            </w:pPr>
          </w:p>
        </w:tc>
        <w:tc>
          <w:tcPr>
            <w:tcW w:w="4536" w:type="dxa"/>
          </w:tcPr>
          <w:p w14:paraId="5AE8F0DF" w14:textId="77777777" w:rsidR="00432AAD" w:rsidRPr="006918B8" w:rsidRDefault="00432AAD" w:rsidP="006918B8">
            <w:pPr>
              <w:spacing w:line="360" w:lineRule="auto"/>
              <w:jc w:val="both"/>
              <w:rPr>
                <w:rFonts w:ascii="Bookman Old Style" w:hAnsi="Bookman Old Style"/>
                <w:sz w:val="24"/>
                <w:szCs w:val="24"/>
              </w:rPr>
            </w:pPr>
          </w:p>
        </w:tc>
      </w:tr>
      <w:tr w:rsidR="00432AAD" w:rsidRPr="00535477" w14:paraId="333217E8" w14:textId="356D92C0" w:rsidTr="00AF03F6">
        <w:trPr>
          <w:trHeight w:val="67"/>
        </w:trPr>
        <w:tc>
          <w:tcPr>
            <w:tcW w:w="8784" w:type="dxa"/>
          </w:tcPr>
          <w:p w14:paraId="184F3F0A" w14:textId="77777777" w:rsidR="00432AAD" w:rsidRPr="00535477" w:rsidRDefault="00432AAD" w:rsidP="0044583D">
            <w:pPr>
              <w:pStyle w:val="Style8"/>
              <w:spacing w:line="360" w:lineRule="auto"/>
              <w:ind w:left="738" w:firstLine="0"/>
              <w:rPr>
                <w:rFonts w:cs="Bookman Old Style"/>
                <w:lang w:eastAsia="id-ID"/>
              </w:rPr>
            </w:pPr>
            <w:r w:rsidRPr="00535477">
              <w:rPr>
                <w:rStyle w:val="FontStyle18"/>
                <w:sz w:val="24"/>
                <w:szCs w:val="24"/>
                <w:lang w:val="id-ID" w:eastAsia="id-ID"/>
              </w:rPr>
              <w:t>Surat Edaran Otoritas Jasa Keuangan ini mulai berlaku pada tanggal ditetapkan</w:t>
            </w:r>
            <w:r w:rsidRPr="00535477">
              <w:rPr>
                <w:rStyle w:val="FontStyle18"/>
                <w:sz w:val="24"/>
                <w:szCs w:val="24"/>
                <w:lang w:eastAsia="id-ID"/>
              </w:rPr>
              <w:t>.</w:t>
            </w:r>
          </w:p>
        </w:tc>
        <w:tc>
          <w:tcPr>
            <w:tcW w:w="3969" w:type="dxa"/>
          </w:tcPr>
          <w:p w14:paraId="58777B3D" w14:textId="77777777" w:rsidR="00432AAD" w:rsidRPr="00535477" w:rsidRDefault="00432AAD" w:rsidP="0044583D">
            <w:pPr>
              <w:pStyle w:val="Style8"/>
              <w:spacing w:line="360" w:lineRule="auto"/>
              <w:ind w:left="738" w:firstLine="0"/>
              <w:rPr>
                <w:rStyle w:val="FontStyle18"/>
                <w:sz w:val="24"/>
                <w:szCs w:val="24"/>
                <w:lang w:val="id-ID" w:eastAsia="id-ID"/>
              </w:rPr>
            </w:pPr>
          </w:p>
        </w:tc>
        <w:tc>
          <w:tcPr>
            <w:tcW w:w="4536" w:type="dxa"/>
          </w:tcPr>
          <w:p w14:paraId="47A38D44" w14:textId="77777777" w:rsidR="00432AAD" w:rsidRPr="00535477" w:rsidRDefault="00432AAD" w:rsidP="0044583D">
            <w:pPr>
              <w:pStyle w:val="Style8"/>
              <w:spacing w:line="360" w:lineRule="auto"/>
              <w:ind w:left="738" w:firstLine="0"/>
              <w:rPr>
                <w:rStyle w:val="FontStyle18"/>
                <w:sz w:val="24"/>
                <w:szCs w:val="24"/>
                <w:lang w:val="id-ID" w:eastAsia="id-ID"/>
              </w:rPr>
            </w:pPr>
          </w:p>
        </w:tc>
      </w:tr>
      <w:tr w:rsidR="00432AAD" w:rsidRPr="00535477" w14:paraId="63F8823B" w14:textId="686F4869" w:rsidTr="00AF03F6">
        <w:trPr>
          <w:trHeight w:val="67"/>
        </w:trPr>
        <w:tc>
          <w:tcPr>
            <w:tcW w:w="8784" w:type="dxa"/>
          </w:tcPr>
          <w:p w14:paraId="23CBFEBE" w14:textId="77777777" w:rsidR="00432AAD" w:rsidRPr="00535477" w:rsidRDefault="00432AAD" w:rsidP="0044583D">
            <w:pPr>
              <w:spacing w:line="360" w:lineRule="auto"/>
              <w:jc w:val="both"/>
              <w:rPr>
                <w:rFonts w:ascii="Bookman Old Style" w:hAnsi="Bookman Old Style"/>
                <w:sz w:val="24"/>
                <w:szCs w:val="24"/>
              </w:rPr>
            </w:pPr>
          </w:p>
        </w:tc>
        <w:tc>
          <w:tcPr>
            <w:tcW w:w="3969" w:type="dxa"/>
          </w:tcPr>
          <w:p w14:paraId="25FDCEF1" w14:textId="77777777" w:rsidR="00432AAD" w:rsidRPr="00535477" w:rsidRDefault="00432AAD" w:rsidP="0044583D">
            <w:pPr>
              <w:spacing w:line="360" w:lineRule="auto"/>
              <w:jc w:val="both"/>
              <w:rPr>
                <w:rFonts w:ascii="Bookman Old Style" w:hAnsi="Bookman Old Style"/>
                <w:sz w:val="24"/>
                <w:szCs w:val="24"/>
              </w:rPr>
            </w:pPr>
          </w:p>
        </w:tc>
        <w:tc>
          <w:tcPr>
            <w:tcW w:w="4536" w:type="dxa"/>
          </w:tcPr>
          <w:p w14:paraId="1039D4C4" w14:textId="77777777" w:rsidR="00432AAD" w:rsidRPr="00535477" w:rsidRDefault="00432AAD" w:rsidP="0044583D">
            <w:pPr>
              <w:spacing w:line="360" w:lineRule="auto"/>
              <w:jc w:val="both"/>
              <w:rPr>
                <w:rFonts w:ascii="Bookman Old Style" w:hAnsi="Bookman Old Style"/>
                <w:sz w:val="24"/>
                <w:szCs w:val="24"/>
              </w:rPr>
            </w:pPr>
          </w:p>
        </w:tc>
      </w:tr>
      <w:tr w:rsidR="00432AAD" w:rsidRPr="00535477" w14:paraId="23B1D06A" w14:textId="15A416E8" w:rsidTr="00AF03F6">
        <w:trPr>
          <w:trHeight w:val="67"/>
        </w:trPr>
        <w:tc>
          <w:tcPr>
            <w:tcW w:w="8784" w:type="dxa"/>
          </w:tcPr>
          <w:p w14:paraId="4FA90F03" w14:textId="77777777" w:rsidR="00432AAD" w:rsidRPr="00535477" w:rsidRDefault="00432AAD" w:rsidP="0044583D">
            <w:pPr>
              <w:spacing w:line="360" w:lineRule="auto"/>
              <w:jc w:val="both"/>
              <w:rPr>
                <w:rFonts w:ascii="Bookman Old Style" w:hAnsi="Bookman Old Style"/>
                <w:sz w:val="24"/>
                <w:szCs w:val="24"/>
              </w:rPr>
            </w:pPr>
          </w:p>
        </w:tc>
        <w:tc>
          <w:tcPr>
            <w:tcW w:w="3969" w:type="dxa"/>
          </w:tcPr>
          <w:p w14:paraId="254025C8" w14:textId="77777777" w:rsidR="00432AAD" w:rsidRPr="00535477" w:rsidRDefault="00432AAD" w:rsidP="0044583D">
            <w:pPr>
              <w:spacing w:line="360" w:lineRule="auto"/>
              <w:jc w:val="both"/>
              <w:rPr>
                <w:rFonts w:ascii="Bookman Old Style" w:hAnsi="Bookman Old Style"/>
                <w:sz w:val="24"/>
                <w:szCs w:val="24"/>
              </w:rPr>
            </w:pPr>
          </w:p>
        </w:tc>
        <w:tc>
          <w:tcPr>
            <w:tcW w:w="4536" w:type="dxa"/>
          </w:tcPr>
          <w:p w14:paraId="530F827E" w14:textId="77777777" w:rsidR="00432AAD" w:rsidRPr="00535477" w:rsidRDefault="00432AAD" w:rsidP="0044583D">
            <w:pPr>
              <w:spacing w:line="360" w:lineRule="auto"/>
              <w:jc w:val="both"/>
              <w:rPr>
                <w:rFonts w:ascii="Bookman Old Style" w:hAnsi="Bookman Old Style"/>
                <w:sz w:val="24"/>
                <w:szCs w:val="24"/>
              </w:rPr>
            </w:pPr>
          </w:p>
        </w:tc>
      </w:tr>
      <w:tr w:rsidR="00432AAD" w:rsidRPr="00535477" w14:paraId="1556D7EF" w14:textId="150E0F2A" w:rsidTr="00AF03F6">
        <w:trPr>
          <w:trHeight w:val="67"/>
        </w:trPr>
        <w:tc>
          <w:tcPr>
            <w:tcW w:w="8784" w:type="dxa"/>
          </w:tcPr>
          <w:p w14:paraId="779542AE" w14:textId="77777777" w:rsidR="00432AAD" w:rsidRPr="00535477" w:rsidRDefault="00432AAD" w:rsidP="0044583D">
            <w:pPr>
              <w:spacing w:line="360" w:lineRule="auto"/>
              <w:ind w:left="4849"/>
              <w:jc w:val="both"/>
              <w:rPr>
                <w:rFonts w:ascii="Bookman Old Style" w:hAnsi="Bookman Old Style"/>
                <w:sz w:val="24"/>
                <w:szCs w:val="24"/>
              </w:rPr>
            </w:pPr>
            <w:r w:rsidRPr="00535477">
              <w:rPr>
                <w:rFonts w:ascii="Bookman Old Style" w:hAnsi="Bookman Old Style"/>
                <w:sz w:val="24"/>
                <w:szCs w:val="24"/>
              </w:rPr>
              <w:t xml:space="preserve">Ditetapkan di Jakarta pada tanggal </w:t>
            </w:r>
          </w:p>
          <w:p w14:paraId="342BF4B0" w14:textId="77777777" w:rsidR="00432AAD" w:rsidRPr="00535477" w:rsidRDefault="00432AAD" w:rsidP="0044583D">
            <w:pPr>
              <w:spacing w:line="360" w:lineRule="auto"/>
              <w:ind w:left="4849"/>
              <w:jc w:val="both"/>
              <w:rPr>
                <w:rFonts w:ascii="Bookman Old Style" w:hAnsi="Bookman Old Style"/>
                <w:sz w:val="24"/>
                <w:szCs w:val="24"/>
              </w:rPr>
            </w:pPr>
          </w:p>
        </w:tc>
        <w:tc>
          <w:tcPr>
            <w:tcW w:w="3969" w:type="dxa"/>
          </w:tcPr>
          <w:p w14:paraId="07F8CE4C" w14:textId="77777777" w:rsidR="00432AAD" w:rsidRPr="00535477" w:rsidRDefault="00432AAD" w:rsidP="0044583D">
            <w:pPr>
              <w:spacing w:line="360" w:lineRule="auto"/>
              <w:ind w:left="4849"/>
              <w:jc w:val="both"/>
              <w:rPr>
                <w:rFonts w:ascii="Bookman Old Style" w:hAnsi="Bookman Old Style"/>
                <w:sz w:val="24"/>
                <w:szCs w:val="24"/>
              </w:rPr>
            </w:pPr>
          </w:p>
        </w:tc>
        <w:tc>
          <w:tcPr>
            <w:tcW w:w="4536" w:type="dxa"/>
          </w:tcPr>
          <w:p w14:paraId="57688D9B" w14:textId="77777777" w:rsidR="00432AAD" w:rsidRPr="00535477" w:rsidRDefault="00432AAD" w:rsidP="0044583D">
            <w:pPr>
              <w:spacing w:line="360" w:lineRule="auto"/>
              <w:ind w:left="4849"/>
              <w:jc w:val="both"/>
              <w:rPr>
                <w:rFonts w:ascii="Bookman Old Style" w:hAnsi="Bookman Old Style"/>
                <w:sz w:val="24"/>
                <w:szCs w:val="24"/>
              </w:rPr>
            </w:pPr>
          </w:p>
        </w:tc>
      </w:tr>
      <w:tr w:rsidR="00432AAD" w:rsidRPr="00535477" w14:paraId="52D2B822" w14:textId="610D5ADC" w:rsidTr="00AF03F6">
        <w:trPr>
          <w:trHeight w:val="67"/>
        </w:trPr>
        <w:tc>
          <w:tcPr>
            <w:tcW w:w="8784" w:type="dxa"/>
          </w:tcPr>
          <w:p w14:paraId="3FA6B70D" w14:textId="77777777" w:rsidR="00432AAD" w:rsidRPr="00535477" w:rsidRDefault="00432AAD" w:rsidP="0044583D">
            <w:pPr>
              <w:pStyle w:val="Style2"/>
              <w:widowControl/>
              <w:spacing w:line="360" w:lineRule="auto"/>
              <w:ind w:left="4849"/>
              <w:jc w:val="left"/>
              <w:rPr>
                <w:rFonts w:cs="Bookman Old Style"/>
                <w:lang w:val="id-ID" w:eastAsia="id-ID"/>
              </w:rPr>
            </w:pPr>
            <w:r w:rsidRPr="00535477">
              <w:rPr>
                <w:rFonts w:cs="Bookman Old Style"/>
                <w:lang w:val="id-ID" w:eastAsia="id-ID"/>
              </w:rPr>
              <w:t xml:space="preserve">KEPALA EKSEKUTIF PENGAWAS PERASURANSIAN, DANA PENSIUN, LEMBAGA PEMBIAYAAN, DAN LEMBAGA JASA KEUANGAN LAINNYA </w:t>
            </w:r>
          </w:p>
          <w:p w14:paraId="79C955A5" w14:textId="77777777" w:rsidR="00432AAD" w:rsidRPr="00535477" w:rsidRDefault="00432AAD" w:rsidP="0044583D">
            <w:pPr>
              <w:pStyle w:val="Style2"/>
              <w:widowControl/>
              <w:spacing w:line="360" w:lineRule="auto"/>
              <w:ind w:left="4849"/>
              <w:jc w:val="left"/>
              <w:rPr>
                <w:rStyle w:val="FontStyle18"/>
                <w:sz w:val="24"/>
                <w:szCs w:val="24"/>
                <w:lang w:val="id-ID" w:eastAsia="id-ID"/>
              </w:rPr>
            </w:pPr>
            <w:r w:rsidRPr="00535477">
              <w:rPr>
                <w:rFonts w:cs="Bookman Old Style"/>
                <w:lang w:val="id-ID" w:eastAsia="id-ID"/>
              </w:rPr>
              <w:t>OTORITAS JASA KEUANGAN</w:t>
            </w:r>
            <w:r w:rsidRPr="00535477">
              <w:rPr>
                <w:rFonts w:cs="Bookman Old Style"/>
                <w:lang w:val="en-ID" w:eastAsia="id-ID"/>
              </w:rPr>
              <w:t xml:space="preserve"> </w:t>
            </w:r>
            <w:r w:rsidRPr="00535477">
              <w:rPr>
                <w:rStyle w:val="FontStyle18"/>
                <w:sz w:val="24"/>
                <w:szCs w:val="24"/>
                <w:lang w:val="es-ES" w:eastAsia="id-ID"/>
              </w:rPr>
              <w:t>REPUBLIK INDONESIA</w:t>
            </w:r>
            <w:r w:rsidRPr="00535477">
              <w:rPr>
                <w:rFonts w:cs="Bookman Old Style"/>
                <w:lang w:val="id-ID" w:eastAsia="id-ID"/>
              </w:rPr>
              <w:t>,</w:t>
            </w:r>
          </w:p>
          <w:p w14:paraId="3BE798AC" w14:textId="77777777" w:rsidR="00432AAD" w:rsidRPr="00535477" w:rsidRDefault="00432AAD" w:rsidP="0044583D">
            <w:pPr>
              <w:pStyle w:val="Style2"/>
              <w:widowControl/>
              <w:spacing w:line="360" w:lineRule="auto"/>
              <w:ind w:left="4849"/>
              <w:jc w:val="left"/>
            </w:pPr>
          </w:p>
          <w:p w14:paraId="3ED8D088" w14:textId="77777777" w:rsidR="00432AAD" w:rsidRPr="00535477" w:rsidRDefault="00432AAD" w:rsidP="0044583D">
            <w:pPr>
              <w:pStyle w:val="Style2"/>
              <w:widowControl/>
              <w:spacing w:line="360" w:lineRule="auto"/>
              <w:ind w:left="4849"/>
              <w:jc w:val="left"/>
            </w:pPr>
          </w:p>
          <w:p w14:paraId="1EC4C747" w14:textId="77777777" w:rsidR="00432AAD" w:rsidRPr="00535477" w:rsidRDefault="00432AAD" w:rsidP="0044583D">
            <w:pPr>
              <w:pStyle w:val="Style2"/>
              <w:widowControl/>
              <w:spacing w:line="360" w:lineRule="auto"/>
              <w:ind w:left="4849"/>
              <w:jc w:val="left"/>
            </w:pPr>
          </w:p>
          <w:p w14:paraId="7E1DA869" w14:textId="77777777" w:rsidR="00432AAD" w:rsidRPr="00535477" w:rsidRDefault="00432AAD" w:rsidP="0044583D">
            <w:pPr>
              <w:pStyle w:val="Style2"/>
              <w:widowControl/>
              <w:spacing w:line="360" w:lineRule="auto"/>
              <w:ind w:left="4849"/>
              <w:jc w:val="left"/>
              <w:rPr>
                <w:rFonts w:cs="Bookman Old Style"/>
                <w:lang w:val="id-ID" w:eastAsia="id-ID"/>
              </w:rPr>
            </w:pPr>
            <w:r w:rsidRPr="00535477">
              <w:t>RISWINANDI</w:t>
            </w:r>
          </w:p>
        </w:tc>
        <w:tc>
          <w:tcPr>
            <w:tcW w:w="3969" w:type="dxa"/>
          </w:tcPr>
          <w:p w14:paraId="2D6D56DA" w14:textId="77777777" w:rsidR="00432AAD" w:rsidRPr="00535477" w:rsidRDefault="00432AAD" w:rsidP="0044583D">
            <w:pPr>
              <w:pStyle w:val="Style2"/>
              <w:widowControl/>
              <w:spacing w:line="360" w:lineRule="auto"/>
              <w:ind w:left="4849"/>
              <w:jc w:val="left"/>
              <w:rPr>
                <w:rFonts w:cs="Bookman Old Style"/>
                <w:lang w:val="id-ID" w:eastAsia="id-ID"/>
              </w:rPr>
            </w:pPr>
          </w:p>
        </w:tc>
        <w:tc>
          <w:tcPr>
            <w:tcW w:w="4536" w:type="dxa"/>
          </w:tcPr>
          <w:p w14:paraId="586384CF" w14:textId="77777777" w:rsidR="00432AAD" w:rsidRPr="00535477" w:rsidRDefault="00432AAD" w:rsidP="0044583D">
            <w:pPr>
              <w:pStyle w:val="Style2"/>
              <w:widowControl/>
              <w:spacing w:line="360" w:lineRule="auto"/>
              <w:ind w:left="4849"/>
              <w:jc w:val="left"/>
              <w:rPr>
                <w:rFonts w:cs="Bookman Old Style"/>
                <w:lang w:val="id-ID" w:eastAsia="id-ID"/>
              </w:rPr>
            </w:pPr>
          </w:p>
        </w:tc>
      </w:tr>
    </w:tbl>
    <w:p w14:paraId="239E314E" w14:textId="77777777" w:rsidR="00AB3BDC" w:rsidRPr="001B7CDF" w:rsidRDefault="00AB3BDC" w:rsidP="008E600D">
      <w:pPr>
        <w:spacing w:before="60" w:after="60" w:line="276" w:lineRule="auto"/>
        <w:rPr>
          <w:rFonts w:ascii="Bookman Old Style" w:hAnsi="Bookman Old Style"/>
          <w:sz w:val="24"/>
          <w:szCs w:val="24"/>
        </w:rPr>
      </w:pPr>
    </w:p>
    <w:p w14:paraId="06D6360F" w14:textId="77777777" w:rsidR="00E2374D" w:rsidRPr="001B7CDF" w:rsidRDefault="00E2374D" w:rsidP="008E600D">
      <w:pPr>
        <w:spacing w:before="60" w:after="60" w:line="276" w:lineRule="auto"/>
        <w:rPr>
          <w:rFonts w:ascii="Bookman Old Style" w:hAnsi="Bookman Old Style"/>
          <w:sz w:val="24"/>
          <w:szCs w:val="24"/>
        </w:rPr>
      </w:pPr>
    </w:p>
    <w:sectPr w:rsidR="00E2374D" w:rsidRPr="001B7CDF" w:rsidSect="00AF03F6">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1EDE" w14:textId="77777777" w:rsidR="00344472" w:rsidRDefault="00344472" w:rsidP="00EE2548">
      <w:pPr>
        <w:spacing w:after="0" w:line="240" w:lineRule="auto"/>
      </w:pPr>
      <w:r>
        <w:separator/>
      </w:r>
    </w:p>
  </w:endnote>
  <w:endnote w:type="continuationSeparator" w:id="0">
    <w:p w14:paraId="7534F69F" w14:textId="77777777" w:rsidR="00344472" w:rsidRDefault="00344472" w:rsidP="00E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776B" w14:textId="77777777" w:rsidR="00344472" w:rsidRDefault="00344472" w:rsidP="00EE2548">
      <w:pPr>
        <w:spacing w:after="0" w:line="240" w:lineRule="auto"/>
      </w:pPr>
      <w:r>
        <w:separator/>
      </w:r>
    </w:p>
  </w:footnote>
  <w:footnote w:type="continuationSeparator" w:id="0">
    <w:p w14:paraId="273B0A6F" w14:textId="77777777" w:rsidR="00344472" w:rsidRDefault="00344472" w:rsidP="00EE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043F" w14:textId="09056218" w:rsidR="00EE2548" w:rsidRDefault="00801EFB">
    <w:pPr>
      <w:pStyle w:val="Header"/>
    </w:pPr>
    <w:r w:rsidRPr="00247076">
      <w:rPr>
        <w:rFonts w:ascii="Bookman Old Style" w:hAnsi="Bookman Old Style"/>
        <w:noProof/>
        <w:sz w:val="24"/>
        <w:szCs w:val="24"/>
        <w:lang w:val="en-US"/>
      </w:rPr>
      <w:drawing>
        <wp:anchor distT="0" distB="0" distL="114300" distR="114300" simplePos="0" relativeHeight="251657216" behindDoc="0" locked="0" layoutInCell="1" allowOverlap="1" wp14:anchorId="40A730CA" wp14:editId="38FEC84D">
          <wp:simplePos x="0" y="0"/>
          <wp:positionH relativeFrom="column">
            <wp:posOffset>-712381</wp:posOffset>
          </wp:positionH>
          <wp:positionV relativeFrom="paragraph">
            <wp:posOffset>-361507</wp:posOffset>
          </wp:positionV>
          <wp:extent cx="1841605" cy="698740"/>
          <wp:effectExtent l="0" t="0" r="6350" b="6350"/>
          <wp:wrapNone/>
          <wp:docPr id="1" name="Picture 1" descr="Otoritas Jasa Keu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x74bbee6762f840edad4fe46f496d8c78" descr="Otoritas Jasa Keu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605" cy="6987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93762478"/>
        <w:docPartObj>
          <w:docPartGallery w:val="Watermarks"/>
          <w:docPartUnique/>
        </w:docPartObj>
      </w:sdtPr>
      <w:sdtEndPr/>
      <w:sdtContent>
        <w:r w:rsidR="00344472">
          <w:rPr>
            <w:noProof/>
          </w:rPr>
          <w:pict w14:anchorId="44244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4AE"/>
    <w:multiLevelType w:val="hybridMultilevel"/>
    <w:tmpl w:val="6886520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60F1"/>
    <w:multiLevelType w:val="hybridMultilevel"/>
    <w:tmpl w:val="14D2FDBA"/>
    <w:lvl w:ilvl="0" w:tplc="A3103D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12C96"/>
    <w:multiLevelType w:val="hybridMultilevel"/>
    <w:tmpl w:val="7F30C1D6"/>
    <w:lvl w:ilvl="0" w:tplc="04090019">
      <w:start w:val="1"/>
      <w:numFmt w:val="lowerLetter"/>
      <w:lvlText w:val="%1."/>
      <w:lvlJc w:val="left"/>
      <w:pPr>
        <w:ind w:left="1458" w:hanging="360"/>
      </w:pPr>
    </w:lvl>
    <w:lvl w:ilvl="1" w:tplc="04090011">
      <w:start w:val="1"/>
      <w:numFmt w:val="decimal"/>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3" w15:restartNumberingAfterBreak="0">
    <w:nsid w:val="04933885"/>
    <w:multiLevelType w:val="hybridMultilevel"/>
    <w:tmpl w:val="23306858"/>
    <w:lvl w:ilvl="0" w:tplc="2C960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53DED"/>
    <w:multiLevelType w:val="multilevel"/>
    <w:tmpl w:val="28DAA0E6"/>
    <w:lvl w:ilvl="0">
      <w:start w:val="1"/>
      <w:numFmt w:val="lowerLetter"/>
      <w:lvlText w:val="%1."/>
      <w:lvlJc w:val="left"/>
      <w:pPr>
        <w:ind w:left="1182" w:hanging="360"/>
      </w:p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5" w15:restartNumberingAfterBreak="0">
    <w:nsid w:val="05D869AE"/>
    <w:multiLevelType w:val="hybridMultilevel"/>
    <w:tmpl w:val="2DF0D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85EF7"/>
    <w:multiLevelType w:val="hybridMultilevel"/>
    <w:tmpl w:val="186419BE"/>
    <w:lvl w:ilvl="0" w:tplc="D220C244">
      <w:start w:val="1"/>
      <w:numFmt w:val="decimal"/>
      <w:lvlText w:val="%1."/>
      <w:lvlJc w:val="left"/>
      <w:pPr>
        <w:ind w:left="1411" w:hanging="360"/>
      </w:pPr>
      <w:rPr>
        <w:rFonts w:hint="default"/>
        <w:i w:val="0"/>
        <w:strike w:val="0"/>
      </w:rPr>
    </w:lvl>
    <w:lvl w:ilvl="1" w:tplc="04210019">
      <w:start w:val="1"/>
      <w:numFmt w:val="lowerLetter"/>
      <w:lvlText w:val="%2."/>
      <w:lvlJc w:val="left"/>
      <w:pPr>
        <w:ind w:left="2131" w:hanging="360"/>
      </w:pPr>
    </w:lvl>
    <w:lvl w:ilvl="2" w:tplc="0421001B" w:tentative="1">
      <w:start w:val="1"/>
      <w:numFmt w:val="lowerRoman"/>
      <w:lvlText w:val="%3."/>
      <w:lvlJc w:val="right"/>
      <w:pPr>
        <w:ind w:left="2851" w:hanging="180"/>
      </w:pPr>
    </w:lvl>
    <w:lvl w:ilvl="3" w:tplc="0421000F" w:tentative="1">
      <w:start w:val="1"/>
      <w:numFmt w:val="decimal"/>
      <w:lvlText w:val="%4."/>
      <w:lvlJc w:val="left"/>
      <w:pPr>
        <w:ind w:left="3571" w:hanging="360"/>
      </w:pPr>
    </w:lvl>
    <w:lvl w:ilvl="4" w:tplc="04210019" w:tentative="1">
      <w:start w:val="1"/>
      <w:numFmt w:val="lowerLetter"/>
      <w:lvlText w:val="%5."/>
      <w:lvlJc w:val="left"/>
      <w:pPr>
        <w:ind w:left="4291" w:hanging="360"/>
      </w:pPr>
    </w:lvl>
    <w:lvl w:ilvl="5" w:tplc="0421001B" w:tentative="1">
      <w:start w:val="1"/>
      <w:numFmt w:val="lowerRoman"/>
      <w:lvlText w:val="%6."/>
      <w:lvlJc w:val="right"/>
      <w:pPr>
        <w:ind w:left="5011" w:hanging="180"/>
      </w:pPr>
    </w:lvl>
    <w:lvl w:ilvl="6" w:tplc="0421000F" w:tentative="1">
      <w:start w:val="1"/>
      <w:numFmt w:val="decimal"/>
      <w:lvlText w:val="%7."/>
      <w:lvlJc w:val="left"/>
      <w:pPr>
        <w:ind w:left="5731" w:hanging="360"/>
      </w:pPr>
    </w:lvl>
    <w:lvl w:ilvl="7" w:tplc="04210019" w:tentative="1">
      <w:start w:val="1"/>
      <w:numFmt w:val="lowerLetter"/>
      <w:lvlText w:val="%8."/>
      <w:lvlJc w:val="left"/>
      <w:pPr>
        <w:ind w:left="6451" w:hanging="360"/>
      </w:pPr>
    </w:lvl>
    <w:lvl w:ilvl="8" w:tplc="0421001B" w:tentative="1">
      <w:start w:val="1"/>
      <w:numFmt w:val="lowerRoman"/>
      <w:lvlText w:val="%9."/>
      <w:lvlJc w:val="right"/>
      <w:pPr>
        <w:ind w:left="7171" w:hanging="180"/>
      </w:pPr>
    </w:lvl>
  </w:abstractNum>
  <w:abstractNum w:abstractNumId="7" w15:restartNumberingAfterBreak="0">
    <w:nsid w:val="0640771E"/>
    <w:multiLevelType w:val="hybridMultilevel"/>
    <w:tmpl w:val="1CC8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43188"/>
    <w:multiLevelType w:val="multilevel"/>
    <w:tmpl w:val="C3005388"/>
    <w:lvl w:ilvl="0">
      <w:start w:val="1"/>
      <w:numFmt w:val="lowerLetter"/>
      <w:lvlText w:val="%1."/>
      <w:lvlJc w:val="left"/>
      <w:pPr>
        <w:ind w:left="72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376327"/>
    <w:multiLevelType w:val="multilevel"/>
    <w:tmpl w:val="4C46A3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F24490"/>
    <w:multiLevelType w:val="hybridMultilevel"/>
    <w:tmpl w:val="32429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A0E06"/>
    <w:multiLevelType w:val="hybridMultilevel"/>
    <w:tmpl w:val="C79C3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75050"/>
    <w:multiLevelType w:val="hybridMultilevel"/>
    <w:tmpl w:val="AA003106"/>
    <w:lvl w:ilvl="0" w:tplc="04090017">
      <w:start w:val="1"/>
      <w:numFmt w:val="lowerLetter"/>
      <w:lvlText w:val="%1)"/>
      <w:lvlJc w:val="left"/>
      <w:pPr>
        <w:ind w:left="2449" w:hanging="360"/>
      </w:pPr>
    </w:lvl>
    <w:lvl w:ilvl="1" w:tplc="04090019" w:tentative="1">
      <w:start w:val="1"/>
      <w:numFmt w:val="lowerLetter"/>
      <w:lvlText w:val="%2."/>
      <w:lvlJc w:val="left"/>
      <w:pPr>
        <w:ind w:left="3169" w:hanging="360"/>
      </w:pPr>
    </w:lvl>
    <w:lvl w:ilvl="2" w:tplc="0409001B" w:tentative="1">
      <w:start w:val="1"/>
      <w:numFmt w:val="lowerRoman"/>
      <w:lvlText w:val="%3."/>
      <w:lvlJc w:val="right"/>
      <w:pPr>
        <w:ind w:left="3889" w:hanging="180"/>
      </w:pPr>
    </w:lvl>
    <w:lvl w:ilvl="3" w:tplc="0409000F" w:tentative="1">
      <w:start w:val="1"/>
      <w:numFmt w:val="decimal"/>
      <w:lvlText w:val="%4."/>
      <w:lvlJc w:val="left"/>
      <w:pPr>
        <w:ind w:left="4609" w:hanging="360"/>
      </w:pPr>
    </w:lvl>
    <w:lvl w:ilvl="4" w:tplc="04090019" w:tentative="1">
      <w:start w:val="1"/>
      <w:numFmt w:val="lowerLetter"/>
      <w:lvlText w:val="%5."/>
      <w:lvlJc w:val="left"/>
      <w:pPr>
        <w:ind w:left="5329" w:hanging="360"/>
      </w:pPr>
    </w:lvl>
    <w:lvl w:ilvl="5" w:tplc="0409001B" w:tentative="1">
      <w:start w:val="1"/>
      <w:numFmt w:val="lowerRoman"/>
      <w:lvlText w:val="%6."/>
      <w:lvlJc w:val="right"/>
      <w:pPr>
        <w:ind w:left="6049" w:hanging="180"/>
      </w:pPr>
    </w:lvl>
    <w:lvl w:ilvl="6" w:tplc="0409000F" w:tentative="1">
      <w:start w:val="1"/>
      <w:numFmt w:val="decimal"/>
      <w:lvlText w:val="%7."/>
      <w:lvlJc w:val="left"/>
      <w:pPr>
        <w:ind w:left="6769" w:hanging="360"/>
      </w:pPr>
    </w:lvl>
    <w:lvl w:ilvl="7" w:tplc="04090019" w:tentative="1">
      <w:start w:val="1"/>
      <w:numFmt w:val="lowerLetter"/>
      <w:lvlText w:val="%8."/>
      <w:lvlJc w:val="left"/>
      <w:pPr>
        <w:ind w:left="7489" w:hanging="360"/>
      </w:pPr>
    </w:lvl>
    <w:lvl w:ilvl="8" w:tplc="0409001B" w:tentative="1">
      <w:start w:val="1"/>
      <w:numFmt w:val="lowerRoman"/>
      <w:lvlText w:val="%9."/>
      <w:lvlJc w:val="right"/>
      <w:pPr>
        <w:ind w:left="8209" w:hanging="180"/>
      </w:pPr>
    </w:lvl>
  </w:abstractNum>
  <w:abstractNum w:abstractNumId="13" w15:restartNumberingAfterBreak="0">
    <w:nsid w:val="1C0760B3"/>
    <w:multiLevelType w:val="hybridMultilevel"/>
    <w:tmpl w:val="F766AB00"/>
    <w:lvl w:ilvl="0" w:tplc="04090019">
      <w:start w:val="1"/>
      <w:numFmt w:val="lowerLetter"/>
      <w:lvlText w:val="%1."/>
      <w:lvlJc w:val="left"/>
      <w:pPr>
        <w:ind w:left="1967" w:hanging="360"/>
      </w:p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4" w15:restartNumberingAfterBreak="0">
    <w:nsid w:val="1E35180D"/>
    <w:multiLevelType w:val="hybridMultilevel"/>
    <w:tmpl w:val="5792E72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C3179"/>
    <w:multiLevelType w:val="hybridMultilevel"/>
    <w:tmpl w:val="B552A05A"/>
    <w:lvl w:ilvl="0" w:tplc="894C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D5ED1"/>
    <w:multiLevelType w:val="hybridMultilevel"/>
    <w:tmpl w:val="9A565B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A1769"/>
    <w:multiLevelType w:val="hybridMultilevel"/>
    <w:tmpl w:val="F766AB00"/>
    <w:lvl w:ilvl="0" w:tplc="04090019">
      <w:start w:val="1"/>
      <w:numFmt w:val="lowerLetter"/>
      <w:lvlText w:val="%1."/>
      <w:lvlJc w:val="left"/>
      <w:pPr>
        <w:ind w:left="1967" w:hanging="360"/>
      </w:p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8" w15:restartNumberingAfterBreak="0">
    <w:nsid w:val="26892021"/>
    <w:multiLevelType w:val="hybridMultilevel"/>
    <w:tmpl w:val="D94E4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4698C"/>
    <w:multiLevelType w:val="hybridMultilevel"/>
    <w:tmpl w:val="BE30F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A048D"/>
    <w:multiLevelType w:val="hybridMultilevel"/>
    <w:tmpl w:val="821CDC92"/>
    <w:lvl w:ilvl="0" w:tplc="04090017">
      <w:start w:val="1"/>
      <w:numFmt w:val="lowerLetter"/>
      <w:lvlText w:val="%1)"/>
      <w:lvlJc w:val="left"/>
      <w:pPr>
        <w:ind w:left="2722" w:hanging="360"/>
      </w:pPr>
    </w:lvl>
    <w:lvl w:ilvl="1" w:tplc="04090019" w:tentative="1">
      <w:start w:val="1"/>
      <w:numFmt w:val="lowerLetter"/>
      <w:lvlText w:val="%2."/>
      <w:lvlJc w:val="left"/>
      <w:pPr>
        <w:ind w:left="3442" w:hanging="360"/>
      </w:pPr>
    </w:lvl>
    <w:lvl w:ilvl="2" w:tplc="0409001B" w:tentative="1">
      <w:start w:val="1"/>
      <w:numFmt w:val="lowerRoman"/>
      <w:lvlText w:val="%3."/>
      <w:lvlJc w:val="right"/>
      <w:pPr>
        <w:ind w:left="4162" w:hanging="180"/>
      </w:pPr>
    </w:lvl>
    <w:lvl w:ilvl="3" w:tplc="0409000F" w:tentative="1">
      <w:start w:val="1"/>
      <w:numFmt w:val="decimal"/>
      <w:lvlText w:val="%4."/>
      <w:lvlJc w:val="left"/>
      <w:pPr>
        <w:ind w:left="4882" w:hanging="360"/>
      </w:pPr>
    </w:lvl>
    <w:lvl w:ilvl="4" w:tplc="04090019" w:tentative="1">
      <w:start w:val="1"/>
      <w:numFmt w:val="lowerLetter"/>
      <w:lvlText w:val="%5."/>
      <w:lvlJc w:val="left"/>
      <w:pPr>
        <w:ind w:left="5602" w:hanging="360"/>
      </w:pPr>
    </w:lvl>
    <w:lvl w:ilvl="5" w:tplc="0409001B" w:tentative="1">
      <w:start w:val="1"/>
      <w:numFmt w:val="lowerRoman"/>
      <w:lvlText w:val="%6."/>
      <w:lvlJc w:val="right"/>
      <w:pPr>
        <w:ind w:left="6322" w:hanging="180"/>
      </w:pPr>
    </w:lvl>
    <w:lvl w:ilvl="6" w:tplc="0409000F" w:tentative="1">
      <w:start w:val="1"/>
      <w:numFmt w:val="decimal"/>
      <w:lvlText w:val="%7."/>
      <w:lvlJc w:val="left"/>
      <w:pPr>
        <w:ind w:left="7042" w:hanging="360"/>
      </w:pPr>
    </w:lvl>
    <w:lvl w:ilvl="7" w:tplc="04090019" w:tentative="1">
      <w:start w:val="1"/>
      <w:numFmt w:val="lowerLetter"/>
      <w:lvlText w:val="%8."/>
      <w:lvlJc w:val="left"/>
      <w:pPr>
        <w:ind w:left="7762" w:hanging="360"/>
      </w:pPr>
    </w:lvl>
    <w:lvl w:ilvl="8" w:tplc="0409001B" w:tentative="1">
      <w:start w:val="1"/>
      <w:numFmt w:val="lowerRoman"/>
      <w:lvlText w:val="%9."/>
      <w:lvlJc w:val="right"/>
      <w:pPr>
        <w:ind w:left="8482" w:hanging="180"/>
      </w:pPr>
    </w:lvl>
  </w:abstractNum>
  <w:abstractNum w:abstractNumId="21" w15:restartNumberingAfterBreak="0">
    <w:nsid w:val="33D93E87"/>
    <w:multiLevelType w:val="hybridMultilevel"/>
    <w:tmpl w:val="6AAEF38A"/>
    <w:lvl w:ilvl="0" w:tplc="62F2791C">
      <w:start w:val="1"/>
      <w:numFmt w:val="upperRoman"/>
      <w:lvlText w:val="%1."/>
      <w:lvlJc w:val="left"/>
      <w:pPr>
        <w:ind w:left="1080" w:hanging="720"/>
      </w:pPr>
      <w:rPr>
        <w:rFonts w:hint="default"/>
      </w:rPr>
    </w:lvl>
    <w:lvl w:ilvl="1" w:tplc="9050F190">
      <w:start w:val="1"/>
      <w:numFmt w:val="upp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8776A"/>
    <w:multiLevelType w:val="multilevel"/>
    <w:tmpl w:val="EE12BB4A"/>
    <w:lvl w:ilvl="0">
      <w:start w:val="1"/>
      <w:numFmt w:val="decimal"/>
      <w:lvlText w:val="%1."/>
      <w:lvlJc w:val="left"/>
      <w:pPr>
        <w:ind w:left="1182" w:hanging="360"/>
      </w:p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23" w15:restartNumberingAfterBreak="0">
    <w:nsid w:val="38281539"/>
    <w:multiLevelType w:val="multilevel"/>
    <w:tmpl w:val="D542DC52"/>
    <w:lvl w:ilvl="0">
      <w:start w:val="1"/>
      <w:numFmt w:val="decimal"/>
      <w:lvlText w:val="%1."/>
      <w:lvlJc w:val="left"/>
      <w:pPr>
        <w:ind w:left="1182" w:hanging="360"/>
      </w:p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lowerLetter"/>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24" w15:restartNumberingAfterBreak="0">
    <w:nsid w:val="3D122196"/>
    <w:multiLevelType w:val="hybridMultilevel"/>
    <w:tmpl w:val="428ED166"/>
    <w:lvl w:ilvl="0" w:tplc="04090019">
      <w:start w:val="1"/>
      <w:numFmt w:val="lowerLetter"/>
      <w:lvlText w:val="%1."/>
      <w:lvlJc w:val="left"/>
      <w:pPr>
        <w:ind w:left="2583" w:hanging="360"/>
      </w:p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25" w15:restartNumberingAfterBreak="0">
    <w:nsid w:val="41046BF6"/>
    <w:multiLevelType w:val="hybridMultilevel"/>
    <w:tmpl w:val="2058110E"/>
    <w:lvl w:ilvl="0" w:tplc="0409000F">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19">
      <w:start w:val="1"/>
      <w:numFmt w:val="lowerLetter"/>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6" w15:restartNumberingAfterBreak="0">
    <w:nsid w:val="4E613467"/>
    <w:multiLevelType w:val="multilevel"/>
    <w:tmpl w:val="0B96BD7C"/>
    <w:lvl w:ilvl="0">
      <w:start w:val="1"/>
      <w:numFmt w:val="lowerLetter"/>
      <w:lvlText w:val="%1."/>
      <w:lvlJc w:val="left"/>
      <w:pPr>
        <w:ind w:left="720" w:hanging="360"/>
      </w:pPr>
    </w:lvl>
    <w:lvl w:ilvl="1">
      <w:start w:val="1"/>
      <w:numFmt w:val="decimal"/>
      <w:lvlText w:val="%2."/>
      <w:lvlJc w:val="left"/>
      <w:pPr>
        <w:ind w:left="1440" w:hanging="360"/>
      </w:pPr>
      <w:rPr>
        <w:strike w:val="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EB1F65"/>
    <w:multiLevelType w:val="hybridMultilevel"/>
    <w:tmpl w:val="26A4E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93B2A"/>
    <w:multiLevelType w:val="hybridMultilevel"/>
    <w:tmpl w:val="0E40F0D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5D2653F9"/>
    <w:multiLevelType w:val="hybridMultilevel"/>
    <w:tmpl w:val="8D742678"/>
    <w:lvl w:ilvl="0" w:tplc="04090019">
      <w:start w:val="1"/>
      <w:numFmt w:val="lowerLetter"/>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30" w15:restartNumberingAfterBreak="0">
    <w:nsid w:val="5FB620CA"/>
    <w:multiLevelType w:val="hybridMultilevel"/>
    <w:tmpl w:val="2DF0D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E6CF2"/>
    <w:multiLevelType w:val="hybridMultilevel"/>
    <w:tmpl w:val="32429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42397"/>
    <w:multiLevelType w:val="hybridMultilevel"/>
    <w:tmpl w:val="BC3AA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75B52"/>
    <w:multiLevelType w:val="hybridMultilevel"/>
    <w:tmpl w:val="E80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955AD"/>
    <w:multiLevelType w:val="multilevel"/>
    <w:tmpl w:val="28DAA0E6"/>
    <w:lvl w:ilvl="0">
      <w:start w:val="1"/>
      <w:numFmt w:val="lowerLetter"/>
      <w:lvlText w:val="%1."/>
      <w:lvlJc w:val="left"/>
      <w:pPr>
        <w:ind w:left="1182" w:hanging="360"/>
      </w:p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35" w15:restartNumberingAfterBreak="0">
    <w:nsid w:val="6B946346"/>
    <w:multiLevelType w:val="hybridMultilevel"/>
    <w:tmpl w:val="8258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410A5"/>
    <w:multiLevelType w:val="hybridMultilevel"/>
    <w:tmpl w:val="6264360C"/>
    <w:lvl w:ilvl="0" w:tplc="0409001B">
      <w:start w:val="1"/>
      <w:numFmt w:val="lowerRoman"/>
      <w:lvlText w:val="%1."/>
      <w:lvlJc w:val="right"/>
      <w:pPr>
        <w:ind w:left="3017" w:hanging="360"/>
      </w:pPr>
    </w:lvl>
    <w:lvl w:ilvl="1" w:tplc="04090019">
      <w:start w:val="1"/>
      <w:numFmt w:val="lowerLetter"/>
      <w:lvlText w:val="%2."/>
      <w:lvlJc w:val="left"/>
      <w:pPr>
        <w:ind w:left="3905" w:hanging="360"/>
      </w:pPr>
    </w:lvl>
    <w:lvl w:ilvl="2" w:tplc="0409001B" w:tentative="1">
      <w:start w:val="1"/>
      <w:numFmt w:val="lowerRoman"/>
      <w:lvlText w:val="%3."/>
      <w:lvlJc w:val="right"/>
      <w:pPr>
        <w:ind w:left="4457" w:hanging="180"/>
      </w:pPr>
    </w:lvl>
    <w:lvl w:ilvl="3" w:tplc="0409000F" w:tentative="1">
      <w:start w:val="1"/>
      <w:numFmt w:val="decimal"/>
      <w:lvlText w:val="%4."/>
      <w:lvlJc w:val="left"/>
      <w:pPr>
        <w:ind w:left="5177" w:hanging="360"/>
      </w:pPr>
    </w:lvl>
    <w:lvl w:ilvl="4" w:tplc="04090019" w:tentative="1">
      <w:start w:val="1"/>
      <w:numFmt w:val="lowerLetter"/>
      <w:lvlText w:val="%5."/>
      <w:lvlJc w:val="left"/>
      <w:pPr>
        <w:ind w:left="5897" w:hanging="360"/>
      </w:pPr>
    </w:lvl>
    <w:lvl w:ilvl="5" w:tplc="0409001B" w:tentative="1">
      <w:start w:val="1"/>
      <w:numFmt w:val="lowerRoman"/>
      <w:lvlText w:val="%6."/>
      <w:lvlJc w:val="right"/>
      <w:pPr>
        <w:ind w:left="6617" w:hanging="180"/>
      </w:pPr>
    </w:lvl>
    <w:lvl w:ilvl="6" w:tplc="0409000F" w:tentative="1">
      <w:start w:val="1"/>
      <w:numFmt w:val="decimal"/>
      <w:lvlText w:val="%7."/>
      <w:lvlJc w:val="left"/>
      <w:pPr>
        <w:ind w:left="7337" w:hanging="360"/>
      </w:pPr>
    </w:lvl>
    <w:lvl w:ilvl="7" w:tplc="04090019" w:tentative="1">
      <w:start w:val="1"/>
      <w:numFmt w:val="lowerLetter"/>
      <w:lvlText w:val="%8."/>
      <w:lvlJc w:val="left"/>
      <w:pPr>
        <w:ind w:left="8057" w:hanging="360"/>
      </w:pPr>
    </w:lvl>
    <w:lvl w:ilvl="8" w:tplc="0409001B" w:tentative="1">
      <w:start w:val="1"/>
      <w:numFmt w:val="lowerRoman"/>
      <w:lvlText w:val="%9."/>
      <w:lvlJc w:val="right"/>
      <w:pPr>
        <w:ind w:left="8777" w:hanging="180"/>
      </w:pPr>
    </w:lvl>
  </w:abstractNum>
  <w:abstractNum w:abstractNumId="37" w15:restartNumberingAfterBreak="0">
    <w:nsid w:val="6CEC7108"/>
    <w:multiLevelType w:val="hybridMultilevel"/>
    <w:tmpl w:val="42B45CE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71E31"/>
    <w:multiLevelType w:val="hybridMultilevel"/>
    <w:tmpl w:val="E76828B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15:restartNumberingAfterBreak="0">
    <w:nsid w:val="71E34EFF"/>
    <w:multiLevelType w:val="hybridMultilevel"/>
    <w:tmpl w:val="AEC6634C"/>
    <w:lvl w:ilvl="0" w:tplc="04090017">
      <w:start w:val="1"/>
      <w:numFmt w:val="lowerLetter"/>
      <w:lvlText w:val="%1)"/>
      <w:lvlJc w:val="left"/>
      <w:pPr>
        <w:ind w:left="1458" w:hanging="360"/>
      </w:pPr>
    </w:lvl>
    <w:lvl w:ilvl="1" w:tplc="207EFC3C">
      <w:start w:val="1"/>
      <w:numFmt w:val="lowerLetter"/>
      <w:lvlText w:val="%2)"/>
      <w:lvlJc w:val="left"/>
      <w:pPr>
        <w:ind w:left="2178" w:hanging="360"/>
      </w:pPr>
      <w:rPr>
        <w:rFonts w:hint="default"/>
      </w:r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40" w15:restartNumberingAfterBreak="0">
    <w:nsid w:val="76206B6A"/>
    <w:multiLevelType w:val="hybridMultilevel"/>
    <w:tmpl w:val="5A2EE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B1F6A"/>
    <w:multiLevelType w:val="hybridMultilevel"/>
    <w:tmpl w:val="7B169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C02E2"/>
    <w:multiLevelType w:val="hybridMultilevel"/>
    <w:tmpl w:val="B1C094E4"/>
    <w:lvl w:ilvl="0" w:tplc="0409000F">
      <w:start w:val="1"/>
      <w:numFmt w:val="decimal"/>
      <w:lvlText w:val="%1."/>
      <w:lvlJc w:val="left"/>
      <w:pPr>
        <w:ind w:left="2449" w:hanging="360"/>
      </w:pPr>
    </w:lvl>
    <w:lvl w:ilvl="1" w:tplc="04090019">
      <w:start w:val="1"/>
      <w:numFmt w:val="lowerLetter"/>
      <w:lvlText w:val="%2."/>
      <w:lvlJc w:val="left"/>
      <w:pPr>
        <w:ind w:left="3169" w:hanging="360"/>
      </w:pPr>
    </w:lvl>
    <w:lvl w:ilvl="2" w:tplc="0409001B" w:tentative="1">
      <w:start w:val="1"/>
      <w:numFmt w:val="lowerRoman"/>
      <w:lvlText w:val="%3."/>
      <w:lvlJc w:val="right"/>
      <w:pPr>
        <w:ind w:left="3889" w:hanging="180"/>
      </w:pPr>
    </w:lvl>
    <w:lvl w:ilvl="3" w:tplc="0409000F" w:tentative="1">
      <w:start w:val="1"/>
      <w:numFmt w:val="decimal"/>
      <w:lvlText w:val="%4."/>
      <w:lvlJc w:val="left"/>
      <w:pPr>
        <w:ind w:left="4609" w:hanging="360"/>
      </w:pPr>
    </w:lvl>
    <w:lvl w:ilvl="4" w:tplc="04090019" w:tentative="1">
      <w:start w:val="1"/>
      <w:numFmt w:val="lowerLetter"/>
      <w:lvlText w:val="%5."/>
      <w:lvlJc w:val="left"/>
      <w:pPr>
        <w:ind w:left="5329" w:hanging="360"/>
      </w:pPr>
    </w:lvl>
    <w:lvl w:ilvl="5" w:tplc="0409001B" w:tentative="1">
      <w:start w:val="1"/>
      <w:numFmt w:val="lowerRoman"/>
      <w:lvlText w:val="%6."/>
      <w:lvlJc w:val="right"/>
      <w:pPr>
        <w:ind w:left="6049" w:hanging="180"/>
      </w:pPr>
    </w:lvl>
    <w:lvl w:ilvl="6" w:tplc="0409000F" w:tentative="1">
      <w:start w:val="1"/>
      <w:numFmt w:val="decimal"/>
      <w:lvlText w:val="%7."/>
      <w:lvlJc w:val="left"/>
      <w:pPr>
        <w:ind w:left="6769" w:hanging="360"/>
      </w:pPr>
    </w:lvl>
    <w:lvl w:ilvl="7" w:tplc="04090019" w:tentative="1">
      <w:start w:val="1"/>
      <w:numFmt w:val="lowerLetter"/>
      <w:lvlText w:val="%8."/>
      <w:lvlJc w:val="left"/>
      <w:pPr>
        <w:ind w:left="7489" w:hanging="360"/>
      </w:pPr>
    </w:lvl>
    <w:lvl w:ilvl="8" w:tplc="0409001B" w:tentative="1">
      <w:start w:val="1"/>
      <w:numFmt w:val="lowerRoman"/>
      <w:lvlText w:val="%9."/>
      <w:lvlJc w:val="right"/>
      <w:pPr>
        <w:ind w:left="8209" w:hanging="180"/>
      </w:pPr>
    </w:lvl>
  </w:abstractNum>
  <w:abstractNum w:abstractNumId="43" w15:restartNumberingAfterBreak="0">
    <w:nsid w:val="79D07968"/>
    <w:multiLevelType w:val="hybridMultilevel"/>
    <w:tmpl w:val="CE88B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D5A45"/>
    <w:multiLevelType w:val="hybridMultilevel"/>
    <w:tmpl w:val="0234E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E0520"/>
    <w:multiLevelType w:val="hybridMultilevel"/>
    <w:tmpl w:val="A9080352"/>
    <w:lvl w:ilvl="0" w:tplc="04210019">
      <w:start w:val="1"/>
      <w:numFmt w:val="lowerLetter"/>
      <w:lvlText w:val="%1."/>
      <w:lvlJc w:val="left"/>
      <w:pPr>
        <w:ind w:left="2450" w:hanging="360"/>
      </w:p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46" w15:restartNumberingAfterBreak="0">
    <w:nsid w:val="7F647DF5"/>
    <w:multiLevelType w:val="hybridMultilevel"/>
    <w:tmpl w:val="EA320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413368">
    <w:abstractNumId w:val="21"/>
  </w:num>
  <w:num w:numId="2" w16cid:durableId="1755123432">
    <w:abstractNumId w:val="40"/>
  </w:num>
  <w:num w:numId="3" w16cid:durableId="160705678">
    <w:abstractNumId w:val="33"/>
  </w:num>
  <w:num w:numId="4" w16cid:durableId="833104912">
    <w:abstractNumId w:val="30"/>
  </w:num>
  <w:num w:numId="5" w16cid:durableId="22636904">
    <w:abstractNumId w:val="41"/>
  </w:num>
  <w:num w:numId="6" w16cid:durableId="1625425354">
    <w:abstractNumId w:val="31"/>
  </w:num>
  <w:num w:numId="7" w16cid:durableId="1774550196">
    <w:abstractNumId w:val="10"/>
  </w:num>
  <w:num w:numId="8" w16cid:durableId="792330488">
    <w:abstractNumId w:val="19"/>
  </w:num>
  <w:num w:numId="9" w16cid:durableId="1974099706">
    <w:abstractNumId w:val="18"/>
  </w:num>
  <w:num w:numId="10" w16cid:durableId="635910785">
    <w:abstractNumId w:val="32"/>
  </w:num>
  <w:num w:numId="11" w16cid:durableId="1127744949">
    <w:abstractNumId w:val="44"/>
  </w:num>
  <w:num w:numId="12" w16cid:durableId="1741248222">
    <w:abstractNumId w:val="43"/>
  </w:num>
  <w:num w:numId="13" w16cid:durableId="763571972">
    <w:abstractNumId w:val="46"/>
  </w:num>
  <w:num w:numId="14" w16cid:durableId="736172237">
    <w:abstractNumId w:val="15"/>
  </w:num>
  <w:num w:numId="15" w16cid:durableId="1536426906">
    <w:abstractNumId w:val="37"/>
  </w:num>
  <w:num w:numId="16" w16cid:durableId="333994505">
    <w:abstractNumId w:val="1"/>
  </w:num>
  <w:num w:numId="17" w16cid:durableId="1622614649">
    <w:abstractNumId w:val="16"/>
  </w:num>
  <w:num w:numId="18" w16cid:durableId="843252156">
    <w:abstractNumId w:val="3"/>
  </w:num>
  <w:num w:numId="19" w16cid:durableId="1540311787">
    <w:abstractNumId w:val="14"/>
  </w:num>
  <w:num w:numId="20" w16cid:durableId="763455001">
    <w:abstractNumId w:val="6"/>
  </w:num>
  <w:num w:numId="21" w16cid:durableId="646014799">
    <w:abstractNumId w:val="28"/>
  </w:num>
  <w:num w:numId="22" w16cid:durableId="729966398">
    <w:abstractNumId w:val="38"/>
  </w:num>
  <w:num w:numId="23" w16cid:durableId="2019652600">
    <w:abstractNumId w:val="0"/>
  </w:num>
  <w:num w:numId="24" w16cid:durableId="73094083">
    <w:abstractNumId w:val="8"/>
  </w:num>
  <w:num w:numId="25" w16cid:durableId="1245653580">
    <w:abstractNumId w:val="9"/>
  </w:num>
  <w:num w:numId="26" w16cid:durableId="1587109577">
    <w:abstractNumId w:val="34"/>
  </w:num>
  <w:num w:numId="27" w16cid:durableId="1365717014">
    <w:abstractNumId w:val="45"/>
  </w:num>
  <w:num w:numId="28" w16cid:durableId="245187532">
    <w:abstractNumId w:val="4"/>
  </w:num>
  <w:num w:numId="29" w16cid:durableId="1435591458">
    <w:abstractNumId w:val="22"/>
  </w:num>
  <w:num w:numId="30" w16cid:durableId="1940482324">
    <w:abstractNumId w:val="11"/>
  </w:num>
  <w:num w:numId="31" w16cid:durableId="1237590215">
    <w:abstractNumId w:val="2"/>
  </w:num>
  <w:num w:numId="32" w16cid:durableId="2133941633">
    <w:abstractNumId w:val="42"/>
  </w:num>
  <w:num w:numId="33" w16cid:durableId="2069572253">
    <w:abstractNumId w:val="13"/>
  </w:num>
  <w:num w:numId="34" w16cid:durableId="2086410468">
    <w:abstractNumId w:val="17"/>
  </w:num>
  <w:num w:numId="35" w16cid:durableId="1318336806">
    <w:abstractNumId w:val="23"/>
  </w:num>
  <w:num w:numId="36" w16cid:durableId="767118250">
    <w:abstractNumId w:val="5"/>
  </w:num>
  <w:num w:numId="37" w16cid:durableId="1656913862">
    <w:abstractNumId w:val="39"/>
  </w:num>
  <w:num w:numId="38" w16cid:durableId="778138613">
    <w:abstractNumId w:val="36"/>
  </w:num>
  <w:num w:numId="39" w16cid:durableId="331227383">
    <w:abstractNumId w:val="29"/>
  </w:num>
  <w:num w:numId="40" w16cid:durableId="402917465">
    <w:abstractNumId w:val="25"/>
  </w:num>
  <w:num w:numId="41" w16cid:durableId="1720545881">
    <w:abstractNumId w:val="20"/>
  </w:num>
  <w:num w:numId="42" w16cid:durableId="355692380">
    <w:abstractNumId w:val="12"/>
  </w:num>
  <w:num w:numId="43" w16cid:durableId="3167612">
    <w:abstractNumId w:val="24"/>
  </w:num>
  <w:num w:numId="44" w16cid:durableId="1021276253">
    <w:abstractNumId w:val="26"/>
  </w:num>
  <w:num w:numId="45" w16cid:durableId="2000035898">
    <w:abstractNumId w:val="27"/>
  </w:num>
  <w:num w:numId="46" w16cid:durableId="520435683">
    <w:abstractNumId w:val="35"/>
  </w:num>
  <w:num w:numId="47" w16cid:durableId="261032730">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E4"/>
    <w:rsid w:val="0000329B"/>
    <w:rsid w:val="000236DE"/>
    <w:rsid w:val="00023EFA"/>
    <w:rsid w:val="0002499C"/>
    <w:rsid w:val="000252C2"/>
    <w:rsid w:val="000311C9"/>
    <w:rsid w:val="000719F8"/>
    <w:rsid w:val="00074375"/>
    <w:rsid w:val="000834D1"/>
    <w:rsid w:val="00095022"/>
    <w:rsid w:val="00095207"/>
    <w:rsid w:val="00095963"/>
    <w:rsid w:val="000B300A"/>
    <w:rsid w:val="000B7636"/>
    <w:rsid w:val="000C1CE0"/>
    <w:rsid w:val="000D429F"/>
    <w:rsid w:val="000D53EC"/>
    <w:rsid w:val="000E1EA7"/>
    <w:rsid w:val="000E6C30"/>
    <w:rsid w:val="000F217A"/>
    <w:rsid w:val="00113170"/>
    <w:rsid w:val="00124A2A"/>
    <w:rsid w:val="00126565"/>
    <w:rsid w:val="00126BF1"/>
    <w:rsid w:val="00142AFC"/>
    <w:rsid w:val="001431FF"/>
    <w:rsid w:val="0015217C"/>
    <w:rsid w:val="0015507A"/>
    <w:rsid w:val="00167E7E"/>
    <w:rsid w:val="00190252"/>
    <w:rsid w:val="001906A4"/>
    <w:rsid w:val="001948E1"/>
    <w:rsid w:val="001A4A2F"/>
    <w:rsid w:val="001A4E59"/>
    <w:rsid w:val="001B15F9"/>
    <w:rsid w:val="001B7CDF"/>
    <w:rsid w:val="001C51AB"/>
    <w:rsid w:val="001D67D2"/>
    <w:rsid w:val="001E1AB0"/>
    <w:rsid w:val="001E2414"/>
    <w:rsid w:val="001E5E2B"/>
    <w:rsid w:val="001F0CF7"/>
    <w:rsid w:val="002011C6"/>
    <w:rsid w:val="00202E56"/>
    <w:rsid w:val="00204B48"/>
    <w:rsid w:val="00226282"/>
    <w:rsid w:val="00230842"/>
    <w:rsid w:val="00241FA1"/>
    <w:rsid w:val="00243ED4"/>
    <w:rsid w:val="00250628"/>
    <w:rsid w:val="00251ED5"/>
    <w:rsid w:val="0028027E"/>
    <w:rsid w:val="00297C63"/>
    <w:rsid w:val="002A2B32"/>
    <w:rsid w:val="002A44DB"/>
    <w:rsid w:val="002A56B5"/>
    <w:rsid w:val="002A78E6"/>
    <w:rsid w:val="002B6376"/>
    <w:rsid w:val="002D1DA7"/>
    <w:rsid w:val="002D7AB1"/>
    <w:rsid w:val="002E4C4F"/>
    <w:rsid w:val="002F0B6E"/>
    <w:rsid w:val="002F5531"/>
    <w:rsid w:val="0031664C"/>
    <w:rsid w:val="00324A31"/>
    <w:rsid w:val="00344472"/>
    <w:rsid w:val="00354907"/>
    <w:rsid w:val="00361DF6"/>
    <w:rsid w:val="00362EF9"/>
    <w:rsid w:val="00365BE2"/>
    <w:rsid w:val="00367E10"/>
    <w:rsid w:val="003843A4"/>
    <w:rsid w:val="00390F8B"/>
    <w:rsid w:val="003A4411"/>
    <w:rsid w:val="003B06E5"/>
    <w:rsid w:val="003B07F8"/>
    <w:rsid w:val="003B3024"/>
    <w:rsid w:val="003C03AA"/>
    <w:rsid w:val="003C2562"/>
    <w:rsid w:val="003C29ED"/>
    <w:rsid w:val="003D2E47"/>
    <w:rsid w:val="003D5174"/>
    <w:rsid w:val="003D5508"/>
    <w:rsid w:val="003E1774"/>
    <w:rsid w:val="003F3B2F"/>
    <w:rsid w:val="00404CC7"/>
    <w:rsid w:val="0042656E"/>
    <w:rsid w:val="0043067E"/>
    <w:rsid w:val="00432AAD"/>
    <w:rsid w:val="00434916"/>
    <w:rsid w:val="0044583D"/>
    <w:rsid w:val="00462B06"/>
    <w:rsid w:val="0047342A"/>
    <w:rsid w:val="00494613"/>
    <w:rsid w:val="004A696F"/>
    <w:rsid w:val="004B32B6"/>
    <w:rsid w:val="004B4B3B"/>
    <w:rsid w:val="004C2685"/>
    <w:rsid w:val="004E6C0C"/>
    <w:rsid w:val="004E705F"/>
    <w:rsid w:val="004F4EA8"/>
    <w:rsid w:val="005021E0"/>
    <w:rsid w:val="00504EBB"/>
    <w:rsid w:val="00514D40"/>
    <w:rsid w:val="00535477"/>
    <w:rsid w:val="00551ECF"/>
    <w:rsid w:val="00556FD9"/>
    <w:rsid w:val="0058783C"/>
    <w:rsid w:val="00594DF7"/>
    <w:rsid w:val="005A0A08"/>
    <w:rsid w:val="005A3F0E"/>
    <w:rsid w:val="005A50AE"/>
    <w:rsid w:val="005B477A"/>
    <w:rsid w:val="005B530A"/>
    <w:rsid w:val="005C381D"/>
    <w:rsid w:val="005C5023"/>
    <w:rsid w:val="005D36E7"/>
    <w:rsid w:val="005D4AE4"/>
    <w:rsid w:val="005D586D"/>
    <w:rsid w:val="005D7091"/>
    <w:rsid w:val="005E257A"/>
    <w:rsid w:val="005E58EC"/>
    <w:rsid w:val="005E5CB2"/>
    <w:rsid w:val="005F16AC"/>
    <w:rsid w:val="005F20FF"/>
    <w:rsid w:val="005F2252"/>
    <w:rsid w:val="005F5352"/>
    <w:rsid w:val="005F62BC"/>
    <w:rsid w:val="0060399D"/>
    <w:rsid w:val="006045C2"/>
    <w:rsid w:val="006177EA"/>
    <w:rsid w:val="00634D86"/>
    <w:rsid w:val="00635221"/>
    <w:rsid w:val="00644BEA"/>
    <w:rsid w:val="00646D79"/>
    <w:rsid w:val="00647B11"/>
    <w:rsid w:val="00656C74"/>
    <w:rsid w:val="00664D30"/>
    <w:rsid w:val="006773D3"/>
    <w:rsid w:val="00680E64"/>
    <w:rsid w:val="00684E3A"/>
    <w:rsid w:val="006918B8"/>
    <w:rsid w:val="00693D60"/>
    <w:rsid w:val="00694E42"/>
    <w:rsid w:val="0069509B"/>
    <w:rsid w:val="006A63CE"/>
    <w:rsid w:val="006C3691"/>
    <w:rsid w:val="006E4A22"/>
    <w:rsid w:val="006F1FD8"/>
    <w:rsid w:val="00703262"/>
    <w:rsid w:val="00706826"/>
    <w:rsid w:val="0072492E"/>
    <w:rsid w:val="0073635A"/>
    <w:rsid w:val="00743E30"/>
    <w:rsid w:val="00744CDF"/>
    <w:rsid w:val="007462BD"/>
    <w:rsid w:val="007516D3"/>
    <w:rsid w:val="007553E0"/>
    <w:rsid w:val="00761AAE"/>
    <w:rsid w:val="00762752"/>
    <w:rsid w:val="0076662A"/>
    <w:rsid w:val="00770260"/>
    <w:rsid w:val="00776371"/>
    <w:rsid w:val="00776FC3"/>
    <w:rsid w:val="007865E3"/>
    <w:rsid w:val="00795E7C"/>
    <w:rsid w:val="007A7E31"/>
    <w:rsid w:val="007B4D87"/>
    <w:rsid w:val="007B5054"/>
    <w:rsid w:val="007F5057"/>
    <w:rsid w:val="007F6F68"/>
    <w:rsid w:val="00801EFB"/>
    <w:rsid w:val="0080410D"/>
    <w:rsid w:val="0080540A"/>
    <w:rsid w:val="00805E09"/>
    <w:rsid w:val="008069D2"/>
    <w:rsid w:val="00817B5E"/>
    <w:rsid w:val="008303E9"/>
    <w:rsid w:val="00832525"/>
    <w:rsid w:val="0083342D"/>
    <w:rsid w:val="00833808"/>
    <w:rsid w:val="0083487B"/>
    <w:rsid w:val="00843E45"/>
    <w:rsid w:val="00847362"/>
    <w:rsid w:val="00856083"/>
    <w:rsid w:val="00872265"/>
    <w:rsid w:val="00892853"/>
    <w:rsid w:val="008A09B3"/>
    <w:rsid w:val="008A50D8"/>
    <w:rsid w:val="008C0C24"/>
    <w:rsid w:val="008C12ED"/>
    <w:rsid w:val="008C2040"/>
    <w:rsid w:val="008C3EB9"/>
    <w:rsid w:val="008C59A4"/>
    <w:rsid w:val="008E600D"/>
    <w:rsid w:val="008F6017"/>
    <w:rsid w:val="00902686"/>
    <w:rsid w:val="009117D8"/>
    <w:rsid w:val="00931B8F"/>
    <w:rsid w:val="00936E79"/>
    <w:rsid w:val="00942B85"/>
    <w:rsid w:val="009433D6"/>
    <w:rsid w:val="00945316"/>
    <w:rsid w:val="0095395B"/>
    <w:rsid w:val="0095442D"/>
    <w:rsid w:val="00955B92"/>
    <w:rsid w:val="00955C4E"/>
    <w:rsid w:val="009568EC"/>
    <w:rsid w:val="0096466E"/>
    <w:rsid w:val="00967954"/>
    <w:rsid w:val="00980FBD"/>
    <w:rsid w:val="009A10C2"/>
    <w:rsid w:val="009A333A"/>
    <w:rsid w:val="009A7867"/>
    <w:rsid w:val="009A79C1"/>
    <w:rsid w:val="009E25DC"/>
    <w:rsid w:val="009F579F"/>
    <w:rsid w:val="00A00ADE"/>
    <w:rsid w:val="00A061E4"/>
    <w:rsid w:val="00A1249C"/>
    <w:rsid w:val="00A378D0"/>
    <w:rsid w:val="00A447DF"/>
    <w:rsid w:val="00A46E81"/>
    <w:rsid w:val="00A53544"/>
    <w:rsid w:val="00A56E63"/>
    <w:rsid w:val="00A57AFF"/>
    <w:rsid w:val="00A57E36"/>
    <w:rsid w:val="00A73A9F"/>
    <w:rsid w:val="00A80319"/>
    <w:rsid w:val="00A93170"/>
    <w:rsid w:val="00AA293F"/>
    <w:rsid w:val="00AA6BA1"/>
    <w:rsid w:val="00AB38FC"/>
    <w:rsid w:val="00AB3BDC"/>
    <w:rsid w:val="00AC02C7"/>
    <w:rsid w:val="00AE397E"/>
    <w:rsid w:val="00AF03F6"/>
    <w:rsid w:val="00B047A4"/>
    <w:rsid w:val="00B16446"/>
    <w:rsid w:val="00B5407B"/>
    <w:rsid w:val="00B71343"/>
    <w:rsid w:val="00BA48C8"/>
    <w:rsid w:val="00BB5E86"/>
    <w:rsid w:val="00BC15DD"/>
    <w:rsid w:val="00BC6015"/>
    <w:rsid w:val="00BC6A15"/>
    <w:rsid w:val="00BE2162"/>
    <w:rsid w:val="00BE6E9A"/>
    <w:rsid w:val="00BF0D6E"/>
    <w:rsid w:val="00BF17F2"/>
    <w:rsid w:val="00BF1971"/>
    <w:rsid w:val="00C03E45"/>
    <w:rsid w:val="00C0497B"/>
    <w:rsid w:val="00C06A52"/>
    <w:rsid w:val="00C12144"/>
    <w:rsid w:val="00C22C86"/>
    <w:rsid w:val="00C22FBB"/>
    <w:rsid w:val="00C309C4"/>
    <w:rsid w:val="00C34908"/>
    <w:rsid w:val="00C3664B"/>
    <w:rsid w:val="00C43A30"/>
    <w:rsid w:val="00C44569"/>
    <w:rsid w:val="00C45F4C"/>
    <w:rsid w:val="00C630DE"/>
    <w:rsid w:val="00C81B54"/>
    <w:rsid w:val="00C909E4"/>
    <w:rsid w:val="00C92D4A"/>
    <w:rsid w:val="00CC18DE"/>
    <w:rsid w:val="00CD4082"/>
    <w:rsid w:val="00CF0A9A"/>
    <w:rsid w:val="00CF78E6"/>
    <w:rsid w:val="00D03252"/>
    <w:rsid w:val="00D03D71"/>
    <w:rsid w:val="00D10562"/>
    <w:rsid w:val="00D15834"/>
    <w:rsid w:val="00D15AF1"/>
    <w:rsid w:val="00D30F94"/>
    <w:rsid w:val="00D34B4B"/>
    <w:rsid w:val="00D368DE"/>
    <w:rsid w:val="00D7354F"/>
    <w:rsid w:val="00D757F4"/>
    <w:rsid w:val="00D80397"/>
    <w:rsid w:val="00D847B9"/>
    <w:rsid w:val="00D84E0A"/>
    <w:rsid w:val="00D8649A"/>
    <w:rsid w:val="00D86BB4"/>
    <w:rsid w:val="00D9158A"/>
    <w:rsid w:val="00DA2AD7"/>
    <w:rsid w:val="00DC5AAB"/>
    <w:rsid w:val="00DC75CC"/>
    <w:rsid w:val="00DD49EC"/>
    <w:rsid w:val="00DE6620"/>
    <w:rsid w:val="00DF3FF9"/>
    <w:rsid w:val="00DF5B15"/>
    <w:rsid w:val="00E01A37"/>
    <w:rsid w:val="00E05656"/>
    <w:rsid w:val="00E2374D"/>
    <w:rsid w:val="00E31946"/>
    <w:rsid w:val="00E36F94"/>
    <w:rsid w:val="00E402DC"/>
    <w:rsid w:val="00E45A81"/>
    <w:rsid w:val="00E53863"/>
    <w:rsid w:val="00E61D0B"/>
    <w:rsid w:val="00E630AB"/>
    <w:rsid w:val="00E635CD"/>
    <w:rsid w:val="00E76D9F"/>
    <w:rsid w:val="00E82C79"/>
    <w:rsid w:val="00E84514"/>
    <w:rsid w:val="00E8641F"/>
    <w:rsid w:val="00E947E6"/>
    <w:rsid w:val="00EC0511"/>
    <w:rsid w:val="00EC155D"/>
    <w:rsid w:val="00EC2A5A"/>
    <w:rsid w:val="00ED6A5A"/>
    <w:rsid w:val="00EE071F"/>
    <w:rsid w:val="00EE2548"/>
    <w:rsid w:val="00EE4493"/>
    <w:rsid w:val="00EF0809"/>
    <w:rsid w:val="00EF6EBE"/>
    <w:rsid w:val="00F024B0"/>
    <w:rsid w:val="00F12AFF"/>
    <w:rsid w:val="00F25455"/>
    <w:rsid w:val="00F36ABE"/>
    <w:rsid w:val="00F47C5B"/>
    <w:rsid w:val="00F50633"/>
    <w:rsid w:val="00F50FF4"/>
    <w:rsid w:val="00F54322"/>
    <w:rsid w:val="00F54847"/>
    <w:rsid w:val="00F574CD"/>
    <w:rsid w:val="00F61758"/>
    <w:rsid w:val="00F61CB4"/>
    <w:rsid w:val="00F7251C"/>
    <w:rsid w:val="00F80A87"/>
    <w:rsid w:val="00F872EB"/>
    <w:rsid w:val="00F913BB"/>
    <w:rsid w:val="00FA2380"/>
    <w:rsid w:val="00FC6636"/>
    <w:rsid w:val="00FC6B02"/>
    <w:rsid w:val="00FE06E9"/>
    <w:rsid w:val="00FE13AE"/>
    <w:rsid w:val="00FE1E5C"/>
    <w:rsid w:val="00FE1F5C"/>
    <w:rsid w:val="00FE3568"/>
    <w:rsid w:val="00FE5F2A"/>
    <w:rsid w:val="00FF2FE6"/>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488"/>
  <w15:chartTrackingRefBased/>
  <w15:docId w15:val="{4AB4310D-8B85-4E08-B51B-F48519B7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9ED"/>
    <w:pPr>
      <w:ind w:left="720"/>
      <w:contextualSpacing/>
    </w:pPr>
  </w:style>
  <w:style w:type="paragraph" w:customStyle="1" w:styleId="Style3">
    <w:name w:val="Style3"/>
    <w:basedOn w:val="Normal"/>
    <w:uiPriority w:val="99"/>
    <w:rsid w:val="00DE6620"/>
    <w:pPr>
      <w:widowControl w:val="0"/>
      <w:autoSpaceDE w:val="0"/>
      <w:autoSpaceDN w:val="0"/>
      <w:adjustRightInd w:val="0"/>
      <w:spacing w:after="0" w:line="423" w:lineRule="exact"/>
      <w:ind w:firstLine="432"/>
      <w:jc w:val="both"/>
    </w:pPr>
    <w:rPr>
      <w:rFonts w:ascii="Bookman Old Style" w:eastAsiaTheme="minorEastAsia" w:hAnsi="Bookman Old Style"/>
      <w:sz w:val="24"/>
      <w:szCs w:val="24"/>
    </w:rPr>
  </w:style>
  <w:style w:type="character" w:customStyle="1" w:styleId="FontStyle18">
    <w:name w:val="Font Style18"/>
    <w:basedOn w:val="DefaultParagraphFont"/>
    <w:uiPriority w:val="99"/>
    <w:rsid w:val="00DE6620"/>
    <w:rPr>
      <w:rFonts w:ascii="Bookman Old Style" w:hAnsi="Bookman Old Style" w:cs="Bookman Old Style"/>
      <w:sz w:val="22"/>
      <w:szCs w:val="22"/>
    </w:rPr>
  </w:style>
  <w:style w:type="paragraph" w:customStyle="1" w:styleId="Style1">
    <w:name w:val="Style1"/>
    <w:basedOn w:val="Normal"/>
    <w:uiPriority w:val="99"/>
    <w:rsid w:val="00776FC3"/>
    <w:pPr>
      <w:widowControl w:val="0"/>
      <w:autoSpaceDE w:val="0"/>
      <w:autoSpaceDN w:val="0"/>
      <w:adjustRightInd w:val="0"/>
      <w:spacing w:after="0" w:line="422" w:lineRule="exact"/>
      <w:ind w:hanging="533"/>
      <w:jc w:val="both"/>
    </w:pPr>
    <w:rPr>
      <w:rFonts w:ascii="Bookman Old Style" w:eastAsiaTheme="minorEastAsia" w:hAnsi="Bookman Old Style"/>
      <w:sz w:val="24"/>
      <w:szCs w:val="24"/>
    </w:rPr>
  </w:style>
  <w:style w:type="paragraph" w:customStyle="1" w:styleId="Style8">
    <w:name w:val="Style8"/>
    <w:basedOn w:val="Normal"/>
    <w:uiPriority w:val="99"/>
    <w:rsid w:val="000D53EC"/>
    <w:pPr>
      <w:widowControl w:val="0"/>
      <w:autoSpaceDE w:val="0"/>
      <w:autoSpaceDN w:val="0"/>
      <w:adjustRightInd w:val="0"/>
      <w:spacing w:after="0" w:line="422" w:lineRule="exact"/>
      <w:ind w:hanging="562"/>
      <w:jc w:val="both"/>
    </w:pPr>
    <w:rPr>
      <w:rFonts w:ascii="Bookman Old Style" w:eastAsiaTheme="minorEastAsia" w:hAnsi="Bookman Old Style"/>
      <w:sz w:val="24"/>
      <w:szCs w:val="24"/>
    </w:rPr>
  </w:style>
  <w:style w:type="paragraph" w:styleId="BalloonText">
    <w:name w:val="Balloon Text"/>
    <w:basedOn w:val="Normal"/>
    <w:link w:val="BalloonTextChar"/>
    <w:uiPriority w:val="99"/>
    <w:semiHidden/>
    <w:unhideWhenUsed/>
    <w:rsid w:val="00243ED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3ED4"/>
    <w:rPr>
      <w:rFonts w:ascii="Tahoma" w:eastAsia="Calibri" w:hAnsi="Tahoma" w:cs="Tahoma"/>
      <w:sz w:val="16"/>
      <w:szCs w:val="16"/>
    </w:rPr>
  </w:style>
  <w:style w:type="paragraph" w:customStyle="1" w:styleId="Style2">
    <w:name w:val="Style2"/>
    <w:basedOn w:val="Normal"/>
    <w:uiPriority w:val="99"/>
    <w:rsid w:val="00514D40"/>
    <w:pPr>
      <w:widowControl w:val="0"/>
      <w:autoSpaceDE w:val="0"/>
      <w:autoSpaceDN w:val="0"/>
      <w:adjustRightInd w:val="0"/>
      <w:spacing w:after="0" w:line="422" w:lineRule="exact"/>
      <w:jc w:val="both"/>
    </w:pPr>
    <w:rPr>
      <w:rFonts w:ascii="Bookman Old Style" w:eastAsiaTheme="minorEastAsia" w:hAnsi="Bookman Old Style"/>
      <w:sz w:val="24"/>
      <w:szCs w:val="24"/>
    </w:rPr>
  </w:style>
  <w:style w:type="paragraph" w:styleId="Header">
    <w:name w:val="header"/>
    <w:basedOn w:val="Normal"/>
    <w:link w:val="HeaderChar"/>
    <w:uiPriority w:val="99"/>
    <w:unhideWhenUsed/>
    <w:rsid w:val="00AB38FC"/>
    <w:pPr>
      <w:tabs>
        <w:tab w:val="center" w:pos="4513"/>
        <w:tab w:val="right" w:pos="9026"/>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AB38FC"/>
    <w:rPr>
      <w:rFonts w:ascii="Calibri" w:eastAsia="Calibri" w:hAnsi="Calibri" w:cs="Times New Roman"/>
      <w:lang w:val="id-ID"/>
    </w:rPr>
  </w:style>
  <w:style w:type="paragraph" w:styleId="Footer">
    <w:name w:val="footer"/>
    <w:basedOn w:val="Normal"/>
    <w:link w:val="FooterChar"/>
    <w:uiPriority w:val="99"/>
    <w:unhideWhenUsed/>
    <w:rsid w:val="00EE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00AC5A-BB41-45B7-ADD1-ED9FE6FFD74B}">
  <ds:schemaRefs>
    <ds:schemaRef ds:uri="http://schemas.openxmlformats.org/officeDocument/2006/bibliography"/>
  </ds:schemaRefs>
</ds:datastoreItem>
</file>

<file path=customXml/itemProps2.xml><?xml version="1.0" encoding="utf-8"?>
<ds:datastoreItem xmlns:ds="http://schemas.openxmlformats.org/officeDocument/2006/customXml" ds:itemID="{9CC4975F-871B-4E9B-8A36-1584E87183B8}"/>
</file>

<file path=customXml/itemProps3.xml><?xml version="1.0" encoding="utf-8"?>
<ds:datastoreItem xmlns:ds="http://schemas.openxmlformats.org/officeDocument/2006/customXml" ds:itemID="{77D550E6-A01F-42CB-AF10-FE8AA01194B7}"/>
</file>

<file path=customXml/itemProps4.xml><?xml version="1.0" encoding="utf-8"?>
<ds:datastoreItem xmlns:ds="http://schemas.openxmlformats.org/officeDocument/2006/customXml" ds:itemID="{19AF2076-5842-4C89-97EB-6AC2BE8910A2}"/>
</file>

<file path=docProps/app.xml><?xml version="1.0" encoding="utf-8"?>
<Properties xmlns="http://schemas.openxmlformats.org/officeDocument/2006/extended-properties" xmlns:vt="http://schemas.openxmlformats.org/officeDocument/2006/docPropsVTypes">
  <Template>Normal.dotm</Template>
  <TotalTime>1</TotalTime>
  <Pages>6</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dieta</dc:creator>
  <cp:keywords/>
  <dc:description/>
  <cp:lastModifiedBy>Akbar Harun</cp:lastModifiedBy>
  <cp:revision>2</cp:revision>
  <dcterms:created xsi:type="dcterms:W3CDTF">2022-04-22T07:44:00Z</dcterms:created>
  <dcterms:modified xsi:type="dcterms:W3CDTF">2022-04-22T07:44:00Z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