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E6CE8" w14:textId="77777777" w:rsidR="00165B89" w:rsidRDefault="00165B89" w:rsidP="00165B89">
      <w:pPr>
        <w:pStyle w:val="BodyText"/>
        <w:spacing w:line="360" w:lineRule="auto"/>
        <w:ind w:left="0"/>
        <w:jc w:val="both"/>
      </w:pPr>
    </w:p>
    <w:p w14:paraId="22319CA8" w14:textId="42EC00FB" w:rsidR="003F509F" w:rsidRDefault="00165B89" w:rsidP="00165B89">
      <w:pPr>
        <w:pStyle w:val="BodyText"/>
        <w:spacing w:line="360" w:lineRule="auto"/>
        <w:ind w:left="0"/>
        <w:jc w:val="center"/>
        <w:rPr>
          <w:bCs/>
        </w:rPr>
      </w:pPr>
      <w:r>
        <w:t xml:space="preserve">MATRIKS PERMINTAAN TANGGAPAN RSEOJK TENTANG </w:t>
      </w:r>
      <w:r w:rsidRPr="00165B89">
        <w:rPr>
          <w:bCs/>
        </w:rPr>
        <w:t>BENTUK DAN SUSUNAN LAPORAN BERKALA PERUSAHAAN PIALANG ASURANSI, PERUSAHAAN PIALANG REASURANSI, DAN PERUSAHAAN PENILAI KERUGIAN ASURANSI</w:t>
      </w:r>
    </w:p>
    <w:p w14:paraId="6547976B" w14:textId="3A70F215" w:rsidR="00165B89" w:rsidRDefault="00165B89" w:rsidP="00165B89">
      <w:pPr>
        <w:pStyle w:val="BodyText"/>
        <w:spacing w:line="360" w:lineRule="auto"/>
        <w:ind w:left="0"/>
        <w:jc w:val="center"/>
      </w:pPr>
      <w:r>
        <w:rPr>
          <w:bCs/>
        </w:rPr>
        <w:t>Satuan Kerja</w:t>
      </w:r>
      <w:r w:rsidR="00990576">
        <w:rPr>
          <w:bCs/>
        </w:rPr>
        <w:t>/Instansi</w:t>
      </w:r>
      <w:r>
        <w:rPr>
          <w:bCs/>
        </w:rPr>
        <w:t>: ….</w:t>
      </w:r>
    </w:p>
    <w:p w14:paraId="7318591E" w14:textId="77777777" w:rsidR="00165B89" w:rsidRDefault="00165B89" w:rsidP="00165B89">
      <w:pPr>
        <w:pStyle w:val="BodyText"/>
        <w:spacing w:line="360" w:lineRule="auto"/>
        <w:ind w:left="0"/>
        <w:jc w:val="both"/>
      </w:pPr>
    </w:p>
    <w:tbl>
      <w:tblPr>
        <w:tblStyle w:val="TableGrid"/>
        <w:tblW w:w="0" w:type="auto"/>
        <w:tblLook w:val="04A0" w:firstRow="1" w:lastRow="0" w:firstColumn="1" w:lastColumn="0" w:noHBand="0" w:noVBand="1"/>
      </w:tblPr>
      <w:tblGrid>
        <w:gridCol w:w="7533"/>
        <w:gridCol w:w="4029"/>
        <w:gridCol w:w="4029"/>
      </w:tblGrid>
      <w:tr w:rsidR="00165B89" w:rsidRPr="00165B89" w14:paraId="0116F0A7" w14:textId="77777777" w:rsidTr="00165B89">
        <w:tc>
          <w:tcPr>
            <w:tcW w:w="7533" w:type="dxa"/>
            <w:shd w:val="clear" w:color="auto" w:fill="DBE5F1" w:themeFill="accent1" w:themeFillTint="33"/>
          </w:tcPr>
          <w:p w14:paraId="57E28C5C" w14:textId="77777777" w:rsidR="00165B89" w:rsidRPr="00165B89" w:rsidRDefault="00165B89" w:rsidP="00165B89">
            <w:pPr>
              <w:pStyle w:val="Default"/>
              <w:spacing w:line="360" w:lineRule="auto"/>
              <w:jc w:val="center"/>
              <w:rPr>
                <w:b/>
                <w:bCs/>
                <w:color w:val="auto"/>
                <w:lang w:val="en-US"/>
              </w:rPr>
            </w:pPr>
            <w:r w:rsidRPr="00165B89">
              <w:rPr>
                <w:b/>
                <w:bCs/>
                <w:color w:val="auto"/>
                <w:lang w:val="en-US"/>
              </w:rPr>
              <w:t>Batang Tubuh</w:t>
            </w:r>
          </w:p>
        </w:tc>
        <w:tc>
          <w:tcPr>
            <w:tcW w:w="4029" w:type="dxa"/>
            <w:shd w:val="clear" w:color="auto" w:fill="DBE5F1" w:themeFill="accent1" w:themeFillTint="33"/>
          </w:tcPr>
          <w:p w14:paraId="292F7D17" w14:textId="62D5E672" w:rsidR="00165B89" w:rsidRPr="00165B89" w:rsidRDefault="00165B89" w:rsidP="00165B89">
            <w:pPr>
              <w:jc w:val="center"/>
              <w:rPr>
                <w:rFonts w:ascii="Bookman Old Style" w:hAnsi="Bookman Old Style"/>
                <w:b/>
                <w:bCs/>
              </w:rPr>
            </w:pPr>
            <w:r w:rsidRPr="00165B89">
              <w:rPr>
                <w:rFonts w:ascii="Bookman Old Style" w:hAnsi="Bookman Old Style"/>
                <w:b/>
                <w:bCs/>
              </w:rPr>
              <w:t>Tanggapan Satuan Kerja</w:t>
            </w:r>
            <w:r w:rsidR="00990576">
              <w:rPr>
                <w:rFonts w:ascii="Bookman Old Style" w:hAnsi="Bookman Old Style"/>
                <w:b/>
                <w:bCs/>
              </w:rPr>
              <w:t>/Instansi</w:t>
            </w:r>
          </w:p>
        </w:tc>
        <w:tc>
          <w:tcPr>
            <w:tcW w:w="4029" w:type="dxa"/>
            <w:shd w:val="clear" w:color="auto" w:fill="DBE5F1" w:themeFill="accent1" w:themeFillTint="33"/>
          </w:tcPr>
          <w:p w14:paraId="1DDEA2C4" w14:textId="1FC89FF8" w:rsidR="00165B89" w:rsidRPr="00165B89" w:rsidRDefault="00165B89" w:rsidP="00165B89">
            <w:pPr>
              <w:jc w:val="center"/>
              <w:rPr>
                <w:rFonts w:ascii="Bookman Old Style" w:hAnsi="Bookman Old Style"/>
                <w:b/>
                <w:bCs/>
              </w:rPr>
            </w:pPr>
            <w:r w:rsidRPr="00165B89">
              <w:rPr>
                <w:rFonts w:ascii="Bookman Old Style" w:hAnsi="Bookman Old Style"/>
                <w:b/>
                <w:bCs/>
              </w:rPr>
              <w:t xml:space="preserve">Usulan Perubahan </w:t>
            </w:r>
          </w:p>
        </w:tc>
      </w:tr>
      <w:tr w:rsidR="00165B89" w:rsidRPr="00165B89" w14:paraId="5B09EDAC" w14:textId="77777777" w:rsidTr="003C191F">
        <w:tc>
          <w:tcPr>
            <w:tcW w:w="7533" w:type="dxa"/>
          </w:tcPr>
          <w:p w14:paraId="681AFA07" w14:textId="77777777" w:rsidR="00165B89" w:rsidRPr="00165B89" w:rsidRDefault="00165B89" w:rsidP="003C191F">
            <w:pPr>
              <w:pStyle w:val="Default"/>
              <w:spacing w:line="360" w:lineRule="auto"/>
              <w:jc w:val="both"/>
              <w:rPr>
                <w:color w:val="auto"/>
                <w:lang w:val="en-US"/>
              </w:rPr>
            </w:pPr>
            <w:r w:rsidRPr="00165B89">
              <w:rPr>
                <w:color w:val="auto"/>
                <w:lang w:val="en-US"/>
              </w:rPr>
              <w:t>Yth.</w:t>
            </w:r>
          </w:p>
        </w:tc>
        <w:tc>
          <w:tcPr>
            <w:tcW w:w="4029" w:type="dxa"/>
          </w:tcPr>
          <w:p w14:paraId="6DF6C3B2" w14:textId="77777777" w:rsidR="00165B89" w:rsidRPr="00165B89" w:rsidRDefault="00165B89" w:rsidP="003C191F"/>
        </w:tc>
        <w:tc>
          <w:tcPr>
            <w:tcW w:w="4029" w:type="dxa"/>
          </w:tcPr>
          <w:p w14:paraId="2EBE7136" w14:textId="77777777" w:rsidR="00165B89" w:rsidRPr="00165B89" w:rsidRDefault="00165B89" w:rsidP="003C191F"/>
        </w:tc>
      </w:tr>
      <w:tr w:rsidR="00165B89" w:rsidRPr="00165B89" w14:paraId="2D41AC90" w14:textId="77777777" w:rsidTr="003C191F">
        <w:tc>
          <w:tcPr>
            <w:tcW w:w="7533" w:type="dxa"/>
          </w:tcPr>
          <w:p w14:paraId="26EFBD26" w14:textId="77777777" w:rsidR="00165B89" w:rsidRPr="00165B89" w:rsidRDefault="00165B89" w:rsidP="003C191F">
            <w:pPr>
              <w:pStyle w:val="Default"/>
              <w:numPr>
                <w:ilvl w:val="0"/>
                <w:numId w:val="1"/>
              </w:numPr>
              <w:spacing w:line="360" w:lineRule="auto"/>
              <w:jc w:val="both"/>
              <w:rPr>
                <w:color w:val="auto"/>
              </w:rPr>
            </w:pPr>
            <w:r w:rsidRPr="00165B89">
              <w:rPr>
                <w:color w:val="auto"/>
              </w:rPr>
              <w:t>Direksi Perusahaan Pialang Asuransi;</w:t>
            </w:r>
          </w:p>
        </w:tc>
        <w:tc>
          <w:tcPr>
            <w:tcW w:w="4029" w:type="dxa"/>
          </w:tcPr>
          <w:p w14:paraId="5638103A" w14:textId="77777777" w:rsidR="00165B89" w:rsidRPr="00165B89" w:rsidRDefault="00165B89" w:rsidP="003C191F"/>
        </w:tc>
        <w:tc>
          <w:tcPr>
            <w:tcW w:w="4029" w:type="dxa"/>
          </w:tcPr>
          <w:p w14:paraId="3FD36E77" w14:textId="77777777" w:rsidR="00165B89" w:rsidRPr="00165B89" w:rsidRDefault="00165B89" w:rsidP="003C191F"/>
        </w:tc>
      </w:tr>
      <w:tr w:rsidR="00165B89" w:rsidRPr="00165B89" w14:paraId="6E6A714A" w14:textId="77777777" w:rsidTr="003C191F">
        <w:tc>
          <w:tcPr>
            <w:tcW w:w="7533" w:type="dxa"/>
          </w:tcPr>
          <w:p w14:paraId="4B85E847" w14:textId="77777777" w:rsidR="00165B89" w:rsidRPr="00165B89" w:rsidRDefault="00165B89" w:rsidP="003C191F">
            <w:pPr>
              <w:pStyle w:val="Default"/>
              <w:numPr>
                <w:ilvl w:val="0"/>
                <w:numId w:val="1"/>
              </w:numPr>
              <w:spacing w:line="360" w:lineRule="auto"/>
              <w:jc w:val="both"/>
              <w:rPr>
                <w:color w:val="auto"/>
                <w:lang w:val="en-US"/>
              </w:rPr>
            </w:pPr>
            <w:r w:rsidRPr="00165B89">
              <w:rPr>
                <w:color w:val="auto"/>
              </w:rPr>
              <w:t>Direksi Perusahaan Pialang Reasuransi; dan</w:t>
            </w:r>
          </w:p>
        </w:tc>
        <w:tc>
          <w:tcPr>
            <w:tcW w:w="4029" w:type="dxa"/>
          </w:tcPr>
          <w:p w14:paraId="6B2CCF12" w14:textId="77777777" w:rsidR="00165B89" w:rsidRPr="00165B89" w:rsidRDefault="00165B89" w:rsidP="003C191F"/>
        </w:tc>
        <w:tc>
          <w:tcPr>
            <w:tcW w:w="4029" w:type="dxa"/>
          </w:tcPr>
          <w:p w14:paraId="3110D93B" w14:textId="77777777" w:rsidR="00165B89" w:rsidRPr="00165B89" w:rsidRDefault="00165B89" w:rsidP="003C191F"/>
        </w:tc>
      </w:tr>
      <w:tr w:rsidR="00165B89" w:rsidRPr="00165B89" w14:paraId="39B35C4F" w14:textId="77777777" w:rsidTr="003C191F">
        <w:tc>
          <w:tcPr>
            <w:tcW w:w="7533" w:type="dxa"/>
          </w:tcPr>
          <w:p w14:paraId="04892151" w14:textId="77777777" w:rsidR="00165B89" w:rsidRPr="00165B89" w:rsidRDefault="00165B89" w:rsidP="003C191F">
            <w:pPr>
              <w:pStyle w:val="Default"/>
              <w:numPr>
                <w:ilvl w:val="0"/>
                <w:numId w:val="1"/>
              </w:numPr>
              <w:spacing w:line="360" w:lineRule="auto"/>
              <w:jc w:val="both"/>
              <w:rPr>
                <w:color w:val="auto"/>
                <w:lang w:val="en-US"/>
              </w:rPr>
            </w:pPr>
            <w:r w:rsidRPr="00165B89">
              <w:rPr>
                <w:color w:val="auto"/>
              </w:rPr>
              <w:t>Direksi Perusahaan Penilai Kerugian Asuransi</w:t>
            </w:r>
            <w:r w:rsidRPr="00165B89">
              <w:rPr>
                <w:color w:val="auto"/>
                <w:lang w:val="en-US"/>
              </w:rPr>
              <w:t>,</w:t>
            </w:r>
            <w:r w:rsidRPr="00165B89">
              <w:rPr>
                <w:color w:val="auto"/>
              </w:rPr>
              <w:t xml:space="preserve"> </w:t>
            </w:r>
          </w:p>
        </w:tc>
        <w:tc>
          <w:tcPr>
            <w:tcW w:w="4029" w:type="dxa"/>
          </w:tcPr>
          <w:p w14:paraId="1BCFD69A" w14:textId="77777777" w:rsidR="00165B89" w:rsidRPr="00165B89" w:rsidRDefault="00165B89" w:rsidP="003C191F"/>
        </w:tc>
        <w:tc>
          <w:tcPr>
            <w:tcW w:w="4029" w:type="dxa"/>
          </w:tcPr>
          <w:p w14:paraId="0F6891F0" w14:textId="77777777" w:rsidR="00165B89" w:rsidRPr="00165B89" w:rsidRDefault="00165B89" w:rsidP="003C191F"/>
        </w:tc>
      </w:tr>
      <w:tr w:rsidR="00165B89" w:rsidRPr="00165B89" w14:paraId="39386F84" w14:textId="77777777" w:rsidTr="003C191F">
        <w:tc>
          <w:tcPr>
            <w:tcW w:w="7533" w:type="dxa"/>
          </w:tcPr>
          <w:p w14:paraId="30E91E6A" w14:textId="77777777" w:rsidR="00165B89" w:rsidRPr="00165B89" w:rsidRDefault="00165B89" w:rsidP="003C191F">
            <w:pPr>
              <w:pStyle w:val="Default"/>
              <w:spacing w:line="360" w:lineRule="auto"/>
              <w:jc w:val="both"/>
              <w:rPr>
                <w:color w:val="auto"/>
              </w:rPr>
            </w:pPr>
            <w:r w:rsidRPr="00165B89">
              <w:rPr>
                <w:color w:val="auto"/>
                <w:lang w:val="en-US"/>
              </w:rPr>
              <w:t>di tempat.</w:t>
            </w:r>
          </w:p>
        </w:tc>
        <w:tc>
          <w:tcPr>
            <w:tcW w:w="4029" w:type="dxa"/>
          </w:tcPr>
          <w:p w14:paraId="7A408891" w14:textId="77777777" w:rsidR="00165B89" w:rsidRPr="00165B89" w:rsidRDefault="00165B89" w:rsidP="003C191F"/>
        </w:tc>
        <w:tc>
          <w:tcPr>
            <w:tcW w:w="4029" w:type="dxa"/>
          </w:tcPr>
          <w:p w14:paraId="18C42E7F" w14:textId="77777777" w:rsidR="00165B89" w:rsidRPr="00165B89" w:rsidRDefault="00165B89" w:rsidP="003C191F"/>
        </w:tc>
      </w:tr>
      <w:tr w:rsidR="00165B89" w:rsidRPr="00165B89" w14:paraId="62D56DB1" w14:textId="77777777" w:rsidTr="003C191F">
        <w:tc>
          <w:tcPr>
            <w:tcW w:w="7533" w:type="dxa"/>
          </w:tcPr>
          <w:p w14:paraId="74931DF8" w14:textId="77777777" w:rsidR="00165B89" w:rsidRPr="00165B89" w:rsidRDefault="00165B89" w:rsidP="003C191F">
            <w:pPr>
              <w:pStyle w:val="Default"/>
              <w:spacing w:line="360" w:lineRule="auto"/>
              <w:jc w:val="center"/>
              <w:rPr>
                <w:color w:val="auto"/>
              </w:rPr>
            </w:pPr>
          </w:p>
        </w:tc>
        <w:tc>
          <w:tcPr>
            <w:tcW w:w="4029" w:type="dxa"/>
          </w:tcPr>
          <w:p w14:paraId="4AF1AC41" w14:textId="77777777" w:rsidR="00165B89" w:rsidRPr="00165B89" w:rsidRDefault="00165B89" w:rsidP="003C191F"/>
        </w:tc>
        <w:tc>
          <w:tcPr>
            <w:tcW w:w="4029" w:type="dxa"/>
          </w:tcPr>
          <w:p w14:paraId="346A0884" w14:textId="77777777" w:rsidR="00165B89" w:rsidRPr="00165B89" w:rsidRDefault="00165B89" w:rsidP="003C191F"/>
        </w:tc>
      </w:tr>
      <w:tr w:rsidR="00165B89" w:rsidRPr="00165B89" w14:paraId="2C5EFF0E" w14:textId="77777777" w:rsidTr="003C191F">
        <w:tc>
          <w:tcPr>
            <w:tcW w:w="7533" w:type="dxa"/>
          </w:tcPr>
          <w:p w14:paraId="30DE12EB" w14:textId="77777777" w:rsidR="00165B89" w:rsidRPr="00165B89" w:rsidRDefault="00165B89" w:rsidP="003C191F">
            <w:pPr>
              <w:pStyle w:val="Default"/>
              <w:spacing w:line="360" w:lineRule="auto"/>
              <w:jc w:val="center"/>
              <w:rPr>
                <w:color w:val="auto"/>
              </w:rPr>
            </w:pPr>
            <w:r w:rsidRPr="00165B89">
              <w:rPr>
                <w:color w:val="auto"/>
              </w:rPr>
              <w:t>SURAT EDARAN OTORITAS JASA KEUANGAN</w:t>
            </w:r>
          </w:p>
        </w:tc>
        <w:tc>
          <w:tcPr>
            <w:tcW w:w="4029" w:type="dxa"/>
          </w:tcPr>
          <w:p w14:paraId="52887F43" w14:textId="77777777" w:rsidR="00165B89" w:rsidRPr="00165B89" w:rsidRDefault="00165B89" w:rsidP="003C191F"/>
        </w:tc>
        <w:tc>
          <w:tcPr>
            <w:tcW w:w="4029" w:type="dxa"/>
          </w:tcPr>
          <w:p w14:paraId="59870887" w14:textId="77777777" w:rsidR="00165B89" w:rsidRPr="00165B89" w:rsidRDefault="00165B89" w:rsidP="003C191F"/>
        </w:tc>
      </w:tr>
      <w:tr w:rsidR="00165B89" w:rsidRPr="00165B89" w14:paraId="0F1816E9" w14:textId="77777777" w:rsidTr="003C191F">
        <w:tc>
          <w:tcPr>
            <w:tcW w:w="7533" w:type="dxa"/>
          </w:tcPr>
          <w:p w14:paraId="536B9806" w14:textId="77777777" w:rsidR="00165B89" w:rsidRPr="00165B89" w:rsidRDefault="00165B89" w:rsidP="003C191F">
            <w:pPr>
              <w:pStyle w:val="Default"/>
              <w:spacing w:line="360" w:lineRule="auto"/>
              <w:jc w:val="center"/>
              <w:rPr>
                <w:color w:val="auto"/>
              </w:rPr>
            </w:pPr>
            <w:r w:rsidRPr="00165B89">
              <w:rPr>
                <w:color w:val="auto"/>
              </w:rPr>
              <w:t>REPUBLIK INDONESIA</w:t>
            </w:r>
          </w:p>
        </w:tc>
        <w:tc>
          <w:tcPr>
            <w:tcW w:w="4029" w:type="dxa"/>
          </w:tcPr>
          <w:p w14:paraId="61B3F326" w14:textId="77777777" w:rsidR="00165B89" w:rsidRPr="00165B89" w:rsidRDefault="00165B89" w:rsidP="003C191F"/>
        </w:tc>
        <w:tc>
          <w:tcPr>
            <w:tcW w:w="4029" w:type="dxa"/>
          </w:tcPr>
          <w:p w14:paraId="4F83D1E5" w14:textId="77777777" w:rsidR="00165B89" w:rsidRPr="00165B89" w:rsidRDefault="00165B89" w:rsidP="003C191F"/>
        </w:tc>
      </w:tr>
      <w:tr w:rsidR="00165B89" w:rsidRPr="00165B89" w14:paraId="063E86B3" w14:textId="77777777" w:rsidTr="003C191F">
        <w:tc>
          <w:tcPr>
            <w:tcW w:w="7533" w:type="dxa"/>
          </w:tcPr>
          <w:p w14:paraId="2A339E85" w14:textId="77777777" w:rsidR="00165B89" w:rsidRPr="00165B89" w:rsidRDefault="00165B89" w:rsidP="003C191F">
            <w:pPr>
              <w:pStyle w:val="Default"/>
              <w:spacing w:line="360" w:lineRule="auto"/>
              <w:jc w:val="center"/>
              <w:rPr>
                <w:color w:val="auto"/>
                <w:lang w:val="en-US"/>
              </w:rPr>
            </w:pPr>
            <w:r w:rsidRPr="00165B89">
              <w:rPr>
                <w:color w:val="auto"/>
              </w:rPr>
              <w:t>NOMOR     /SEOJK.05/20</w:t>
            </w:r>
            <w:r w:rsidRPr="00165B89">
              <w:rPr>
                <w:color w:val="auto"/>
                <w:lang w:val="en-US"/>
              </w:rPr>
              <w:t>25</w:t>
            </w:r>
          </w:p>
        </w:tc>
        <w:tc>
          <w:tcPr>
            <w:tcW w:w="4029" w:type="dxa"/>
          </w:tcPr>
          <w:p w14:paraId="19551ECC" w14:textId="77777777" w:rsidR="00165B89" w:rsidRPr="00165B89" w:rsidRDefault="00165B89" w:rsidP="003C191F"/>
        </w:tc>
        <w:tc>
          <w:tcPr>
            <w:tcW w:w="4029" w:type="dxa"/>
          </w:tcPr>
          <w:p w14:paraId="718B40B6" w14:textId="77777777" w:rsidR="00165B89" w:rsidRPr="00165B89" w:rsidRDefault="00165B89" w:rsidP="003C191F"/>
        </w:tc>
      </w:tr>
      <w:tr w:rsidR="00165B89" w:rsidRPr="00165B89" w14:paraId="25CF2A7D" w14:textId="77777777" w:rsidTr="003C191F">
        <w:tc>
          <w:tcPr>
            <w:tcW w:w="7533" w:type="dxa"/>
          </w:tcPr>
          <w:p w14:paraId="27C228D1" w14:textId="77777777" w:rsidR="00165B89" w:rsidRPr="00165B89" w:rsidRDefault="00165B89" w:rsidP="003C191F">
            <w:pPr>
              <w:pStyle w:val="Default"/>
              <w:spacing w:line="360" w:lineRule="auto"/>
              <w:jc w:val="both"/>
              <w:rPr>
                <w:color w:val="auto"/>
              </w:rPr>
            </w:pPr>
          </w:p>
        </w:tc>
        <w:tc>
          <w:tcPr>
            <w:tcW w:w="4029" w:type="dxa"/>
          </w:tcPr>
          <w:p w14:paraId="5EA49EB5" w14:textId="77777777" w:rsidR="00165B89" w:rsidRPr="00165B89" w:rsidRDefault="00165B89" w:rsidP="003C191F"/>
        </w:tc>
        <w:tc>
          <w:tcPr>
            <w:tcW w:w="4029" w:type="dxa"/>
          </w:tcPr>
          <w:p w14:paraId="6C697C37" w14:textId="77777777" w:rsidR="00165B89" w:rsidRPr="00165B89" w:rsidRDefault="00165B89" w:rsidP="003C191F"/>
        </w:tc>
      </w:tr>
      <w:tr w:rsidR="00165B89" w:rsidRPr="00165B89" w14:paraId="3704EAFC" w14:textId="77777777" w:rsidTr="003C191F">
        <w:tc>
          <w:tcPr>
            <w:tcW w:w="7533" w:type="dxa"/>
          </w:tcPr>
          <w:p w14:paraId="179DD574" w14:textId="77777777" w:rsidR="00165B89" w:rsidRPr="00165B89" w:rsidRDefault="00165B89" w:rsidP="003C191F">
            <w:pPr>
              <w:pStyle w:val="Default"/>
              <w:spacing w:line="360" w:lineRule="auto"/>
              <w:jc w:val="center"/>
              <w:rPr>
                <w:color w:val="auto"/>
                <w:lang w:val="en-US"/>
              </w:rPr>
            </w:pPr>
            <w:r w:rsidRPr="00165B89">
              <w:rPr>
                <w:color w:val="auto"/>
              </w:rPr>
              <w:t>TENTANG</w:t>
            </w:r>
          </w:p>
        </w:tc>
        <w:tc>
          <w:tcPr>
            <w:tcW w:w="4029" w:type="dxa"/>
          </w:tcPr>
          <w:p w14:paraId="1D128707" w14:textId="77777777" w:rsidR="00165B89" w:rsidRPr="00165B89" w:rsidRDefault="00165B89" w:rsidP="003C191F"/>
        </w:tc>
        <w:tc>
          <w:tcPr>
            <w:tcW w:w="4029" w:type="dxa"/>
          </w:tcPr>
          <w:p w14:paraId="6AD2E0BF" w14:textId="77777777" w:rsidR="00165B89" w:rsidRPr="00165B89" w:rsidRDefault="00165B89" w:rsidP="003C191F"/>
        </w:tc>
      </w:tr>
      <w:tr w:rsidR="00165B89" w:rsidRPr="00165B89" w14:paraId="55D75F80" w14:textId="77777777" w:rsidTr="003C191F">
        <w:tc>
          <w:tcPr>
            <w:tcW w:w="7533" w:type="dxa"/>
          </w:tcPr>
          <w:p w14:paraId="52B79917" w14:textId="77777777" w:rsidR="00165B89" w:rsidRPr="00165B89" w:rsidRDefault="00165B89" w:rsidP="003C191F">
            <w:pPr>
              <w:pStyle w:val="Default"/>
              <w:spacing w:line="360" w:lineRule="auto"/>
              <w:jc w:val="center"/>
              <w:rPr>
                <w:color w:val="auto"/>
                <w:lang w:val="en-US"/>
              </w:rPr>
            </w:pPr>
            <w:r w:rsidRPr="00165B89">
              <w:rPr>
                <w:bCs/>
                <w:color w:val="auto"/>
                <w:lang w:val="en-US"/>
              </w:rPr>
              <w:t>BENTUK DAN SUSUNAN LAPORAN BERKALA PERUSAHAAN PIALANG ASURANSI, PERUSAHAAN PIALANG REASURANSI, DAN PERUSAHAAN PENILAI KERUGIAN ASURANSI</w:t>
            </w:r>
          </w:p>
        </w:tc>
        <w:tc>
          <w:tcPr>
            <w:tcW w:w="4029" w:type="dxa"/>
          </w:tcPr>
          <w:p w14:paraId="6878F57F" w14:textId="77777777" w:rsidR="00165B89" w:rsidRPr="00165B89" w:rsidRDefault="00165B89" w:rsidP="003C191F"/>
        </w:tc>
        <w:tc>
          <w:tcPr>
            <w:tcW w:w="4029" w:type="dxa"/>
          </w:tcPr>
          <w:p w14:paraId="036F09CB" w14:textId="77777777" w:rsidR="00165B89" w:rsidRPr="00165B89" w:rsidRDefault="00165B89" w:rsidP="003C191F"/>
        </w:tc>
      </w:tr>
      <w:tr w:rsidR="00165B89" w:rsidRPr="00165B89" w14:paraId="388B0FFD" w14:textId="77777777" w:rsidTr="003C191F">
        <w:tc>
          <w:tcPr>
            <w:tcW w:w="7533" w:type="dxa"/>
          </w:tcPr>
          <w:p w14:paraId="42779887" w14:textId="77777777" w:rsidR="00165B89" w:rsidRPr="00165B89" w:rsidRDefault="00165B89" w:rsidP="003C191F">
            <w:pPr>
              <w:pStyle w:val="Default"/>
              <w:spacing w:line="360" w:lineRule="auto"/>
              <w:jc w:val="center"/>
              <w:rPr>
                <w:color w:val="auto"/>
              </w:rPr>
            </w:pPr>
          </w:p>
        </w:tc>
        <w:tc>
          <w:tcPr>
            <w:tcW w:w="4029" w:type="dxa"/>
          </w:tcPr>
          <w:p w14:paraId="01234385" w14:textId="77777777" w:rsidR="00165B89" w:rsidRPr="00165B89" w:rsidRDefault="00165B89" w:rsidP="003C191F"/>
        </w:tc>
        <w:tc>
          <w:tcPr>
            <w:tcW w:w="4029" w:type="dxa"/>
          </w:tcPr>
          <w:p w14:paraId="40E1FBF0" w14:textId="77777777" w:rsidR="00165B89" w:rsidRPr="00165B89" w:rsidRDefault="00165B89" w:rsidP="003C191F"/>
        </w:tc>
      </w:tr>
      <w:tr w:rsidR="00165B89" w:rsidRPr="00165B89" w14:paraId="5FA14608" w14:textId="77777777" w:rsidTr="003C191F">
        <w:tc>
          <w:tcPr>
            <w:tcW w:w="7533" w:type="dxa"/>
          </w:tcPr>
          <w:p w14:paraId="49F12E22" w14:textId="77777777" w:rsidR="00165B89" w:rsidRPr="00165B89" w:rsidRDefault="00165B89" w:rsidP="003C191F">
            <w:pPr>
              <w:pStyle w:val="BodyText"/>
              <w:spacing w:line="360" w:lineRule="auto"/>
              <w:ind w:left="0"/>
              <w:contextualSpacing/>
              <w:jc w:val="both"/>
              <w:rPr>
                <w:lang w:val="id-ID"/>
              </w:rPr>
            </w:pPr>
            <w:r w:rsidRPr="00165B89">
              <w:rPr>
                <w:lang w:val="id-ID"/>
              </w:rPr>
              <w:lastRenderedPageBreak/>
              <w:t>Sehubungan dengan amanat ketentuan Pasal 8 dan Pasal 12 Peraturan Otoritas Jasa Keuangan Nomor 22 Tahun 2024 tentang Laporan Berkala Perusahaan Perasuransian (Lembaran Negara Republik Indonesia Tahun 2024 Nomor 37, Tambahan Lembaran Negara Republik Indonesia Nomor 105), perlu untuk mengatur ketentuan mengenai bentuk, susunan, dan tata cara penyampaian laporan berkala, penyampaian koreksi laporan berkala, dan penundaan batas waktu penyampaian laporan berkala dan/atau koreksi laporan berkala perusahaan pialang asuransi, perusahaan pialang reasuransi, dan perusahaan penilai kerugian asuransi dalam Surat Edaran Otoritas Jasa Keuangan sebagai berikut:</w:t>
            </w:r>
          </w:p>
        </w:tc>
        <w:tc>
          <w:tcPr>
            <w:tcW w:w="4029" w:type="dxa"/>
          </w:tcPr>
          <w:p w14:paraId="4483A44B" w14:textId="77777777" w:rsidR="00165B89" w:rsidRPr="00165B89" w:rsidRDefault="00165B89" w:rsidP="003C191F"/>
        </w:tc>
        <w:tc>
          <w:tcPr>
            <w:tcW w:w="4029" w:type="dxa"/>
          </w:tcPr>
          <w:p w14:paraId="0942B834" w14:textId="77777777" w:rsidR="00165B89" w:rsidRPr="00165B89" w:rsidRDefault="00165B89" w:rsidP="003C191F"/>
        </w:tc>
      </w:tr>
      <w:tr w:rsidR="00165B89" w:rsidRPr="00165B89" w14:paraId="42943D00" w14:textId="77777777" w:rsidTr="003C191F">
        <w:tc>
          <w:tcPr>
            <w:tcW w:w="7533" w:type="dxa"/>
          </w:tcPr>
          <w:p w14:paraId="49088203" w14:textId="77777777" w:rsidR="00165B89" w:rsidRPr="00165B89" w:rsidRDefault="00165B89" w:rsidP="003C191F">
            <w:pPr>
              <w:pStyle w:val="BodyText"/>
              <w:numPr>
                <w:ilvl w:val="0"/>
                <w:numId w:val="3"/>
              </w:numPr>
              <w:spacing w:line="360" w:lineRule="auto"/>
              <w:ind w:left="1134" w:hanging="567"/>
              <w:jc w:val="both"/>
              <w:rPr>
                <w:lang w:val="id-ID"/>
              </w:rPr>
            </w:pPr>
            <w:r w:rsidRPr="00165B89">
              <w:rPr>
                <w:lang w:val="id-ID"/>
              </w:rPr>
              <w:t>KETENTUAN UMUM</w:t>
            </w:r>
          </w:p>
        </w:tc>
        <w:tc>
          <w:tcPr>
            <w:tcW w:w="4029" w:type="dxa"/>
          </w:tcPr>
          <w:p w14:paraId="66709683" w14:textId="77777777" w:rsidR="00165B89" w:rsidRPr="00165B89" w:rsidRDefault="00165B89" w:rsidP="003C191F"/>
        </w:tc>
        <w:tc>
          <w:tcPr>
            <w:tcW w:w="4029" w:type="dxa"/>
          </w:tcPr>
          <w:p w14:paraId="084B0F3D" w14:textId="77777777" w:rsidR="00165B89" w:rsidRPr="00165B89" w:rsidRDefault="00165B89" w:rsidP="003C191F"/>
        </w:tc>
      </w:tr>
      <w:tr w:rsidR="00165B89" w:rsidRPr="00165B89" w14:paraId="5CF3B59D" w14:textId="77777777" w:rsidTr="003C191F">
        <w:tc>
          <w:tcPr>
            <w:tcW w:w="7533" w:type="dxa"/>
          </w:tcPr>
          <w:p w14:paraId="4BF4F86C" w14:textId="77777777" w:rsidR="00165B89" w:rsidRPr="00165B89" w:rsidRDefault="00165B89" w:rsidP="003C191F">
            <w:pPr>
              <w:pStyle w:val="BodyText"/>
              <w:spacing w:line="360" w:lineRule="auto"/>
              <w:ind w:left="0"/>
              <w:jc w:val="both"/>
              <w:rPr>
                <w:lang w:val="id-ID"/>
              </w:rPr>
            </w:pPr>
            <w:r w:rsidRPr="00165B89">
              <w:rPr>
                <w:lang w:val="id-ID"/>
              </w:rPr>
              <w:t>Dalam Surat Edaran Otoritas Jasa Keuangan ini yang dimaksud dengan:</w:t>
            </w:r>
          </w:p>
        </w:tc>
        <w:tc>
          <w:tcPr>
            <w:tcW w:w="4029" w:type="dxa"/>
          </w:tcPr>
          <w:p w14:paraId="0FEB35C2" w14:textId="77777777" w:rsidR="00165B89" w:rsidRPr="00165B89" w:rsidRDefault="00165B89" w:rsidP="003C191F"/>
        </w:tc>
        <w:tc>
          <w:tcPr>
            <w:tcW w:w="4029" w:type="dxa"/>
          </w:tcPr>
          <w:p w14:paraId="4D7A03E1" w14:textId="77777777" w:rsidR="00165B89" w:rsidRPr="00165B89" w:rsidRDefault="00165B89" w:rsidP="003C191F"/>
        </w:tc>
      </w:tr>
      <w:tr w:rsidR="00165B89" w:rsidRPr="00165B89" w14:paraId="49E6DDBB" w14:textId="77777777" w:rsidTr="003C191F">
        <w:tc>
          <w:tcPr>
            <w:tcW w:w="7533" w:type="dxa"/>
          </w:tcPr>
          <w:p w14:paraId="0C8B30F0" w14:textId="77777777" w:rsidR="00165B89" w:rsidRPr="00165B89" w:rsidRDefault="00165B89" w:rsidP="003C191F">
            <w:pPr>
              <w:pStyle w:val="BodyText"/>
              <w:numPr>
                <w:ilvl w:val="0"/>
                <w:numId w:val="4"/>
              </w:numPr>
              <w:spacing w:line="360" w:lineRule="auto"/>
              <w:ind w:left="1701" w:hanging="567"/>
              <w:jc w:val="both"/>
              <w:rPr>
                <w:lang w:val="en-ID"/>
              </w:rPr>
            </w:pPr>
            <w:r w:rsidRPr="00165B89">
              <w:rPr>
                <w:lang w:val="id-ID"/>
              </w:rPr>
              <w:t xml:space="preserve">Perusahaan adalah perusahaan pialang asuransi, perusahaan pialang </w:t>
            </w:r>
            <w:r w:rsidRPr="00165B89">
              <w:rPr>
                <w:lang w:val="en-ID"/>
              </w:rPr>
              <w:t>reasuransi, dan perusahaan penilai kerugian asuransi.</w:t>
            </w:r>
          </w:p>
        </w:tc>
        <w:tc>
          <w:tcPr>
            <w:tcW w:w="4029" w:type="dxa"/>
          </w:tcPr>
          <w:p w14:paraId="52E1260D" w14:textId="77777777" w:rsidR="00165B89" w:rsidRPr="00165B89" w:rsidRDefault="00165B89" w:rsidP="003C191F"/>
        </w:tc>
        <w:tc>
          <w:tcPr>
            <w:tcW w:w="4029" w:type="dxa"/>
          </w:tcPr>
          <w:p w14:paraId="227DA9C6" w14:textId="77777777" w:rsidR="00165B89" w:rsidRPr="00165B89" w:rsidRDefault="00165B89" w:rsidP="003C191F"/>
        </w:tc>
      </w:tr>
      <w:tr w:rsidR="00165B89" w:rsidRPr="00165B89" w14:paraId="101CDA54" w14:textId="77777777" w:rsidTr="003C191F">
        <w:tc>
          <w:tcPr>
            <w:tcW w:w="7533" w:type="dxa"/>
          </w:tcPr>
          <w:p w14:paraId="38D52FBE" w14:textId="77777777" w:rsidR="00165B89" w:rsidRPr="00165B89" w:rsidRDefault="00165B89" w:rsidP="003C191F">
            <w:pPr>
              <w:pStyle w:val="BodyText"/>
              <w:numPr>
                <w:ilvl w:val="0"/>
                <w:numId w:val="4"/>
              </w:numPr>
              <w:spacing w:line="360" w:lineRule="auto"/>
              <w:ind w:left="1701" w:hanging="567"/>
              <w:jc w:val="both"/>
              <w:rPr>
                <w:lang w:val="en-ID"/>
              </w:rPr>
            </w:pPr>
            <w:r w:rsidRPr="00165B89">
              <w:rPr>
                <w:lang w:val="id-ID"/>
              </w:rPr>
              <w:t xml:space="preserve">Perusahaan Pialang Asuransi adalah </w:t>
            </w:r>
            <w:r w:rsidRPr="00165B89">
              <w:rPr>
                <w:lang w:val="en-ID"/>
              </w:rPr>
              <w:t xml:space="preserve">perusahaan yang menyelenggarakan usaha jasa konsultasi dan/atau keperantaraan dalam penutupan asuransi, penutupan asuransi </w:t>
            </w:r>
            <w:r w:rsidRPr="00165B89">
              <w:rPr>
                <w:lang w:val="en-ID"/>
              </w:rPr>
              <w:lastRenderedPageBreak/>
              <w:t>syariah, penjaminan, penjaminan syariah serta penanganan penyelesaian klaimnya dengan bertindak untuk dan atas nama pemegang polis, tertanggung, peserta, atau penerima jaminan.</w:t>
            </w:r>
          </w:p>
        </w:tc>
        <w:tc>
          <w:tcPr>
            <w:tcW w:w="4029" w:type="dxa"/>
          </w:tcPr>
          <w:p w14:paraId="65955992" w14:textId="77777777" w:rsidR="00165B89" w:rsidRPr="00165B89" w:rsidRDefault="00165B89" w:rsidP="003C191F"/>
        </w:tc>
        <w:tc>
          <w:tcPr>
            <w:tcW w:w="4029" w:type="dxa"/>
          </w:tcPr>
          <w:p w14:paraId="2D9A362B" w14:textId="77777777" w:rsidR="00165B89" w:rsidRPr="00165B89" w:rsidRDefault="00165B89" w:rsidP="003C191F"/>
        </w:tc>
      </w:tr>
      <w:tr w:rsidR="00165B89" w:rsidRPr="00165B89" w14:paraId="28B37180" w14:textId="77777777" w:rsidTr="003C191F">
        <w:tc>
          <w:tcPr>
            <w:tcW w:w="7533" w:type="dxa"/>
          </w:tcPr>
          <w:p w14:paraId="3DF07FAA" w14:textId="77777777" w:rsidR="00165B89" w:rsidRPr="00165B89" w:rsidRDefault="00165B89" w:rsidP="003C191F">
            <w:pPr>
              <w:pStyle w:val="BodyText"/>
              <w:numPr>
                <w:ilvl w:val="0"/>
                <w:numId w:val="4"/>
              </w:numPr>
              <w:spacing w:line="360" w:lineRule="auto"/>
              <w:ind w:left="1701" w:hanging="567"/>
              <w:jc w:val="both"/>
              <w:rPr>
                <w:lang w:val="en-ID"/>
              </w:rPr>
            </w:pPr>
            <w:r w:rsidRPr="00165B89">
              <w:rPr>
                <w:lang w:val="en-ID"/>
              </w:rPr>
              <w:t>Perusahaan Pialang Reasuransi adalah perusahaan yang menyelenggarakan usaha jasa konsultasi dan/atau keperantaraan dalam penempatan reasuransi atau penempatan reasuransi syariah serta penanganan penyelesaian klaimnya dengan bertindak untuk dan atas nama Perusahaan Asuransi, Perusahaan Asuransi Syariah, perusahaan penjaminan, perusahaan penjaminan syariah, Perusahaan Reasuransi, atau Perusahaan Reasuransi Syariah yang melakukan penempatan reasuransi atau reasuransi syariah.</w:t>
            </w:r>
          </w:p>
        </w:tc>
        <w:tc>
          <w:tcPr>
            <w:tcW w:w="4029" w:type="dxa"/>
          </w:tcPr>
          <w:p w14:paraId="4E5E6A9C" w14:textId="77777777" w:rsidR="00165B89" w:rsidRPr="00165B89" w:rsidRDefault="00165B89" w:rsidP="003C191F"/>
        </w:tc>
        <w:tc>
          <w:tcPr>
            <w:tcW w:w="4029" w:type="dxa"/>
          </w:tcPr>
          <w:p w14:paraId="172CB1F3" w14:textId="77777777" w:rsidR="00165B89" w:rsidRPr="00165B89" w:rsidRDefault="00165B89" w:rsidP="003C191F"/>
        </w:tc>
      </w:tr>
      <w:tr w:rsidR="00165B89" w:rsidRPr="00165B89" w14:paraId="2FEDD4A0" w14:textId="77777777" w:rsidTr="003C191F">
        <w:tc>
          <w:tcPr>
            <w:tcW w:w="7533" w:type="dxa"/>
          </w:tcPr>
          <w:p w14:paraId="0715F426" w14:textId="77777777" w:rsidR="00165B89" w:rsidRPr="00165B89" w:rsidRDefault="00165B89" w:rsidP="003C191F">
            <w:pPr>
              <w:pStyle w:val="BodyText"/>
              <w:numPr>
                <w:ilvl w:val="0"/>
                <w:numId w:val="4"/>
              </w:numPr>
              <w:spacing w:line="360" w:lineRule="auto"/>
              <w:ind w:left="1701" w:hanging="567"/>
              <w:jc w:val="both"/>
              <w:rPr>
                <w:lang w:val="en-ID"/>
              </w:rPr>
            </w:pPr>
            <w:r w:rsidRPr="00165B89">
              <w:rPr>
                <w:lang w:val="en-ID"/>
              </w:rPr>
              <w:t>Perusahaan Penilai Kerugian Asuransi adalah perusahaan yang menyelenggarakan usaha jasa penilaian klaim dan/atau jasa konsultasi atas objek asuransi.</w:t>
            </w:r>
          </w:p>
        </w:tc>
        <w:tc>
          <w:tcPr>
            <w:tcW w:w="4029" w:type="dxa"/>
          </w:tcPr>
          <w:p w14:paraId="70441591" w14:textId="77777777" w:rsidR="00165B89" w:rsidRPr="00165B89" w:rsidRDefault="00165B89" w:rsidP="003C191F"/>
        </w:tc>
        <w:tc>
          <w:tcPr>
            <w:tcW w:w="4029" w:type="dxa"/>
          </w:tcPr>
          <w:p w14:paraId="7EFC4B9D" w14:textId="77777777" w:rsidR="00165B89" w:rsidRPr="00165B89" w:rsidRDefault="00165B89" w:rsidP="003C191F"/>
        </w:tc>
      </w:tr>
      <w:tr w:rsidR="00165B89" w:rsidRPr="00165B89" w14:paraId="0643888D" w14:textId="77777777" w:rsidTr="003C191F">
        <w:tc>
          <w:tcPr>
            <w:tcW w:w="7533" w:type="dxa"/>
          </w:tcPr>
          <w:p w14:paraId="5202CB13" w14:textId="77777777" w:rsidR="00165B89" w:rsidRPr="00165B89" w:rsidRDefault="00165B89" w:rsidP="003C191F">
            <w:pPr>
              <w:pStyle w:val="BodyText"/>
              <w:numPr>
                <w:ilvl w:val="0"/>
                <w:numId w:val="4"/>
              </w:numPr>
              <w:spacing w:line="360" w:lineRule="auto"/>
              <w:ind w:left="1701" w:hanging="567"/>
              <w:jc w:val="both"/>
              <w:rPr>
                <w:lang w:val="en-ID"/>
              </w:rPr>
            </w:pPr>
            <w:r w:rsidRPr="00165B89">
              <w:rPr>
                <w:lang w:val="en-ID"/>
              </w:rPr>
              <w:lastRenderedPageBreak/>
              <w:t>Laporan Berkala adalah laporan yang disampaikan oleh Perusahaan kepada Otoritas Jasa Keuangan dalam periode tertentu.</w:t>
            </w:r>
          </w:p>
        </w:tc>
        <w:tc>
          <w:tcPr>
            <w:tcW w:w="4029" w:type="dxa"/>
          </w:tcPr>
          <w:p w14:paraId="503586A5" w14:textId="77777777" w:rsidR="00165B89" w:rsidRPr="00165B89" w:rsidRDefault="00165B89" w:rsidP="003C191F"/>
        </w:tc>
        <w:tc>
          <w:tcPr>
            <w:tcW w:w="4029" w:type="dxa"/>
          </w:tcPr>
          <w:p w14:paraId="307B539D" w14:textId="77777777" w:rsidR="00165B89" w:rsidRPr="00165B89" w:rsidRDefault="00165B89" w:rsidP="003C191F"/>
        </w:tc>
      </w:tr>
      <w:tr w:rsidR="00165B89" w:rsidRPr="00165B89" w14:paraId="10C8EEE6" w14:textId="77777777" w:rsidTr="003C191F">
        <w:tc>
          <w:tcPr>
            <w:tcW w:w="7533" w:type="dxa"/>
          </w:tcPr>
          <w:p w14:paraId="67DA4CE1" w14:textId="77777777" w:rsidR="00165B89" w:rsidRPr="00165B89" w:rsidRDefault="00165B89" w:rsidP="003C191F">
            <w:pPr>
              <w:pStyle w:val="BodyText"/>
              <w:numPr>
                <w:ilvl w:val="0"/>
                <w:numId w:val="4"/>
              </w:numPr>
              <w:spacing w:line="360" w:lineRule="auto"/>
              <w:ind w:left="1701" w:hanging="567"/>
              <w:jc w:val="both"/>
              <w:rPr>
                <w:lang w:val="en-ID"/>
              </w:rPr>
            </w:pPr>
            <w:r w:rsidRPr="00165B89">
              <w:rPr>
                <w:lang w:val="en-ID"/>
              </w:rPr>
              <w:t>Laporan Triwulanan adalah Laporan Berkala untuk periode tanggal 1 Januari sampai dengan akhir triwulan yang bersangkutan.</w:t>
            </w:r>
          </w:p>
        </w:tc>
        <w:tc>
          <w:tcPr>
            <w:tcW w:w="4029" w:type="dxa"/>
          </w:tcPr>
          <w:p w14:paraId="3CC454C4" w14:textId="77777777" w:rsidR="00165B89" w:rsidRPr="00165B89" w:rsidRDefault="00165B89" w:rsidP="003C191F"/>
        </w:tc>
        <w:tc>
          <w:tcPr>
            <w:tcW w:w="4029" w:type="dxa"/>
          </w:tcPr>
          <w:p w14:paraId="52F4B4CD" w14:textId="77777777" w:rsidR="00165B89" w:rsidRPr="00165B89" w:rsidRDefault="00165B89" w:rsidP="003C191F"/>
        </w:tc>
      </w:tr>
      <w:tr w:rsidR="00165B89" w:rsidRPr="00165B89" w14:paraId="114C4C7C" w14:textId="77777777" w:rsidTr="003C191F">
        <w:tc>
          <w:tcPr>
            <w:tcW w:w="7533" w:type="dxa"/>
          </w:tcPr>
          <w:p w14:paraId="0781998B" w14:textId="77777777" w:rsidR="00165B89" w:rsidRPr="00165B89" w:rsidRDefault="00165B89" w:rsidP="003C191F">
            <w:pPr>
              <w:pStyle w:val="BodyText"/>
              <w:numPr>
                <w:ilvl w:val="0"/>
                <w:numId w:val="4"/>
              </w:numPr>
              <w:spacing w:line="360" w:lineRule="auto"/>
              <w:ind w:left="1701" w:hanging="567"/>
              <w:jc w:val="both"/>
              <w:rPr>
                <w:lang w:val="en-ID"/>
              </w:rPr>
            </w:pPr>
            <w:r w:rsidRPr="00165B89">
              <w:rPr>
                <w:lang w:val="en-ID"/>
              </w:rPr>
              <w:t>Laporan Tahunan adalah Laporan Berkala untuk periode tanggal 1 Januari sampai dengan akhir tahun yang bersangkutan.</w:t>
            </w:r>
          </w:p>
        </w:tc>
        <w:tc>
          <w:tcPr>
            <w:tcW w:w="4029" w:type="dxa"/>
          </w:tcPr>
          <w:p w14:paraId="11EC0E84" w14:textId="77777777" w:rsidR="00165B89" w:rsidRPr="00165B89" w:rsidRDefault="00165B89" w:rsidP="003C191F"/>
        </w:tc>
        <w:tc>
          <w:tcPr>
            <w:tcW w:w="4029" w:type="dxa"/>
          </w:tcPr>
          <w:p w14:paraId="27F58717" w14:textId="77777777" w:rsidR="00165B89" w:rsidRPr="00165B89" w:rsidRDefault="00165B89" w:rsidP="003C191F"/>
        </w:tc>
      </w:tr>
      <w:tr w:rsidR="00165B89" w:rsidRPr="00165B89" w14:paraId="72244EC0" w14:textId="77777777" w:rsidTr="003C191F">
        <w:tc>
          <w:tcPr>
            <w:tcW w:w="7533" w:type="dxa"/>
          </w:tcPr>
          <w:p w14:paraId="371EDD55" w14:textId="77777777" w:rsidR="00165B89" w:rsidRPr="00165B89" w:rsidRDefault="00165B89" w:rsidP="003C191F">
            <w:pPr>
              <w:pStyle w:val="BodyText"/>
              <w:numPr>
                <w:ilvl w:val="0"/>
                <w:numId w:val="4"/>
              </w:numPr>
              <w:spacing w:line="360" w:lineRule="auto"/>
              <w:ind w:left="1701" w:hanging="567"/>
              <w:jc w:val="both"/>
              <w:rPr>
                <w:lang w:val="en-ID"/>
              </w:rPr>
            </w:pPr>
            <w:r w:rsidRPr="00165B89">
              <w:rPr>
                <w:lang w:val="en-ID"/>
              </w:rPr>
              <w:t>Laporan Lain adalah Laporan Berkala selain Laporan Triwulanan dan Laporan Tahunan.</w:t>
            </w:r>
          </w:p>
        </w:tc>
        <w:tc>
          <w:tcPr>
            <w:tcW w:w="4029" w:type="dxa"/>
          </w:tcPr>
          <w:p w14:paraId="361DC6C5" w14:textId="77777777" w:rsidR="00165B89" w:rsidRPr="00165B89" w:rsidRDefault="00165B89" w:rsidP="003C191F"/>
        </w:tc>
        <w:tc>
          <w:tcPr>
            <w:tcW w:w="4029" w:type="dxa"/>
          </w:tcPr>
          <w:p w14:paraId="2F5F3295" w14:textId="77777777" w:rsidR="00165B89" w:rsidRPr="00165B89" w:rsidRDefault="00165B89" w:rsidP="003C191F"/>
        </w:tc>
      </w:tr>
      <w:tr w:rsidR="00165B89" w:rsidRPr="00165B89" w14:paraId="6966B78A" w14:textId="77777777" w:rsidTr="003C191F">
        <w:tc>
          <w:tcPr>
            <w:tcW w:w="7533" w:type="dxa"/>
          </w:tcPr>
          <w:p w14:paraId="75EE06AB" w14:textId="77777777" w:rsidR="00165B89" w:rsidRPr="00165B89" w:rsidRDefault="00165B89" w:rsidP="003C191F">
            <w:pPr>
              <w:pStyle w:val="BodyText"/>
              <w:spacing w:line="360" w:lineRule="auto"/>
              <w:ind w:left="0"/>
              <w:jc w:val="both"/>
              <w:rPr>
                <w:lang w:val="en-ID"/>
              </w:rPr>
            </w:pPr>
          </w:p>
        </w:tc>
        <w:tc>
          <w:tcPr>
            <w:tcW w:w="4029" w:type="dxa"/>
          </w:tcPr>
          <w:p w14:paraId="4782D61E" w14:textId="77777777" w:rsidR="00165B89" w:rsidRPr="00165B89" w:rsidRDefault="00165B89" w:rsidP="003C191F"/>
        </w:tc>
        <w:tc>
          <w:tcPr>
            <w:tcW w:w="4029" w:type="dxa"/>
          </w:tcPr>
          <w:p w14:paraId="015D0A74" w14:textId="77777777" w:rsidR="00165B89" w:rsidRPr="00165B89" w:rsidRDefault="00165B89" w:rsidP="003C191F"/>
        </w:tc>
      </w:tr>
      <w:tr w:rsidR="00165B89" w:rsidRPr="00165B89" w14:paraId="75453A97" w14:textId="77777777" w:rsidTr="003C191F">
        <w:tc>
          <w:tcPr>
            <w:tcW w:w="7533" w:type="dxa"/>
          </w:tcPr>
          <w:p w14:paraId="249C1A34" w14:textId="77777777" w:rsidR="00165B89" w:rsidRPr="00165B89" w:rsidRDefault="00165B89" w:rsidP="003C191F">
            <w:pPr>
              <w:pStyle w:val="BodyText"/>
              <w:numPr>
                <w:ilvl w:val="0"/>
                <w:numId w:val="3"/>
              </w:numPr>
              <w:spacing w:line="360" w:lineRule="auto"/>
              <w:ind w:left="1134" w:hanging="567"/>
              <w:jc w:val="both"/>
              <w:rPr>
                <w:lang w:val="id-ID"/>
              </w:rPr>
            </w:pPr>
            <w:r w:rsidRPr="00165B89">
              <w:rPr>
                <w:lang w:val="id-ID"/>
              </w:rPr>
              <w:t>BENTUK DAN SUSUNAN LAPORAN BERKALA BAGI PERUSAHAAN</w:t>
            </w:r>
          </w:p>
        </w:tc>
        <w:tc>
          <w:tcPr>
            <w:tcW w:w="4029" w:type="dxa"/>
          </w:tcPr>
          <w:p w14:paraId="13A5FF81" w14:textId="77777777" w:rsidR="00165B89" w:rsidRPr="00165B89" w:rsidRDefault="00165B89" w:rsidP="003C191F"/>
        </w:tc>
        <w:tc>
          <w:tcPr>
            <w:tcW w:w="4029" w:type="dxa"/>
          </w:tcPr>
          <w:p w14:paraId="6247BDB2" w14:textId="77777777" w:rsidR="00165B89" w:rsidRPr="00165B89" w:rsidRDefault="00165B89" w:rsidP="003C191F"/>
        </w:tc>
      </w:tr>
      <w:tr w:rsidR="00165B89" w:rsidRPr="00165B89" w14:paraId="2E193447" w14:textId="77777777" w:rsidTr="003C191F">
        <w:tc>
          <w:tcPr>
            <w:tcW w:w="7533" w:type="dxa"/>
          </w:tcPr>
          <w:p w14:paraId="7BE5A664" w14:textId="77777777" w:rsidR="00165B89" w:rsidRPr="00165B89" w:rsidRDefault="00165B89" w:rsidP="003C191F">
            <w:pPr>
              <w:pStyle w:val="BodyText"/>
              <w:spacing w:line="360" w:lineRule="auto"/>
              <w:ind w:left="0"/>
              <w:jc w:val="both"/>
              <w:rPr>
                <w:lang w:val="id-ID"/>
              </w:rPr>
            </w:pPr>
            <w:r w:rsidRPr="00165B89">
              <w:rPr>
                <w:lang w:val="id-ID"/>
              </w:rPr>
              <w:t>Jenis Laporan Berkala bagi Perusahaan, mencakup:</w:t>
            </w:r>
          </w:p>
        </w:tc>
        <w:tc>
          <w:tcPr>
            <w:tcW w:w="4029" w:type="dxa"/>
          </w:tcPr>
          <w:p w14:paraId="342D4E21" w14:textId="77777777" w:rsidR="00165B89" w:rsidRPr="00165B89" w:rsidRDefault="00165B89" w:rsidP="003C191F"/>
        </w:tc>
        <w:tc>
          <w:tcPr>
            <w:tcW w:w="4029" w:type="dxa"/>
          </w:tcPr>
          <w:p w14:paraId="491B0EF2" w14:textId="77777777" w:rsidR="00165B89" w:rsidRPr="00165B89" w:rsidRDefault="00165B89" w:rsidP="003C191F"/>
        </w:tc>
      </w:tr>
      <w:tr w:rsidR="00165B89" w:rsidRPr="00165B89" w14:paraId="05C019DA" w14:textId="77777777" w:rsidTr="003C191F">
        <w:tc>
          <w:tcPr>
            <w:tcW w:w="7533" w:type="dxa"/>
          </w:tcPr>
          <w:p w14:paraId="17F763E2" w14:textId="77777777" w:rsidR="00165B89" w:rsidRPr="00165B89" w:rsidRDefault="00165B89" w:rsidP="003C191F">
            <w:pPr>
              <w:pStyle w:val="BodyText"/>
              <w:numPr>
                <w:ilvl w:val="0"/>
                <w:numId w:val="5"/>
              </w:numPr>
              <w:spacing w:line="360" w:lineRule="auto"/>
              <w:ind w:left="1701" w:hanging="567"/>
              <w:jc w:val="both"/>
              <w:rPr>
                <w:lang w:val="id-ID"/>
              </w:rPr>
            </w:pPr>
            <w:r w:rsidRPr="00165B89">
              <w:rPr>
                <w:lang w:val="id-ID"/>
              </w:rPr>
              <w:t>Laporan bagi Perusahaan Pialang Asuransi dan Perusahaan Pialang Reasuransi terbagi menjadi jenis laporan:</w:t>
            </w:r>
          </w:p>
        </w:tc>
        <w:tc>
          <w:tcPr>
            <w:tcW w:w="4029" w:type="dxa"/>
          </w:tcPr>
          <w:p w14:paraId="08BF91A6" w14:textId="77777777" w:rsidR="00165B89" w:rsidRPr="00165B89" w:rsidRDefault="00165B89" w:rsidP="003C191F"/>
        </w:tc>
        <w:tc>
          <w:tcPr>
            <w:tcW w:w="4029" w:type="dxa"/>
          </w:tcPr>
          <w:p w14:paraId="384337CA" w14:textId="77777777" w:rsidR="00165B89" w:rsidRPr="00165B89" w:rsidRDefault="00165B89" w:rsidP="003C191F"/>
        </w:tc>
      </w:tr>
      <w:tr w:rsidR="00165B89" w:rsidRPr="00165B89" w14:paraId="37327164" w14:textId="77777777" w:rsidTr="003C191F">
        <w:tc>
          <w:tcPr>
            <w:tcW w:w="7533" w:type="dxa"/>
          </w:tcPr>
          <w:p w14:paraId="35AC6F07" w14:textId="77777777" w:rsidR="00165B89" w:rsidRPr="00165B89" w:rsidRDefault="00165B89" w:rsidP="003C191F">
            <w:pPr>
              <w:pStyle w:val="BodyText"/>
              <w:numPr>
                <w:ilvl w:val="0"/>
                <w:numId w:val="6"/>
              </w:numPr>
              <w:spacing w:line="360" w:lineRule="auto"/>
              <w:ind w:left="2268" w:hanging="567"/>
              <w:jc w:val="both"/>
              <w:rPr>
                <w:lang w:val="id-ID"/>
              </w:rPr>
            </w:pPr>
            <w:r w:rsidRPr="00165B89">
              <w:rPr>
                <w:lang w:val="id-ID"/>
              </w:rPr>
              <w:t>Laporan Triwulanan;</w:t>
            </w:r>
          </w:p>
        </w:tc>
        <w:tc>
          <w:tcPr>
            <w:tcW w:w="4029" w:type="dxa"/>
          </w:tcPr>
          <w:p w14:paraId="332C272D" w14:textId="77777777" w:rsidR="00165B89" w:rsidRPr="00165B89" w:rsidRDefault="00165B89" w:rsidP="003C191F"/>
        </w:tc>
        <w:tc>
          <w:tcPr>
            <w:tcW w:w="4029" w:type="dxa"/>
          </w:tcPr>
          <w:p w14:paraId="3FE7B5B3" w14:textId="77777777" w:rsidR="00165B89" w:rsidRPr="00165B89" w:rsidRDefault="00165B89" w:rsidP="003C191F"/>
        </w:tc>
      </w:tr>
      <w:tr w:rsidR="00165B89" w:rsidRPr="00165B89" w14:paraId="2CFBDD5C" w14:textId="77777777" w:rsidTr="003C191F">
        <w:tc>
          <w:tcPr>
            <w:tcW w:w="7533" w:type="dxa"/>
          </w:tcPr>
          <w:p w14:paraId="2534C93E" w14:textId="77777777" w:rsidR="00165B89" w:rsidRPr="00165B89" w:rsidRDefault="00165B89" w:rsidP="003C191F">
            <w:pPr>
              <w:pStyle w:val="BodyText"/>
              <w:numPr>
                <w:ilvl w:val="0"/>
                <w:numId w:val="6"/>
              </w:numPr>
              <w:spacing w:line="360" w:lineRule="auto"/>
              <w:ind w:left="2268" w:hanging="567"/>
              <w:jc w:val="both"/>
              <w:rPr>
                <w:lang w:val="id-ID"/>
              </w:rPr>
            </w:pPr>
            <w:r w:rsidRPr="00165B89">
              <w:rPr>
                <w:lang w:val="id-ID"/>
              </w:rPr>
              <w:t>Laporan Tahunan; dan</w:t>
            </w:r>
          </w:p>
        </w:tc>
        <w:tc>
          <w:tcPr>
            <w:tcW w:w="4029" w:type="dxa"/>
          </w:tcPr>
          <w:p w14:paraId="75192709" w14:textId="77777777" w:rsidR="00165B89" w:rsidRPr="00165B89" w:rsidRDefault="00165B89" w:rsidP="003C191F"/>
        </w:tc>
        <w:tc>
          <w:tcPr>
            <w:tcW w:w="4029" w:type="dxa"/>
          </w:tcPr>
          <w:p w14:paraId="60FB8A77" w14:textId="77777777" w:rsidR="00165B89" w:rsidRPr="00165B89" w:rsidRDefault="00165B89" w:rsidP="003C191F"/>
        </w:tc>
      </w:tr>
      <w:tr w:rsidR="00165B89" w:rsidRPr="00165B89" w14:paraId="455234E9" w14:textId="77777777" w:rsidTr="003C191F">
        <w:tc>
          <w:tcPr>
            <w:tcW w:w="7533" w:type="dxa"/>
          </w:tcPr>
          <w:p w14:paraId="5567DC00" w14:textId="77777777" w:rsidR="00165B89" w:rsidRPr="00165B89" w:rsidRDefault="00165B89" w:rsidP="003C191F">
            <w:pPr>
              <w:pStyle w:val="BodyText"/>
              <w:numPr>
                <w:ilvl w:val="0"/>
                <w:numId w:val="6"/>
              </w:numPr>
              <w:spacing w:line="360" w:lineRule="auto"/>
              <w:ind w:left="2268" w:hanging="567"/>
              <w:jc w:val="both"/>
              <w:rPr>
                <w:lang w:val="id-ID"/>
              </w:rPr>
            </w:pPr>
            <w:r w:rsidRPr="00165B89">
              <w:rPr>
                <w:lang w:val="id-ID"/>
              </w:rPr>
              <w:t>Laporan Lain.</w:t>
            </w:r>
          </w:p>
        </w:tc>
        <w:tc>
          <w:tcPr>
            <w:tcW w:w="4029" w:type="dxa"/>
          </w:tcPr>
          <w:p w14:paraId="0C6FD414" w14:textId="77777777" w:rsidR="00165B89" w:rsidRPr="00165B89" w:rsidRDefault="00165B89" w:rsidP="003C191F"/>
        </w:tc>
        <w:tc>
          <w:tcPr>
            <w:tcW w:w="4029" w:type="dxa"/>
          </w:tcPr>
          <w:p w14:paraId="3927C235" w14:textId="77777777" w:rsidR="00165B89" w:rsidRPr="00165B89" w:rsidRDefault="00165B89" w:rsidP="003C191F"/>
        </w:tc>
      </w:tr>
      <w:tr w:rsidR="00165B89" w:rsidRPr="00165B89" w14:paraId="29988789" w14:textId="77777777" w:rsidTr="003C191F">
        <w:tc>
          <w:tcPr>
            <w:tcW w:w="7533" w:type="dxa"/>
          </w:tcPr>
          <w:p w14:paraId="7DC49752" w14:textId="77777777" w:rsidR="00165B89" w:rsidRPr="00165B89" w:rsidRDefault="00165B89" w:rsidP="003C191F">
            <w:pPr>
              <w:pStyle w:val="BodyText"/>
              <w:numPr>
                <w:ilvl w:val="0"/>
                <w:numId w:val="5"/>
              </w:numPr>
              <w:spacing w:line="360" w:lineRule="auto"/>
              <w:ind w:left="1701" w:hanging="567"/>
              <w:jc w:val="both"/>
              <w:rPr>
                <w:lang w:val="id-ID"/>
              </w:rPr>
            </w:pPr>
            <w:r w:rsidRPr="00165B89">
              <w:rPr>
                <w:lang w:val="id-ID"/>
              </w:rPr>
              <w:lastRenderedPageBreak/>
              <w:t>Laporan bagi Perusahaan Penilai Kerugian Asuransi terdiri atas:</w:t>
            </w:r>
          </w:p>
        </w:tc>
        <w:tc>
          <w:tcPr>
            <w:tcW w:w="4029" w:type="dxa"/>
          </w:tcPr>
          <w:p w14:paraId="79EE2C55" w14:textId="77777777" w:rsidR="00165B89" w:rsidRPr="00165B89" w:rsidRDefault="00165B89" w:rsidP="003C191F"/>
        </w:tc>
        <w:tc>
          <w:tcPr>
            <w:tcW w:w="4029" w:type="dxa"/>
          </w:tcPr>
          <w:p w14:paraId="4127A959" w14:textId="77777777" w:rsidR="00165B89" w:rsidRPr="00165B89" w:rsidRDefault="00165B89" w:rsidP="003C191F"/>
        </w:tc>
      </w:tr>
      <w:tr w:rsidR="00165B89" w:rsidRPr="00165B89" w14:paraId="1F11AE77" w14:textId="77777777" w:rsidTr="003C191F">
        <w:tc>
          <w:tcPr>
            <w:tcW w:w="7533" w:type="dxa"/>
          </w:tcPr>
          <w:p w14:paraId="5B946231" w14:textId="77777777" w:rsidR="00165B89" w:rsidRPr="00165B89" w:rsidRDefault="00165B89" w:rsidP="003C191F">
            <w:pPr>
              <w:pStyle w:val="BodyText"/>
              <w:numPr>
                <w:ilvl w:val="0"/>
                <w:numId w:val="27"/>
              </w:numPr>
              <w:spacing w:line="360" w:lineRule="auto"/>
              <w:ind w:left="2268" w:hanging="567"/>
              <w:jc w:val="both"/>
              <w:rPr>
                <w:lang w:val="id-ID"/>
              </w:rPr>
            </w:pPr>
            <w:r w:rsidRPr="00165B89">
              <w:rPr>
                <w:lang w:val="id-ID"/>
              </w:rPr>
              <w:t>Laporan Tahunan; dan</w:t>
            </w:r>
          </w:p>
        </w:tc>
        <w:tc>
          <w:tcPr>
            <w:tcW w:w="4029" w:type="dxa"/>
          </w:tcPr>
          <w:p w14:paraId="6687E051" w14:textId="77777777" w:rsidR="00165B89" w:rsidRPr="00165B89" w:rsidRDefault="00165B89" w:rsidP="003C191F"/>
        </w:tc>
        <w:tc>
          <w:tcPr>
            <w:tcW w:w="4029" w:type="dxa"/>
          </w:tcPr>
          <w:p w14:paraId="05B5808F" w14:textId="77777777" w:rsidR="00165B89" w:rsidRPr="00165B89" w:rsidRDefault="00165B89" w:rsidP="003C191F"/>
        </w:tc>
      </w:tr>
      <w:tr w:rsidR="00165B89" w:rsidRPr="00165B89" w14:paraId="331E55E4" w14:textId="77777777" w:rsidTr="003C191F">
        <w:tc>
          <w:tcPr>
            <w:tcW w:w="7533" w:type="dxa"/>
          </w:tcPr>
          <w:p w14:paraId="045ECDC5" w14:textId="77777777" w:rsidR="00165B89" w:rsidRPr="00165B89" w:rsidRDefault="00165B89" w:rsidP="003C191F">
            <w:pPr>
              <w:pStyle w:val="BodyText"/>
              <w:numPr>
                <w:ilvl w:val="0"/>
                <w:numId w:val="27"/>
              </w:numPr>
              <w:spacing w:line="360" w:lineRule="auto"/>
              <w:ind w:left="2268" w:hanging="567"/>
              <w:jc w:val="both"/>
              <w:rPr>
                <w:lang w:val="id-ID"/>
              </w:rPr>
            </w:pPr>
            <w:r w:rsidRPr="00165B89">
              <w:rPr>
                <w:lang w:val="id-ID"/>
              </w:rPr>
              <w:t>Laporan Lain.</w:t>
            </w:r>
          </w:p>
        </w:tc>
        <w:tc>
          <w:tcPr>
            <w:tcW w:w="4029" w:type="dxa"/>
          </w:tcPr>
          <w:p w14:paraId="4408BD6E" w14:textId="77777777" w:rsidR="00165B89" w:rsidRPr="00165B89" w:rsidRDefault="00165B89" w:rsidP="003C191F"/>
        </w:tc>
        <w:tc>
          <w:tcPr>
            <w:tcW w:w="4029" w:type="dxa"/>
          </w:tcPr>
          <w:p w14:paraId="1E580E03" w14:textId="77777777" w:rsidR="00165B89" w:rsidRPr="00165B89" w:rsidRDefault="00165B89" w:rsidP="003C191F"/>
        </w:tc>
      </w:tr>
      <w:tr w:rsidR="00165B89" w:rsidRPr="00165B89" w14:paraId="395E72CC" w14:textId="77777777" w:rsidTr="003C191F">
        <w:tc>
          <w:tcPr>
            <w:tcW w:w="7533" w:type="dxa"/>
          </w:tcPr>
          <w:p w14:paraId="2DD1ECA3" w14:textId="77777777" w:rsidR="00165B89" w:rsidRPr="00165B89" w:rsidRDefault="00165B89" w:rsidP="003C191F">
            <w:pPr>
              <w:pStyle w:val="BodyText"/>
              <w:numPr>
                <w:ilvl w:val="0"/>
                <w:numId w:val="5"/>
              </w:numPr>
              <w:spacing w:line="360" w:lineRule="auto"/>
              <w:ind w:left="1701" w:hanging="567"/>
              <w:jc w:val="both"/>
              <w:rPr>
                <w:lang w:val="en-ID"/>
              </w:rPr>
            </w:pPr>
            <w:r w:rsidRPr="00165B89">
              <w:rPr>
                <w:lang w:val="id-ID"/>
              </w:rPr>
              <w:t xml:space="preserve">Laporan Tahunan </w:t>
            </w:r>
            <w:r w:rsidRPr="00165B89">
              <w:rPr>
                <w:lang w:val="en-ID"/>
              </w:rPr>
              <w:t xml:space="preserve">sebagaimana dimaksud pada angka 1 huruf b bagi </w:t>
            </w:r>
            <w:r w:rsidRPr="00165B89">
              <w:rPr>
                <w:lang w:val="id-ID"/>
              </w:rPr>
              <w:t>Perusahaan Pialang Asuransi dan Perusahaan Pialang Reasuransi</w:t>
            </w:r>
            <w:r w:rsidRPr="00165B89">
              <w:rPr>
                <w:lang w:val="en-ID"/>
              </w:rPr>
              <w:t xml:space="preserve"> dan angka 2 huruf a bagi Perusahaan </w:t>
            </w:r>
            <w:r w:rsidRPr="00165B89">
              <w:rPr>
                <w:lang w:val="id-ID"/>
              </w:rPr>
              <w:t>Penilai Kerugian Asuransi</w:t>
            </w:r>
            <w:r w:rsidRPr="00165B89">
              <w:rPr>
                <w:lang w:val="en-ID"/>
              </w:rPr>
              <w:t>, terdiri atas:</w:t>
            </w:r>
          </w:p>
        </w:tc>
        <w:tc>
          <w:tcPr>
            <w:tcW w:w="4029" w:type="dxa"/>
          </w:tcPr>
          <w:p w14:paraId="696FF6C3" w14:textId="77777777" w:rsidR="00165B89" w:rsidRPr="00165B89" w:rsidRDefault="00165B89" w:rsidP="003C191F"/>
        </w:tc>
        <w:tc>
          <w:tcPr>
            <w:tcW w:w="4029" w:type="dxa"/>
          </w:tcPr>
          <w:p w14:paraId="075A96F9" w14:textId="77777777" w:rsidR="00165B89" w:rsidRPr="00165B89" w:rsidRDefault="00165B89" w:rsidP="003C191F"/>
        </w:tc>
      </w:tr>
      <w:tr w:rsidR="00165B89" w:rsidRPr="00165B89" w14:paraId="5F3C7B27" w14:textId="77777777" w:rsidTr="003C191F">
        <w:tc>
          <w:tcPr>
            <w:tcW w:w="7533" w:type="dxa"/>
          </w:tcPr>
          <w:p w14:paraId="7766D99E" w14:textId="77777777" w:rsidR="00165B89" w:rsidRPr="00165B89" w:rsidRDefault="00165B89" w:rsidP="003C191F">
            <w:pPr>
              <w:pStyle w:val="BodyText"/>
              <w:numPr>
                <w:ilvl w:val="0"/>
                <w:numId w:val="28"/>
              </w:numPr>
              <w:spacing w:line="360" w:lineRule="auto"/>
              <w:ind w:left="2268" w:hanging="567"/>
              <w:jc w:val="both"/>
              <w:rPr>
                <w:lang w:val="en-ID"/>
              </w:rPr>
            </w:pPr>
            <w:r w:rsidRPr="00165B89">
              <w:rPr>
                <w:lang w:val="id-ID"/>
              </w:rPr>
              <w:t xml:space="preserve">aspek </w:t>
            </w:r>
            <w:r w:rsidRPr="00165B89">
              <w:rPr>
                <w:lang w:val="en-ID"/>
              </w:rPr>
              <w:t> keuangan; dan</w:t>
            </w:r>
          </w:p>
        </w:tc>
        <w:tc>
          <w:tcPr>
            <w:tcW w:w="4029" w:type="dxa"/>
          </w:tcPr>
          <w:p w14:paraId="3FB7769D" w14:textId="77777777" w:rsidR="00165B89" w:rsidRPr="00165B89" w:rsidRDefault="00165B89" w:rsidP="003C191F"/>
        </w:tc>
        <w:tc>
          <w:tcPr>
            <w:tcW w:w="4029" w:type="dxa"/>
          </w:tcPr>
          <w:p w14:paraId="7C4E3462" w14:textId="77777777" w:rsidR="00165B89" w:rsidRPr="00165B89" w:rsidRDefault="00165B89" w:rsidP="003C191F"/>
        </w:tc>
      </w:tr>
      <w:tr w:rsidR="00165B89" w:rsidRPr="00165B89" w14:paraId="72E4B3E1" w14:textId="77777777" w:rsidTr="003C191F">
        <w:tc>
          <w:tcPr>
            <w:tcW w:w="7533" w:type="dxa"/>
          </w:tcPr>
          <w:p w14:paraId="2E4D6235" w14:textId="77777777" w:rsidR="00165B89" w:rsidRPr="00165B89" w:rsidRDefault="00165B89" w:rsidP="003C191F">
            <w:pPr>
              <w:pStyle w:val="BodyText"/>
              <w:numPr>
                <w:ilvl w:val="0"/>
                <w:numId w:val="28"/>
              </w:numPr>
              <w:spacing w:line="360" w:lineRule="auto"/>
              <w:ind w:left="2268" w:hanging="567"/>
              <w:jc w:val="both"/>
              <w:rPr>
                <w:lang w:val="en-ID"/>
              </w:rPr>
            </w:pPr>
            <w:r w:rsidRPr="00165B89">
              <w:rPr>
                <w:lang w:val="en-ID"/>
              </w:rPr>
              <w:t>aspek manajemen.</w:t>
            </w:r>
          </w:p>
        </w:tc>
        <w:tc>
          <w:tcPr>
            <w:tcW w:w="4029" w:type="dxa"/>
          </w:tcPr>
          <w:p w14:paraId="69BD5954" w14:textId="77777777" w:rsidR="00165B89" w:rsidRPr="00165B89" w:rsidRDefault="00165B89" w:rsidP="003C191F"/>
        </w:tc>
        <w:tc>
          <w:tcPr>
            <w:tcW w:w="4029" w:type="dxa"/>
          </w:tcPr>
          <w:p w14:paraId="2018CFB2" w14:textId="77777777" w:rsidR="00165B89" w:rsidRPr="00165B89" w:rsidRDefault="00165B89" w:rsidP="003C191F"/>
        </w:tc>
      </w:tr>
      <w:tr w:rsidR="00165B89" w:rsidRPr="00165B89" w14:paraId="7979F93A" w14:textId="77777777" w:rsidTr="003C191F">
        <w:tc>
          <w:tcPr>
            <w:tcW w:w="7533" w:type="dxa"/>
          </w:tcPr>
          <w:p w14:paraId="4AD5C53C" w14:textId="77777777" w:rsidR="00165B89" w:rsidRPr="00165B89" w:rsidRDefault="00165B89" w:rsidP="003C191F">
            <w:pPr>
              <w:pStyle w:val="BodyText"/>
              <w:numPr>
                <w:ilvl w:val="0"/>
                <w:numId w:val="5"/>
              </w:numPr>
              <w:spacing w:line="360" w:lineRule="auto"/>
              <w:ind w:left="1701" w:hanging="567"/>
              <w:jc w:val="both"/>
              <w:rPr>
                <w:lang w:val="en-ID"/>
              </w:rPr>
            </w:pPr>
            <w:r w:rsidRPr="00165B89">
              <w:rPr>
                <w:lang w:val="en-ID"/>
              </w:rPr>
              <w:t xml:space="preserve">Aspek keuangan sebagaimana dimaksud pada angka 3 huruf a bagi Perusahaan Pialang Asuransi, Perusahaan Pialang Reasuransi, dan Perusahaan Penilai Kerugian Asuransi, yaitu laporan keuangan tahunan sebagaimana dimaksud dalam Peraturan Otoritas Jasa Keuangan mengenai Penyelenggaraan Usaha Perusahaan Pialang Asuransi, Perusahaan Pialang Reasuransi, dan Perusahaan Penilai Kerugian Asuransi, yaitu laporan keuangan tahunan yang telah diaudit oleh akuntan publik </w:t>
            </w:r>
            <w:r w:rsidRPr="00165B89">
              <w:rPr>
                <w:lang w:val="en-ID"/>
              </w:rPr>
              <w:lastRenderedPageBreak/>
              <w:t>yang terdaftar di Otoritas Jasa Keuangan dan mendapat pengesahan rapat umum pemegang saham.</w:t>
            </w:r>
          </w:p>
        </w:tc>
        <w:tc>
          <w:tcPr>
            <w:tcW w:w="4029" w:type="dxa"/>
          </w:tcPr>
          <w:p w14:paraId="05FC6A70" w14:textId="77777777" w:rsidR="00165B89" w:rsidRPr="00165B89" w:rsidRDefault="00165B89" w:rsidP="003C191F"/>
        </w:tc>
        <w:tc>
          <w:tcPr>
            <w:tcW w:w="4029" w:type="dxa"/>
          </w:tcPr>
          <w:p w14:paraId="3F8C03C9" w14:textId="77777777" w:rsidR="00165B89" w:rsidRPr="00165B89" w:rsidRDefault="00165B89" w:rsidP="003C191F"/>
        </w:tc>
      </w:tr>
      <w:tr w:rsidR="00165B89" w:rsidRPr="00165B89" w14:paraId="211EB3DF" w14:textId="77777777" w:rsidTr="003C191F">
        <w:tc>
          <w:tcPr>
            <w:tcW w:w="7533" w:type="dxa"/>
          </w:tcPr>
          <w:p w14:paraId="575B23A6" w14:textId="77777777" w:rsidR="00165B89" w:rsidRPr="00165B89" w:rsidRDefault="00165B89" w:rsidP="003C191F">
            <w:pPr>
              <w:pStyle w:val="BodyText"/>
              <w:numPr>
                <w:ilvl w:val="0"/>
                <w:numId w:val="5"/>
              </w:numPr>
              <w:spacing w:line="360" w:lineRule="auto"/>
              <w:ind w:left="1701" w:hanging="567"/>
              <w:jc w:val="both"/>
              <w:rPr>
                <w:lang w:val="en-ID"/>
              </w:rPr>
            </w:pPr>
            <w:r w:rsidRPr="00165B89">
              <w:rPr>
                <w:lang w:val="en-ID"/>
              </w:rPr>
              <w:t>Ketentuan mengenai aspek manajemen sebagaimana dimaksud pada angka 3 huruf b bagi Perusahaan meliputi:</w:t>
            </w:r>
          </w:p>
        </w:tc>
        <w:tc>
          <w:tcPr>
            <w:tcW w:w="4029" w:type="dxa"/>
          </w:tcPr>
          <w:p w14:paraId="5E7381A0" w14:textId="77777777" w:rsidR="00165B89" w:rsidRPr="00165B89" w:rsidRDefault="00165B89" w:rsidP="003C191F"/>
        </w:tc>
        <w:tc>
          <w:tcPr>
            <w:tcW w:w="4029" w:type="dxa"/>
          </w:tcPr>
          <w:p w14:paraId="1040CDAA" w14:textId="77777777" w:rsidR="00165B89" w:rsidRPr="00165B89" w:rsidRDefault="00165B89" w:rsidP="003C191F"/>
        </w:tc>
      </w:tr>
      <w:tr w:rsidR="00165B89" w:rsidRPr="00165B89" w14:paraId="3B1546D7" w14:textId="77777777" w:rsidTr="003C191F">
        <w:tc>
          <w:tcPr>
            <w:tcW w:w="7533" w:type="dxa"/>
          </w:tcPr>
          <w:p w14:paraId="31E745EF" w14:textId="77777777" w:rsidR="00165B89" w:rsidRPr="00165B89" w:rsidRDefault="00165B89" w:rsidP="003C191F">
            <w:pPr>
              <w:pStyle w:val="BodyText"/>
              <w:numPr>
                <w:ilvl w:val="0"/>
                <w:numId w:val="31"/>
              </w:numPr>
              <w:spacing w:line="360" w:lineRule="auto"/>
              <w:ind w:left="2268" w:hanging="567"/>
              <w:jc w:val="both"/>
              <w:rPr>
                <w:lang w:val="en-ID"/>
              </w:rPr>
            </w:pPr>
            <w:r w:rsidRPr="00165B89">
              <w:rPr>
                <w:lang w:val="en-ID"/>
              </w:rPr>
              <w:t>bukti sertifikat atau bukti lain yang menunjukkan bahwa pihak utama telah memenuhi syarat keberlanjutan sebagaimana dimaksud dalam Peraturan Otoritas Jasa Keuangan mengenai pengembangan kualitas sumber daya manusia bagi perusahaan perasuransian, lembaga penjamin dan dana pensiun, serta lembaga khusus bidang perasuransian, penjaminan, dan dana pensiun.</w:t>
            </w:r>
          </w:p>
        </w:tc>
        <w:tc>
          <w:tcPr>
            <w:tcW w:w="4029" w:type="dxa"/>
          </w:tcPr>
          <w:p w14:paraId="1072A616" w14:textId="77777777" w:rsidR="00165B89" w:rsidRPr="00165B89" w:rsidRDefault="00165B89" w:rsidP="003C191F"/>
        </w:tc>
        <w:tc>
          <w:tcPr>
            <w:tcW w:w="4029" w:type="dxa"/>
          </w:tcPr>
          <w:p w14:paraId="195A5FAE" w14:textId="77777777" w:rsidR="00165B89" w:rsidRPr="00165B89" w:rsidRDefault="00165B89" w:rsidP="003C191F"/>
        </w:tc>
      </w:tr>
      <w:tr w:rsidR="00165B89" w:rsidRPr="00165B89" w14:paraId="7F7B4F83" w14:textId="77777777" w:rsidTr="003C191F">
        <w:tc>
          <w:tcPr>
            <w:tcW w:w="7533" w:type="dxa"/>
          </w:tcPr>
          <w:p w14:paraId="3A4B7B86" w14:textId="77777777" w:rsidR="00165B89" w:rsidRPr="00165B89" w:rsidRDefault="00165B89" w:rsidP="003C191F">
            <w:pPr>
              <w:pStyle w:val="BodyText"/>
              <w:numPr>
                <w:ilvl w:val="0"/>
                <w:numId w:val="31"/>
              </w:numPr>
              <w:spacing w:line="360" w:lineRule="auto"/>
              <w:ind w:left="2268" w:hanging="567"/>
              <w:jc w:val="both"/>
              <w:rPr>
                <w:lang w:val="en-ID"/>
              </w:rPr>
            </w:pPr>
            <w:r w:rsidRPr="00165B89">
              <w:rPr>
                <w:lang w:val="en-ID"/>
              </w:rPr>
              <w:t>laporan penerapan tata kelola perusahaan yang baik bagi Perusahaan sebagaimana dimaksud dalam Peraturan Otoritas Jasa Keuangan mengenai tata kelola perusahaan yang baik bagi perusahaan perasuransian; dan</w:t>
            </w:r>
          </w:p>
        </w:tc>
        <w:tc>
          <w:tcPr>
            <w:tcW w:w="4029" w:type="dxa"/>
          </w:tcPr>
          <w:p w14:paraId="7CCEA036" w14:textId="77777777" w:rsidR="00165B89" w:rsidRPr="00165B89" w:rsidRDefault="00165B89" w:rsidP="003C191F"/>
        </w:tc>
        <w:tc>
          <w:tcPr>
            <w:tcW w:w="4029" w:type="dxa"/>
          </w:tcPr>
          <w:p w14:paraId="1DE54456" w14:textId="77777777" w:rsidR="00165B89" w:rsidRPr="00165B89" w:rsidRDefault="00165B89" w:rsidP="003C191F"/>
        </w:tc>
      </w:tr>
      <w:tr w:rsidR="00165B89" w:rsidRPr="00165B89" w14:paraId="46CF0250" w14:textId="77777777" w:rsidTr="003C191F">
        <w:tc>
          <w:tcPr>
            <w:tcW w:w="7533" w:type="dxa"/>
          </w:tcPr>
          <w:p w14:paraId="38A63E3D" w14:textId="77777777" w:rsidR="00165B89" w:rsidRPr="00165B89" w:rsidRDefault="00165B89" w:rsidP="003C191F">
            <w:pPr>
              <w:pStyle w:val="BodyText"/>
              <w:numPr>
                <w:ilvl w:val="0"/>
                <w:numId w:val="31"/>
              </w:numPr>
              <w:spacing w:line="360" w:lineRule="auto"/>
              <w:ind w:left="2268" w:hanging="567"/>
              <w:jc w:val="both"/>
              <w:rPr>
                <w:lang w:val="en-ID"/>
              </w:rPr>
            </w:pPr>
            <w:r w:rsidRPr="00165B89">
              <w:rPr>
                <w:lang w:val="en-ID"/>
              </w:rPr>
              <w:lastRenderedPageBreak/>
              <w:t>laporan manajemen Perusahaan lainnya untuk periode 1 Januari sampai dengan 31 Desember.</w:t>
            </w:r>
          </w:p>
        </w:tc>
        <w:tc>
          <w:tcPr>
            <w:tcW w:w="4029" w:type="dxa"/>
          </w:tcPr>
          <w:p w14:paraId="5CAE887E" w14:textId="77777777" w:rsidR="00165B89" w:rsidRPr="00165B89" w:rsidRDefault="00165B89" w:rsidP="003C191F"/>
        </w:tc>
        <w:tc>
          <w:tcPr>
            <w:tcW w:w="4029" w:type="dxa"/>
          </w:tcPr>
          <w:p w14:paraId="2EB73DEA" w14:textId="77777777" w:rsidR="00165B89" w:rsidRPr="00165B89" w:rsidRDefault="00165B89" w:rsidP="003C191F"/>
        </w:tc>
      </w:tr>
      <w:tr w:rsidR="00165B89" w:rsidRPr="00165B89" w14:paraId="70FAF583" w14:textId="77777777" w:rsidTr="003C191F">
        <w:tc>
          <w:tcPr>
            <w:tcW w:w="7533" w:type="dxa"/>
          </w:tcPr>
          <w:p w14:paraId="0E989BC5" w14:textId="77777777" w:rsidR="00165B89" w:rsidRPr="00165B89" w:rsidRDefault="00165B89" w:rsidP="003C191F">
            <w:pPr>
              <w:pStyle w:val="BodyText"/>
              <w:numPr>
                <w:ilvl w:val="0"/>
                <w:numId w:val="5"/>
              </w:numPr>
              <w:spacing w:line="360" w:lineRule="auto"/>
              <w:ind w:left="1701" w:hanging="567"/>
              <w:jc w:val="both"/>
              <w:rPr>
                <w:lang w:val="en-ID"/>
              </w:rPr>
            </w:pPr>
            <w:r w:rsidRPr="00165B89">
              <w:rPr>
                <w:lang w:val="en-ID"/>
              </w:rPr>
              <w:t>Laporan Lain sebagaimana dimaksud dalam angka 1 huruf c bagi Perusahaan Pialang Asuransi, terdiri atas:</w:t>
            </w:r>
          </w:p>
        </w:tc>
        <w:tc>
          <w:tcPr>
            <w:tcW w:w="4029" w:type="dxa"/>
          </w:tcPr>
          <w:p w14:paraId="0F9C8CD7" w14:textId="77777777" w:rsidR="00165B89" w:rsidRPr="00165B89" w:rsidRDefault="00165B89" w:rsidP="003C191F"/>
        </w:tc>
        <w:tc>
          <w:tcPr>
            <w:tcW w:w="4029" w:type="dxa"/>
          </w:tcPr>
          <w:p w14:paraId="03D3D765" w14:textId="77777777" w:rsidR="00165B89" w:rsidRPr="00165B89" w:rsidRDefault="00165B89" w:rsidP="003C191F"/>
        </w:tc>
      </w:tr>
      <w:tr w:rsidR="00165B89" w:rsidRPr="00165B89" w14:paraId="178C4B35" w14:textId="77777777" w:rsidTr="003C191F">
        <w:tc>
          <w:tcPr>
            <w:tcW w:w="7533" w:type="dxa"/>
          </w:tcPr>
          <w:p w14:paraId="66A988CA" w14:textId="77777777" w:rsidR="00165B89" w:rsidRPr="00165B89" w:rsidRDefault="00165B89" w:rsidP="003C191F">
            <w:pPr>
              <w:pStyle w:val="BodyText"/>
              <w:numPr>
                <w:ilvl w:val="0"/>
                <w:numId w:val="29"/>
              </w:numPr>
              <w:spacing w:line="360" w:lineRule="auto"/>
              <w:ind w:left="2268" w:hanging="567"/>
              <w:jc w:val="both"/>
              <w:rPr>
                <w:lang w:val="id-ID"/>
              </w:rPr>
            </w:pPr>
            <w:r w:rsidRPr="00165B89">
              <w:rPr>
                <w:lang w:val="id-ID"/>
              </w:rPr>
              <w:t>rencana bisnis sebagaimana diatur dalam Peraturan Otoritas Jasa Keuangan mengenai rencana bisnis lembaga jasa keuangan nonbank;</w:t>
            </w:r>
          </w:p>
        </w:tc>
        <w:tc>
          <w:tcPr>
            <w:tcW w:w="4029" w:type="dxa"/>
          </w:tcPr>
          <w:p w14:paraId="10F1A44C" w14:textId="77777777" w:rsidR="00165B89" w:rsidRPr="00165B89" w:rsidRDefault="00165B89" w:rsidP="003C191F"/>
        </w:tc>
        <w:tc>
          <w:tcPr>
            <w:tcW w:w="4029" w:type="dxa"/>
          </w:tcPr>
          <w:p w14:paraId="2138B534" w14:textId="77777777" w:rsidR="00165B89" w:rsidRPr="00165B89" w:rsidRDefault="00165B89" w:rsidP="003C191F"/>
        </w:tc>
      </w:tr>
      <w:tr w:rsidR="00165B89" w:rsidRPr="00165B89" w14:paraId="495AA89D" w14:textId="77777777" w:rsidTr="003C191F">
        <w:tc>
          <w:tcPr>
            <w:tcW w:w="7533" w:type="dxa"/>
          </w:tcPr>
          <w:p w14:paraId="7C2DF662" w14:textId="77777777" w:rsidR="00165B89" w:rsidRPr="00165B89" w:rsidRDefault="00165B89" w:rsidP="003C191F">
            <w:pPr>
              <w:pStyle w:val="BodyText"/>
              <w:numPr>
                <w:ilvl w:val="0"/>
                <w:numId w:val="29"/>
              </w:numPr>
              <w:spacing w:line="360" w:lineRule="auto"/>
              <w:ind w:left="2268" w:hanging="567"/>
              <w:jc w:val="both"/>
              <w:rPr>
                <w:lang w:val="id-ID"/>
              </w:rPr>
            </w:pPr>
            <w:r w:rsidRPr="00165B89">
              <w:rPr>
                <w:lang w:val="id-ID"/>
              </w:rPr>
              <w:t>laporan realisasi rencana bisnis sebagaimana diatur dalam Peraturan Otoritas Jasa Keuangan mengenai rencana bisnis lembaga jasa keuangan nonbank;</w:t>
            </w:r>
          </w:p>
        </w:tc>
        <w:tc>
          <w:tcPr>
            <w:tcW w:w="4029" w:type="dxa"/>
          </w:tcPr>
          <w:p w14:paraId="0A520E68" w14:textId="77777777" w:rsidR="00165B89" w:rsidRPr="00165B89" w:rsidRDefault="00165B89" w:rsidP="003C191F"/>
        </w:tc>
        <w:tc>
          <w:tcPr>
            <w:tcW w:w="4029" w:type="dxa"/>
          </w:tcPr>
          <w:p w14:paraId="08FF688D" w14:textId="77777777" w:rsidR="00165B89" w:rsidRPr="00165B89" w:rsidRDefault="00165B89" w:rsidP="003C191F"/>
        </w:tc>
      </w:tr>
      <w:tr w:rsidR="00165B89" w:rsidRPr="00165B89" w14:paraId="4E200581" w14:textId="77777777" w:rsidTr="003C191F">
        <w:tc>
          <w:tcPr>
            <w:tcW w:w="7533" w:type="dxa"/>
          </w:tcPr>
          <w:p w14:paraId="36035C23" w14:textId="77777777" w:rsidR="00165B89" w:rsidRPr="00165B89" w:rsidRDefault="00165B89" w:rsidP="003C191F">
            <w:pPr>
              <w:pStyle w:val="BodyText"/>
              <w:numPr>
                <w:ilvl w:val="0"/>
                <w:numId w:val="29"/>
              </w:numPr>
              <w:spacing w:line="360" w:lineRule="auto"/>
              <w:ind w:left="2268" w:hanging="567"/>
              <w:jc w:val="both"/>
              <w:rPr>
                <w:lang w:val="id-ID"/>
              </w:rPr>
            </w:pPr>
            <w:r w:rsidRPr="00165B89">
              <w:rPr>
                <w:lang w:val="id-ID"/>
              </w:rPr>
              <w:t>laporan pengawasan rencana bisnis sebagaimana diatur dalam Peraturan Otoritas Jasa Keuangan mengenai rencana bisnis lembaga jasa keuangan nonbank;</w:t>
            </w:r>
          </w:p>
        </w:tc>
        <w:tc>
          <w:tcPr>
            <w:tcW w:w="4029" w:type="dxa"/>
          </w:tcPr>
          <w:p w14:paraId="39F28108" w14:textId="77777777" w:rsidR="00165B89" w:rsidRPr="00165B89" w:rsidRDefault="00165B89" w:rsidP="003C191F"/>
        </w:tc>
        <w:tc>
          <w:tcPr>
            <w:tcW w:w="4029" w:type="dxa"/>
          </w:tcPr>
          <w:p w14:paraId="274CF357" w14:textId="77777777" w:rsidR="00165B89" w:rsidRPr="00165B89" w:rsidRDefault="00165B89" w:rsidP="003C191F"/>
        </w:tc>
      </w:tr>
      <w:tr w:rsidR="00165B89" w:rsidRPr="00165B89" w14:paraId="4D2C12ED" w14:textId="77777777" w:rsidTr="003C191F">
        <w:tc>
          <w:tcPr>
            <w:tcW w:w="7533" w:type="dxa"/>
          </w:tcPr>
          <w:p w14:paraId="3D8008D8" w14:textId="77777777" w:rsidR="00165B89" w:rsidRPr="00165B89" w:rsidRDefault="00165B89" w:rsidP="003C191F">
            <w:pPr>
              <w:pStyle w:val="BodyText"/>
              <w:numPr>
                <w:ilvl w:val="0"/>
                <w:numId w:val="29"/>
              </w:numPr>
              <w:spacing w:line="360" w:lineRule="auto"/>
              <w:ind w:left="2268" w:hanging="567"/>
              <w:jc w:val="both"/>
              <w:rPr>
                <w:lang w:val="id-ID"/>
              </w:rPr>
            </w:pPr>
            <w:r w:rsidRPr="00165B89">
              <w:rPr>
                <w:lang w:val="id-ID"/>
              </w:rPr>
              <w:t xml:space="preserve">laporan penerapan strategi </w:t>
            </w:r>
            <w:r w:rsidRPr="00165B89">
              <w:rPr>
                <w:i/>
                <w:iCs/>
                <w:lang w:val="id-ID"/>
              </w:rPr>
              <w:t>antifraud</w:t>
            </w:r>
            <w:r w:rsidRPr="00165B89">
              <w:rPr>
                <w:lang w:val="id-ID"/>
              </w:rPr>
              <w:t xml:space="preserve"> sebagaimana diatur dalam Peraturan Otoritas Jasa Keuangan mengenai </w:t>
            </w:r>
            <w:r w:rsidRPr="00165B89">
              <w:rPr>
                <w:lang w:val="id-ID"/>
              </w:rPr>
              <w:lastRenderedPageBreak/>
              <w:t xml:space="preserve">penerapan strategi </w:t>
            </w:r>
            <w:r w:rsidRPr="00165B89">
              <w:rPr>
                <w:i/>
                <w:iCs/>
                <w:lang w:val="id-ID"/>
              </w:rPr>
              <w:t>antifraud</w:t>
            </w:r>
            <w:r w:rsidRPr="00165B89">
              <w:rPr>
                <w:lang w:val="id-ID"/>
              </w:rPr>
              <w:t xml:space="preserve"> bagi lembaga jasa keuangan;</w:t>
            </w:r>
          </w:p>
        </w:tc>
        <w:tc>
          <w:tcPr>
            <w:tcW w:w="4029" w:type="dxa"/>
          </w:tcPr>
          <w:p w14:paraId="73E01E48" w14:textId="77777777" w:rsidR="00165B89" w:rsidRPr="00165B89" w:rsidRDefault="00165B89" w:rsidP="003C191F"/>
        </w:tc>
        <w:tc>
          <w:tcPr>
            <w:tcW w:w="4029" w:type="dxa"/>
          </w:tcPr>
          <w:p w14:paraId="77F6ABDC" w14:textId="77777777" w:rsidR="00165B89" w:rsidRPr="00165B89" w:rsidRDefault="00165B89" w:rsidP="003C191F"/>
        </w:tc>
      </w:tr>
      <w:tr w:rsidR="00165B89" w:rsidRPr="00165B89" w14:paraId="62BE435C" w14:textId="77777777" w:rsidTr="003C191F">
        <w:tc>
          <w:tcPr>
            <w:tcW w:w="7533" w:type="dxa"/>
          </w:tcPr>
          <w:p w14:paraId="2EDEFF9E" w14:textId="77777777" w:rsidR="00165B89" w:rsidRPr="00165B89" w:rsidRDefault="00165B89" w:rsidP="003C191F">
            <w:pPr>
              <w:pStyle w:val="BodyText"/>
              <w:numPr>
                <w:ilvl w:val="0"/>
                <w:numId w:val="29"/>
              </w:numPr>
              <w:spacing w:line="360" w:lineRule="auto"/>
              <w:ind w:left="2268" w:hanging="567"/>
              <w:jc w:val="both"/>
              <w:rPr>
                <w:lang w:val="id-ID"/>
              </w:rPr>
            </w:pPr>
            <w:r w:rsidRPr="00165B89">
              <w:rPr>
                <w:lang w:val="id-ID"/>
              </w:rPr>
              <w:t>laporan penilaian risiko tindak pidana pencucian uang, tindak pidana pendanaan terorisme, dan/atau pendanaan proliferasi senjata pemusnah massal yang disusun secara individual sebagaimana diatur dalam Peraturan Otoritas Jasa Keuangan mengenai penerapan program anti pencucian uang, pencegahan pendanaan terorisme, dan pencegahan pendanaan proliferasi senjata pemusnah massal di sektor jasa keuangan;</w:t>
            </w:r>
          </w:p>
        </w:tc>
        <w:tc>
          <w:tcPr>
            <w:tcW w:w="4029" w:type="dxa"/>
          </w:tcPr>
          <w:p w14:paraId="3C010AFE" w14:textId="77777777" w:rsidR="00165B89" w:rsidRPr="00165B89" w:rsidRDefault="00165B89" w:rsidP="003C191F"/>
        </w:tc>
        <w:tc>
          <w:tcPr>
            <w:tcW w:w="4029" w:type="dxa"/>
          </w:tcPr>
          <w:p w14:paraId="0F0F8DC4" w14:textId="77777777" w:rsidR="00165B89" w:rsidRPr="00165B89" w:rsidRDefault="00165B89" w:rsidP="003C191F"/>
        </w:tc>
      </w:tr>
      <w:tr w:rsidR="00165B89" w:rsidRPr="00165B89" w14:paraId="0B25B7CC" w14:textId="77777777" w:rsidTr="003C191F">
        <w:tc>
          <w:tcPr>
            <w:tcW w:w="7533" w:type="dxa"/>
          </w:tcPr>
          <w:p w14:paraId="382B123D" w14:textId="77777777" w:rsidR="00165B89" w:rsidRPr="00165B89" w:rsidRDefault="00165B89" w:rsidP="003C191F">
            <w:pPr>
              <w:pStyle w:val="BodyText"/>
              <w:numPr>
                <w:ilvl w:val="0"/>
                <w:numId w:val="29"/>
              </w:numPr>
              <w:spacing w:line="360" w:lineRule="auto"/>
              <w:ind w:left="2268" w:hanging="567"/>
              <w:jc w:val="both"/>
              <w:rPr>
                <w:lang w:val="id-ID"/>
              </w:rPr>
            </w:pPr>
            <w:r w:rsidRPr="00165B89">
              <w:rPr>
                <w:lang w:val="id-ID"/>
              </w:rPr>
              <w:t>laporan rencana pengkinian data dan laporan realisasi pengkinian data sebagaimana diatur dalam Peraturan Otoritas Jasa Keuangan mengenai penerapan program anti pencucian uang, pencegahan pendanaan terorisme, dan pencegahan pendanaan proliferasi senjata pemusnah massal di sektor jasa keuangan;</w:t>
            </w:r>
          </w:p>
        </w:tc>
        <w:tc>
          <w:tcPr>
            <w:tcW w:w="4029" w:type="dxa"/>
          </w:tcPr>
          <w:p w14:paraId="676784A0" w14:textId="77777777" w:rsidR="00165B89" w:rsidRPr="00165B89" w:rsidRDefault="00165B89" w:rsidP="003C191F"/>
        </w:tc>
        <w:tc>
          <w:tcPr>
            <w:tcW w:w="4029" w:type="dxa"/>
          </w:tcPr>
          <w:p w14:paraId="0957DF7F" w14:textId="77777777" w:rsidR="00165B89" w:rsidRPr="00165B89" w:rsidRDefault="00165B89" w:rsidP="003C191F"/>
        </w:tc>
      </w:tr>
      <w:tr w:rsidR="00165B89" w:rsidRPr="00165B89" w14:paraId="68C9894B" w14:textId="77777777" w:rsidTr="003C191F">
        <w:tc>
          <w:tcPr>
            <w:tcW w:w="7533" w:type="dxa"/>
          </w:tcPr>
          <w:p w14:paraId="4108CA7A" w14:textId="77777777" w:rsidR="00165B89" w:rsidRPr="00165B89" w:rsidRDefault="00165B89" w:rsidP="003C191F">
            <w:pPr>
              <w:pStyle w:val="BodyText"/>
              <w:numPr>
                <w:ilvl w:val="0"/>
                <w:numId w:val="29"/>
              </w:numPr>
              <w:spacing w:line="360" w:lineRule="auto"/>
              <w:ind w:left="2268" w:hanging="567"/>
              <w:jc w:val="both"/>
              <w:rPr>
                <w:lang w:val="id-ID"/>
              </w:rPr>
            </w:pPr>
            <w:r w:rsidRPr="00165B89">
              <w:rPr>
                <w:lang w:val="id-ID"/>
              </w:rPr>
              <w:lastRenderedPageBreak/>
              <w:t xml:space="preserve">laporan penunjukan akuntan publik dan kantor akuntan publik dan laporan realisasi penggunaan jasa akuntan publik dan kantor akuntan publik sebagaimana diatur dalam Peraturan Otoritas Jasa Keuangan mengenai penggunaan jasa akuntan publik dan kantor akuntan publik dalam kegiatan jasa keuangan; dan </w:t>
            </w:r>
          </w:p>
        </w:tc>
        <w:tc>
          <w:tcPr>
            <w:tcW w:w="4029" w:type="dxa"/>
          </w:tcPr>
          <w:p w14:paraId="094C7B19" w14:textId="77777777" w:rsidR="00165B89" w:rsidRPr="00165B89" w:rsidRDefault="00165B89" w:rsidP="003C191F"/>
        </w:tc>
        <w:tc>
          <w:tcPr>
            <w:tcW w:w="4029" w:type="dxa"/>
          </w:tcPr>
          <w:p w14:paraId="561B1A37" w14:textId="77777777" w:rsidR="00165B89" w:rsidRPr="00165B89" w:rsidRDefault="00165B89" w:rsidP="003C191F"/>
        </w:tc>
      </w:tr>
      <w:tr w:rsidR="00165B89" w:rsidRPr="00165B89" w14:paraId="682B6D8F" w14:textId="77777777" w:rsidTr="003C191F">
        <w:tc>
          <w:tcPr>
            <w:tcW w:w="7533" w:type="dxa"/>
          </w:tcPr>
          <w:p w14:paraId="16A4EFDE" w14:textId="77777777" w:rsidR="00165B89" w:rsidRPr="00165B89" w:rsidRDefault="00165B89" w:rsidP="003C191F">
            <w:pPr>
              <w:pStyle w:val="BodyText"/>
              <w:numPr>
                <w:ilvl w:val="0"/>
                <w:numId w:val="29"/>
              </w:numPr>
              <w:spacing w:line="360" w:lineRule="auto"/>
              <w:ind w:left="2268" w:hanging="567"/>
              <w:jc w:val="both"/>
              <w:rPr>
                <w:lang w:val="id-ID"/>
              </w:rPr>
            </w:pPr>
            <w:r w:rsidRPr="00165B89">
              <w:rPr>
                <w:lang w:val="id-ID"/>
              </w:rPr>
              <w:t>laporan lainnya.</w:t>
            </w:r>
          </w:p>
        </w:tc>
        <w:tc>
          <w:tcPr>
            <w:tcW w:w="4029" w:type="dxa"/>
          </w:tcPr>
          <w:p w14:paraId="5092E785" w14:textId="77777777" w:rsidR="00165B89" w:rsidRPr="00165B89" w:rsidRDefault="00165B89" w:rsidP="003C191F"/>
        </w:tc>
        <w:tc>
          <w:tcPr>
            <w:tcW w:w="4029" w:type="dxa"/>
          </w:tcPr>
          <w:p w14:paraId="2EC8CB49" w14:textId="77777777" w:rsidR="00165B89" w:rsidRPr="00165B89" w:rsidRDefault="00165B89" w:rsidP="003C191F"/>
        </w:tc>
      </w:tr>
      <w:tr w:rsidR="00165B89" w:rsidRPr="00165B89" w14:paraId="0E8B58EA" w14:textId="77777777" w:rsidTr="003C191F">
        <w:tc>
          <w:tcPr>
            <w:tcW w:w="7533" w:type="dxa"/>
          </w:tcPr>
          <w:p w14:paraId="6516F012" w14:textId="77777777" w:rsidR="00165B89" w:rsidRPr="00165B89" w:rsidRDefault="00165B89" w:rsidP="003C191F">
            <w:pPr>
              <w:pStyle w:val="BodyText"/>
              <w:numPr>
                <w:ilvl w:val="0"/>
                <w:numId w:val="5"/>
              </w:numPr>
              <w:spacing w:line="360" w:lineRule="auto"/>
              <w:ind w:left="1701" w:hanging="567"/>
              <w:jc w:val="both"/>
              <w:rPr>
                <w:lang w:val="id-ID"/>
              </w:rPr>
            </w:pPr>
            <w:r w:rsidRPr="00165B89">
              <w:rPr>
                <w:lang w:val="en-ID"/>
              </w:rPr>
              <w:t>Laporan Lain sebagaimana dimaksud dalam angka 1 huruf c bagi Perusahaan Pialang Reasuransi, terdiri atas:</w:t>
            </w:r>
          </w:p>
        </w:tc>
        <w:tc>
          <w:tcPr>
            <w:tcW w:w="4029" w:type="dxa"/>
          </w:tcPr>
          <w:p w14:paraId="3C04DCAC" w14:textId="77777777" w:rsidR="00165B89" w:rsidRPr="00165B89" w:rsidRDefault="00165B89" w:rsidP="003C191F"/>
        </w:tc>
        <w:tc>
          <w:tcPr>
            <w:tcW w:w="4029" w:type="dxa"/>
          </w:tcPr>
          <w:p w14:paraId="21928F2C" w14:textId="77777777" w:rsidR="00165B89" w:rsidRPr="00165B89" w:rsidRDefault="00165B89" w:rsidP="003C191F"/>
        </w:tc>
      </w:tr>
      <w:tr w:rsidR="00165B89" w:rsidRPr="00165B89" w14:paraId="43ACC04A" w14:textId="77777777" w:rsidTr="003C191F">
        <w:tc>
          <w:tcPr>
            <w:tcW w:w="7533" w:type="dxa"/>
          </w:tcPr>
          <w:p w14:paraId="12DEB8E4" w14:textId="77777777" w:rsidR="00165B89" w:rsidRPr="00165B89" w:rsidRDefault="00165B89" w:rsidP="003C191F">
            <w:pPr>
              <w:pStyle w:val="BodyText"/>
              <w:numPr>
                <w:ilvl w:val="0"/>
                <w:numId w:val="34"/>
              </w:numPr>
              <w:spacing w:line="360" w:lineRule="auto"/>
              <w:ind w:left="2268" w:hanging="577"/>
              <w:jc w:val="both"/>
              <w:rPr>
                <w:lang w:val="id-ID"/>
              </w:rPr>
            </w:pPr>
            <w:r w:rsidRPr="00165B89">
              <w:rPr>
                <w:lang w:val="id-ID"/>
              </w:rPr>
              <w:t>rencana bisnis sebagaimana diatur dalam Peraturan Otoritas Jasa Keuangan mengenai rencana bisnis lembaga jasa keuangan nonbank;</w:t>
            </w:r>
          </w:p>
        </w:tc>
        <w:tc>
          <w:tcPr>
            <w:tcW w:w="4029" w:type="dxa"/>
          </w:tcPr>
          <w:p w14:paraId="0567B8EE" w14:textId="77777777" w:rsidR="00165B89" w:rsidRPr="00165B89" w:rsidRDefault="00165B89" w:rsidP="003C191F"/>
        </w:tc>
        <w:tc>
          <w:tcPr>
            <w:tcW w:w="4029" w:type="dxa"/>
          </w:tcPr>
          <w:p w14:paraId="772E3B7A" w14:textId="77777777" w:rsidR="00165B89" w:rsidRPr="00165B89" w:rsidRDefault="00165B89" w:rsidP="003C191F"/>
        </w:tc>
      </w:tr>
      <w:tr w:rsidR="00165B89" w:rsidRPr="00165B89" w14:paraId="296F7B58" w14:textId="77777777" w:rsidTr="003C191F">
        <w:tc>
          <w:tcPr>
            <w:tcW w:w="7533" w:type="dxa"/>
          </w:tcPr>
          <w:p w14:paraId="5559B238" w14:textId="77777777" w:rsidR="00165B89" w:rsidRPr="00165B89" w:rsidRDefault="00165B89" w:rsidP="003C191F">
            <w:pPr>
              <w:pStyle w:val="BodyText"/>
              <w:numPr>
                <w:ilvl w:val="0"/>
                <w:numId w:val="34"/>
              </w:numPr>
              <w:spacing w:line="360" w:lineRule="auto"/>
              <w:ind w:left="2268" w:hanging="577"/>
              <w:jc w:val="both"/>
              <w:rPr>
                <w:lang w:val="id-ID"/>
              </w:rPr>
            </w:pPr>
            <w:r w:rsidRPr="00165B89">
              <w:rPr>
                <w:lang w:val="id-ID"/>
              </w:rPr>
              <w:t>laporan realisasi rencana bisnis sebagaimana diatur dalam Peraturan Otoritas Jasa Keuangan mengenai rencana bisnis lembaga jasa keuangan nonbank;</w:t>
            </w:r>
          </w:p>
        </w:tc>
        <w:tc>
          <w:tcPr>
            <w:tcW w:w="4029" w:type="dxa"/>
          </w:tcPr>
          <w:p w14:paraId="6D16F84A" w14:textId="77777777" w:rsidR="00165B89" w:rsidRPr="00165B89" w:rsidRDefault="00165B89" w:rsidP="003C191F"/>
        </w:tc>
        <w:tc>
          <w:tcPr>
            <w:tcW w:w="4029" w:type="dxa"/>
          </w:tcPr>
          <w:p w14:paraId="254028F1" w14:textId="77777777" w:rsidR="00165B89" w:rsidRPr="00165B89" w:rsidRDefault="00165B89" w:rsidP="003C191F"/>
        </w:tc>
      </w:tr>
      <w:tr w:rsidR="00165B89" w:rsidRPr="00165B89" w14:paraId="692F1D8F" w14:textId="77777777" w:rsidTr="003C191F">
        <w:tc>
          <w:tcPr>
            <w:tcW w:w="7533" w:type="dxa"/>
          </w:tcPr>
          <w:p w14:paraId="34DBB7FC" w14:textId="77777777" w:rsidR="00165B89" w:rsidRPr="00165B89" w:rsidRDefault="00165B89" w:rsidP="003C191F">
            <w:pPr>
              <w:pStyle w:val="BodyText"/>
              <w:numPr>
                <w:ilvl w:val="0"/>
                <w:numId w:val="34"/>
              </w:numPr>
              <w:spacing w:line="360" w:lineRule="auto"/>
              <w:ind w:left="2268" w:hanging="577"/>
              <w:jc w:val="both"/>
              <w:rPr>
                <w:lang w:val="id-ID"/>
              </w:rPr>
            </w:pPr>
            <w:r w:rsidRPr="00165B89">
              <w:rPr>
                <w:lang w:val="id-ID"/>
              </w:rPr>
              <w:t xml:space="preserve">laporan pengawasan rencana bisnis sebagaimana diatur dalam Peraturan </w:t>
            </w:r>
            <w:r w:rsidRPr="00165B89">
              <w:rPr>
                <w:lang w:val="id-ID"/>
              </w:rPr>
              <w:lastRenderedPageBreak/>
              <w:t>Otoritas Jasa Keuangan mengenai rencana bisnis lembaga jasa keuangan nonbank;</w:t>
            </w:r>
          </w:p>
        </w:tc>
        <w:tc>
          <w:tcPr>
            <w:tcW w:w="4029" w:type="dxa"/>
          </w:tcPr>
          <w:p w14:paraId="6C2E104B" w14:textId="77777777" w:rsidR="00165B89" w:rsidRPr="00165B89" w:rsidRDefault="00165B89" w:rsidP="003C191F"/>
        </w:tc>
        <w:tc>
          <w:tcPr>
            <w:tcW w:w="4029" w:type="dxa"/>
          </w:tcPr>
          <w:p w14:paraId="3E33ED9B" w14:textId="77777777" w:rsidR="00165B89" w:rsidRPr="00165B89" w:rsidRDefault="00165B89" w:rsidP="003C191F"/>
        </w:tc>
      </w:tr>
      <w:tr w:rsidR="00165B89" w:rsidRPr="00165B89" w14:paraId="601377F8" w14:textId="77777777" w:rsidTr="003C191F">
        <w:tc>
          <w:tcPr>
            <w:tcW w:w="7533" w:type="dxa"/>
          </w:tcPr>
          <w:p w14:paraId="4F8DF760" w14:textId="77777777" w:rsidR="00165B89" w:rsidRPr="00165B89" w:rsidRDefault="00165B89" w:rsidP="003C191F">
            <w:pPr>
              <w:pStyle w:val="BodyText"/>
              <w:numPr>
                <w:ilvl w:val="0"/>
                <w:numId w:val="34"/>
              </w:numPr>
              <w:spacing w:line="360" w:lineRule="auto"/>
              <w:ind w:left="2268" w:hanging="577"/>
              <w:jc w:val="both"/>
              <w:rPr>
                <w:lang w:val="id-ID"/>
              </w:rPr>
            </w:pPr>
            <w:r w:rsidRPr="00165B89">
              <w:rPr>
                <w:lang w:val="id-ID"/>
              </w:rPr>
              <w:t xml:space="preserve">laporan penerapan strategi </w:t>
            </w:r>
            <w:r w:rsidRPr="00165B89">
              <w:rPr>
                <w:i/>
                <w:iCs/>
                <w:lang w:val="id-ID"/>
              </w:rPr>
              <w:t>antifraud</w:t>
            </w:r>
            <w:r w:rsidRPr="00165B89">
              <w:rPr>
                <w:lang w:val="id-ID"/>
              </w:rPr>
              <w:t xml:space="preserve"> sebagaimana diatur dalam Peraturan Otoritas Jasa Keuangan mengenai penerapan strategi </w:t>
            </w:r>
            <w:r w:rsidRPr="00165B89">
              <w:rPr>
                <w:i/>
                <w:iCs/>
                <w:lang w:val="id-ID"/>
              </w:rPr>
              <w:t>antifraud</w:t>
            </w:r>
            <w:r w:rsidRPr="00165B89">
              <w:rPr>
                <w:lang w:val="id-ID"/>
              </w:rPr>
              <w:t xml:space="preserve"> bagi lembaga jasa keuangan; </w:t>
            </w:r>
          </w:p>
        </w:tc>
        <w:tc>
          <w:tcPr>
            <w:tcW w:w="4029" w:type="dxa"/>
          </w:tcPr>
          <w:p w14:paraId="14580474" w14:textId="77777777" w:rsidR="00165B89" w:rsidRPr="00165B89" w:rsidRDefault="00165B89" w:rsidP="003C191F"/>
        </w:tc>
        <w:tc>
          <w:tcPr>
            <w:tcW w:w="4029" w:type="dxa"/>
          </w:tcPr>
          <w:p w14:paraId="0FAFA32C" w14:textId="77777777" w:rsidR="00165B89" w:rsidRPr="00165B89" w:rsidRDefault="00165B89" w:rsidP="003C191F"/>
        </w:tc>
      </w:tr>
      <w:tr w:rsidR="00165B89" w:rsidRPr="00165B89" w14:paraId="63898360" w14:textId="77777777" w:rsidTr="003C191F">
        <w:tc>
          <w:tcPr>
            <w:tcW w:w="7533" w:type="dxa"/>
          </w:tcPr>
          <w:p w14:paraId="65EE4CA5" w14:textId="77777777" w:rsidR="00165B89" w:rsidRPr="00165B89" w:rsidRDefault="00165B89" w:rsidP="003C191F">
            <w:pPr>
              <w:pStyle w:val="BodyText"/>
              <w:numPr>
                <w:ilvl w:val="0"/>
                <w:numId w:val="34"/>
              </w:numPr>
              <w:spacing w:line="360" w:lineRule="auto"/>
              <w:ind w:left="2268" w:hanging="577"/>
              <w:jc w:val="both"/>
              <w:rPr>
                <w:lang w:val="id-ID"/>
              </w:rPr>
            </w:pPr>
            <w:r w:rsidRPr="00165B89">
              <w:rPr>
                <w:lang w:val="id-ID"/>
              </w:rPr>
              <w:t>laporan penilaian risiko tindak pidana pencucian uang, tindak pidana pendanaan terorisme, dan/atau pendanaan proliferasi senjata pemusnah massal yang disusun secara individual sebagaimana diatur dalam Peraturan Otoritas Jasa Keuangan mengenai penerapan program anti pencucian uang, pencegahan pendanaan terorisme, dan pencegahan pendanaan proliferasi senjata pemusnah massal di sektor jasa keuangan;</w:t>
            </w:r>
          </w:p>
        </w:tc>
        <w:tc>
          <w:tcPr>
            <w:tcW w:w="4029" w:type="dxa"/>
          </w:tcPr>
          <w:p w14:paraId="01FF30D5" w14:textId="77777777" w:rsidR="00165B89" w:rsidRPr="00165B89" w:rsidRDefault="00165B89" w:rsidP="003C191F"/>
        </w:tc>
        <w:tc>
          <w:tcPr>
            <w:tcW w:w="4029" w:type="dxa"/>
          </w:tcPr>
          <w:p w14:paraId="36011B85" w14:textId="77777777" w:rsidR="00165B89" w:rsidRPr="00165B89" w:rsidRDefault="00165B89" w:rsidP="003C191F"/>
        </w:tc>
      </w:tr>
      <w:tr w:rsidR="00165B89" w:rsidRPr="00165B89" w14:paraId="171FE344" w14:textId="77777777" w:rsidTr="003C191F">
        <w:tc>
          <w:tcPr>
            <w:tcW w:w="7533" w:type="dxa"/>
          </w:tcPr>
          <w:p w14:paraId="2D81E459" w14:textId="77777777" w:rsidR="00165B89" w:rsidRPr="00165B89" w:rsidRDefault="00165B89" w:rsidP="003C191F">
            <w:pPr>
              <w:pStyle w:val="BodyText"/>
              <w:numPr>
                <w:ilvl w:val="0"/>
                <w:numId w:val="34"/>
              </w:numPr>
              <w:spacing w:line="360" w:lineRule="auto"/>
              <w:ind w:left="2268" w:hanging="577"/>
              <w:jc w:val="both"/>
              <w:rPr>
                <w:lang w:val="id-ID"/>
              </w:rPr>
            </w:pPr>
            <w:r w:rsidRPr="00165B89">
              <w:rPr>
                <w:lang w:val="id-ID"/>
              </w:rPr>
              <w:t xml:space="preserve">laporan penunjukan akuntan publik dan kantor akuntan publik dan laporan realisasi penggunaan jasa akuntan publik dan kantor akuntan publik sebagaimana </w:t>
            </w:r>
            <w:r w:rsidRPr="00165B89">
              <w:rPr>
                <w:lang w:val="id-ID"/>
              </w:rPr>
              <w:lastRenderedPageBreak/>
              <w:t xml:space="preserve">diatur dalam Peraturan Otoritas Jasa Keuangan mengenai penggunaan jasa akuntan publik dan kantor akuntan publik dalam kegiatan jasa keuangan; dan </w:t>
            </w:r>
          </w:p>
        </w:tc>
        <w:tc>
          <w:tcPr>
            <w:tcW w:w="4029" w:type="dxa"/>
          </w:tcPr>
          <w:p w14:paraId="6B220871" w14:textId="77777777" w:rsidR="00165B89" w:rsidRPr="00165B89" w:rsidRDefault="00165B89" w:rsidP="003C191F"/>
        </w:tc>
        <w:tc>
          <w:tcPr>
            <w:tcW w:w="4029" w:type="dxa"/>
          </w:tcPr>
          <w:p w14:paraId="13AAB64A" w14:textId="77777777" w:rsidR="00165B89" w:rsidRPr="00165B89" w:rsidRDefault="00165B89" w:rsidP="003C191F"/>
        </w:tc>
      </w:tr>
      <w:tr w:rsidR="00165B89" w:rsidRPr="00165B89" w14:paraId="6EA4D0B7" w14:textId="77777777" w:rsidTr="003C191F">
        <w:tc>
          <w:tcPr>
            <w:tcW w:w="7533" w:type="dxa"/>
          </w:tcPr>
          <w:p w14:paraId="3D5E6BE3" w14:textId="77777777" w:rsidR="00165B89" w:rsidRPr="00165B89" w:rsidRDefault="00165B89" w:rsidP="003C191F">
            <w:pPr>
              <w:pStyle w:val="BodyText"/>
              <w:numPr>
                <w:ilvl w:val="0"/>
                <w:numId w:val="34"/>
              </w:numPr>
              <w:spacing w:line="360" w:lineRule="auto"/>
              <w:ind w:left="2268" w:hanging="577"/>
              <w:jc w:val="both"/>
              <w:rPr>
                <w:lang w:val="id-ID"/>
              </w:rPr>
            </w:pPr>
            <w:r w:rsidRPr="00165B89">
              <w:rPr>
                <w:lang w:val="id-ID"/>
              </w:rPr>
              <w:t>laporan lainnya.</w:t>
            </w:r>
          </w:p>
        </w:tc>
        <w:tc>
          <w:tcPr>
            <w:tcW w:w="4029" w:type="dxa"/>
          </w:tcPr>
          <w:p w14:paraId="6A5DC88A" w14:textId="77777777" w:rsidR="00165B89" w:rsidRPr="00165B89" w:rsidRDefault="00165B89" w:rsidP="003C191F"/>
        </w:tc>
        <w:tc>
          <w:tcPr>
            <w:tcW w:w="4029" w:type="dxa"/>
          </w:tcPr>
          <w:p w14:paraId="2AE3579C" w14:textId="77777777" w:rsidR="00165B89" w:rsidRPr="00165B89" w:rsidRDefault="00165B89" w:rsidP="003C191F"/>
        </w:tc>
      </w:tr>
      <w:tr w:rsidR="00165B89" w:rsidRPr="00165B89" w14:paraId="35054FD0" w14:textId="77777777" w:rsidTr="003C191F">
        <w:tc>
          <w:tcPr>
            <w:tcW w:w="7533" w:type="dxa"/>
          </w:tcPr>
          <w:p w14:paraId="43E7DC8A" w14:textId="77777777" w:rsidR="00165B89" w:rsidRPr="00165B89" w:rsidRDefault="00165B89" w:rsidP="003C191F">
            <w:pPr>
              <w:pStyle w:val="BodyText"/>
              <w:numPr>
                <w:ilvl w:val="0"/>
                <w:numId w:val="5"/>
              </w:numPr>
              <w:spacing w:line="360" w:lineRule="auto"/>
              <w:ind w:left="1701" w:hanging="567"/>
              <w:jc w:val="both"/>
              <w:rPr>
                <w:lang w:val="id-ID"/>
              </w:rPr>
            </w:pPr>
            <w:r w:rsidRPr="00165B89">
              <w:rPr>
                <w:lang w:val="en-ID"/>
              </w:rPr>
              <w:t>Laporan Lain sebagaimana dimaksud dalam angka 2 huruf b bagi Perusahaan Penilai Kerugian Asuransi, terdiri atas:</w:t>
            </w:r>
          </w:p>
        </w:tc>
        <w:tc>
          <w:tcPr>
            <w:tcW w:w="4029" w:type="dxa"/>
          </w:tcPr>
          <w:p w14:paraId="31046EE1" w14:textId="77777777" w:rsidR="00165B89" w:rsidRPr="00165B89" w:rsidRDefault="00165B89" w:rsidP="003C191F"/>
        </w:tc>
        <w:tc>
          <w:tcPr>
            <w:tcW w:w="4029" w:type="dxa"/>
          </w:tcPr>
          <w:p w14:paraId="121E71ED" w14:textId="77777777" w:rsidR="00165B89" w:rsidRPr="00165B89" w:rsidRDefault="00165B89" w:rsidP="003C191F"/>
        </w:tc>
      </w:tr>
      <w:tr w:rsidR="00165B89" w:rsidRPr="00165B89" w14:paraId="0E56A110" w14:textId="77777777" w:rsidTr="003C191F">
        <w:tc>
          <w:tcPr>
            <w:tcW w:w="7533" w:type="dxa"/>
          </w:tcPr>
          <w:p w14:paraId="27D3B9AD" w14:textId="77777777" w:rsidR="00165B89" w:rsidRPr="00165B89" w:rsidRDefault="00165B89" w:rsidP="003C191F">
            <w:pPr>
              <w:pStyle w:val="BodyText"/>
              <w:numPr>
                <w:ilvl w:val="0"/>
                <w:numId w:val="35"/>
              </w:numPr>
              <w:spacing w:line="360" w:lineRule="auto"/>
              <w:ind w:left="2268" w:hanging="567"/>
              <w:jc w:val="both"/>
            </w:pPr>
            <w:r w:rsidRPr="00165B89">
              <w:t xml:space="preserve">laporan rencana penggunaan tenaga kerja asing dan rencana pengembangan kualitas sumber daya manusia; </w:t>
            </w:r>
          </w:p>
        </w:tc>
        <w:tc>
          <w:tcPr>
            <w:tcW w:w="4029" w:type="dxa"/>
          </w:tcPr>
          <w:p w14:paraId="0086F6E5" w14:textId="77777777" w:rsidR="00165B89" w:rsidRPr="00165B89" w:rsidRDefault="00165B89" w:rsidP="003C191F"/>
        </w:tc>
        <w:tc>
          <w:tcPr>
            <w:tcW w:w="4029" w:type="dxa"/>
          </w:tcPr>
          <w:p w14:paraId="54BA68E3" w14:textId="77777777" w:rsidR="00165B89" w:rsidRPr="00165B89" w:rsidRDefault="00165B89" w:rsidP="003C191F"/>
        </w:tc>
      </w:tr>
      <w:tr w:rsidR="00165B89" w:rsidRPr="00165B89" w14:paraId="1B5C8193" w14:textId="77777777" w:rsidTr="003C191F">
        <w:tc>
          <w:tcPr>
            <w:tcW w:w="7533" w:type="dxa"/>
          </w:tcPr>
          <w:p w14:paraId="2C6DA487" w14:textId="77777777" w:rsidR="00165B89" w:rsidRPr="00165B89" w:rsidRDefault="00165B89" w:rsidP="003C191F">
            <w:pPr>
              <w:pStyle w:val="BodyText"/>
              <w:numPr>
                <w:ilvl w:val="0"/>
                <w:numId w:val="35"/>
              </w:numPr>
              <w:spacing w:line="360" w:lineRule="auto"/>
              <w:ind w:left="2268" w:hanging="567"/>
              <w:jc w:val="both"/>
            </w:pPr>
            <w:r w:rsidRPr="00165B89">
              <w:t>laporan realisasi penggunaan tenaga kerja asing dan realisasi rencana pengembangan sumber daya manusia;</w:t>
            </w:r>
          </w:p>
        </w:tc>
        <w:tc>
          <w:tcPr>
            <w:tcW w:w="4029" w:type="dxa"/>
          </w:tcPr>
          <w:p w14:paraId="054D8DFD" w14:textId="77777777" w:rsidR="00165B89" w:rsidRPr="00165B89" w:rsidRDefault="00165B89" w:rsidP="003C191F"/>
        </w:tc>
        <w:tc>
          <w:tcPr>
            <w:tcW w:w="4029" w:type="dxa"/>
          </w:tcPr>
          <w:p w14:paraId="0B4CC634" w14:textId="77777777" w:rsidR="00165B89" w:rsidRPr="00165B89" w:rsidRDefault="00165B89" w:rsidP="003C191F"/>
        </w:tc>
      </w:tr>
      <w:tr w:rsidR="00165B89" w:rsidRPr="00165B89" w14:paraId="04F0AEDF" w14:textId="77777777" w:rsidTr="003C191F">
        <w:tc>
          <w:tcPr>
            <w:tcW w:w="7533" w:type="dxa"/>
          </w:tcPr>
          <w:p w14:paraId="46E39F39" w14:textId="77777777" w:rsidR="00165B89" w:rsidRPr="00165B89" w:rsidRDefault="00165B89" w:rsidP="003C191F">
            <w:pPr>
              <w:pStyle w:val="BodyText"/>
              <w:numPr>
                <w:ilvl w:val="0"/>
                <w:numId w:val="35"/>
              </w:numPr>
              <w:spacing w:line="360" w:lineRule="auto"/>
              <w:ind w:left="2268" w:hanging="567"/>
              <w:jc w:val="both"/>
            </w:pPr>
            <w:r w:rsidRPr="00165B89">
              <w:t>rencana penambahan modal dan rencana perubahan kepemilikan;</w:t>
            </w:r>
          </w:p>
        </w:tc>
        <w:tc>
          <w:tcPr>
            <w:tcW w:w="4029" w:type="dxa"/>
          </w:tcPr>
          <w:p w14:paraId="256017BD" w14:textId="77777777" w:rsidR="00165B89" w:rsidRPr="00165B89" w:rsidRDefault="00165B89" w:rsidP="003C191F"/>
        </w:tc>
        <w:tc>
          <w:tcPr>
            <w:tcW w:w="4029" w:type="dxa"/>
          </w:tcPr>
          <w:p w14:paraId="727B72D1" w14:textId="77777777" w:rsidR="00165B89" w:rsidRPr="00165B89" w:rsidRDefault="00165B89" w:rsidP="003C191F"/>
        </w:tc>
      </w:tr>
      <w:tr w:rsidR="00165B89" w:rsidRPr="00165B89" w14:paraId="2292E4BC" w14:textId="77777777" w:rsidTr="003C191F">
        <w:tc>
          <w:tcPr>
            <w:tcW w:w="7533" w:type="dxa"/>
          </w:tcPr>
          <w:p w14:paraId="207146B4" w14:textId="77777777" w:rsidR="00165B89" w:rsidRPr="00165B89" w:rsidRDefault="00165B89" w:rsidP="003C191F">
            <w:pPr>
              <w:pStyle w:val="BodyText"/>
              <w:numPr>
                <w:ilvl w:val="0"/>
                <w:numId w:val="35"/>
              </w:numPr>
              <w:spacing w:line="360" w:lineRule="auto"/>
              <w:ind w:left="2268" w:hanging="567"/>
              <w:jc w:val="both"/>
              <w:rPr>
                <w:lang w:val="id-ID"/>
              </w:rPr>
            </w:pPr>
            <w:r w:rsidRPr="00165B89">
              <w:t>Laporan realisasi rencana penambahan modal dan realisasi rencana perubahan kepemilikan;</w:t>
            </w:r>
          </w:p>
        </w:tc>
        <w:tc>
          <w:tcPr>
            <w:tcW w:w="4029" w:type="dxa"/>
          </w:tcPr>
          <w:p w14:paraId="34B228E1" w14:textId="77777777" w:rsidR="00165B89" w:rsidRPr="00165B89" w:rsidRDefault="00165B89" w:rsidP="003C191F"/>
        </w:tc>
        <w:tc>
          <w:tcPr>
            <w:tcW w:w="4029" w:type="dxa"/>
          </w:tcPr>
          <w:p w14:paraId="31D71023" w14:textId="77777777" w:rsidR="00165B89" w:rsidRPr="00165B89" w:rsidRDefault="00165B89" w:rsidP="003C191F"/>
        </w:tc>
      </w:tr>
      <w:tr w:rsidR="00165B89" w:rsidRPr="00165B89" w14:paraId="4C90248D" w14:textId="77777777" w:rsidTr="003C191F">
        <w:tc>
          <w:tcPr>
            <w:tcW w:w="7533" w:type="dxa"/>
          </w:tcPr>
          <w:p w14:paraId="785DC7DA" w14:textId="77777777" w:rsidR="00165B89" w:rsidRPr="00165B89" w:rsidRDefault="00165B89" w:rsidP="003C191F">
            <w:pPr>
              <w:pStyle w:val="BodyText"/>
              <w:numPr>
                <w:ilvl w:val="0"/>
                <w:numId w:val="35"/>
              </w:numPr>
              <w:spacing w:line="360" w:lineRule="auto"/>
              <w:ind w:left="2268" w:hanging="567"/>
              <w:jc w:val="both"/>
              <w:rPr>
                <w:lang w:val="id-ID"/>
              </w:rPr>
            </w:pPr>
            <w:r w:rsidRPr="00165B89">
              <w:rPr>
                <w:lang w:val="en-ID"/>
              </w:rPr>
              <w:t xml:space="preserve">laporan penerapan strategi </w:t>
            </w:r>
            <w:r w:rsidRPr="00165B89">
              <w:rPr>
                <w:i/>
                <w:iCs/>
                <w:lang w:val="en-ID"/>
              </w:rPr>
              <w:t>antifraud</w:t>
            </w:r>
            <w:r w:rsidRPr="00165B89">
              <w:rPr>
                <w:lang w:val="en-ID"/>
              </w:rPr>
              <w:t xml:space="preserve"> sebagaimana diatur dalam Peraturan Otoritas Jasa Keuangan mengenai </w:t>
            </w:r>
            <w:r w:rsidRPr="00165B89">
              <w:rPr>
                <w:lang w:val="en-ID"/>
              </w:rPr>
              <w:lastRenderedPageBreak/>
              <w:t xml:space="preserve">penerapan strategi </w:t>
            </w:r>
            <w:r w:rsidRPr="00165B89">
              <w:rPr>
                <w:i/>
                <w:iCs/>
                <w:lang w:val="en-ID"/>
              </w:rPr>
              <w:t>antifraud</w:t>
            </w:r>
            <w:r w:rsidRPr="00165B89">
              <w:rPr>
                <w:lang w:val="en-ID"/>
              </w:rPr>
              <w:t xml:space="preserve"> bagi lembaga jasa keuangan; </w:t>
            </w:r>
          </w:p>
        </w:tc>
        <w:tc>
          <w:tcPr>
            <w:tcW w:w="4029" w:type="dxa"/>
          </w:tcPr>
          <w:p w14:paraId="40C8E1F1" w14:textId="77777777" w:rsidR="00165B89" w:rsidRPr="00165B89" w:rsidRDefault="00165B89" w:rsidP="003C191F"/>
        </w:tc>
        <w:tc>
          <w:tcPr>
            <w:tcW w:w="4029" w:type="dxa"/>
          </w:tcPr>
          <w:p w14:paraId="7590BC2E" w14:textId="77777777" w:rsidR="00165B89" w:rsidRPr="00165B89" w:rsidRDefault="00165B89" w:rsidP="003C191F"/>
        </w:tc>
      </w:tr>
      <w:tr w:rsidR="00165B89" w:rsidRPr="00165B89" w14:paraId="68E83442" w14:textId="77777777" w:rsidTr="003C191F">
        <w:tc>
          <w:tcPr>
            <w:tcW w:w="7533" w:type="dxa"/>
          </w:tcPr>
          <w:p w14:paraId="50D7082B" w14:textId="77777777" w:rsidR="00165B89" w:rsidRPr="00165B89" w:rsidRDefault="00165B89" w:rsidP="003C191F">
            <w:pPr>
              <w:pStyle w:val="BodyText"/>
              <w:numPr>
                <w:ilvl w:val="0"/>
                <w:numId w:val="35"/>
              </w:numPr>
              <w:spacing w:line="360" w:lineRule="auto"/>
              <w:ind w:left="2268" w:hanging="567"/>
              <w:jc w:val="both"/>
              <w:rPr>
                <w:lang w:val="id-ID"/>
              </w:rPr>
            </w:pPr>
            <w:r w:rsidRPr="00165B89">
              <w:rPr>
                <w:lang w:val="en-ID"/>
              </w:rPr>
              <w:t xml:space="preserve">laporan penunjukan akuntan publik dan kantor akuntan publik dan laporan realisasi penggunaan jasa akuntan publik dan kantor akuntan publik sebagaimana diatur dalam Peraturan Otoritas Jasa Keuangan mengenai penggunaan jasa akuntan publik dan kantor akuntan publik dalam kegiatan jasa keuangan; </w:t>
            </w:r>
            <w:r w:rsidRPr="00165B89">
              <w:t>dan</w:t>
            </w:r>
          </w:p>
        </w:tc>
        <w:tc>
          <w:tcPr>
            <w:tcW w:w="4029" w:type="dxa"/>
          </w:tcPr>
          <w:p w14:paraId="64613661" w14:textId="77777777" w:rsidR="00165B89" w:rsidRPr="00165B89" w:rsidRDefault="00165B89" w:rsidP="003C191F"/>
        </w:tc>
        <w:tc>
          <w:tcPr>
            <w:tcW w:w="4029" w:type="dxa"/>
          </w:tcPr>
          <w:p w14:paraId="00702280" w14:textId="77777777" w:rsidR="00165B89" w:rsidRPr="00165B89" w:rsidRDefault="00165B89" w:rsidP="003C191F"/>
        </w:tc>
      </w:tr>
      <w:tr w:rsidR="00165B89" w:rsidRPr="00165B89" w14:paraId="5FAD7E36" w14:textId="77777777" w:rsidTr="003C191F">
        <w:tc>
          <w:tcPr>
            <w:tcW w:w="7533" w:type="dxa"/>
          </w:tcPr>
          <w:p w14:paraId="2F29A4D1" w14:textId="77777777" w:rsidR="00165B89" w:rsidRPr="00165B89" w:rsidRDefault="00165B89" w:rsidP="003C191F">
            <w:pPr>
              <w:pStyle w:val="BodyText"/>
              <w:numPr>
                <w:ilvl w:val="0"/>
                <w:numId w:val="35"/>
              </w:numPr>
              <w:spacing w:line="360" w:lineRule="auto"/>
              <w:ind w:left="2268" w:hanging="567"/>
              <w:jc w:val="both"/>
              <w:rPr>
                <w:lang w:val="id-ID"/>
              </w:rPr>
            </w:pPr>
            <w:r w:rsidRPr="00165B89">
              <w:rPr>
                <w:lang w:val="en-ID"/>
              </w:rPr>
              <w:t>laporan lainnya.</w:t>
            </w:r>
          </w:p>
        </w:tc>
        <w:tc>
          <w:tcPr>
            <w:tcW w:w="4029" w:type="dxa"/>
          </w:tcPr>
          <w:p w14:paraId="6BA4A6E3" w14:textId="77777777" w:rsidR="00165B89" w:rsidRPr="00165B89" w:rsidRDefault="00165B89" w:rsidP="003C191F"/>
        </w:tc>
        <w:tc>
          <w:tcPr>
            <w:tcW w:w="4029" w:type="dxa"/>
          </w:tcPr>
          <w:p w14:paraId="26A33ED0" w14:textId="77777777" w:rsidR="00165B89" w:rsidRPr="00165B89" w:rsidRDefault="00165B89" w:rsidP="003C191F"/>
        </w:tc>
      </w:tr>
      <w:tr w:rsidR="00165B89" w:rsidRPr="00165B89" w14:paraId="49E57DD8" w14:textId="77777777" w:rsidTr="003C191F">
        <w:tc>
          <w:tcPr>
            <w:tcW w:w="7533" w:type="dxa"/>
          </w:tcPr>
          <w:p w14:paraId="1DCFD6DB" w14:textId="77777777" w:rsidR="00165B89" w:rsidRPr="00165B89" w:rsidRDefault="00165B89" w:rsidP="003C191F">
            <w:pPr>
              <w:pStyle w:val="BodyText"/>
              <w:numPr>
                <w:ilvl w:val="0"/>
                <w:numId w:val="5"/>
              </w:numPr>
              <w:spacing w:line="360" w:lineRule="auto"/>
              <w:ind w:left="1701" w:hanging="567"/>
              <w:jc w:val="both"/>
              <w:rPr>
                <w:lang w:val="en-ID"/>
              </w:rPr>
            </w:pPr>
            <w:r w:rsidRPr="00165B89">
              <w:rPr>
                <w:lang w:val="id-ID"/>
              </w:rPr>
              <w:t xml:space="preserve">Bentuk dan susunan laporan sebagaimana dimaksud pada angka 1 sampai dengan angka 3 </w:t>
            </w:r>
            <w:r w:rsidRPr="00165B89">
              <w:rPr>
                <w:lang w:val="en-ID"/>
              </w:rPr>
              <w:t>disusun dengan ketentuan sebagai berikut</w:t>
            </w:r>
            <w:r w:rsidRPr="00165B89">
              <w:rPr>
                <w:lang w:val="id-ID"/>
              </w:rPr>
              <w:t>:</w:t>
            </w:r>
          </w:p>
        </w:tc>
        <w:tc>
          <w:tcPr>
            <w:tcW w:w="4029" w:type="dxa"/>
          </w:tcPr>
          <w:p w14:paraId="49723EFD" w14:textId="77777777" w:rsidR="00165B89" w:rsidRPr="00165B89" w:rsidRDefault="00165B89" w:rsidP="003C191F"/>
        </w:tc>
        <w:tc>
          <w:tcPr>
            <w:tcW w:w="4029" w:type="dxa"/>
          </w:tcPr>
          <w:p w14:paraId="3EE748ED" w14:textId="77777777" w:rsidR="00165B89" w:rsidRPr="00165B89" w:rsidRDefault="00165B89" w:rsidP="003C191F"/>
        </w:tc>
      </w:tr>
      <w:tr w:rsidR="00165B89" w:rsidRPr="00165B89" w14:paraId="37BF5BC9" w14:textId="77777777" w:rsidTr="003C191F">
        <w:tc>
          <w:tcPr>
            <w:tcW w:w="7533" w:type="dxa"/>
          </w:tcPr>
          <w:p w14:paraId="0419A7D5" w14:textId="77777777" w:rsidR="00165B89" w:rsidRPr="00165B89" w:rsidRDefault="00165B89" w:rsidP="003C191F">
            <w:pPr>
              <w:pStyle w:val="BodyText"/>
              <w:numPr>
                <w:ilvl w:val="0"/>
                <w:numId w:val="17"/>
              </w:numPr>
              <w:spacing w:line="360" w:lineRule="auto"/>
              <w:ind w:left="2268" w:hanging="567"/>
              <w:jc w:val="both"/>
              <w:rPr>
                <w:lang w:val="id-ID"/>
              </w:rPr>
            </w:pPr>
            <w:r w:rsidRPr="00165B89">
              <w:rPr>
                <w:lang w:val="id-ID"/>
              </w:rPr>
              <w:t xml:space="preserve">bentuk dan susunan Laporan Triwulanan sebagaimana dimaksud pada angka 1 huruf a dan Laporan Tahunan aspek keuangan sebagaimana dimaksud pada angka 3 huruf a bagi Perusahaan Pialang Asuransi adalah sebagaimana tercantum dalam format IA Lampiran I yang </w:t>
            </w:r>
            <w:r w:rsidRPr="00165B89">
              <w:rPr>
                <w:lang w:val="id-ID"/>
              </w:rPr>
              <w:lastRenderedPageBreak/>
              <w:t>merupakan bagian tidak terpisahkan dari Surat Edaran Otoritas Jasa Keuangan ini;</w:t>
            </w:r>
          </w:p>
        </w:tc>
        <w:tc>
          <w:tcPr>
            <w:tcW w:w="4029" w:type="dxa"/>
          </w:tcPr>
          <w:p w14:paraId="67483A1E" w14:textId="77777777" w:rsidR="00165B89" w:rsidRPr="00165B89" w:rsidRDefault="00165B89" w:rsidP="003C191F"/>
        </w:tc>
        <w:tc>
          <w:tcPr>
            <w:tcW w:w="4029" w:type="dxa"/>
          </w:tcPr>
          <w:p w14:paraId="58EA8363" w14:textId="77777777" w:rsidR="00165B89" w:rsidRPr="00165B89" w:rsidRDefault="00165B89" w:rsidP="003C191F"/>
        </w:tc>
      </w:tr>
      <w:tr w:rsidR="00165B89" w:rsidRPr="00165B89" w14:paraId="69A58E32" w14:textId="77777777" w:rsidTr="003C191F">
        <w:tc>
          <w:tcPr>
            <w:tcW w:w="7533" w:type="dxa"/>
          </w:tcPr>
          <w:p w14:paraId="4330FA4C" w14:textId="77777777" w:rsidR="00165B89" w:rsidRPr="00165B89" w:rsidRDefault="00165B89" w:rsidP="003C191F">
            <w:pPr>
              <w:pStyle w:val="BodyText"/>
              <w:numPr>
                <w:ilvl w:val="0"/>
                <w:numId w:val="17"/>
              </w:numPr>
              <w:spacing w:line="360" w:lineRule="auto"/>
              <w:ind w:left="2268" w:hanging="567"/>
              <w:jc w:val="both"/>
              <w:rPr>
                <w:lang w:val="id-ID"/>
              </w:rPr>
            </w:pPr>
            <w:r w:rsidRPr="00165B89">
              <w:rPr>
                <w:lang w:val="id-ID"/>
              </w:rPr>
              <w:t>bentuk dan susunan Laporan Triwulanan sebagaimana dimaksud pada angka 1 huruf a dan Laporan Tahunan aspek keuangan sebagaimana dimaksud pada angka 3 huruf a bagi Perusahaan Pialang Reasuransi adalah sebagaimana tercantum dalam format IB Lampiran I yang merupakan bagian tidak terpisahkan dari Surat Edaran Otoritas Jasa Keuangan ini;</w:t>
            </w:r>
          </w:p>
        </w:tc>
        <w:tc>
          <w:tcPr>
            <w:tcW w:w="4029" w:type="dxa"/>
          </w:tcPr>
          <w:p w14:paraId="48FF0C00" w14:textId="77777777" w:rsidR="00165B89" w:rsidRPr="00165B89" w:rsidRDefault="00165B89" w:rsidP="003C191F"/>
        </w:tc>
        <w:tc>
          <w:tcPr>
            <w:tcW w:w="4029" w:type="dxa"/>
          </w:tcPr>
          <w:p w14:paraId="7B7C4665" w14:textId="77777777" w:rsidR="00165B89" w:rsidRPr="00165B89" w:rsidRDefault="00165B89" w:rsidP="003C191F"/>
        </w:tc>
      </w:tr>
      <w:tr w:rsidR="00165B89" w:rsidRPr="00165B89" w14:paraId="1999C394" w14:textId="77777777" w:rsidTr="003C191F">
        <w:tc>
          <w:tcPr>
            <w:tcW w:w="7533" w:type="dxa"/>
          </w:tcPr>
          <w:p w14:paraId="0F4CF799" w14:textId="77777777" w:rsidR="00165B89" w:rsidRPr="00165B89" w:rsidRDefault="00165B89" w:rsidP="003C191F">
            <w:pPr>
              <w:pStyle w:val="BodyText"/>
              <w:numPr>
                <w:ilvl w:val="0"/>
                <w:numId w:val="17"/>
              </w:numPr>
              <w:spacing w:line="360" w:lineRule="auto"/>
              <w:ind w:left="2268" w:hanging="567"/>
              <w:jc w:val="both"/>
              <w:rPr>
                <w:lang w:val="id-ID"/>
              </w:rPr>
            </w:pPr>
            <w:r w:rsidRPr="00165B89">
              <w:rPr>
                <w:lang w:val="id-ID"/>
              </w:rPr>
              <w:t>bentuk dan susunan Laporan Tahunan sebagaimana dimaksud pada angka 2 huruf a bagi Perusahaan Penilai Kerugian Asuransi untuk aspek keuangan sebagaimana dimaksud pada angka 3 huruf a bagi Perusahaan Penilai Kerugian Asuransi adalah sebagaimana tercantum dalam format IC Lampiran I yang merupakan bagian tidak terpisahkan dari Surat Edaran Otoritas Jasa Keuangan ini;</w:t>
            </w:r>
          </w:p>
        </w:tc>
        <w:tc>
          <w:tcPr>
            <w:tcW w:w="4029" w:type="dxa"/>
          </w:tcPr>
          <w:p w14:paraId="16C35D7C" w14:textId="77777777" w:rsidR="00165B89" w:rsidRPr="00165B89" w:rsidRDefault="00165B89" w:rsidP="003C191F"/>
        </w:tc>
        <w:tc>
          <w:tcPr>
            <w:tcW w:w="4029" w:type="dxa"/>
          </w:tcPr>
          <w:p w14:paraId="5FE61AAA" w14:textId="77777777" w:rsidR="00165B89" w:rsidRPr="00165B89" w:rsidRDefault="00165B89" w:rsidP="003C191F"/>
        </w:tc>
      </w:tr>
      <w:tr w:rsidR="00165B89" w:rsidRPr="00165B89" w14:paraId="0A0878A6" w14:textId="77777777" w:rsidTr="003C191F">
        <w:tc>
          <w:tcPr>
            <w:tcW w:w="7533" w:type="dxa"/>
          </w:tcPr>
          <w:p w14:paraId="3AF0B3BF" w14:textId="77777777" w:rsidR="00165B89" w:rsidRPr="00165B89" w:rsidRDefault="00165B89" w:rsidP="003C191F">
            <w:pPr>
              <w:pStyle w:val="BodyText"/>
              <w:numPr>
                <w:ilvl w:val="0"/>
                <w:numId w:val="17"/>
              </w:numPr>
              <w:spacing w:line="360" w:lineRule="auto"/>
              <w:ind w:left="2268" w:hanging="567"/>
              <w:jc w:val="both"/>
              <w:rPr>
                <w:lang w:val="id-ID"/>
              </w:rPr>
            </w:pPr>
            <w:r w:rsidRPr="00165B89">
              <w:rPr>
                <w:lang w:val="id-ID"/>
              </w:rPr>
              <w:lastRenderedPageBreak/>
              <w:t>bentuk dan susunan Laporan Tahunan untuk aspek manajemen sebagaimana dimaksud pada angka 3 huruf b bagi Perusahaan adalah tercantum dalam Lampiran II yang merupakan bagian tidak terpisahkan dari Surat Edaran Otoritas Jasa Keuangan ini;</w:t>
            </w:r>
          </w:p>
        </w:tc>
        <w:tc>
          <w:tcPr>
            <w:tcW w:w="4029" w:type="dxa"/>
          </w:tcPr>
          <w:p w14:paraId="3F2C7BF5" w14:textId="77777777" w:rsidR="00165B89" w:rsidRPr="00165B89" w:rsidRDefault="00165B89" w:rsidP="003C191F">
            <w:pPr>
              <w:rPr>
                <w:lang w:val="id-ID"/>
              </w:rPr>
            </w:pPr>
          </w:p>
        </w:tc>
        <w:tc>
          <w:tcPr>
            <w:tcW w:w="4029" w:type="dxa"/>
          </w:tcPr>
          <w:p w14:paraId="289C2A1E" w14:textId="77777777" w:rsidR="00165B89" w:rsidRPr="00165B89" w:rsidRDefault="00165B89" w:rsidP="003C191F">
            <w:pPr>
              <w:rPr>
                <w:lang w:val="id-ID"/>
              </w:rPr>
            </w:pPr>
          </w:p>
        </w:tc>
      </w:tr>
      <w:tr w:rsidR="00165B89" w:rsidRPr="00165B89" w14:paraId="6DDDFC1B" w14:textId="77777777" w:rsidTr="003C191F">
        <w:tc>
          <w:tcPr>
            <w:tcW w:w="7533" w:type="dxa"/>
          </w:tcPr>
          <w:p w14:paraId="0209312E" w14:textId="77777777" w:rsidR="00165B89" w:rsidRPr="00165B89" w:rsidRDefault="00165B89" w:rsidP="003C191F">
            <w:pPr>
              <w:pStyle w:val="BodyText"/>
              <w:numPr>
                <w:ilvl w:val="0"/>
                <w:numId w:val="17"/>
              </w:numPr>
              <w:spacing w:line="360" w:lineRule="auto"/>
              <w:ind w:left="2268" w:hanging="567"/>
              <w:jc w:val="both"/>
              <w:rPr>
                <w:lang w:val="id-ID"/>
              </w:rPr>
            </w:pPr>
            <w:r w:rsidRPr="00165B89">
              <w:rPr>
                <w:lang w:val="id-ID"/>
              </w:rPr>
              <w:t>bentuk dan susunan Laporan Lain sebagaimana dimaksud pada angka 1 huruf c bagi Perusahaan Pialang Asuransi adalah tercantum dalam Lampiran III yang merupakan bagian tidak terpisahkan dari Surat Edaran Otoritas Jasa Keuangan ini;</w:t>
            </w:r>
          </w:p>
        </w:tc>
        <w:tc>
          <w:tcPr>
            <w:tcW w:w="4029" w:type="dxa"/>
          </w:tcPr>
          <w:p w14:paraId="35B06005" w14:textId="77777777" w:rsidR="00165B89" w:rsidRPr="00165B89" w:rsidRDefault="00165B89" w:rsidP="003C191F"/>
        </w:tc>
        <w:tc>
          <w:tcPr>
            <w:tcW w:w="4029" w:type="dxa"/>
          </w:tcPr>
          <w:p w14:paraId="4A605D09" w14:textId="77777777" w:rsidR="00165B89" w:rsidRPr="00165B89" w:rsidRDefault="00165B89" w:rsidP="003C191F"/>
        </w:tc>
      </w:tr>
      <w:tr w:rsidR="00165B89" w:rsidRPr="00165B89" w14:paraId="310E1936" w14:textId="77777777" w:rsidTr="003C191F">
        <w:tc>
          <w:tcPr>
            <w:tcW w:w="7533" w:type="dxa"/>
          </w:tcPr>
          <w:p w14:paraId="781D8FD7" w14:textId="77777777" w:rsidR="00165B89" w:rsidRPr="00165B89" w:rsidRDefault="00165B89" w:rsidP="003C191F">
            <w:pPr>
              <w:pStyle w:val="BodyText"/>
              <w:numPr>
                <w:ilvl w:val="0"/>
                <w:numId w:val="17"/>
              </w:numPr>
              <w:spacing w:line="360" w:lineRule="auto"/>
              <w:ind w:left="2268" w:hanging="567"/>
              <w:jc w:val="both"/>
              <w:rPr>
                <w:lang w:val="id-ID"/>
              </w:rPr>
            </w:pPr>
            <w:r w:rsidRPr="00165B89">
              <w:rPr>
                <w:lang w:val="id-ID"/>
              </w:rPr>
              <w:t>bentuk dan susunan Laporan Lain sebagaimana dimaksud pada angka 1 huruf c bagi Perusahaan Pialang Reasuransi adalah tercantum dalam Lampiran IV yang merupakan bagian tidak terpisahkan dari Surat Edaran Otoritas Jasa Keuangan ini; dan</w:t>
            </w:r>
          </w:p>
        </w:tc>
        <w:tc>
          <w:tcPr>
            <w:tcW w:w="4029" w:type="dxa"/>
          </w:tcPr>
          <w:p w14:paraId="21242B03" w14:textId="77777777" w:rsidR="00165B89" w:rsidRPr="00165B89" w:rsidRDefault="00165B89" w:rsidP="003C191F"/>
        </w:tc>
        <w:tc>
          <w:tcPr>
            <w:tcW w:w="4029" w:type="dxa"/>
          </w:tcPr>
          <w:p w14:paraId="0392C7F8" w14:textId="77777777" w:rsidR="00165B89" w:rsidRPr="00165B89" w:rsidRDefault="00165B89" w:rsidP="003C191F"/>
        </w:tc>
      </w:tr>
      <w:tr w:rsidR="00165B89" w:rsidRPr="00165B89" w14:paraId="1BA9B540" w14:textId="77777777" w:rsidTr="003C191F">
        <w:tc>
          <w:tcPr>
            <w:tcW w:w="7533" w:type="dxa"/>
          </w:tcPr>
          <w:p w14:paraId="04E9F53A" w14:textId="77777777" w:rsidR="00165B89" w:rsidRPr="00165B89" w:rsidRDefault="00165B89" w:rsidP="003C191F">
            <w:pPr>
              <w:pStyle w:val="BodyText"/>
              <w:numPr>
                <w:ilvl w:val="0"/>
                <w:numId w:val="17"/>
              </w:numPr>
              <w:spacing w:line="360" w:lineRule="auto"/>
              <w:ind w:left="2268" w:hanging="567"/>
              <w:jc w:val="both"/>
              <w:rPr>
                <w:lang w:val="id-ID"/>
              </w:rPr>
            </w:pPr>
            <w:r w:rsidRPr="00165B89">
              <w:rPr>
                <w:lang w:val="id-ID"/>
              </w:rPr>
              <w:t xml:space="preserve">bentuk dan susunan Laporan Lain sebagaimana dimaksud pada angka 2 </w:t>
            </w:r>
            <w:r w:rsidRPr="00165B89">
              <w:rPr>
                <w:lang w:val="id-ID"/>
              </w:rPr>
              <w:lastRenderedPageBreak/>
              <w:t>huruf b bagi Perusahaan Penilai Kerugian Asuransi adalah tercantum dalam Lampiran V yang merupakan bagian tidak terpisahkan dari Surat Edaran Otoritas Jasa Keuangan ini</w:t>
            </w:r>
            <w:r w:rsidRPr="00165B89">
              <w:t>.</w:t>
            </w:r>
          </w:p>
        </w:tc>
        <w:tc>
          <w:tcPr>
            <w:tcW w:w="4029" w:type="dxa"/>
          </w:tcPr>
          <w:p w14:paraId="1E7165EC" w14:textId="77777777" w:rsidR="00165B89" w:rsidRPr="00165B89" w:rsidRDefault="00165B89" w:rsidP="003C191F"/>
        </w:tc>
        <w:tc>
          <w:tcPr>
            <w:tcW w:w="4029" w:type="dxa"/>
          </w:tcPr>
          <w:p w14:paraId="7F5FDCE2" w14:textId="77777777" w:rsidR="00165B89" w:rsidRPr="00165B89" w:rsidRDefault="00165B89" w:rsidP="003C191F"/>
        </w:tc>
      </w:tr>
      <w:tr w:rsidR="00165B89" w:rsidRPr="00165B89" w14:paraId="07241419" w14:textId="77777777" w:rsidTr="003C191F">
        <w:tc>
          <w:tcPr>
            <w:tcW w:w="7533" w:type="dxa"/>
          </w:tcPr>
          <w:p w14:paraId="589B287F" w14:textId="77777777" w:rsidR="00165B89" w:rsidRPr="00165B89" w:rsidRDefault="00165B89" w:rsidP="003C191F">
            <w:pPr>
              <w:pStyle w:val="BodyText"/>
              <w:spacing w:line="360" w:lineRule="auto"/>
              <w:ind w:left="0"/>
              <w:jc w:val="both"/>
              <w:rPr>
                <w:lang w:val="id-ID"/>
              </w:rPr>
            </w:pPr>
          </w:p>
        </w:tc>
        <w:tc>
          <w:tcPr>
            <w:tcW w:w="4029" w:type="dxa"/>
          </w:tcPr>
          <w:p w14:paraId="536D7E95" w14:textId="77777777" w:rsidR="00165B89" w:rsidRPr="00165B89" w:rsidRDefault="00165B89" w:rsidP="003C191F"/>
        </w:tc>
        <w:tc>
          <w:tcPr>
            <w:tcW w:w="4029" w:type="dxa"/>
          </w:tcPr>
          <w:p w14:paraId="2A9DE9EE" w14:textId="77777777" w:rsidR="00165B89" w:rsidRPr="00165B89" w:rsidRDefault="00165B89" w:rsidP="003C191F"/>
        </w:tc>
      </w:tr>
      <w:tr w:rsidR="00165B89" w:rsidRPr="00165B89" w14:paraId="35C9EC23" w14:textId="77777777" w:rsidTr="003C191F">
        <w:tc>
          <w:tcPr>
            <w:tcW w:w="7533" w:type="dxa"/>
          </w:tcPr>
          <w:p w14:paraId="0E23C53F" w14:textId="77777777" w:rsidR="00165B89" w:rsidRPr="00165B89" w:rsidRDefault="00165B89" w:rsidP="003C191F">
            <w:pPr>
              <w:pStyle w:val="BodyText"/>
              <w:numPr>
                <w:ilvl w:val="0"/>
                <w:numId w:val="3"/>
              </w:numPr>
              <w:spacing w:line="360" w:lineRule="auto"/>
              <w:ind w:left="1134" w:hanging="567"/>
              <w:jc w:val="both"/>
              <w:rPr>
                <w:lang w:val="id-ID"/>
              </w:rPr>
            </w:pPr>
            <w:r w:rsidRPr="00165B89">
              <w:rPr>
                <w:lang w:val="id-ID"/>
              </w:rPr>
              <w:t>TATA CARA PENYAMPAIAN LAPORAN</w:t>
            </w:r>
          </w:p>
        </w:tc>
        <w:tc>
          <w:tcPr>
            <w:tcW w:w="4029" w:type="dxa"/>
          </w:tcPr>
          <w:p w14:paraId="0D52C447" w14:textId="77777777" w:rsidR="00165B89" w:rsidRPr="00165B89" w:rsidRDefault="00165B89" w:rsidP="003C191F"/>
        </w:tc>
        <w:tc>
          <w:tcPr>
            <w:tcW w:w="4029" w:type="dxa"/>
          </w:tcPr>
          <w:p w14:paraId="3B4088B9" w14:textId="77777777" w:rsidR="00165B89" w:rsidRPr="00165B89" w:rsidRDefault="00165B89" w:rsidP="003C191F"/>
        </w:tc>
      </w:tr>
      <w:tr w:rsidR="00165B89" w:rsidRPr="00165B89" w14:paraId="2EB4AD11" w14:textId="77777777" w:rsidTr="003C191F">
        <w:tc>
          <w:tcPr>
            <w:tcW w:w="7533" w:type="dxa"/>
          </w:tcPr>
          <w:p w14:paraId="1E74C6C5"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 xml:space="preserve">Penyampaian Laporan Berkala dilakukan melalui sistem pelaporan Otoritas Jasa Keuangan. </w:t>
            </w:r>
          </w:p>
        </w:tc>
        <w:tc>
          <w:tcPr>
            <w:tcW w:w="4029" w:type="dxa"/>
          </w:tcPr>
          <w:p w14:paraId="00FA350F" w14:textId="77777777" w:rsidR="00165B89" w:rsidRPr="00165B89" w:rsidRDefault="00165B89" w:rsidP="003C191F"/>
        </w:tc>
        <w:tc>
          <w:tcPr>
            <w:tcW w:w="4029" w:type="dxa"/>
          </w:tcPr>
          <w:p w14:paraId="19D22A7D" w14:textId="77777777" w:rsidR="00165B89" w:rsidRPr="00165B89" w:rsidRDefault="00165B89" w:rsidP="003C191F"/>
        </w:tc>
      </w:tr>
      <w:tr w:rsidR="00165B89" w:rsidRPr="00165B89" w14:paraId="3319CC65" w14:textId="77777777" w:rsidTr="003C191F">
        <w:tc>
          <w:tcPr>
            <w:tcW w:w="7533" w:type="dxa"/>
          </w:tcPr>
          <w:p w14:paraId="6460383B"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Perusahaan dinyatakan telah menyampaikan Laporan Berkala apabila telah lolos dari validasi peladen (</w:t>
            </w:r>
            <w:r w:rsidRPr="00165B89">
              <w:rPr>
                <w:i/>
                <w:iCs/>
                <w:lang w:val="id-ID"/>
              </w:rPr>
              <w:t>server</w:t>
            </w:r>
            <w:r w:rsidRPr="00165B89">
              <w:rPr>
                <w:lang w:val="id-ID"/>
              </w:rPr>
              <w:t xml:space="preserve">) yang dibuktikan dengan bukti penerimaan dari sistem pelaporan Otoritas Jasa Keuangan. </w:t>
            </w:r>
          </w:p>
        </w:tc>
        <w:tc>
          <w:tcPr>
            <w:tcW w:w="4029" w:type="dxa"/>
          </w:tcPr>
          <w:p w14:paraId="5A5A29D4" w14:textId="77777777" w:rsidR="00165B89" w:rsidRPr="00165B89" w:rsidRDefault="00165B89" w:rsidP="003C191F"/>
        </w:tc>
        <w:tc>
          <w:tcPr>
            <w:tcW w:w="4029" w:type="dxa"/>
          </w:tcPr>
          <w:p w14:paraId="50038BDF" w14:textId="77777777" w:rsidR="00165B89" w:rsidRPr="00165B89" w:rsidRDefault="00165B89" w:rsidP="003C191F"/>
        </w:tc>
      </w:tr>
      <w:tr w:rsidR="00165B89" w:rsidRPr="00165B89" w14:paraId="020CB1B1" w14:textId="77777777" w:rsidTr="003C191F">
        <w:tc>
          <w:tcPr>
            <w:tcW w:w="7533" w:type="dxa"/>
          </w:tcPr>
          <w:p w14:paraId="7FC3051F"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 xml:space="preserve">Dalam hal sistem pelaporan Otoritas Jasa Keuangan sebagaimana dimaksud pada angka 1 mengalami gangguan teknis atau keadaan kahar sehingga Perusahaan tidak dapat menyampaikan Laporan Berkala melalui sistem pelaporan, Otoritas Jasa Keuangan memberitahukan kepada Perusahaan </w:t>
            </w:r>
            <w:r w:rsidRPr="00165B89">
              <w:rPr>
                <w:lang w:val="id-ID"/>
              </w:rPr>
              <w:lastRenderedPageBreak/>
              <w:t>terjadinya gangguan teknis atau keadaan kahar melalui:</w:t>
            </w:r>
          </w:p>
        </w:tc>
        <w:tc>
          <w:tcPr>
            <w:tcW w:w="4029" w:type="dxa"/>
          </w:tcPr>
          <w:p w14:paraId="77A86C92" w14:textId="77777777" w:rsidR="00165B89" w:rsidRPr="00165B89" w:rsidRDefault="00165B89" w:rsidP="003C191F">
            <w:pPr>
              <w:rPr>
                <w:lang w:val="id-ID"/>
              </w:rPr>
            </w:pPr>
          </w:p>
        </w:tc>
        <w:tc>
          <w:tcPr>
            <w:tcW w:w="4029" w:type="dxa"/>
          </w:tcPr>
          <w:p w14:paraId="135A160D" w14:textId="77777777" w:rsidR="00165B89" w:rsidRPr="00165B89" w:rsidRDefault="00165B89" w:rsidP="003C191F">
            <w:pPr>
              <w:rPr>
                <w:lang w:val="id-ID"/>
              </w:rPr>
            </w:pPr>
          </w:p>
        </w:tc>
      </w:tr>
      <w:tr w:rsidR="00165B89" w:rsidRPr="00165B89" w14:paraId="7720C80C" w14:textId="77777777" w:rsidTr="003C191F">
        <w:tc>
          <w:tcPr>
            <w:tcW w:w="7533" w:type="dxa"/>
          </w:tcPr>
          <w:p w14:paraId="3C0972EC" w14:textId="77777777" w:rsidR="00165B89" w:rsidRPr="00165B89" w:rsidRDefault="00165B89" w:rsidP="003C191F">
            <w:pPr>
              <w:pStyle w:val="BodyText"/>
              <w:numPr>
                <w:ilvl w:val="0"/>
                <w:numId w:val="36"/>
              </w:numPr>
              <w:spacing w:line="360" w:lineRule="auto"/>
              <w:ind w:left="2268" w:hanging="567"/>
              <w:jc w:val="both"/>
              <w:rPr>
                <w:lang w:val="en-ID"/>
              </w:rPr>
            </w:pPr>
            <w:r w:rsidRPr="00165B89">
              <w:rPr>
                <w:lang w:val="en-ID"/>
              </w:rPr>
              <w:t>sistem pelaporan Otoritas Jasa Keuangan; dan/atau</w:t>
            </w:r>
          </w:p>
        </w:tc>
        <w:tc>
          <w:tcPr>
            <w:tcW w:w="4029" w:type="dxa"/>
          </w:tcPr>
          <w:p w14:paraId="518A943D" w14:textId="77777777" w:rsidR="00165B89" w:rsidRPr="00165B89" w:rsidRDefault="00165B89" w:rsidP="003C191F"/>
        </w:tc>
        <w:tc>
          <w:tcPr>
            <w:tcW w:w="4029" w:type="dxa"/>
          </w:tcPr>
          <w:p w14:paraId="4C65C419" w14:textId="77777777" w:rsidR="00165B89" w:rsidRPr="00165B89" w:rsidRDefault="00165B89" w:rsidP="003C191F"/>
        </w:tc>
      </w:tr>
      <w:tr w:rsidR="00165B89" w:rsidRPr="00165B89" w14:paraId="077E4A48" w14:textId="77777777" w:rsidTr="003C191F">
        <w:tc>
          <w:tcPr>
            <w:tcW w:w="7533" w:type="dxa"/>
          </w:tcPr>
          <w:p w14:paraId="3FA773D0" w14:textId="77777777" w:rsidR="00165B89" w:rsidRPr="00165B89" w:rsidRDefault="00165B89" w:rsidP="003C191F">
            <w:pPr>
              <w:pStyle w:val="BodyText"/>
              <w:numPr>
                <w:ilvl w:val="0"/>
                <w:numId w:val="36"/>
              </w:numPr>
              <w:spacing w:line="360" w:lineRule="auto"/>
              <w:ind w:left="2268" w:hanging="567"/>
              <w:jc w:val="both"/>
              <w:rPr>
                <w:lang w:val="en-ID"/>
              </w:rPr>
            </w:pPr>
            <w:r w:rsidRPr="00165B89">
              <w:rPr>
                <w:lang w:val="en-ID"/>
              </w:rPr>
              <w:t>surat Otoritas Jasa Keuangan.</w:t>
            </w:r>
          </w:p>
        </w:tc>
        <w:tc>
          <w:tcPr>
            <w:tcW w:w="4029" w:type="dxa"/>
          </w:tcPr>
          <w:p w14:paraId="1612CB5B" w14:textId="77777777" w:rsidR="00165B89" w:rsidRPr="00165B89" w:rsidRDefault="00165B89" w:rsidP="003C191F"/>
        </w:tc>
        <w:tc>
          <w:tcPr>
            <w:tcW w:w="4029" w:type="dxa"/>
          </w:tcPr>
          <w:p w14:paraId="6A101EE6" w14:textId="77777777" w:rsidR="00165B89" w:rsidRPr="00165B89" w:rsidRDefault="00165B89" w:rsidP="003C191F"/>
        </w:tc>
      </w:tr>
      <w:tr w:rsidR="00165B89" w:rsidRPr="00165B89" w14:paraId="241D2C25" w14:textId="77777777" w:rsidTr="003C191F">
        <w:tc>
          <w:tcPr>
            <w:tcW w:w="7533" w:type="dxa"/>
          </w:tcPr>
          <w:p w14:paraId="12F44EC7"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Pemberitahuan sebagaimana dimaksud pada angka 3 dapat juga diikuti dengan pengumuman pada website Otoritas Jasa Keuangan.</w:t>
            </w:r>
          </w:p>
        </w:tc>
        <w:tc>
          <w:tcPr>
            <w:tcW w:w="4029" w:type="dxa"/>
          </w:tcPr>
          <w:p w14:paraId="417ED89F" w14:textId="77777777" w:rsidR="00165B89" w:rsidRPr="00165B89" w:rsidRDefault="00165B89" w:rsidP="003C191F"/>
        </w:tc>
        <w:tc>
          <w:tcPr>
            <w:tcW w:w="4029" w:type="dxa"/>
          </w:tcPr>
          <w:p w14:paraId="3A492BAC" w14:textId="77777777" w:rsidR="00165B89" w:rsidRPr="00165B89" w:rsidRDefault="00165B89" w:rsidP="003C191F"/>
        </w:tc>
      </w:tr>
      <w:tr w:rsidR="00165B89" w:rsidRPr="00165B89" w14:paraId="1BB80800" w14:textId="77777777" w:rsidTr="003C191F">
        <w:tc>
          <w:tcPr>
            <w:tcW w:w="7533" w:type="dxa"/>
          </w:tcPr>
          <w:p w14:paraId="0E3345EF"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Dalam hal sistem belum tersedia atau terjadi gangguan teknis atau keadaan kahar, Otoritas Jasa Keuangan dapat menetapkan dan menyampaikan mekanisme alternatif penyampaian Laporan Berkala.</w:t>
            </w:r>
          </w:p>
        </w:tc>
        <w:tc>
          <w:tcPr>
            <w:tcW w:w="4029" w:type="dxa"/>
          </w:tcPr>
          <w:p w14:paraId="600EA808" w14:textId="77777777" w:rsidR="00165B89" w:rsidRPr="00165B89" w:rsidRDefault="00165B89" w:rsidP="003C191F"/>
        </w:tc>
        <w:tc>
          <w:tcPr>
            <w:tcW w:w="4029" w:type="dxa"/>
          </w:tcPr>
          <w:p w14:paraId="2D511C51" w14:textId="77777777" w:rsidR="00165B89" w:rsidRPr="00165B89" w:rsidRDefault="00165B89" w:rsidP="003C191F"/>
        </w:tc>
      </w:tr>
      <w:tr w:rsidR="00165B89" w:rsidRPr="00165B89" w14:paraId="05D5B354" w14:textId="77777777" w:rsidTr="003C191F">
        <w:tc>
          <w:tcPr>
            <w:tcW w:w="7533" w:type="dxa"/>
          </w:tcPr>
          <w:p w14:paraId="7E17A0CB"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Mekanisme alternatif penyampaian Laporan Berkala sebagaimana dimaksud pada angka 5 antara lain dilakukan melalui surat elektronik atau penyampaian salinan elektronik Laporan Berkala secara fisik.</w:t>
            </w:r>
          </w:p>
        </w:tc>
        <w:tc>
          <w:tcPr>
            <w:tcW w:w="4029" w:type="dxa"/>
          </w:tcPr>
          <w:p w14:paraId="6B807FCF" w14:textId="77777777" w:rsidR="00165B89" w:rsidRPr="00165B89" w:rsidRDefault="00165B89" w:rsidP="003C191F"/>
        </w:tc>
        <w:tc>
          <w:tcPr>
            <w:tcW w:w="4029" w:type="dxa"/>
          </w:tcPr>
          <w:p w14:paraId="3BB40FFA" w14:textId="77777777" w:rsidR="00165B89" w:rsidRPr="00165B89" w:rsidRDefault="00165B89" w:rsidP="003C191F"/>
        </w:tc>
      </w:tr>
      <w:tr w:rsidR="00165B89" w:rsidRPr="00165B89" w14:paraId="623D8419" w14:textId="77777777" w:rsidTr="003C191F">
        <w:tc>
          <w:tcPr>
            <w:tcW w:w="7533" w:type="dxa"/>
          </w:tcPr>
          <w:p w14:paraId="724D5842"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 xml:space="preserve">Dalam hal terjadi gangguan teknis atau keadaan kahar sebagaimana dimaksud pada angka 3, Otoritas Jasa Keuangan dapat </w:t>
            </w:r>
            <w:r w:rsidRPr="00165B89">
              <w:rPr>
                <w:lang w:val="id-ID"/>
              </w:rPr>
              <w:lastRenderedPageBreak/>
              <w:t>menetapkan penundaan batas waktu penyampaian selama masa pemulihan sistem aplikasi pelaporan.</w:t>
            </w:r>
          </w:p>
        </w:tc>
        <w:tc>
          <w:tcPr>
            <w:tcW w:w="4029" w:type="dxa"/>
          </w:tcPr>
          <w:p w14:paraId="1C3FC567" w14:textId="77777777" w:rsidR="00165B89" w:rsidRPr="00165B89" w:rsidRDefault="00165B89" w:rsidP="003C191F">
            <w:pPr>
              <w:rPr>
                <w:lang w:val="id-ID"/>
              </w:rPr>
            </w:pPr>
          </w:p>
        </w:tc>
        <w:tc>
          <w:tcPr>
            <w:tcW w:w="4029" w:type="dxa"/>
          </w:tcPr>
          <w:p w14:paraId="5584C9C6" w14:textId="77777777" w:rsidR="00165B89" w:rsidRPr="00165B89" w:rsidRDefault="00165B89" w:rsidP="003C191F">
            <w:pPr>
              <w:rPr>
                <w:lang w:val="id-ID"/>
              </w:rPr>
            </w:pPr>
          </w:p>
        </w:tc>
      </w:tr>
      <w:tr w:rsidR="00165B89" w:rsidRPr="00165B89" w14:paraId="7C9CFCC3" w14:textId="77777777" w:rsidTr="003C191F">
        <w:tc>
          <w:tcPr>
            <w:tcW w:w="7533" w:type="dxa"/>
          </w:tcPr>
          <w:p w14:paraId="6D01A4BF"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Dalam menetapkan penundaan batas waktu penyampaian Laporan Berkala sebagaimana dimaksud pada angka 7, Otoritas Jasa Keuangan mempertimbangkan waktu dan penyelesaian terjadinya gangguan teknis dan keadaan kahar.</w:t>
            </w:r>
          </w:p>
        </w:tc>
        <w:tc>
          <w:tcPr>
            <w:tcW w:w="4029" w:type="dxa"/>
          </w:tcPr>
          <w:p w14:paraId="731A2247" w14:textId="77777777" w:rsidR="00165B89" w:rsidRPr="00165B89" w:rsidRDefault="00165B89" w:rsidP="003C191F">
            <w:pPr>
              <w:rPr>
                <w:lang w:val="id-ID"/>
              </w:rPr>
            </w:pPr>
          </w:p>
        </w:tc>
        <w:tc>
          <w:tcPr>
            <w:tcW w:w="4029" w:type="dxa"/>
          </w:tcPr>
          <w:p w14:paraId="4CA1F767" w14:textId="77777777" w:rsidR="00165B89" w:rsidRPr="00165B89" w:rsidRDefault="00165B89" w:rsidP="003C191F">
            <w:pPr>
              <w:rPr>
                <w:lang w:val="id-ID"/>
              </w:rPr>
            </w:pPr>
          </w:p>
        </w:tc>
      </w:tr>
      <w:tr w:rsidR="00165B89" w:rsidRPr="00165B89" w14:paraId="2834099D" w14:textId="77777777" w:rsidTr="003C191F">
        <w:tc>
          <w:tcPr>
            <w:tcW w:w="7533" w:type="dxa"/>
          </w:tcPr>
          <w:p w14:paraId="2D99B695"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 xml:space="preserve">Perusahaan menyampaikan Laporan Berkala melalui sistem pelaporan setelah Otoritas Jasa Keuangan memberitahukan bahwa gangguan teknis atau keadaan kahar pada sistem pelaporan Otoritas Jasa Keuangan sebagaimana dimaksud pada angka 3 telah teratasi. </w:t>
            </w:r>
          </w:p>
        </w:tc>
        <w:tc>
          <w:tcPr>
            <w:tcW w:w="4029" w:type="dxa"/>
          </w:tcPr>
          <w:p w14:paraId="7CFE41C6" w14:textId="77777777" w:rsidR="00165B89" w:rsidRPr="00165B89" w:rsidRDefault="00165B89" w:rsidP="003C191F">
            <w:pPr>
              <w:rPr>
                <w:lang w:val="id-ID"/>
              </w:rPr>
            </w:pPr>
          </w:p>
        </w:tc>
        <w:tc>
          <w:tcPr>
            <w:tcW w:w="4029" w:type="dxa"/>
          </w:tcPr>
          <w:p w14:paraId="412E4C5B" w14:textId="77777777" w:rsidR="00165B89" w:rsidRPr="00165B89" w:rsidRDefault="00165B89" w:rsidP="003C191F">
            <w:pPr>
              <w:rPr>
                <w:lang w:val="id-ID"/>
              </w:rPr>
            </w:pPr>
          </w:p>
        </w:tc>
      </w:tr>
      <w:tr w:rsidR="00165B89" w:rsidRPr="00165B89" w14:paraId="40786D11" w14:textId="77777777" w:rsidTr="003C191F">
        <w:tc>
          <w:tcPr>
            <w:tcW w:w="7533" w:type="dxa"/>
          </w:tcPr>
          <w:p w14:paraId="6F619B9B"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 xml:space="preserve">Perusahaan yang mengalami keadaan kahar sehingga tidak dapat menyampaikan Laporan Berkala sampai dengan batas waktu penyampaian, memberitahukan melalui surat yang ditandatangani oleh direksi atau yang </w:t>
            </w:r>
            <w:r w:rsidRPr="00165B89">
              <w:rPr>
                <w:lang w:val="id-ID"/>
              </w:rPr>
              <w:lastRenderedPageBreak/>
              <w:t>setara dari Perusahaan kepada Otoritas Jasa Keuangan, yang disertai dengan informasi:</w:t>
            </w:r>
          </w:p>
        </w:tc>
        <w:tc>
          <w:tcPr>
            <w:tcW w:w="4029" w:type="dxa"/>
          </w:tcPr>
          <w:p w14:paraId="0E9B85C5" w14:textId="77777777" w:rsidR="00165B89" w:rsidRPr="00165B89" w:rsidRDefault="00165B89" w:rsidP="003C191F">
            <w:pPr>
              <w:rPr>
                <w:lang w:val="id-ID"/>
              </w:rPr>
            </w:pPr>
          </w:p>
        </w:tc>
        <w:tc>
          <w:tcPr>
            <w:tcW w:w="4029" w:type="dxa"/>
          </w:tcPr>
          <w:p w14:paraId="7F677ECD" w14:textId="77777777" w:rsidR="00165B89" w:rsidRPr="00165B89" w:rsidRDefault="00165B89" w:rsidP="003C191F">
            <w:pPr>
              <w:rPr>
                <w:lang w:val="id-ID"/>
              </w:rPr>
            </w:pPr>
          </w:p>
        </w:tc>
      </w:tr>
      <w:tr w:rsidR="00165B89" w:rsidRPr="00165B89" w14:paraId="0C25A13A" w14:textId="77777777" w:rsidTr="003C191F">
        <w:tc>
          <w:tcPr>
            <w:tcW w:w="7533" w:type="dxa"/>
          </w:tcPr>
          <w:p w14:paraId="66FD02E9" w14:textId="77777777" w:rsidR="00165B89" w:rsidRPr="00165B89" w:rsidRDefault="00165B89" w:rsidP="003C191F">
            <w:pPr>
              <w:pStyle w:val="BodyText"/>
              <w:numPr>
                <w:ilvl w:val="0"/>
                <w:numId w:val="37"/>
              </w:numPr>
              <w:spacing w:line="360" w:lineRule="auto"/>
              <w:ind w:left="2268" w:hanging="567"/>
              <w:jc w:val="both"/>
              <w:rPr>
                <w:lang w:val="id-ID"/>
              </w:rPr>
            </w:pPr>
            <w:r w:rsidRPr="00165B89">
              <w:rPr>
                <w:lang w:val="id-ID"/>
              </w:rPr>
              <w:t xml:space="preserve">keadaan kahar yang dialami; </w:t>
            </w:r>
          </w:p>
        </w:tc>
        <w:tc>
          <w:tcPr>
            <w:tcW w:w="4029" w:type="dxa"/>
          </w:tcPr>
          <w:p w14:paraId="13658767" w14:textId="77777777" w:rsidR="00165B89" w:rsidRPr="00165B89" w:rsidRDefault="00165B89" w:rsidP="003C191F"/>
        </w:tc>
        <w:tc>
          <w:tcPr>
            <w:tcW w:w="4029" w:type="dxa"/>
          </w:tcPr>
          <w:p w14:paraId="39083D54" w14:textId="77777777" w:rsidR="00165B89" w:rsidRPr="00165B89" w:rsidRDefault="00165B89" w:rsidP="003C191F"/>
        </w:tc>
      </w:tr>
      <w:tr w:rsidR="00165B89" w:rsidRPr="00165B89" w14:paraId="449274BC" w14:textId="77777777" w:rsidTr="003C191F">
        <w:tc>
          <w:tcPr>
            <w:tcW w:w="7533" w:type="dxa"/>
          </w:tcPr>
          <w:p w14:paraId="1AA6DC27" w14:textId="77777777" w:rsidR="00165B89" w:rsidRPr="00165B89" w:rsidRDefault="00165B89" w:rsidP="003C191F">
            <w:pPr>
              <w:pStyle w:val="BodyText"/>
              <w:numPr>
                <w:ilvl w:val="0"/>
                <w:numId w:val="37"/>
              </w:numPr>
              <w:spacing w:line="360" w:lineRule="auto"/>
              <w:ind w:left="2268" w:hanging="567"/>
              <w:jc w:val="both"/>
              <w:rPr>
                <w:lang w:val="id-ID"/>
              </w:rPr>
            </w:pPr>
            <w:r w:rsidRPr="00165B89">
              <w:rPr>
                <w:lang w:val="id-ID"/>
              </w:rPr>
              <w:t xml:space="preserve">alasan tidak dapat menyampaikan Laporan Berkala; dan </w:t>
            </w:r>
          </w:p>
        </w:tc>
        <w:tc>
          <w:tcPr>
            <w:tcW w:w="4029" w:type="dxa"/>
          </w:tcPr>
          <w:p w14:paraId="0E5892D9" w14:textId="77777777" w:rsidR="00165B89" w:rsidRPr="00165B89" w:rsidRDefault="00165B89" w:rsidP="003C191F"/>
        </w:tc>
        <w:tc>
          <w:tcPr>
            <w:tcW w:w="4029" w:type="dxa"/>
          </w:tcPr>
          <w:p w14:paraId="770637AA" w14:textId="77777777" w:rsidR="00165B89" w:rsidRPr="00165B89" w:rsidRDefault="00165B89" w:rsidP="003C191F"/>
        </w:tc>
      </w:tr>
      <w:tr w:rsidR="00165B89" w:rsidRPr="00165B89" w14:paraId="1ED23F6E" w14:textId="77777777" w:rsidTr="003C191F">
        <w:tc>
          <w:tcPr>
            <w:tcW w:w="7533" w:type="dxa"/>
          </w:tcPr>
          <w:p w14:paraId="4195336D" w14:textId="77777777" w:rsidR="00165B89" w:rsidRPr="00165B89" w:rsidRDefault="00165B89" w:rsidP="003C191F">
            <w:pPr>
              <w:pStyle w:val="BodyText"/>
              <w:numPr>
                <w:ilvl w:val="0"/>
                <w:numId w:val="37"/>
              </w:numPr>
              <w:spacing w:line="360" w:lineRule="auto"/>
              <w:ind w:left="2268" w:hanging="567"/>
              <w:jc w:val="both"/>
              <w:rPr>
                <w:lang w:val="id-ID"/>
              </w:rPr>
            </w:pPr>
            <w:r w:rsidRPr="00165B89">
              <w:rPr>
                <w:lang w:val="id-ID"/>
              </w:rPr>
              <w:t>metode alternatif yang diajukan untuk penyampaian Laporan Berkala dan/atau usulan penundaan batas waktu penyampaian Laporan Berkala</w:t>
            </w:r>
            <w:r w:rsidRPr="00165B89">
              <w:t>.</w:t>
            </w:r>
          </w:p>
        </w:tc>
        <w:tc>
          <w:tcPr>
            <w:tcW w:w="4029" w:type="dxa"/>
          </w:tcPr>
          <w:p w14:paraId="13E2C25A" w14:textId="77777777" w:rsidR="00165B89" w:rsidRPr="00165B89" w:rsidRDefault="00165B89" w:rsidP="003C191F"/>
        </w:tc>
        <w:tc>
          <w:tcPr>
            <w:tcW w:w="4029" w:type="dxa"/>
          </w:tcPr>
          <w:p w14:paraId="7D46C3CB" w14:textId="77777777" w:rsidR="00165B89" w:rsidRPr="00165B89" w:rsidRDefault="00165B89" w:rsidP="003C191F"/>
        </w:tc>
      </w:tr>
      <w:tr w:rsidR="00165B89" w:rsidRPr="00165B89" w14:paraId="4B4548BF" w14:textId="77777777" w:rsidTr="003C191F">
        <w:tc>
          <w:tcPr>
            <w:tcW w:w="7533" w:type="dxa"/>
          </w:tcPr>
          <w:p w14:paraId="02D81C08"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 xml:space="preserve">Surat pemberitahuan sebagaimana dimaksud pada angka 10 disampaikan paling lambat 1 (satu) hari setelah Perusahaan mengalami keadaan kahar. </w:t>
            </w:r>
          </w:p>
        </w:tc>
        <w:tc>
          <w:tcPr>
            <w:tcW w:w="4029" w:type="dxa"/>
          </w:tcPr>
          <w:p w14:paraId="37B813CE" w14:textId="77777777" w:rsidR="00165B89" w:rsidRPr="00165B89" w:rsidRDefault="00165B89" w:rsidP="003C191F"/>
        </w:tc>
        <w:tc>
          <w:tcPr>
            <w:tcW w:w="4029" w:type="dxa"/>
          </w:tcPr>
          <w:p w14:paraId="2BDCA8D2" w14:textId="77777777" w:rsidR="00165B89" w:rsidRPr="00165B89" w:rsidRDefault="00165B89" w:rsidP="003C191F"/>
        </w:tc>
      </w:tr>
      <w:tr w:rsidR="00165B89" w:rsidRPr="00165B89" w14:paraId="6612FD08" w14:textId="77777777" w:rsidTr="003C191F">
        <w:tc>
          <w:tcPr>
            <w:tcW w:w="7533" w:type="dxa"/>
          </w:tcPr>
          <w:p w14:paraId="3C0493AA"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 xml:space="preserve">Otoritas Jasa Keuangan menetapkan penundaan batas waktu penyampaian Laporan Berkala Perusahaan berdasarkan pertimbangan keadaan kahar yang dialami dan kemampuan Perusahaan untuk mengatasi keadaan kahar dimaksud. </w:t>
            </w:r>
          </w:p>
        </w:tc>
        <w:tc>
          <w:tcPr>
            <w:tcW w:w="4029" w:type="dxa"/>
          </w:tcPr>
          <w:p w14:paraId="16A1B727" w14:textId="77777777" w:rsidR="00165B89" w:rsidRPr="00165B89" w:rsidRDefault="00165B89" w:rsidP="003C191F">
            <w:pPr>
              <w:rPr>
                <w:lang w:val="id-ID"/>
              </w:rPr>
            </w:pPr>
          </w:p>
        </w:tc>
        <w:tc>
          <w:tcPr>
            <w:tcW w:w="4029" w:type="dxa"/>
          </w:tcPr>
          <w:p w14:paraId="54FC1734" w14:textId="77777777" w:rsidR="00165B89" w:rsidRPr="00165B89" w:rsidRDefault="00165B89" w:rsidP="003C191F">
            <w:pPr>
              <w:rPr>
                <w:lang w:val="id-ID"/>
              </w:rPr>
            </w:pPr>
          </w:p>
        </w:tc>
      </w:tr>
      <w:tr w:rsidR="00165B89" w:rsidRPr="00165B89" w14:paraId="08FD15A0" w14:textId="77777777" w:rsidTr="003C191F">
        <w:tc>
          <w:tcPr>
            <w:tcW w:w="7533" w:type="dxa"/>
          </w:tcPr>
          <w:p w14:paraId="0181FF44"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 xml:space="preserve">Otoritas Jasa Keuangan menyampaikan penundaan batas waktu penyampaian Laporan </w:t>
            </w:r>
            <w:r w:rsidRPr="00165B89">
              <w:rPr>
                <w:lang w:val="id-ID"/>
              </w:rPr>
              <w:lastRenderedPageBreak/>
              <w:t xml:space="preserve">Berkala kepada Perusahaan melalui surat Otoritas Jasa Keuangan. </w:t>
            </w:r>
          </w:p>
        </w:tc>
        <w:tc>
          <w:tcPr>
            <w:tcW w:w="4029" w:type="dxa"/>
          </w:tcPr>
          <w:p w14:paraId="732A81A2" w14:textId="77777777" w:rsidR="00165B89" w:rsidRPr="00165B89" w:rsidRDefault="00165B89" w:rsidP="003C191F"/>
        </w:tc>
        <w:tc>
          <w:tcPr>
            <w:tcW w:w="4029" w:type="dxa"/>
          </w:tcPr>
          <w:p w14:paraId="40BC0AF4" w14:textId="77777777" w:rsidR="00165B89" w:rsidRPr="00165B89" w:rsidRDefault="00165B89" w:rsidP="003C191F"/>
        </w:tc>
      </w:tr>
      <w:tr w:rsidR="00165B89" w:rsidRPr="00165B89" w14:paraId="447A7F14" w14:textId="77777777" w:rsidTr="003C191F">
        <w:tc>
          <w:tcPr>
            <w:tcW w:w="7533" w:type="dxa"/>
          </w:tcPr>
          <w:p w14:paraId="70334C93"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 xml:space="preserve">Dalam hal keadaan kahar yang dialami Perusahaan telah selesai Perusahaan menyampaikan Laporan Berkala pada sistem pelaporan Otoritas Jasa Keuangan. </w:t>
            </w:r>
          </w:p>
        </w:tc>
        <w:tc>
          <w:tcPr>
            <w:tcW w:w="4029" w:type="dxa"/>
          </w:tcPr>
          <w:p w14:paraId="7B0D9F1B" w14:textId="77777777" w:rsidR="00165B89" w:rsidRPr="00165B89" w:rsidRDefault="00165B89" w:rsidP="003C191F"/>
        </w:tc>
        <w:tc>
          <w:tcPr>
            <w:tcW w:w="4029" w:type="dxa"/>
          </w:tcPr>
          <w:p w14:paraId="549DCAD0" w14:textId="77777777" w:rsidR="00165B89" w:rsidRPr="00165B89" w:rsidRDefault="00165B89" w:rsidP="003C191F"/>
        </w:tc>
      </w:tr>
      <w:tr w:rsidR="00165B89" w:rsidRPr="00165B89" w14:paraId="3EC70364" w14:textId="77777777" w:rsidTr="003C191F">
        <w:tc>
          <w:tcPr>
            <w:tcW w:w="7533" w:type="dxa"/>
          </w:tcPr>
          <w:p w14:paraId="2A6A0339" w14:textId="77777777" w:rsidR="00165B89" w:rsidRPr="00165B89" w:rsidRDefault="00165B89" w:rsidP="003C191F">
            <w:pPr>
              <w:pStyle w:val="BodyText"/>
              <w:numPr>
                <w:ilvl w:val="0"/>
                <w:numId w:val="20"/>
              </w:numPr>
              <w:spacing w:line="360" w:lineRule="auto"/>
              <w:ind w:left="1701" w:hanging="567"/>
              <w:jc w:val="both"/>
              <w:rPr>
                <w:lang w:val="id-ID"/>
              </w:rPr>
            </w:pPr>
            <w:r w:rsidRPr="00165B89">
              <w:rPr>
                <w:lang w:val="id-ID"/>
              </w:rPr>
              <w:t>Dalam hal diperlukan, seluruh Laporan Berkala yang disampaikan kepada Otoritas Jasa Keuangan harus tersedia dalam bentuk cetak.</w:t>
            </w:r>
          </w:p>
        </w:tc>
        <w:tc>
          <w:tcPr>
            <w:tcW w:w="4029" w:type="dxa"/>
          </w:tcPr>
          <w:p w14:paraId="400A7D32" w14:textId="77777777" w:rsidR="00165B89" w:rsidRPr="00165B89" w:rsidRDefault="00165B89" w:rsidP="003C191F"/>
        </w:tc>
        <w:tc>
          <w:tcPr>
            <w:tcW w:w="4029" w:type="dxa"/>
          </w:tcPr>
          <w:p w14:paraId="6D71B8AF" w14:textId="77777777" w:rsidR="00165B89" w:rsidRPr="00165B89" w:rsidRDefault="00165B89" w:rsidP="003C191F"/>
        </w:tc>
      </w:tr>
      <w:tr w:rsidR="00165B89" w:rsidRPr="00165B89" w14:paraId="48116C42" w14:textId="77777777" w:rsidTr="003C191F">
        <w:tc>
          <w:tcPr>
            <w:tcW w:w="7533" w:type="dxa"/>
          </w:tcPr>
          <w:p w14:paraId="73D9E9DE" w14:textId="77777777" w:rsidR="00165B89" w:rsidRPr="00165B89" w:rsidRDefault="00165B89" w:rsidP="003C191F">
            <w:pPr>
              <w:pStyle w:val="BodyText"/>
              <w:spacing w:line="360" w:lineRule="auto"/>
              <w:ind w:left="0"/>
              <w:jc w:val="both"/>
              <w:rPr>
                <w:lang w:val="id-ID"/>
              </w:rPr>
            </w:pPr>
          </w:p>
        </w:tc>
        <w:tc>
          <w:tcPr>
            <w:tcW w:w="4029" w:type="dxa"/>
          </w:tcPr>
          <w:p w14:paraId="09EDE1FD" w14:textId="77777777" w:rsidR="00165B89" w:rsidRPr="00165B89" w:rsidRDefault="00165B89" w:rsidP="003C191F"/>
        </w:tc>
        <w:tc>
          <w:tcPr>
            <w:tcW w:w="4029" w:type="dxa"/>
          </w:tcPr>
          <w:p w14:paraId="06034F9A" w14:textId="77777777" w:rsidR="00165B89" w:rsidRPr="00165B89" w:rsidRDefault="00165B89" w:rsidP="003C191F"/>
        </w:tc>
      </w:tr>
      <w:tr w:rsidR="00165B89" w:rsidRPr="00165B89" w14:paraId="3D9BB421" w14:textId="77777777" w:rsidTr="003C191F">
        <w:tc>
          <w:tcPr>
            <w:tcW w:w="7533" w:type="dxa"/>
          </w:tcPr>
          <w:p w14:paraId="5F730B59" w14:textId="77777777" w:rsidR="00165B89" w:rsidRPr="00165B89" w:rsidRDefault="00165B89" w:rsidP="003C191F">
            <w:pPr>
              <w:pStyle w:val="BodyText"/>
              <w:numPr>
                <w:ilvl w:val="0"/>
                <w:numId w:val="3"/>
              </w:numPr>
              <w:spacing w:line="360" w:lineRule="auto"/>
              <w:ind w:left="1134" w:hanging="567"/>
              <w:jc w:val="both"/>
              <w:rPr>
                <w:lang w:val="id-ID"/>
              </w:rPr>
            </w:pPr>
            <w:r w:rsidRPr="00165B89">
              <w:rPr>
                <w:lang w:val="id-ID"/>
              </w:rPr>
              <w:t>TATA CARA PENYAMPAIAN KOREKSI ATAS LAPORAN BERKALA</w:t>
            </w:r>
          </w:p>
        </w:tc>
        <w:tc>
          <w:tcPr>
            <w:tcW w:w="4029" w:type="dxa"/>
          </w:tcPr>
          <w:p w14:paraId="5B873A56" w14:textId="77777777" w:rsidR="00165B89" w:rsidRPr="00165B89" w:rsidRDefault="00165B89" w:rsidP="003C191F"/>
        </w:tc>
        <w:tc>
          <w:tcPr>
            <w:tcW w:w="4029" w:type="dxa"/>
          </w:tcPr>
          <w:p w14:paraId="6DD5C962" w14:textId="77777777" w:rsidR="00165B89" w:rsidRPr="00165B89" w:rsidRDefault="00165B89" w:rsidP="003C191F"/>
        </w:tc>
      </w:tr>
      <w:tr w:rsidR="00165B89" w:rsidRPr="00165B89" w14:paraId="2DE2DAF7" w14:textId="77777777" w:rsidTr="003C191F">
        <w:tc>
          <w:tcPr>
            <w:tcW w:w="7533" w:type="dxa"/>
          </w:tcPr>
          <w:p w14:paraId="195A35D3" w14:textId="77777777" w:rsidR="00165B89" w:rsidRPr="00165B89" w:rsidRDefault="00165B89" w:rsidP="003C191F">
            <w:pPr>
              <w:pStyle w:val="BodyText"/>
              <w:numPr>
                <w:ilvl w:val="0"/>
                <w:numId w:val="38"/>
              </w:numPr>
              <w:spacing w:line="360" w:lineRule="auto"/>
              <w:ind w:left="1701" w:hanging="567"/>
              <w:jc w:val="both"/>
              <w:rPr>
                <w:lang w:val="id-ID"/>
              </w:rPr>
            </w:pPr>
            <w:r w:rsidRPr="00165B89">
              <w:rPr>
                <w:lang w:val="id-ID"/>
              </w:rPr>
              <w:t>Dalam hal berdasarkan hasil pengawasan Otoritas Jasa Keuangan atas Laporan Triwulanan yang telah disampaikan oleh Perusahaan Pialang Asuransi dan Perusahaan Pialang Reasuransi ditemukan adanya kesalahan informasi, Perusahaan wajib menyampaikan koreksi atas kesalahan informasi pada Laporan Berkala kepada Otoritas Jasa Keuangan.</w:t>
            </w:r>
          </w:p>
        </w:tc>
        <w:tc>
          <w:tcPr>
            <w:tcW w:w="4029" w:type="dxa"/>
          </w:tcPr>
          <w:p w14:paraId="34CF9F58" w14:textId="77777777" w:rsidR="00165B89" w:rsidRPr="00165B89" w:rsidRDefault="00165B89" w:rsidP="003C191F"/>
        </w:tc>
        <w:tc>
          <w:tcPr>
            <w:tcW w:w="4029" w:type="dxa"/>
          </w:tcPr>
          <w:p w14:paraId="1C20B595" w14:textId="77777777" w:rsidR="00165B89" w:rsidRPr="00165B89" w:rsidRDefault="00165B89" w:rsidP="003C191F"/>
        </w:tc>
      </w:tr>
      <w:tr w:rsidR="00165B89" w:rsidRPr="00165B89" w14:paraId="16044F64" w14:textId="77777777" w:rsidTr="003C191F">
        <w:tc>
          <w:tcPr>
            <w:tcW w:w="7533" w:type="dxa"/>
          </w:tcPr>
          <w:p w14:paraId="72F6F44B" w14:textId="77777777" w:rsidR="00165B89" w:rsidRPr="00165B89" w:rsidRDefault="00165B89" w:rsidP="003C191F">
            <w:pPr>
              <w:pStyle w:val="BodyText"/>
              <w:numPr>
                <w:ilvl w:val="0"/>
                <w:numId w:val="38"/>
              </w:numPr>
              <w:spacing w:line="360" w:lineRule="auto"/>
              <w:ind w:left="1701" w:hanging="567"/>
              <w:jc w:val="both"/>
              <w:rPr>
                <w:lang w:val="id-ID"/>
              </w:rPr>
            </w:pPr>
            <w:r w:rsidRPr="00165B89">
              <w:rPr>
                <w:lang w:val="id-ID"/>
              </w:rPr>
              <w:lastRenderedPageBreak/>
              <w:t>Koreksi atas kesalahan informasi dilakukan berdasarkan hasil pengawasan dari Otoritas Jasa Keuangan.</w:t>
            </w:r>
          </w:p>
        </w:tc>
        <w:tc>
          <w:tcPr>
            <w:tcW w:w="4029" w:type="dxa"/>
          </w:tcPr>
          <w:p w14:paraId="0706D4CA" w14:textId="77777777" w:rsidR="00165B89" w:rsidRPr="00165B89" w:rsidRDefault="00165B89" w:rsidP="003C191F"/>
        </w:tc>
        <w:tc>
          <w:tcPr>
            <w:tcW w:w="4029" w:type="dxa"/>
          </w:tcPr>
          <w:p w14:paraId="2C1E0075" w14:textId="77777777" w:rsidR="00165B89" w:rsidRPr="00165B89" w:rsidRDefault="00165B89" w:rsidP="003C191F"/>
        </w:tc>
      </w:tr>
      <w:tr w:rsidR="00165B89" w:rsidRPr="00165B89" w14:paraId="07852844" w14:textId="77777777" w:rsidTr="003C191F">
        <w:tc>
          <w:tcPr>
            <w:tcW w:w="7533" w:type="dxa"/>
          </w:tcPr>
          <w:p w14:paraId="3E665C5C" w14:textId="77777777" w:rsidR="00165B89" w:rsidRPr="00165B89" w:rsidRDefault="00165B89" w:rsidP="003C191F">
            <w:pPr>
              <w:pStyle w:val="BodyText"/>
              <w:numPr>
                <w:ilvl w:val="0"/>
                <w:numId w:val="38"/>
              </w:numPr>
              <w:spacing w:line="360" w:lineRule="auto"/>
              <w:ind w:left="1701" w:hanging="567"/>
              <w:jc w:val="both"/>
              <w:rPr>
                <w:lang w:val="id-ID"/>
              </w:rPr>
            </w:pPr>
            <w:r w:rsidRPr="00165B89">
              <w:rPr>
                <w:lang w:val="id-ID"/>
              </w:rPr>
              <w:t>Koreksi atas kesalahan informasi pada Laporan Berkala sebagaimana dimaksud pada angka 1 disampaikan melalui sistem pelaporan Otoritas Jasa Keuangan yang disertai dengan surat yang ditandatangani oleh direksi atau yang setara dari Perusahaan yang bertanggung jawab atas Laporan Berkala.</w:t>
            </w:r>
          </w:p>
        </w:tc>
        <w:tc>
          <w:tcPr>
            <w:tcW w:w="4029" w:type="dxa"/>
          </w:tcPr>
          <w:p w14:paraId="77F215A0" w14:textId="77777777" w:rsidR="00165B89" w:rsidRPr="00165B89" w:rsidRDefault="00165B89" w:rsidP="003C191F"/>
        </w:tc>
        <w:tc>
          <w:tcPr>
            <w:tcW w:w="4029" w:type="dxa"/>
          </w:tcPr>
          <w:p w14:paraId="1D34A405" w14:textId="77777777" w:rsidR="00165B89" w:rsidRPr="00165B89" w:rsidRDefault="00165B89" w:rsidP="003C191F"/>
        </w:tc>
      </w:tr>
      <w:tr w:rsidR="00165B89" w:rsidRPr="00165B89" w14:paraId="45309A49" w14:textId="77777777" w:rsidTr="003C191F">
        <w:tc>
          <w:tcPr>
            <w:tcW w:w="7533" w:type="dxa"/>
          </w:tcPr>
          <w:p w14:paraId="1A666104" w14:textId="77777777" w:rsidR="00165B89" w:rsidRPr="00165B89" w:rsidRDefault="00165B89" w:rsidP="003C191F">
            <w:pPr>
              <w:pStyle w:val="BodyText"/>
              <w:numPr>
                <w:ilvl w:val="0"/>
                <w:numId w:val="38"/>
              </w:numPr>
              <w:spacing w:line="360" w:lineRule="auto"/>
              <w:ind w:left="1701" w:hanging="567"/>
              <w:jc w:val="both"/>
              <w:rPr>
                <w:lang w:val="id-ID"/>
              </w:rPr>
            </w:pPr>
            <w:r w:rsidRPr="00165B89">
              <w:rPr>
                <w:lang w:val="id-ID"/>
              </w:rPr>
              <w:t xml:space="preserve">Perusahaan menyampaikan koreksi atas kesalahan informasi pada Laporan Triwulanan setelah mendapatkan konfirmasi dari Otoritas Jasa Keuangan. </w:t>
            </w:r>
          </w:p>
        </w:tc>
        <w:tc>
          <w:tcPr>
            <w:tcW w:w="4029" w:type="dxa"/>
          </w:tcPr>
          <w:p w14:paraId="64A4A5A7" w14:textId="77777777" w:rsidR="00165B89" w:rsidRPr="00165B89" w:rsidRDefault="00165B89" w:rsidP="003C191F"/>
        </w:tc>
        <w:tc>
          <w:tcPr>
            <w:tcW w:w="4029" w:type="dxa"/>
          </w:tcPr>
          <w:p w14:paraId="1B73D149" w14:textId="77777777" w:rsidR="00165B89" w:rsidRPr="00165B89" w:rsidRDefault="00165B89" w:rsidP="003C191F"/>
        </w:tc>
      </w:tr>
      <w:tr w:rsidR="00165B89" w:rsidRPr="00165B89" w14:paraId="649C7981" w14:textId="77777777" w:rsidTr="003C191F">
        <w:tc>
          <w:tcPr>
            <w:tcW w:w="7533" w:type="dxa"/>
          </w:tcPr>
          <w:p w14:paraId="749BC845" w14:textId="77777777" w:rsidR="00165B89" w:rsidRPr="00165B89" w:rsidRDefault="00165B89" w:rsidP="003C191F">
            <w:pPr>
              <w:pStyle w:val="BodyText"/>
              <w:numPr>
                <w:ilvl w:val="0"/>
                <w:numId w:val="38"/>
              </w:numPr>
              <w:spacing w:line="360" w:lineRule="auto"/>
              <w:ind w:left="1701" w:hanging="567"/>
              <w:jc w:val="both"/>
              <w:rPr>
                <w:lang w:val="id-ID"/>
              </w:rPr>
            </w:pPr>
            <w:r w:rsidRPr="00165B89">
              <w:rPr>
                <w:lang w:val="id-ID"/>
              </w:rPr>
              <w:t xml:space="preserve">Ketentuan mengenai mekanisme pelaporan Laporan Berkala dalam hal terjadi gangguan teknis atau keadaan kahar sebagaimana dimaksud dalam Romawi III angka 3 sampai dengan angka 13 berlaku mutatis mutandis terhadap mekanisme pelaporan koreksi atas kesalahan informasi pada Laporan Berkala </w:t>
            </w:r>
            <w:r w:rsidRPr="00165B89">
              <w:rPr>
                <w:lang w:val="id-ID"/>
              </w:rPr>
              <w:lastRenderedPageBreak/>
              <w:t>dalam hal terjadi gangguan teknis atau keadaan kahar.</w:t>
            </w:r>
          </w:p>
        </w:tc>
        <w:tc>
          <w:tcPr>
            <w:tcW w:w="4029" w:type="dxa"/>
          </w:tcPr>
          <w:p w14:paraId="175EF289" w14:textId="77777777" w:rsidR="00165B89" w:rsidRPr="00165B89" w:rsidRDefault="00165B89" w:rsidP="003C191F">
            <w:pPr>
              <w:rPr>
                <w:lang w:val="id-ID"/>
              </w:rPr>
            </w:pPr>
          </w:p>
        </w:tc>
        <w:tc>
          <w:tcPr>
            <w:tcW w:w="4029" w:type="dxa"/>
          </w:tcPr>
          <w:p w14:paraId="308B21CD" w14:textId="77777777" w:rsidR="00165B89" w:rsidRPr="00165B89" w:rsidRDefault="00165B89" w:rsidP="003C191F">
            <w:pPr>
              <w:rPr>
                <w:lang w:val="id-ID"/>
              </w:rPr>
            </w:pPr>
          </w:p>
        </w:tc>
      </w:tr>
      <w:tr w:rsidR="00165B89" w:rsidRPr="00165B89" w14:paraId="4AF9AEA2" w14:textId="77777777" w:rsidTr="003C191F">
        <w:tc>
          <w:tcPr>
            <w:tcW w:w="7533" w:type="dxa"/>
          </w:tcPr>
          <w:p w14:paraId="61EE475E" w14:textId="77777777" w:rsidR="00165B89" w:rsidRPr="00165B89" w:rsidRDefault="00165B89" w:rsidP="003C191F">
            <w:pPr>
              <w:pStyle w:val="BodyText"/>
              <w:numPr>
                <w:ilvl w:val="0"/>
                <w:numId w:val="38"/>
              </w:numPr>
              <w:spacing w:line="360" w:lineRule="auto"/>
              <w:ind w:left="1701" w:hanging="567"/>
              <w:jc w:val="both"/>
              <w:rPr>
                <w:lang w:val="id-ID"/>
              </w:rPr>
            </w:pPr>
            <w:r w:rsidRPr="00165B89">
              <w:rPr>
                <w:lang w:val="id-ID"/>
              </w:rPr>
              <w:t>Perusahaan yang menyampaikan koreksi Laporan Triwulanan dikenakan sanksi administratif atas kesalahan informasi Laporan Bulanan sesuai dengan Peraturan Otoritas Jasa Keuangan mengenai Laporan Berkala perusahaan perasuransian.</w:t>
            </w:r>
          </w:p>
        </w:tc>
        <w:tc>
          <w:tcPr>
            <w:tcW w:w="4029" w:type="dxa"/>
          </w:tcPr>
          <w:p w14:paraId="0D34C482" w14:textId="77777777" w:rsidR="00165B89" w:rsidRPr="00165B89" w:rsidRDefault="00165B89" w:rsidP="003C191F"/>
        </w:tc>
        <w:tc>
          <w:tcPr>
            <w:tcW w:w="4029" w:type="dxa"/>
          </w:tcPr>
          <w:p w14:paraId="3C635D28" w14:textId="77777777" w:rsidR="00165B89" w:rsidRPr="00165B89" w:rsidRDefault="00165B89" w:rsidP="003C191F"/>
        </w:tc>
      </w:tr>
      <w:tr w:rsidR="00165B89" w:rsidRPr="00165B89" w14:paraId="1EA32EA5" w14:textId="77777777" w:rsidTr="003C191F">
        <w:tc>
          <w:tcPr>
            <w:tcW w:w="7533" w:type="dxa"/>
          </w:tcPr>
          <w:p w14:paraId="67AD544A" w14:textId="77777777" w:rsidR="00165B89" w:rsidRPr="00165B89" w:rsidRDefault="00165B89" w:rsidP="003C191F">
            <w:pPr>
              <w:pStyle w:val="BodyText"/>
              <w:spacing w:line="360" w:lineRule="auto"/>
              <w:ind w:left="0"/>
              <w:jc w:val="both"/>
              <w:rPr>
                <w:lang w:val="id-ID"/>
              </w:rPr>
            </w:pPr>
          </w:p>
        </w:tc>
        <w:tc>
          <w:tcPr>
            <w:tcW w:w="4029" w:type="dxa"/>
          </w:tcPr>
          <w:p w14:paraId="7F879A1C" w14:textId="77777777" w:rsidR="00165B89" w:rsidRPr="00165B89" w:rsidRDefault="00165B89" w:rsidP="003C191F"/>
        </w:tc>
        <w:tc>
          <w:tcPr>
            <w:tcW w:w="4029" w:type="dxa"/>
          </w:tcPr>
          <w:p w14:paraId="10300E59" w14:textId="77777777" w:rsidR="00165B89" w:rsidRPr="00165B89" w:rsidRDefault="00165B89" w:rsidP="003C191F"/>
        </w:tc>
      </w:tr>
      <w:tr w:rsidR="00165B89" w:rsidRPr="00165B89" w14:paraId="2F1702A1" w14:textId="77777777" w:rsidTr="003C191F">
        <w:tc>
          <w:tcPr>
            <w:tcW w:w="7533" w:type="dxa"/>
          </w:tcPr>
          <w:p w14:paraId="75414043" w14:textId="77777777" w:rsidR="00165B89" w:rsidRPr="00165B89" w:rsidRDefault="00165B89" w:rsidP="003C191F">
            <w:pPr>
              <w:pStyle w:val="BodyText"/>
              <w:numPr>
                <w:ilvl w:val="0"/>
                <w:numId w:val="3"/>
              </w:numPr>
              <w:spacing w:line="360" w:lineRule="auto"/>
              <w:ind w:left="1134" w:hanging="567"/>
              <w:jc w:val="both"/>
              <w:rPr>
                <w:lang w:val="id-ID"/>
              </w:rPr>
            </w:pPr>
            <w:r w:rsidRPr="00165B89">
              <w:rPr>
                <w:lang w:val="id-ID"/>
              </w:rPr>
              <w:t>KETENTUAN PENUTUP</w:t>
            </w:r>
          </w:p>
        </w:tc>
        <w:tc>
          <w:tcPr>
            <w:tcW w:w="4029" w:type="dxa"/>
          </w:tcPr>
          <w:p w14:paraId="634B3FC0" w14:textId="77777777" w:rsidR="00165B89" w:rsidRPr="00165B89" w:rsidRDefault="00165B89" w:rsidP="003C191F"/>
        </w:tc>
        <w:tc>
          <w:tcPr>
            <w:tcW w:w="4029" w:type="dxa"/>
          </w:tcPr>
          <w:p w14:paraId="58D99ADD" w14:textId="77777777" w:rsidR="00165B89" w:rsidRPr="00165B89" w:rsidRDefault="00165B89" w:rsidP="003C191F"/>
        </w:tc>
      </w:tr>
      <w:tr w:rsidR="00165B89" w:rsidRPr="00165B89" w14:paraId="15AF6C7D" w14:textId="77777777" w:rsidTr="003C191F">
        <w:tc>
          <w:tcPr>
            <w:tcW w:w="7533" w:type="dxa"/>
          </w:tcPr>
          <w:p w14:paraId="20CC9502" w14:textId="77777777" w:rsidR="00165B89" w:rsidRPr="00165B89" w:rsidRDefault="00165B89" w:rsidP="003C191F">
            <w:pPr>
              <w:pStyle w:val="BodyText"/>
              <w:numPr>
                <w:ilvl w:val="0"/>
                <w:numId w:val="24"/>
              </w:numPr>
              <w:spacing w:line="360" w:lineRule="auto"/>
              <w:ind w:left="1701" w:hanging="567"/>
              <w:jc w:val="both"/>
              <w:rPr>
                <w:lang w:val="id-ID"/>
              </w:rPr>
            </w:pPr>
            <w:r w:rsidRPr="00165B89">
              <w:rPr>
                <w:lang w:val="id-ID"/>
              </w:rPr>
              <w:t>Ketentuan dalam Surat Edaran Otoritas Jasa Keuangan ini mulai berlaku pada tanggal ditetapkan.</w:t>
            </w:r>
          </w:p>
        </w:tc>
        <w:tc>
          <w:tcPr>
            <w:tcW w:w="4029" w:type="dxa"/>
          </w:tcPr>
          <w:p w14:paraId="637D423E" w14:textId="77777777" w:rsidR="00165B89" w:rsidRPr="00165B89" w:rsidRDefault="00165B89" w:rsidP="003C191F"/>
        </w:tc>
        <w:tc>
          <w:tcPr>
            <w:tcW w:w="4029" w:type="dxa"/>
          </w:tcPr>
          <w:p w14:paraId="57634087" w14:textId="77777777" w:rsidR="00165B89" w:rsidRPr="00165B89" w:rsidRDefault="00165B89" w:rsidP="003C191F"/>
        </w:tc>
      </w:tr>
      <w:tr w:rsidR="00165B89" w:rsidRPr="00165B89" w14:paraId="44C88A70" w14:textId="77777777" w:rsidTr="003C191F">
        <w:tc>
          <w:tcPr>
            <w:tcW w:w="7533" w:type="dxa"/>
          </w:tcPr>
          <w:p w14:paraId="05E1AB0A" w14:textId="77777777" w:rsidR="00165B89" w:rsidRPr="00165B89" w:rsidRDefault="00165B89" w:rsidP="003C191F">
            <w:pPr>
              <w:pStyle w:val="BodyText"/>
              <w:numPr>
                <w:ilvl w:val="0"/>
                <w:numId w:val="24"/>
              </w:numPr>
              <w:spacing w:line="360" w:lineRule="auto"/>
              <w:ind w:left="1701" w:hanging="567"/>
              <w:jc w:val="both"/>
              <w:rPr>
                <w:lang w:val="id-ID"/>
              </w:rPr>
            </w:pPr>
            <w:r w:rsidRPr="00165B89">
              <w:rPr>
                <w:lang w:val="id-ID"/>
              </w:rPr>
              <w:t>Pada saat Surat Edaran Otoritas Jasa Keuangan ini mulai berlaku:</w:t>
            </w:r>
          </w:p>
        </w:tc>
        <w:tc>
          <w:tcPr>
            <w:tcW w:w="4029" w:type="dxa"/>
          </w:tcPr>
          <w:p w14:paraId="3D6B57E1" w14:textId="77777777" w:rsidR="00165B89" w:rsidRPr="00165B89" w:rsidRDefault="00165B89" w:rsidP="003C191F"/>
        </w:tc>
        <w:tc>
          <w:tcPr>
            <w:tcW w:w="4029" w:type="dxa"/>
          </w:tcPr>
          <w:p w14:paraId="5A1723E2" w14:textId="77777777" w:rsidR="00165B89" w:rsidRPr="00165B89" w:rsidRDefault="00165B89" w:rsidP="003C191F"/>
        </w:tc>
      </w:tr>
      <w:tr w:rsidR="00165B89" w:rsidRPr="00165B89" w14:paraId="5BCE98DF" w14:textId="77777777" w:rsidTr="003C191F">
        <w:tc>
          <w:tcPr>
            <w:tcW w:w="7533" w:type="dxa"/>
          </w:tcPr>
          <w:p w14:paraId="5C73D5C2" w14:textId="77777777" w:rsidR="00165B89" w:rsidRPr="00165B89" w:rsidRDefault="00165B89" w:rsidP="003C191F">
            <w:pPr>
              <w:pStyle w:val="BodyText"/>
              <w:numPr>
                <w:ilvl w:val="0"/>
                <w:numId w:val="25"/>
              </w:numPr>
              <w:spacing w:line="360" w:lineRule="auto"/>
              <w:ind w:left="2268" w:hanging="567"/>
              <w:jc w:val="both"/>
              <w:rPr>
                <w:lang w:val="id-ID"/>
              </w:rPr>
            </w:pPr>
            <w:r w:rsidRPr="00165B89">
              <w:rPr>
                <w:lang w:val="id-ID"/>
              </w:rPr>
              <w:t>Surat Edaran Otoritas Jasa Keuangan Nomor 25/SEOJK.05/2020 tentang Bentuk dan Susunan Laporan Berkala Perusahaan Pialang Asuransi, Perusahaan Pialang Reasuransi, dan Perusahaan Penilai Kerugian Asuransi; dan</w:t>
            </w:r>
          </w:p>
        </w:tc>
        <w:tc>
          <w:tcPr>
            <w:tcW w:w="4029" w:type="dxa"/>
          </w:tcPr>
          <w:p w14:paraId="62DC62F8" w14:textId="77777777" w:rsidR="00165B89" w:rsidRPr="00165B89" w:rsidRDefault="00165B89" w:rsidP="003C191F"/>
        </w:tc>
        <w:tc>
          <w:tcPr>
            <w:tcW w:w="4029" w:type="dxa"/>
          </w:tcPr>
          <w:p w14:paraId="3BCDA8B9" w14:textId="77777777" w:rsidR="00165B89" w:rsidRPr="00165B89" w:rsidRDefault="00165B89" w:rsidP="003C191F"/>
        </w:tc>
      </w:tr>
      <w:tr w:rsidR="00165B89" w:rsidRPr="00165B89" w14:paraId="7BAA51CA" w14:textId="77777777" w:rsidTr="003C191F">
        <w:tc>
          <w:tcPr>
            <w:tcW w:w="7533" w:type="dxa"/>
          </w:tcPr>
          <w:p w14:paraId="1FCB90C9" w14:textId="77777777" w:rsidR="00165B89" w:rsidRPr="00165B89" w:rsidRDefault="00165B89" w:rsidP="003C191F">
            <w:pPr>
              <w:pStyle w:val="BodyText"/>
              <w:numPr>
                <w:ilvl w:val="0"/>
                <w:numId w:val="25"/>
              </w:numPr>
              <w:spacing w:line="360" w:lineRule="auto"/>
              <w:ind w:left="2268" w:hanging="567"/>
              <w:jc w:val="both"/>
              <w:rPr>
                <w:lang w:val="id-ID"/>
              </w:rPr>
            </w:pPr>
            <w:r w:rsidRPr="00165B89">
              <w:rPr>
                <w:lang w:val="id-ID"/>
              </w:rPr>
              <w:lastRenderedPageBreak/>
              <w:t>Surat Edaran Otoritas Jasa Keuangan Nomor 21/SEOJK.05/2023 tentang Perubahan atas Surat Edaran Otoritas Jasa Keuangan Nomor 25/SEOJK.05/2020 tentang Bentuk dan Susunan Laporan Berkala Perusahaan Pialang Asuransi, Perusahaan Pialang Reasuransi, dan Perusahaan Penilai Kerugian Asuransi,</w:t>
            </w:r>
          </w:p>
        </w:tc>
        <w:tc>
          <w:tcPr>
            <w:tcW w:w="4029" w:type="dxa"/>
          </w:tcPr>
          <w:p w14:paraId="5F7E2677" w14:textId="77777777" w:rsidR="00165B89" w:rsidRPr="00165B89" w:rsidRDefault="00165B89" w:rsidP="003C191F"/>
        </w:tc>
        <w:tc>
          <w:tcPr>
            <w:tcW w:w="4029" w:type="dxa"/>
          </w:tcPr>
          <w:p w14:paraId="05968CF5" w14:textId="77777777" w:rsidR="00165B89" w:rsidRPr="00165B89" w:rsidRDefault="00165B89" w:rsidP="003C191F"/>
        </w:tc>
      </w:tr>
      <w:tr w:rsidR="00165B89" w:rsidRPr="00165B89" w14:paraId="04B8C8BB" w14:textId="77777777" w:rsidTr="003C191F">
        <w:tc>
          <w:tcPr>
            <w:tcW w:w="7533" w:type="dxa"/>
          </w:tcPr>
          <w:p w14:paraId="5010BAD4" w14:textId="77777777" w:rsidR="00165B89" w:rsidRPr="00165B89" w:rsidRDefault="00165B89" w:rsidP="003C191F">
            <w:pPr>
              <w:pStyle w:val="BodyText"/>
              <w:spacing w:line="360" w:lineRule="auto"/>
              <w:ind w:left="0"/>
              <w:jc w:val="both"/>
              <w:rPr>
                <w:lang w:val="id-ID"/>
              </w:rPr>
            </w:pPr>
            <w:r w:rsidRPr="00165B89">
              <w:rPr>
                <w:lang w:val="id-ID"/>
              </w:rPr>
              <w:t>dicabut dan dinyatakan tidak berlaku.</w:t>
            </w:r>
          </w:p>
        </w:tc>
        <w:tc>
          <w:tcPr>
            <w:tcW w:w="4029" w:type="dxa"/>
          </w:tcPr>
          <w:p w14:paraId="2CDC2804" w14:textId="77777777" w:rsidR="00165B89" w:rsidRPr="00165B89" w:rsidRDefault="00165B89" w:rsidP="003C191F"/>
        </w:tc>
        <w:tc>
          <w:tcPr>
            <w:tcW w:w="4029" w:type="dxa"/>
          </w:tcPr>
          <w:p w14:paraId="14F7E27E" w14:textId="77777777" w:rsidR="00165B89" w:rsidRPr="00165B89" w:rsidRDefault="00165B89" w:rsidP="003C191F"/>
        </w:tc>
      </w:tr>
    </w:tbl>
    <w:p w14:paraId="36A0F4F8" w14:textId="77777777" w:rsidR="00165B89" w:rsidRPr="00487426" w:rsidRDefault="00165B89" w:rsidP="00165B89">
      <w:pPr>
        <w:pStyle w:val="BodyText"/>
        <w:spacing w:line="360" w:lineRule="auto"/>
        <w:ind w:left="0"/>
        <w:jc w:val="both"/>
      </w:pPr>
    </w:p>
    <w:sectPr w:rsidR="00165B89" w:rsidRPr="00487426" w:rsidSect="00165B89">
      <w:headerReference w:type="default" r:id="rId7"/>
      <w:headerReference w:type="first" r:id="rId8"/>
      <w:type w:val="continuous"/>
      <w:pgSz w:w="18720" w:h="12240" w:orient="landscape" w:code="14"/>
      <w:pgMar w:top="1418" w:right="1701" w:bottom="141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9364" w14:textId="77777777" w:rsidR="00E14DB2" w:rsidRDefault="00E14DB2">
      <w:r>
        <w:separator/>
      </w:r>
    </w:p>
  </w:endnote>
  <w:endnote w:type="continuationSeparator" w:id="0">
    <w:p w14:paraId="09E1069F" w14:textId="77777777" w:rsidR="00E14DB2" w:rsidRDefault="00E1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C6DB2" w14:textId="77777777" w:rsidR="00E14DB2" w:rsidRDefault="00E14DB2">
      <w:r>
        <w:separator/>
      </w:r>
    </w:p>
  </w:footnote>
  <w:footnote w:type="continuationSeparator" w:id="0">
    <w:p w14:paraId="39B033AE" w14:textId="77777777" w:rsidR="00E14DB2" w:rsidRDefault="00E14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8E4D" w14:textId="1E0B045C" w:rsidR="008861D5" w:rsidRDefault="008861D5">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24AF" w14:textId="1D78D7D7" w:rsidR="00A2010D" w:rsidRDefault="00A2010D">
    <w:pPr>
      <w:pStyle w:val="Header"/>
    </w:pPr>
    <w:r w:rsidRPr="00AE44B8">
      <w:rPr>
        <w:rFonts w:ascii="Bookman Old Style" w:hAnsi="Bookman Old Style" w:cs="Arial"/>
        <w:b/>
        <w:noProof/>
      </w:rPr>
      <w:drawing>
        <wp:anchor distT="0" distB="0" distL="114300" distR="114300" simplePos="0" relativeHeight="251659264" behindDoc="1" locked="0" layoutInCell="1" allowOverlap="1" wp14:anchorId="3FFD1D49" wp14:editId="4A869A19">
          <wp:simplePos x="0" y="0"/>
          <wp:positionH relativeFrom="column">
            <wp:posOffset>-614149</wp:posOffset>
          </wp:positionH>
          <wp:positionV relativeFrom="paragraph">
            <wp:posOffset>-354785</wp:posOffset>
          </wp:positionV>
          <wp:extent cx="233362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333625" cy="10096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AA5"/>
    <w:multiLevelType w:val="hybridMultilevel"/>
    <w:tmpl w:val="87462AA4"/>
    <w:lvl w:ilvl="0" w:tplc="E814041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69B204B"/>
    <w:multiLevelType w:val="hybridMultilevel"/>
    <w:tmpl w:val="58202422"/>
    <w:lvl w:ilvl="0" w:tplc="BE900C40">
      <w:start w:val="5"/>
      <w:numFmt w:val="decimal"/>
      <w:lvlText w:val="%1."/>
      <w:lvlJc w:val="left"/>
      <w:pPr>
        <w:ind w:left="1495" w:hanging="360"/>
      </w:pPr>
      <w:rPr>
        <w:rFonts w:hint="default"/>
      </w:r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2" w15:restartNumberingAfterBreak="0">
    <w:nsid w:val="07266472"/>
    <w:multiLevelType w:val="hybridMultilevel"/>
    <w:tmpl w:val="6360C550"/>
    <w:lvl w:ilvl="0" w:tplc="53900B30">
      <w:start w:val="1"/>
      <w:numFmt w:val="lowerLetter"/>
      <w:lvlText w:val="%1."/>
      <w:lvlJc w:val="left"/>
      <w:pPr>
        <w:ind w:left="740" w:hanging="360"/>
      </w:pPr>
      <w:rPr>
        <w:rFonts w:hint="default"/>
        <w:sz w:val="21"/>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 w15:restartNumberingAfterBreak="0">
    <w:nsid w:val="12DA5AD4"/>
    <w:multiLevelType w:val="hybridMultilevel"/>
    <w:tmpl w:val="A63CE47A"/>
    <w:lvl w:ilvl="0" w:tplc="33E6635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52E3143"/>
    <w:multiLevelType w:val="hybridMultilevel"/>
    <w:tmpl w:val="54BE6DE4"/>
    <w:lvl w:ilvl="0" w:tplc="76B801F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16CA7C7C"/>
    <w:multiLevelType w:val="hybridMultilevel"/>
    <w:tmpl w:val="94E223D6"/>
    <w:lvl w:ilvl="0" w:tplc="153A92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24022B2"/>
    <w:multiLevelType w:val="hybridMultilevel"/>
    <w:tmpl w:val="79EE1B16"/>
    <w:lvl w:ilvl="0" w:tplc="468027A6">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23AC2F4F"/>
    <w:multiLevelType w:val="hybridMultilevel"/>
    <w:tmpl w:val="B13AA1C2"/>
    <w:lvl w:ilvl="0" w:tplc="D8B8B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15:restartNumberingAfterBreak="0">
    <w:nsid w:val="27E958CA"/>
    <w:multiLevelType w:val="hybridMultilevel"/>
    <w:tmpl w:val="A6906914"/>
    <w:lvl w:ilvl="0" w:tplc="90408B1E">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28DF1B1F"/>
    <w:multiLevelType w:val="hybridMultilevel"/>
    <w:tmpl w:val="C0E4778C"/>
    <w:lvl w:ilvl="0" w:tplc="78189618">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2C3C2F22"/>
    <w:multiLevelType w:val="hybridMultilevel"/>
    <w:tmpl w:val="CD6E7562"/>
    <w:lvl w:ilvl="0" w:tplc="9814A4E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15:restartNumberingAfterBreak="0">
    <w:nsid w:val="2CFF6033"/>
    <w:multiLevelType w:val="hybridMultilevel"/>
    <w:tmpl w:val="21CAAF4C"/>
    <w:lvl w:ilvl="0" w:tplc="660C6F9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15:restartNumberingAfterBreak="0">
    <w:nsid w:val="30E16DAA"/>
    <w:multiLevelType w:val="hybridMultilevel"/>
    <w:tmpl w:val="857A024C"/>
    <w:lvl w:ilvl="0" w:tplc="C00889D8">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3" w15:restartNumberingAfterBreak="0">
    <w:nsid w:val="344A3A47"/>
    <w:multiLevelType w:val="hybridMultilevel"/>
    <w:tmpl w:val="41B057FA"/>
    <w:lvl w:ilvl="0" w:tplc="3D48639E">
      <w:start w:val="1"/>
      <w:numFmt w:val="lowerLetter"/>
      <w:lvlText w:val="%1."/>
      <w:lvlJc w:val="left"/>
      <w:pPr>
        <w:ind w:left="947" w:hanging="360"/>
      </w:pPr>
      <w:rPr>
        <w:rFonts w:hint="default"/>
      </w:rPr>
    </w:lvl>
    <w:lvl w:ilvl="1" w:tplc="04210019" w:tentative="1">
      <w:start w:val="1"/>
      <w:numFmt w:val="lowerLetter"/>
      <w:lvlText w:val="%2."/>
      <w:lvlJc w:val="left"/>
      <w:pPr>
        <w:ind w:left="1667" w:hanging="360"/>
      </w:pPr>
    </w:lvl>
    <w:lvl w:ilvl="2" w:tplc="0421001B" w:tentative="1">
      <w:start w:val="1"/>
      <w:numFmt w:val="lowerRoman"/>
      <w:lvlText w:val="%3."/>
      <w:lvlJc w:val="right"/>
      <w:pPr>
        <w:ind w:left="2387" w:hanging="180"/>
      </w:pPr>
    </w:lvl>
    <w:lvl w:ilvl="3" w:tplc="0421000F" w:tentative="1">
      <w:start w:val="1"/>
      <w:numFmt w:val="decimal"/>
      <w:lvlText w:val="%4."/>
      <w:lvlJc w:val="left"/>
      <w:pPr>
        <w:ind w:left="3107" w:hanging="360"/>
      </w:pPr>
    </w:lvl>
    <w:lvl w:ilvl="4" w:tplc="04210019" w:tentative="1">
      <w:start w:val="1"/>
      <w:numFmt w:val="lowerLetter"/>
      <w:lvlText w:val="%5."/>
      <w:lvlJc w:val="left"/>
      <w:pPr>
        <w:ind w:left="3827" w:hanging="360"/>
      </w:pPr>
    </w:lvl>
    <w:lvl w:ilvl="5" w:tplc="0421001B" w:tentative="1">
      <w:start w:val="1"/>
      <w:numFmt w:val="lowerRoman"/>
      <w:lvlText w:val="%6."/>
      <w:lvlJc w:val="right"/>
      <w:pPr>
        <w:ind w:left="4547" w:hanging="180"/>
      </w:pPr>
    </w:lvl>
    <w:lvl w:ilvl="6" w:tplc="0421000F" w:tentative="1">
      <w:start w:val="1"/>
      <w:numFmt w:val="decimal"/>
      <w:lvlText w:val="%7."/>
      <w:lvlJc w:val="left"/>
      <w:pPr>
        <w:ind w:left="5267" w:hanging="360"/>
      </w:pPr>
    </w:lvl>
    <w:lvl w:ilvl="7" w:tplc="04210019" w:tentative="1">
      <w:start w:val="1"/>
      <w:numFmt w:val="lowerLetter"/>
      <w:lvlText w:val="%8."/>
      <w:lvlJc w:val="left"/>
      <w:pPr>
        <w:ind w:left="5987" w:hanging="360"/>
      </w:pPr>
    </w:lvl>
    <w:lvl w:ilvl="8" w:tplc="0421001B" w:tentative="1">
      <w:start w:val="1"/>
      <w:numFmt w:val="lowerRoman"/>
      <w:lvlText w:val="%9."/>
      <w:lvlJc w:val="right"/>
      <w:pPr>
        <w:ind w:left="6707" w:hanging="180"/>
      </w:pPr>
    </w:lvl>
  </w:abstractNum>
  <w:abstractNum w:abstractNumId="14" w15:restartNumberingAfterBreak="0">
    <w:nsid w:val="364B0B81"/>
    <w:multiLevelType w:val="hybridMultilevel"/>
    <w:tmpl w:val="E006FAA4"/>
    <w:lvl w:ilvl="0" w:tplc="5D74C930">
      <w:start w:val="1"/>
      <w:numFmt w:val="lowerLetter"/>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3AAE5F1B"/>
    <w:multiLevelType w:val="hybridMultilevel"/>
    <w:tmpl w:val="E3BC3EE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D37190C"/>
    <w:multiLevelType w:val="hybridMultilevel"/>
    <w:tmpl w:val="669A7F30"/>
    <w:lvl w:ilvl="0" w:tplc="15E8B000">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7" w15:restartNumberingAfterBreak="0">
    <w:nsid w:val="3D610501"/>
    <w:multiLevelType w:val="hybridMultilevel"/>
    <w:tmpl w:val="A38CA72E"/>
    <w:lvl w:ilvl="0" w:tplc="15AE3806">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8" w15:restartNumberingAfterBreak="0">
    <w:nsid w:val="40B232F3"/>
    <w:multiLevelType w:val="hybridMultilevel"/>
    <w:tmpl w:val="4522B4B0"/>
    <w:lvl w:ilvl="0" w:tplc="FC7E34BA">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15:restartNumberingAfterBreak="0">
    <w:nsid w:val="43E148A7"/>
    <w:multiLevelType w:val="hybridMultilevel"/>
    <w:tmpl w:val="FE7687B4"/>
    <w:lvl w:ilvl="0" w:tplc="920085D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E9217E"/>
    <w:multiLevelType w:val="hybridMultilevel"/>
    <w:tmpl w:val="0F06ACF0"/>
    <w:lvl w:ilvl="0" w:tplc="239EBA7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A654CAF"/>
    <w:multiLevelType w:val="hybridMultilevel"/>
    <w:tmpl w:val="ECE6C1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4741C7A"/>
    <w:multiLevelType w:val="hybridMultilevel"/>
    <w:tmpl w:val="7FBAAABA"/>
    <w:lvl w:ilvl="0" w:tplc="8D26611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5517286B"/>
    <w:multiLevelType w:val="hybridMultilevel"/>
    <w:tmpl w:val="EC68FB52"/>
    <w:lvl w:ilvl="0" w:tplc="FA367A0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4" w15:restartNumberingAfterBreak="0">
    <w:nsid w:val="55A325D0"/>
    <w:multiLevelType w:val="hybridMultilevel"/>
    <w:tmpl w:val="5964B292"/>
    <w:lvl w:ilvl="0" w:tplc="77F43BE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15:restartNumberingAfterBreak="0">
    <w:nsid w:val="5678033C"/>
    <w:multiLevelType w:val="hybridMultilevel"/>
    <w:tmpl w:val="3B6AD6F8"/>
    <w:lvl w:ilvl="0" w:tplc="3594FB7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15:restartNumberingAfterBreak="0">
    <w:nsid w:val="5B5C2790"/>
    <w:multiLevelType w:val="hybridMultilevel"/>
    <w:tmpl w:val="38940C54"/>
    <w:lvl w:ilvl="0" w:tplc="3B941E1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7" w15:restartNumberingAfterBreak="0">
    <w:nsid w:val="5FA8785B"/>
    <w:multiLevelType w:val="hybridMultilevel"/>
    <w:tmpl w:val="FAFC19B0"/>
    <w:lvl w:ilvl="0" w:tplc="ACCEF0FE">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8" w15:restartNumberingAfterBreak="0">
    <w:nsid w:val="62F4728C"/>
    <w:multiLevelType w:val="hybridMultilevel"/>
    <w:tmpl w:val="E11C7256"/>
    <w:lvl w:ilvl="0" w:tplc="DC06903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15:restartNumberingAfterBreak="0">
    <w:nsid w:val="65000CEF"/>
    <w:multiLevelType w:val="hybridMultilevel"/>
    <w:tmpl w:val="CCEC106A"/>
    <w:lvl w:ilvl="0" w:tplc="8FC62DC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67B2577A"/>
    <w:multiLevelType w:val="hybridMultilevel"/>
    <w:tmpl w:val="3D8A4732"/>
    <w:lvl w:ilvl="0" w:tplc="5C5C8A4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15:restartNumberingAfterBreak="0">
    <w:nsid w:val="6A74324A"/>
    <w:multiLevelType w:val="hybridMultilevel"/>
    <w:tmpl w:val="EEB42266"/>
    <w:lvl w:ilvl="0" w:tplc="61E06E46">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15:restartNumberingAfterBreak="0">
    <w:nsid w:val="6D692733"/>
    <w:multiLevelType w:val="hybridMultilevel"/>
    <w:tmpl w:val="F202CF34"/>
    <w:lvl w:ilvl="0" w:tplc="FF0AD7E4">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15:restartNumberingAfterBreak="0">
    <w:nsid w:val="70640D33"/>
    <w:multiLevelType w:val="hybridMultilevel"/>
    <w:tmpl w:val="97FE78FE"/>
    <w:lvl w:ilvl="0" w:tplc="7E3AD5F4">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4" w15:restartNumberingAfterBreak="0">
    <w:nsid w:val="710C31F2"/>
    <w:multiLevelType w:val="hybridMultilevel"/>
    <w:tmpl w:val="864EC376"/>
    <w:lvl w:ilvl="0" w:tplc="F2D68EAA">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5" w15:restartNumberingAfterBreak="0">
    <w:nsid w:val="71581E4C"/>
    <w:multiLevelType w:val="hybridMultilevel"/>
    <w:tmpl w:val="4D761A1A"/>
    <w:lvl w:ilvl="0" w:tplc="9B2C5C7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7566401"/>
    <w:multiLevelType w:val="hybridMultilevel"/>
    <w:tmpl w:val="5B3EBA04"/>
    <w:lvl w:ilvl="0" w:tplc="8EF03652">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7" w15:restartNumberingAfterBreak="0">
    <w:nsid w:val="7B7E69E6"/>
    <w:multiLevelType w:val="hybridMultilevel"/>
    <w:tmpl w:val="1DEE9AE0"/>
    <w:lvl w:ilvl="0" w:tplc="942029E8">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38" w15:restartNumberingAfterBreak="0">
    <w:nsid w:val="7BA66A94"/>
    <w:multiLevelType w:val="hybridMultilevel"/>
    <w:tmpl w:val="C06452D2"/>
    <w:lvl w:ilvl="0" w:tplc="4FFE5658">
      <w:start w:val="1"/>
      <w:numFmt w:val="upp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16cid:durableId="1122191618">
    <w:abstractNumId w:val="15"/>
  </w:num>
  <w:num w:numId="2" w16cid:durableId="529684633">
    <w:abstractNumId w:val="13"/>
  </w:num>
  <w:num w:numId="3" w16cid:durableId="182598234">
    <w:abstractNumId w:val="35"/>
  </w:num>
  <w:num w:numId="4" w16cid:durableId="1409186057">
    <w:abstractNumId w:val="22"/>
  </w:num>
  <w:num w:numId="5" w16cid:durableId="943532959">
    <w:abstractNumId w:val="19"/>
  </w:num>
  <w:num w:numId="6" w16cid:durableId="1662194650">
    <w:abstractNumId w:val="11"/>
  </w:num>
  <w:num w:numId="7" w16cid:durableId="1313604965">
    <w:abstractNumId w:val="34"/>
  </w:num>
  <w:num w:numId="8" w16cid:durableId="461507242">
    <w:abstractNumId w:val="18"/>
  </w:num>
  <w:num w:numId="9" w16cid:durableId="184447910">
    <w:abstractNumId w:val="36"/>
  </w:num>
  <w:num w:numId="10" w16cid:durableId="1036270154">
    <w:abstractNumId w:val="6"/>
  </w:num>
  <w:num w:numId="11" w16cid:durableId="907108325">
    <w:abstractNumId w:val="16"/>
  </w:num>
  <w:num w:numId="12" w16cid:durableId="726294186">
    <w:abstractNumId w:val="1"/>
  </w:num>
  <w:num w:numId="13" w16cid:durableId="1029261756">
    <w:abstractNumId w:val="32"/>
  </w:num>
  <w:num w:numId="14" w16cid:durableId="1090158061">
    <w:abstractNumId w:val="37"/>
  </w:num>
  <w:num w:numId="15" w16cid:durableId="1977682778">
    <w:abstractNumId w:val="17"/>
  </w:num>
  <w:num w:numId="16" w16cid:durableId="2116168542">
    <w:abstractNumId w:val="28"/>
  </w:num>
  <w:num w:numId="17" w16cid:durableId="1090155150">
    <w:abstractNumId w:val="4"/>
  </w:num>
  <w:num w:numId="18" w16cid:durableId="837885254">
    <w:abstractNumId w:val="33"/>
  </w:num>
  <w:num w:numId="19" w16cid:durableId="367099629">
    <w:abstractNumId w:val="26"/>
  </w:num>
  <w:num w:numId="20" w16cid:durableId="335694568">
    <w:abstractNumId w:val="20"/>
  </w:num>
  <w:num w:numId="21" w16cid:durableId="1995180659">
    <w:abstractNumId w:val="31"/>
  </w:num>
  <w:num w:numId="22" w16cid:durableId="1984194934">
    <w:abstractNumId w:val="27"/>
  </w:num>
  <w:num w:numId="23" w16cid:durableId="1897202331">
    <w:abstractNumId w:val="8"/>
  </w:num>
  <w:num w:numId="24" w16cid:durableId="518592704">
    <w:abstractNumId w:val="5"/>
  </w:num>
  <w:num w:numId="25" w16cid:durableId="961687876">
    <w:abstractNumId w:val="7"/>
  </w:num>
  <w:num w:numId="26" w16cid:durableId="1023483960">
    <w:abstractNumId w:val="25"/>
  </w:num>
  <w:num w:numId="27" w16cid:durableId="1679120517">
    <w:abstractNumId w:val="10"/>
  </w:num>
  <w:num w:numId="28" w16cid:durableId="153883852">
    <w:abstractNumId w:val="24"/>
  </w:num>
  <w:num w:numId="29" w16cid:durableId="553274732">
    <w:abstractNumId w:val="9"/>
  </w:num>
  <w:num w:numId="30" w16cid:durableId="1546721663">
    <w:abstractNumId w:val="14"/>
  </w:num>
  <w:num w:numId="31" w16cid:durableId="109665081">
    <w:abstractNumId w:val="29"/>
  </w:num>
  <w:num w:numId="32" w16cid:durableId="1943951240">
    <w:abstractNumId w:val="38"/>
  </w:num>
  <w:num w:numId="33" w16cid:durableId="1440174103">
    <w:abstractNumId w:val="2"/>
  </w:num>
  <w:num w:numId="34" w16cid:durableId="1125656686">
    <w:abstractNumId w:val="0"/>
  </w:num>
  <w:num w:numId="35" w16cid:durableId="114297629">
    <w:abstractNumId w:val="12"/>
  </w:num>
  <w:num w:numId="36" w16cid:durableId="401217062">
    <w:abstractNumId w:val="23"/>
  </w:num>
  <w:num w:numId="37" w16cid:durableId="1339426270">
    <w:abstractNumId w:val="30"/>
  </w:num>
  <w:num w:numId="38" w16cid:durableId="389771745">
    <w:abstractNumId w:val="3"/>
  </w:num>
  <w:num w:numId="39" w16cid:durableId="1103375822">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1A"/>
    <w:rsid w:val="00013223"/>
    <w:rsid w:val="00022304"/>
    <w:rsid w:val="000224EE"/>
    <w:rsid w:val="00027C3F"/>
    <w:rsid w:val="00033FE3"/>
    <w:rsid w:val="00037B4A"/>
    <w:rsid w:val="00046466"/>
    <w:rsid w:val="00047CFE"/>
    <w:rsid w:val="000536FF"/>
    <w:rsid w:val="00060E1F"/>
    <w:rsid w:val="00062F7C"/>
    <w:rsid w:val="00066D87"/>
    <w:rsid w:val="00076380"/>
    <w:rsid w:val="00077848"/>
    <w:rsid w:val="00080BC2"/>
    <w:rsid w:val="000823DC"/>
    <w:rsid w:val="000A6330"/>
    <w:rsid w:val="000E1148"/>
    <w:rsid w:val="000E321A"/>
    <w:rsid w:val="000E5576"/>
    <w:rsid w:val="001019E2"/>
    <w:rsid w:val="00107664"/>
    <w:rsid w:val="001202A3"/>
    <w:rsid w:val="001416DA"/>
    <w:rsid w:val="001440FD"/>
    <w:rsid w:val="00152D70"/>
    <w:rsid w:val="001606FF"/>
    <w:rsid w:val="0016361C"/>
    <w:rsid w:val="00165B89"/>
    <w:rsid w:val="00171D57"/>
    <w:rsid w:val="0017559A"/>
    <w:rsid w:val="00177468"/>
    <w:rsid w:val="00177FCF"/>
    <w:rsid w:val="0018458C"/>
    <w:rsid w:val="00185184"/>
    <w:rsid w:val="00193A51"/>
    <w:rsid w:val="00195278"/>
    <w:rsid w:val="00197E1D"/>
    <w:rsid w:val="001A3619"/>
    <w:rsid w:val="001D095B"/>
    <w:rsid w:val="001D0EDE"/>
    <w:rsid w:val="001D4EE6"/>
    <w:rsid w:val="001F5BD9"/>
    <w:rsid w:val="002075B0"/>
    <w:rsid w:val="00243353"/>
    <w:rsid w:val="0027474B"/>
    <w:rsid w:val="002807E0"/>
    <w:rsid w:val="002867A1"/>
    <w:rsid w:val="00295C3C"/>
    <w:rsid w:val="002A6A3E"/>
    <w:rsid w:val="002B03FF"/>
    <w:rsid w:val="002D45DC"/>
    <w:rsid w:val="002D62CA"/>
    <w:rsid w:val="002E1848"/>
    <w:rsid w:val="002F6E67"/>
    <w:rsid w:val="003058A1"/>
    <w:rsid w:val="00305D66"/>
    <w:rsid w:val="00306863"/>
    <w:rsid w:val="00324124"/>
    <w:rsid w:val="00324A90"/>
    <w:rsid w:val="00341762"/>
    <w:rsid w:val="00342E86"/>
    <w:rsid w:val="003447AA"/>
    <w:rsid w:val="00357DF1"/>
    <w:rsid w:val="0036125B"/>
    <w:rsid w:val="00367990"/>
    <w:rsid w:val="003743FC"/>
    <w:rsid w:val="00374E1B"/>
    <w:rsid w:val="00375B6F"/>
    <w:rsid w:val="003876D4"/>
    <w:rsid w:val="003A66D5"/>
    <w:rsid w:val="003B5AA1"/>
    <w:rsid w:val="003C111D"/>
    <w:rsid w:val="003D0845"/>
    <w:rsid w:val="003D3B3D"/>
    <w:rsid w:val="003D7362"/>
    <w:rsid w:val="003E0D37"/>
    <w:rsid w:val="003E1984"/>
    <w:rsid w:val="003E64DD"/>
    <w:rsid w:val="003F07C9"/>
    <w:rsid w:val="003F1097"/>
    <w:rsid w:val="003F509F"/>
    <w:rsid w:val="003F60CD"/>
    <w:rsid w:val="00402A85"/>
    <w:rsid w:val="00417565"/>
    <w:rsid w:val="00424FEB"/>
    <w:rsid w:val="00427088"/>
    <w:rsid w:val="0044389A"/>
    <w:rsid w:val="00465E09"/>
    <w:rsid w:val="0048159D"/>
    <w:rsid w:val="00484968"/>
    <w:rsid w:val="004855A2"/>
    <w:rsid w:val="00486788"/>
    <w:rsid w:val="00487426"/>
    <w:rsid w:val="00495499"/>
    <w:rsid w:val="004C2E5C"/>
    <w:rsid w:val="004C3756"/>
    <w:rsid w:val="004C4A51"/>
    <w:rsid w:val="004F0FEC"/>
    <w:rsid w:val="004F6761"/>
    <w:rsid w:val="004F7A97"/>
    <w:rsid w:val="00547319"/>
    <w:rsid w:val="00554258"/>
    <w:rsid w:val="005569DC"/>
    <w:rsid w:val="005723EB"/>
    <w:rsid w:val="00576F5F"/>
    <w:rsid w:val="005814AC"/>
    <w:rsid w:val="005B0FDD"/>
    <w:rsid w:val="005B1EF8"/>
    <w:rsid w:val="005B1FFA"/>
    <w:rsid w:val="005B246D"/>
    <w:rsid w:val="005B5FDB"/>
    <w:rsid w:val="005D0051"/>
    <w:rsid w:val="005D6729"/>
    <w:rsid w:val="005E208D"/>
    <w:rsid w:val="005F1703"/>
    <w:rsid w:val="005F350F"/>
    <w:rsid w:val="005F3972"/>
    <w:rsid w:val="00602CF4"/>
    <w:rsid w:val="00603C7D"/>
    <w:rsid w:val="00604C1A"/>
    <w:rsid w:val="00605683"/>
    <w:rsid w:val="00610436"/>
    <w:rsid w:val="00615EE8"/>
    <w:rsid w:val="00615F18"/>
    <w:rsid w:val="006166A2"/>
    <w:rsid w:val="00622561"/>
    <w:rsid w:val="00625B22"/>
    <w:rsid w:val="00634F81"/>
    <w:rsid w:val="006506B6"/>
    <w:rsid w:val="00653938"/>
    <w:rsid w:val="006745B5"/>
    <w:rsid w:val="00674EA8"/>
    <w:rsid w:val="006752EB"/>
    <w:rsid w:val="00680AF2"/>
    <w:rsid w:val="006959AC"/>
    <w:rsid w:val="006B7C4F"/>
    <w:rsid w:val="006C3F58"/>
    <w:rsid w:val="006E3AC7"/>
    <w:rsid w:val="00711727"/>
    <w:rsid w:val="007148ED"/>
    <w:rsid w:val="00726517"/>
    <w:rsid w:val="0073540E"/>
    <w:rsid w:val="00736D94"/>
    <w:rsid w:val="007421C0"/>
    <w:rsid w:val="007432DC"/>
    <w:rsid w:val="00745416"/>
    <w:rsid w:val="00746B63"/>
    <w:rsid w:val="0075634A"/>
    <w:rsid w:val="00756D05"/>
    <w:rsid w:val="00761AAC"/>
    <w:rsid w:val="0076566A"/>
    <w:rsid w:val="007746B3"/>
    <w:rsid w:val="007753EC"/>
    <w:rsid w:val="00781DDF"/>
    <w:rsid w:val="0078343A"/>
    <w:rsid w:val="00791621"/>
    <w:rsid w:val="007A5759"/>
    <w:rsid w:val="007B26C5"/>
    <w:rsid w:val="007C0AB4"/>
    <w:rsid w:val="007E2DDE"/>
    <w:rsid w:val="007F07B2"/>
    <w:rsid w:val="008051BC"/>
    <w:rsid w:val="00810DAD"/>
    <w:rsid w:val="008239F4"/>
    <w:rsid w:val="008403A1"/>
    <w:rsid w:val="008431DD"/>
    <w:rsid w:val="00843409"/>
    <w:rsid w:val="00845CE2"/>
    <w:rsid w:val="00853726"/>
    <w:rsid w:val="00867F8D"/>
    <w:rsid w:val="0087215D"/>
    <w:rsid w:val="00876827"/>
    <w:rsid w:val="00881342"/>
    <w:rsid w:val="00884654"/>
    <w:rsid w:val="008861D5"/>
    <w:rsid w:val="008A44DF"/>
    <w:rsid w:val="008B246D"/>
    <w:rsid w:val="008B3578"/>
    <w:rsid w:val="008D3B13"/>
    <w:rsid w:val="008E2936"/>
    <w:rsid w:val="008F0055"/>
    <w:rsid w:val="009106DE"/>
    <w:rsid w:val="0091268F"/>
    <w:rsid w:val="00917931"/>
    <w:rsid w:val="00920F5F"/>
    <w:rsid w:val="00922BD7"/>
    <w:rsid w:val="0092759B"/>
    <w:rsid w:val="0093094D"/>
    <w:rsid w:val="00930FEF"/>
    <w:rsid w:val="00931583"/>
    <w:rsid w:val="00934C21"/>
    <w:rsid w:val="00937267"/>
    <w:rsid w:val="00941077"/>
    <w:rsid w:val="00970496"/>
    <w:rsid w:val="00990576"/>
    <w:rsid w:val="00990C25"/>
    <w:rsid w:val="0099276E"/>
    <w:rsid w:val="009B7883"/>
    <w:rsid w:val="009C0C9E"/>
    <w:rsid w:val="009C470E"/>
    <w:rsid w:val="009D0E43"/>
    <w:rsid w:val="009E001B"/>
    <w:rsid w:val="009E5BBB"/>
    <w:rsid w:val="009E686F"/>
    <w:rsid w:val="009F29A8"/>
    <w:rsid w:val="00A2010D"/>
    <w:rsid w:val="00A20379"/>
    <w:rsid w:val="00A3325E"/>
    <w:rsid w:val="00A45877"/>
    <w:rsid w:val="00A470C9"/>
    <w:rsid w:val="00A518BA"/>
    <w:rsid w:val="00A63C6B"/>
    <w:rsid w:val="00A64F39"/>
    <w:rsid w:val="00A863D8"/>
    <w:rsid w:val="00A90326"/>
    <w:rsid w:val="00A93F7F"/>
    <w:rsid w:val="00A95637"/>
    <w:rsid w:val="00AA1937"/>
    <w:rsid w:val="00AA1E06"/>
    <w:rsid w:val="00AA3017"/>
    <w:rsid w:val="00AA6B20"/>
    <w:rsid w:val="00AB61A6"/>
    <w:rsid w:val="00AC66C9"/>
    <w:rsid w:val="00AC70F6"/>
    <w:rsid w:val="00AD1A09"/>
    <w:rsid w:val="00AD5C2D"/>
    <w:rsid w:val="00AE45C2"/>
    <w:rsid w:val="00AF5F64"/>
    <w:rsid w:val="00B05934"/>
    <w:rsid w:val="00B1170E"/>
    <w:rsid w:val="00B11784"/>
    <w:rsid w:val="00B22A6E"/>
    <w:rsid w:val="00B237BA"/>
    <w:rsid w:val="00B50E04"/>
    <w:rsid w:val="00B52CFE"/>
    <w:rsid w:val="00B53D1B"/>
    <w:rsid w:val="00B57DB2"/>
    <w:rsid w:val="00B63811"/>
    <w:rsid w:val="00B710F6"/>
    <w:rsid w:val="00B73F08"/>
    <w:rsid w:val="00B74159"/>
    <w:rsid w:val="00B75173"/>
    <w:rsid w:val="00B75201"/>
    <w:rsid w:val="00BA4CED"/>
    <w:rsid w:val="00BA6466"/>
    <w:rsid w:val="00BB4A94"/>
    <w:rsid w:val="00BD3329"/>
    <w:rsid w:val="00BE15EF"/>
    <w:rsid w:val="00BE7AF6"/>
    <w:rsid w:val="00BF68A8"/>
    <w:rsid w:val="00C015F8"/>
    <w:rsid w:val="00C04CDD"/>
    <w:rsid w:val="00C10DCD"/>
    <w:rsid w:val="00C13C3B"/>
    <w:rsid w:val="00C15FDA"/>
    <w:rsid w:val="00C26D84"/>
    <w:rsid w:val="00C331C8"/>
    <w:rsid w:val="00C45A97"/>
    <w:rsid w:val="00C50978"/>
    <w:rsid w:val="00C7302D"/>
    <w:rsid w:val="00C8101B"/>
    <w:rsid w:val="00C87EAA"/>
    <w:rsid w:val="00C91142"/>
    <w:rsid w:val="00C95606"/>
    <w:rsid w:val="00C97836"/>
    <w:rsid w:val="00C97E08"/>
    <w:rsid w:val="00CA7633"/>
    <w:rsid w:val="00CB0216"/>
    <w:rsid w:val="00CB0C19"/>
    <w:rsid w:val="00CB74B2"/>
    <w:rsid w:val="00CC2A97"/>
    <w:rsid w:val="00CE635D"/>
    <w:rsid w:val="00CF18AB"/>
    <w:rsid w:val="00CF3011"/>
    <w:rsid w:val="00CF4028"/>
    <w:rsid w:val="00D00E3C"/>
    <w:rsid w:val="00D05FF4"/>
    <w:rsid w:val="00D074D8"/>
    <w:rsid w:val="00D42B88"/>
    <w:rsid w:val="00D46DFA"/>
    <w:rsid w:val="00D52351"/>
    <w:rsid w:val="00D53B00"/>
    <w:rsid w:val="00D6537D"/>
    <w:rsid w:val="00D678EB"/>
    <w:rsid w:val="00D71610"/>
    <w:rsid w:val="00D73B2B"/>
    <w:rsid w:val="00D73E28"/>
    <w:rsid w:val="00D82ACF"/>
    <w:rsid w:val="00D84641"/>
    <w:rsid w:val="00DA192A"/>
    <w:rsid w:val="00DC131C"/>
    <w:rsid w:val="00DC2803"/>
    <w:rsid w:val="00DC2B31"/>
    <w:rsid w:val="00DE27C4"/>
    <w:rsid w:val="00DE60BF"/>
    <w:rsid w:val="00DE6554"/>
    <w:rsid w:val="00DF6A72"/>
    <w:rsid w:val="00E11EBA"/>
    <w:rsid w:val="00E1245A"/>
    <w:rsid w:val="00E14DB2"/>
    <w:rsid w:val="00E20788"/>
    <w:rsid w:val="00E2314C"/>
    <w:rsid w:val="00E3182D"/>
    <w:rsid w:val="00E3670B"/>
    <w:rsid w:val="00E501CB"/>
    <w:rsid w:val="00E54196"/>
    <w:rsid w:val="00E5656B"/>
    <w:rsid w:val="00E8377D"/>
    <w:rsid w:val="00E838D5"/>
    <w:rsid w:val="00E8775A"/>
    <w:rsid w:val="00E92C24"/>
    <w:rsid w:val="00E96A71"/>
    <w:rsid w:val="00EB5B5D"/>
    <w:rsid w:val="00EC3656"/>
    <w:rsid w:val="00EC75F8"/>
    <w:rsid w:val="00EE193B"/>
    <w:rsid w:val="00EF1B59"/>
    <w:rsid w:val="00EF289A"/>
    <w:rsid w:val="00EF55D0"/>
    <w:rsid w:val="00F1211C"/>
    <w:rsid w:val="00F20C92"/>
    <w:rsid w:val="00F227EE"/>
    <w:rsid w:val="00F25D23"/>
    <w:rsid w:val="00F26CC2"/>
    <w:rsid w:val="00F351E2"/>
    <w:rsid w:val="00F376E2"/>
    <w:rsid w:val="00F44F6D"/>
    <w:rsid w:val="00F51B18"/>
    <w:rsid w:val="00F57D88"/>
    <w:rsid w:val="00F678BB"/>
    <w:rsid w:val="00F72E9B"/>
    <w:rsid w:val="00FA5F7C"/>
    <w:rsid w:val="00FA7B6D"/>
    <w:rsid w:val="00FC136A"/>
    <w:rsid w:val="00FC3519"/>
    <w:rsid w:val="00FC4AC8"/>
    <w:rsid w:val="00FE03B9"/>
    <w:rsid w:val="00FE6D88"/>
    <w:rsid w:val="00FF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A1D3E"/>
  <w15:docId w15:val="{A6A6568E-D21F-4062-B85D-1342BFF1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5F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rFonts w:ascii="Bookman Old Style" w:eastAsia="Bookman Old Style" w:hAnsi="Bookman Old Style"/>
      <w:sz w:val="24"/>
      <w:szCs w:val="24"/>
    </w:rPr>
  </w:style>
  <w:style w:type="paragraph" w:styleId="ListParagraph">
    <w:name w:val="List Paragraph"/>
    <w:aliases w:val="Bab,Colorful List - Accent 11"/>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0FEC"/>
    <w:pPr>
      <w:tabs>
        <w:tab w:val="center" w:pos="4680"/>
        <w:tab w:val="right" w:pos="9360"/>
      </w:tabs>
    </w:pPr>
  </w:style>
  <w:style w:type="character" w:customStyle="1" w:styleId="HeaderChar">
    <w:name w:val="Header Char"/>
    <w:basedOn w:val="DefaultParagraphFont"/>
    <w:link w:val="Header"/>
    <w:uiPriority w:val="99"/>
    <w:rsid w:val="004F0FEC"/>
  </w:style>
  <w:style w:type="paragraph" w:styleId="Footer">
    <w:name w:val="footer"/>
    <w:basedOn w:val="Normal"/>
    <w:link w:val="FooterChar"/>
    <w:uiPriority w:val="99"/>
    <w:unhideWhenUsed/>
    <w:rsid w:val="004F0FEC"/>
    <w:pPr>
      <w:tabs>
        <w:tab w:val="center" w:pos="4680"/>
        <w:tab w:val="right" w:pos="9360"/>
      </w:tabs>
    </w:pPr>
  </w:style>
  <w:style w:type="character" w:customStyle="1" w:styleId="FooterChar">
    <w:name w:val="Footer Char"/>
    <w:basedOn w:val="DefaultParagraphFont"/>
    <w:link w:val="Footer"/>
    <w:uiPriority w:val="99"/>
    <w:rsid w:val="004F0FEC"/>
  </w:style>
  <w:style w:type="paragraph" w:customStyle="1" w:styleId="Default">
    <w:name w:val="Default"/>
    <w:rsid w:val="004F0FEC"/>
    <w:pPr>
      <w:widowControl/>
      <w:autoSpaceDE w:val="0"/>
      <w:autoSpaceDN w:val="0"/>
      <w:adjustRightInd w:val="0"/>
    </w:pPr>
    <w:rPr>
      <w:rFonts w:ascii="Bookman Old Style" w:eastAsia="Calibri" w:hAnsi="Bookman Old Style" w:cs="Bookman Old Style"/>
      <w:color w:val="000000"/>
      <w:sz w:val="24"/>
      <w:szCs w:val="24"/>
      <w:lang w:val="id-ID"/>
    </w:rPr>
  </w:style>
  <w:style w:type="character" w:customStyle="1" w:styleId="BodyTextChar">
    <w:name w:val="Body Text Char"/>
    <w:basedOn w:val="DefaultParagraphFont"/>
    <w:link w:val="BodyText"/>
    <w:uiPriority w:val="1"/>
    <w:rsid w:val="00E20788"/>
    <w:rPr>
      <w:rFonts w:ascii="Bookman Old Style" w:eastAsia="Bookman Old Style" w:hAnsi="Bookman Old Style"/>
      <w:sz w:val="24"/>
      <w:szCs w:val="24"/>
    </w:rPr>
  </w:style>
  <w:style w:type="character" w:styleId="CommentReference">
    <w:name w:val="annotation reference"/>
    <w:basedOn w:val="DefaultParagraphFont"/>
    <w:uiPriority w:val="99"/>
    <w:semiHidden/>
    <w:unhideWhenUsed/>
    <w:rsid w:val="00195278"/>
    <w:rPr>
      <w:sz w:val="16"/>
      <w:szCs w:val="16"/>
    </w:rPr>
  </w:style>
  <w:style w:type="paragraph" w:styleId="CommentText">
    <w:name w:val="annotation text"/>
    <w:basedOn w:val="Normal"/>
    <w:link w:val="CommentTextChar"/>
    <w:uiPriority w:val="99"/>
    <w:semiHidden/>
    <w:unhideWhenUsed/>
    <w:rsid w:val="00195278"/>
    <w:rPr>
      <w:sz w:val="20"/>
      <w:szCs w:val="20"/>
    </w:rPr>
  </w:style>
  <w:style w:type="character" w:customStyle="1" w:styleId="CommentTextChar">
    <w:name w:val="Comment Text Char"/>
    <w:basedOn w:val="DefaultParagraphFont"/>
    <w:link w:val="CommentText"/>
    <w:uiPriority w:val="99"/>
    <w:semiHidden/>
    <w:rsid w:val="00195278"/>
    <w:rPr>
      <w:sz w:val="20"/>
      <w:szCs w:val="20"/>
    </w:rPr>
  </w:style>
  <w:style w:type="paragraph" w:styleId="CommentSubject">
    <w:name w:val="annotation subject"/>
    <w:basedOn w:val="CommentText"/>
    <w:next w:val="CommentText"/>
    <w:link w:val="CommentSubjectChar"/>
    <w:uiPriority w:val="99"/>
    <w:semiHidden/>
    <w:unhideWhenUsed/>
    <w:rsid w:val="00195278"/>
    <w:rPr>
      <w:b/>
      <w:bCs/>
    </w:rPr>
  </w:style>
  <w:style w:type="character" w:customStyle="1" w:styleId="CommentSubjectChar">
    <w:name w:val="Comment Subject Char"/>
    <w:basedOn w:val="CommentTextChar"/>
    <w:link w:val="CommentSubject"/>
    <w:uiPriority w:val="99"/>
    <w:semiHidden/>
    <w:rsid w:val="00195278"/>
    <w:rPr>
      <w:b/>
      <w:bCs/>
      <w:sz w:val="20"/>
      <w:szCs w:val="20"/>
    </w:rPr>
  </w:style>
  <w:style w:type="paragraph" w:styleId="BalloonText">
    <w:name w:val="Balloon Text"/>
    <w:basedOn w:val="Normal"/>
    <w:link w:val="BalloonTextChar"/>
    <w:uiPriority w:val="99"/>
    <w:semiHidden/>
    <w:unhideWhenUsed/>
    <w:rsid w:val="00195278"/>
    <w:rPr>
      <w:rFonts w:ascii="Tahoma" w:hAnsi="Tahoma" w:cs="Tahoma"/>
      <w:sz w:val="16"/>
      <w:szCs w:val="16"/>
    </w:rPr>
  </w:style>
  <w:style w:type="character" w:customStyle="1" w:styleId="BalloonTextChar">
    <w:name w:val="Balloon Text Char"/>
    <w:basedOn w:val="DefaultParagraphFont"/>
    <w:link w:val="BalloonText"/>
    <w:uiPriority w:val="99"/>
    <w:semiHidden/>
    <w:rsid w:val="00195278"/>
    <w:rPr>
      <w:rFonts w:ascii="Tahoma" w:hAnsi="Tahoma" w:cs="Tahoma"/>
      <w:sz w:val="16"/>
      <w:szCs w:val="16"/>
    </w:rPr>
  </w:style>
  <w:style w:type="table" w:styleId="TableGrid">
    <w:name w:val="Table Grid"/>
    <w:basedOn w:val="TableNormal"/>
    <w:uiPriority w:val="39"/>
    <w:rsid w:val="008B357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ab Char,Colorful List - Accent 11 Char"/>
    <w:basedOn w:val="DefaultParagraphFont"/>
    <w:link w:val="ListParagraph"/>
    <w:uiPriority w:val="34"/>
    <w:rsid w:val="008B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108">
      <w:bodyDiv w:val="1"/>
      <w:marLeft w:val="0"/>
      <w:marRight w:val="0"/>
      <w:marTop w:val="0"/>
      <w:marBottom w:val="0"/>
      <w:divBdr>
        <w:top w:val="none" w:sz="0" w:space="0" w:color="auto"/>
        <w:left w:val="none" w:sz="0" w:space="0" w:color="auto"/>
        <w:bottom w:val="none" w:sz="0" w:space="0" w:color="auto"/>
        <w:right w:val="none" w:sz="0" w:space="0" w:color="auto"/>
      </w:divBdr>
    </w:div>
    <w:div w:id="14892325">
      <w:bodyDiv w:val="1"/>
      <w:marLeft w:val="0"/>
      <w:marRight w:val="0"/>
      <w:marTop w:val="0"/>
      <w:marBottom w:val="0"/>
      <w:divBdr>
        <w:top w:val="none" w:sz="0" w:space="0" w:color="auto"/>
        <w:left w:val="none" w:sz="0" w:space="0" w:color="auto"/>
        <w:bottom w:val="none" w:sz="0" w:space="0" w:color="auto"/>
        <w:right w:val="none" w:sz="0" w:space="0" w:color="auto"/>
      </w:divBdr>
    </w:div>
    <w:div w:id="35088004">
      <w:bodyDiv w:val="1"/>
      <w:marLeft w:val="0"/>
      <w:marRight w:val="0"/>
      <w:marTop w:val="0"/>
      <w:marBottom w:val="0"/>
      <w:divBdr>
        <w:top w:val="none" w:sz="0" w:space="0" w:color="auto"/>
        <w:left w:val="none" w:sz="0" w:space="0" w:color="auto"/>
        <w:bottom w:val="none" w:sz="0" w:space="0" w:color="auto"/>
        <w:right w:val="none" w:sz="0" w:space="0" w:color="auto"/>
      </w:divBdr>
    </w:div>
    <w:div w:id="36708959">
      <w:bodyDiv w:val="1"/>
      <w:marLeft w:val="0"/>
      <w:marRight w:val="0"/>
      <w:marTop w:val="0"/>
      <w:marBottom w:val="0"/>
      <w:divBdr>
        <w:top w:val="none" w:sz="0" w:space="0" w:color="auto"/>
        <w:left w:val="none" w:sz="0" w:space="0" w:color="auto"/>
        <w:bottom w:val="none" w:sz="0" w:space="0" w:color="auto"/>
        <w:right w:val="none" w:sz="0" w:space="0" w:color="auto"/>
      </w:divBdr>
    </w:div>
    <w:div w:id="69697192">
      <w:bodyDiv w:val="1"/>
      <w:marLeft w:val="0"/>
      <w:marRight w:val="0"/>
      <w:marTop w:val="0"/>
      <w:marBottom w:val="0"/>
      <w:divBdr>
        <w:top w:val="none" w:sz="0" w:space="0" w:color="auto"/>
        <w:left w:val="none" w:sz="0" w:space="0" w:color="auto"/>
        <w:bottom w:val="none" w:sz="0" w:space="0" w:color="auto"/>
        <w:right w:val="none" w:sz="0" w:space="0" w:color="auto"/>
      </w:divBdr>
    </w:div>
    <w:div w:id="141392424">
      <w:bodyDiv w:val="1"/>
      <w:marLeft w:val="0"/>
      <w:marRight w:val="0"/>
      <w:marTop w:val="0"/>
      <w:marBottom w:val="0"/>
      <w:divBdr>
        <w:top w:val="none" w:sz="0" w:space="0" w:color="auto"/>
        <w:left w:val="none" w:sz="0" w:space="0" w:color="auto"/>
        <w:bottom w:val="none" w:sz="0" w:space="0" w:color="auto"/>
        <w:right w:val="none" w:sz="0" w:space="0" w:color="auto"/>
      </w:divBdr>
    </w:div>
    <w:div w:id="145367133">
      <w:bodyDiv w:val="1"/>
      <w:marLeft w:val="0"/>
      <w:marRight w:val="0"/>
      <w:marTop w:val="0"/>
      <w:marBottom w:val="0"/>
      <w:divBdr>
        <w:top w:val="none" w:sz="0" w:space="0" w:color="auto"/>
        <w:left w:val="none" w:sz="0" w:space="0" w:color="auto"/>
        <w:bottom w:val="none" w:sz="0" w:space="0" w:color="auto"/>
        <w:right w:val="none" w:sz="0" w:space="0" w:color="auto"/>
      </w:divBdr>
    </w:div>
    <w:div w:id="181207749">
      <w:bodyDiv w:val="1"/>
      <w:marLeft w:val="0"/>
      <w:marRight w:val="0"/>
      <w:marTop w:val="0"/>
      <w:marBottom w:val="0"/>
      <w:divBdr>
        <w:top w:val="none" w:sz="0" w:space="0" w:color="auto"/>
        <w:left w:val="none" w:sz="0" w:space="0" w:color="auto"/>
        <w:bottom w:val="none" w:sz="0" w:space="0" w:color="auto"/>
        <w:right w:val="none" w:sz="0" w:space="0" w:color="auto"/>
      </w:divBdr>
    </w:div>
    <w:div w:id="208228950">
      <w:bodyDiv w:val="1"/>
      <w:marLeft w:val="0"/>
      <w:marRight w:val="0"/>
      <w:marTop w:val="0"/>
      <w:marBottom w:val="0"/>
      <w:divBdr>
        <w:top w:val="none" w:sz="0" w:space="0" w:color="auto"/>
        <w:left w:val="none" w:sz="0" w:space="0" w:color="auto"/>
        <w:bottom w:val="none" w:sz="0" w:space="0" w:color="auto"/>
        <w:right w:val="none" w:sz="0" w:space="0" w:color="auto"/>
      </w:divBdr>
    </w:div>
    <w:div w:id="250048145">
      <w:bodyDiv w:val="1"/>
      <w:marLeft w:val="0"/>
      <w:marRight w:val="0"/>
      <w:marTop w:val="0"/>
      <w:marBottom w:val="0"/>
      <w:divBdr>
        <w:top w:val="none" w:sz="0" w:space="0" w:color="auto"/>
        <w:left w:val="none" w:sz="0" w:space="0" w:color="auto"/>
        <w:bottom w:val="none" w:sz="0" w:space="0" w:color="auto"/>
        <w:right w:val="none" w:sz="0" w:space="0" w:color="auto"/>
      </w:divBdr>
    </w:div>
    <w:div w:id="345909018">
      <w:bodyDiv w:val="1"/>
      <w:marLeft w:val="0"/>
      <w:marRight w:val="0"/>
      <w:marTop w:val="0"/>
      <w:marBottom w:val="0"/>
      <w:divBdr>
        <w:top w:val="none" w:sz="0" w:space="0" w:color="auto"/>
        <w:left w:val="none" w:sz="0" w:space="0" w:color="auto"/>
        <w:bottom w:val="none" w:sz="0" w:space="0" w:color="auto"/>
        <w:right w:val="none" w:sz="0" w:space="0" w:color="auto"/>
      </w:divBdr>
    </w:div>
    <w:div w:id="410469299">
      <w:bodyDiv w:val="1"/>
      <w:marLeft w:val="0"/>
      <w:marRight w:val="0"/>
      <w:marTop w:val="0"/>
      <w:marBottom w:val="0"/>
      <w:divBdr>
        <w:top w:val="none" w:sz="0" w:space="0" w:color="auto"/>
        <w:left w:val="none" w:sz="0" w:space="0" w:color="auto"/>
        <w:bottom w:val="none" w:sz="0" w:space="0" w:color="auto"/>
        <w:right w:val="none" w:sz="0" w:space="0" w:color="auto"/>
      </w:divBdr>
    </w:div>
    <w:div w:id="477378559">
      <w:bodyDiv w:val="1"/>
      <w:marLeft w:val="0"/>
      <w:marRight w:val="0"/>
      <w:marTop w:val="0"/>
      <w:marBottom w:val="0"/>
      <w:divBdr>
        <w:top w:val="none" w:sz="0" w:space="0" w:color="auto"/>
        <w:left w:val="none" w:sz="0" w:space="0" w:color="auto"/>
        <w:bottom w:val="none" w:sz="0" w:space="0" w:color="auto"/>
        <w:right w:val="none" w:sz="0" w:space="0" w:color="auto"/>
      </w:divBdr>
    </w:div>
    <w:div w:id="477650127">
      <w:bodyDiv w:val="1"/>
      <w:marLeft w:val="0"/>
      <w:marRight w:val="0"/>
      <w:marTop w:val="0"/>
      <w:marBottom w:val="0"/>
      <w:divBdr>
        <w:top w:val="none" w:sz="0" w:space="0" w:color="auto"/>
        <w:left w:val="none" w:sz="0" w:space="0" w:color="auto"/>
        <w:bottom w:val="none" w:sz="0" w:space="0" w:color="auto"/>
        <w:right w:val="none" w:sz="0" w:space="0" w:color="auto"/>
      </w:divBdr>
    </w:div>
    <w:div w:id="489177751">
      <w:bodyDiv w:val="1"/>
      <w:marLeft w:val="0"/>
      <w:marRight w:val="0"/>
      <w:marTop w:val="0"/>
      <w:marBottom w:val="0"/>
      <w:divBdr>
        <w:top w:val="none" w:sz="0" w:space="0" w:color="auto"/>
        <w:left w:val="none" w:sz="0" w:space="0" w:color="auto"/>
        <w:bottom w:val="none" w:sz="0" w:space="0" w:color="auto"/>
        <w:right w:val="none" w:sz="0" w:space="0" w:color="auto"/>
      </w:divBdr>
    </w:div>
    <w:div w:id="492599307">
      <w:bodyDiv w:val="1"/>
      <w:marLeft w:val="0"/>
      <w:marRight w:val="0"/>
      <w:marTop w:val="0"/>
      <w:marBottom w:val="0"/>
      <w:divBdr>
        <w:top w:val="none" w:sz="0" w:space="0" w:color="auto"/>
        <w:left w:val="none" w:sz="0" w:space="0" w:color="auto"/>
        <w:bottom w:val="none" w:sz="0" w:space="0" w:color="auto"/>
        <w:right w:val="none" w:sz="0" w:space="0" w:color="auto"/>
      </w:divBdr>
    </w:div>
    <w:div w:id="595020065">
      <w:bodyDiv w:val="1"/>
      <w:marLeft w:val="0"/>
      <w:marRight w:val="0"/>
      <w:marTop w:val="0"/>
      <w:marBottom w:val="0"/>
      <w:divBdr>
        <w:top w:val="none" w:sz="0" w:space="0" w:color="auto"/>
        <w:left w:val="none" w:sz="0" w:space="0" w:color="auto"/>
        <w:bottom w:val="none" w:sz="0" w:space="0" w:color="auto"/>
        <w:right w:val="none" w:sz="0" w:space="0" w:color="auto"/>
      </w:divBdr>
    </w:div>
    <w:div w:id="663123598">
      <w:bodyDiv w:val="1"/>
      <w:marLeft w:val="0"/>
      <w:marRight w:val="0"/>
      <w:marTop w:val="0"/>
      <w:marBottom w:val="0"/>
      <w:divBdr>
        <w:top w:val="none" w:sz="0" w:space="0" w:color="auto"/>
        <w:left w:val="none" w:sz="0" w:space="0" w:color="auto"/>
        <w:bottom w:val="none" w:sz="0" w:space="0" w:color="auto"/>
        <w:right w:val="none" w:sz="0" w:space="0" w:color="auto"/>
      </w:divBdr>
    </w:div>
    <w:div w:id="665205249">
      <w:bodyDiv w:val="1"/>
      <w:marLeft w:val="0"/>
      <w:marRight w:val="0"/>
      <w:marTop w:val="0"/>
      <w:marBottom w:val="0"/>
      <w:divBdr>
        <w:top w:val="none" w:sz="0" w:space="0" w:color="auto"/>
        <w:left w:val="none" w:sz="0" w:space="0" w:color="auto"/>
        <w:bottom w:val="none" w:sz="0" w:space="0" w:color="auto"/>
        <w:right w:val="none" w:sz="0" w:space="0" w:color="auto"/>
      </w:divBdr>
    </w:div>
    <w:div w:id="703411599">
      <w:bodyDiv w:val="1"/>
      <w:marLeft w:val="0"/>
      <w:marRight w:val="0"/>
      <w:marTop w:val="0"/>
      <w:marBottom w:val="0"/>
      <w:divBdr>
        <w:top w:val="none" w:sz="0" w:space="0" w:color="auto"/>
        <w:left w:val="none" w:sz="0" w:space="0" w:color="auto"/>
        <w:bottom w:val="none" w:sz="0" w:space="0" w:color="auto"/>
        <w:right w:val="none" w:sz="0" w:space="0" w:color="auto"/>
      </w:divBdr>
    </w:div>
    <w:div w:id="721952367">
      <w:bodyDiv w:val="1"/>
      <w:marLeft w:val="0"/>
      <w:marRight w:val="0"/>
      <w:marTop w:val="0"/>
      <w:marBottom w:val="0"/>
      <w:divBdr>
        <w:top w:val="none" w:sz="0" w:space="0" w:color="auto"/>
        <w:left w:val="none" w:sz="0" w:space="0" w:color="auto"/>
        <w:bottom w:val="none" w:sz="0" w:space="0" w:color="auto"/>
        <w:right w:val="none" w:sz="0" w:space="0" w:color="auto"/>
      </w:divBdr>
    </w:div>
    <w:div w:id="722874512">
      <w:bodyDiv w:val="1"/>
      <w:marLeft w:val="0"/>
      <w:marRight w:val="0"/>
      <w:marTop w:val="0"/>
      <w:marBottom w:val="0"/>
      <w:divBdr>
        <w:top w:val="none" w:sz="0" w:space="0" w:color="auto"/>
        <w:left w:val="none" w:sz="0" w:space="0" w:color="auto"/>
        <w:bottom w:val="none" w:sz="0" w:space="0" w:color="auto"/>
        <w:right w:val="none" w:sz="0" w:space="0" w:color="auto"/>
      </w:divBdr>
    </w:div>
    <w:div w:id="724572816">
      <w:bodyDiv w:val="1"/>
      <w:marLeft w:val="0"/>
      <w:marRight w:val="0"/>
      <w:marTop w:val="0"/>
      <w:marBottom w:val="0"/>
      <w:divBdr>
        <w:top w:val="none" w:sz="0" w:space="0" w:color="auto"/>
        <w:left w:val="none" w:sz="0" w:space="0" w:color="auto"/>
        <w:bottom w:val="none" w:sz="0" w:space="0" w:color="auto"/>
        <w:right w:val="none" w:sz="0" w:space="0" w:color="auto"/>
      </w:divBdr>
    </w:div>
    <w:div w:id="729037490">
      <w:bodyDiv w:val="1"/>
      <w:marLeft w:val="0"/>
      <w:marRight w:val="0"/>
      <w:marTop w:val="0"/>
      <w:marBottom w:val="0"/>
      <w:divBdr>
        <w:top w:val="none" w:sz="0" w:space="0" w:color="auto"/>
        <w:left w:val="none" w:sz="0" w:space="0" w:color="auto"/>
        <w:bottom w:val="none" w:sz="0" w:space="0" w:color="auto"/>
        <w:right w:val="none" w:sz="0" w:space="0" w:color="auto"/>
      </w:divBdr>
    </w:div>
    <w:div w:id="740368055">
      <w:bodyDiv w:val="1"/>
      <w:marLeft w:val="0"/>
      <w:marRight w:val="0"/>
      <w:marTop w:val="0"/>
      <w:marBottom w:val="0"/>
      <w:divBdr>
        <w:top w:val="none" w:sz="0" w:space="0" w:color="auto"/>
        <w:left w:val="none" w:sz="0" w:space="0" w:color="auto"/>
        <w:bottom w:val="none" w:sz="0" w:space="0" w:color="auto"/>
        <w:right w:val="none" w:sz="0" w:space="0" w:color="auto"/>
      </w:divBdr>
    </w:div>
    <w:div w:id="816723507">
      <w:bodyDiv w:val="1"/>
      <w:marLeft w:val="0"/>
      <w:marRight w:val="0"/>
      <w:marTop w:val="0"/>
      <w:marBottom w:val="0"/>
      <w:divBdr>
        <w:top w:val="none" w:sz="0" w:space="0" w:color="auto"/>
        <w:left w:val="none" w:sz="0" w:space="0" w:color="auto"/>
        <w:bottom w:val="none" w:sz="0" w:space="0" w:color="auto"/>
        <w:right w:val="none" w:sz="0" w:space="0" w:color="auto"/>
      </w:divBdr>
    </w:div>
    <w:div w:id="828206247">
      <w:bodyDiv w:val="1"/>
      <w:marLeft w:val="0"/>
      <w:marRight w:val="0"/>
      <w:marTop w:val="0"/>
      <w:marBottom w:val="0"/>
      <w:divBdr>
        <w:top w:val="none" w:sz="0" w:space="0" w:color="auto"/>
        <w:left w:val="none" w:sz="0" w:space="0" w:color="auto"/>
        <w:bottom w:val="none" w:sz="0" w:space="0" w:color="auto"/>
        <w:right w:val="none" w:sz="0" w:space="0" w:color="auto"/>
      </w:divBdr>
    </w:div>
    <w:div w:id="842355460">
      <w:bodyDiv w:val="1"/>
      <w:marLeft w:val="0"/>
      <w:marRight w:val="0"/>
      <w:marTop w:val="0"/>
      <w:marBottom w:val="0"/>
      <w:divBdr>
        <w:top w:val="none" w:sz="0" w:space="0" w:color="auto"/>
        <w:left w:val="none" w:sz="0" w:space="0" w:color="auto"/>
        <w:bottom w:val="none" w:sz="0" w:space="0" w:color="auto"/>
        <w:right w:val="none" w:sz="0" w:space="0" w:color="auto"/>
      </w:divBdr>
    </w:div>
    <w:div w:id="842935816">
      <w:bodyDiv w:val="1"/>
      <w:marLeft w:val="0"/>
      <w:marRight w:val="0"/>
      <w:marTop w:val="0"/>
      <w:marBottom w:val="0"/>
      <w:divBdr>
        <w:top w:val="none" w:sz="0" w:space="0" w:color="auto"/>
        <w:left w:val="none" w:sz="0" w:space="0" w:color="auto"/>
        <w:bottom w:val="none" w:sz="0" w:space="0" w:color="auto"/>
        <w:right w:val="none" w:sz="0" w:space="0" w:color="auto"/>
      </w:divBdr>
      <w:divsChild>
        <w:div w:id="777407450">
          <w:marLeft w:val="0"/>
          <w:marRight w:val="0"/>
          <w:marTop w:val="0"/>
          <w:marBottom w:val="0"/>
          <w:divBdr>
            <w:top w:val="none" w:sz="0" w:space="0" w:color="auto"/>
            <w:left w:val="none" w:sz="0" w:space="0" w:color="auto"/>
            <w:bottom w:val="none" w:sz="0" w:space="0" w:color="auto"/>
            <w:right w:val="none" w:sz="0" w:space="0" w:color="auto"/>
          </w:divBdr>
        </w:div>
        <w:div w:id="227032965">
          <w:marLeft w:val="0"/>
          <w:marRight w:val="0"/>
          <w:marTop w:val="0"/>
          <w:marBottom w:val="0"/>
          <w:divBdr>
            <w:top w:val="none" w:sz="0" w:space="0" w:color="auto"/>
            <w:left w:val="none" w:sz="0" w:space="0" w:color="auto"/>
            <w:bottom w:val="none" w:sz="0" w:space="0" w:color="auto"/>
            <w:right w:val="none" w:sz="0" w:space="0" w:color="auto"/>
          </w:divBdr>
        </w:div>
        <w:div w:id="2107000922">
          <w:marLeft w:val="0"/>
          <w:marRight w:val="0"/>
          <w:marTop w:val="0"/>
          <w:marBottom w:val="0"/>
          <w:divBdr>
            <w:top w:val="none" w:sz="0" w:space="0" w:color="auto"/>
            <w:left w:val="none" w:sz="0" w:space="0" w:color="auto"/>
            <w:bottom w:val="none" w:sz="0" w:space="0" w:color="auto"/>
            <w:right w:val="none" w:sz="0" w:space="0" w:color="auto"/>
          </w:divBdr>
        </w:div>
        <w:div w:id="1056469049">
          <w:marLeft w:val="0"/>
          <w:marRight w:val="0"/>
          <w:marTop w:val="0"/>
          <w:marBottom w:val="0"/>
          <w:divBdr>
            <w:top w:val="none" w:sz="0" w:space="0" w:color="auto"/>
            <w:left w:val="none" w:sz="0" w:space="0" w:color="auto"/>
            <w:bottom w:val="none" w:sz="0" w:space="0" w:color="auto"/>
            <w:right w:val="none" w:sz="0" w:space="0" w:color="auto"/>
          </w:divBdr>
        </w:div>
        <w:div w:id="1385829655">
          <w:marLeft w:val="0"/>
          <w:marRight w:val="0"/>
          <w:marTop w:val="0"/>
          <w:marBottom w:val="0"/>
          <w:divBdr>
            <w:top w:val="none" w:sz="0" w:space="0" w:color="auto"/>
            <w:left w:val="none" w:sz="0" w:space="0" w:color="auto"/>
            <w:bottom w:val="none" w:sz="0" w:space="0" w:color="auto"/>
            <w:right w:val="none" w:sz="0" w:space="0" w:color="auto"/>
          </w:divBdr>
        </w:div>
        <w:div w:id="265963467">
          <w:marLeft w:val="0"/>
          <w:marRight w:val="0"/>
          <w:marTop w:val="0"/>
          <w:marBottom w:val="0"/>
          <w:divBdr>
            <w:top w:val="none" w:sz="0" w:space="0" w:color="auto"/>
            <w:left w:val="none" w:sz="0" w:space="0" w:color="auto"/>
            <w:bottom w:val="none" w:sz="0" w:space="0" w:color="auto"/>
            <w:right w:val="none" w:sz="0" w:space="0" w:color="auto"/>
          </w:divBdr>
        </w:div>
        <w:div w:id="1416515647">
          <w:marLeft w:val="0"/>
          <w:marRight w:val="0"/>
          <w:marTop w:val="0"/>
          <w:marBottom w:val="0"/>
          <w:divBdr>
            <w:top w:val="none" w:sz="0" w:space="0" w:color="auto"/>
            <w:left w:val="none" w:sz="0" w:space="0" w:color="auto"/>
            <w:bottom w:val="none" w:sz="0" w:space="0" w:color="auto"/>
            <w:right w:val="none" w:sz="0" w:space="0" w:color="auto"/>
          </w:divBdr>
        </w:div>
        <w:div w:id="482819636">
          <w:marLeft w:val="0"/>
          <w:marRight w:val="0"/>
          <w:marTop w:val="0"/>
          <w:marBottom w:val="0"/>
          <w:divBdr>
            <w:top w:val="none" w:sz="0" w:space="0" w:color="auto"/>
            <w:left w:val="none" w:sz="0" w:space="0" w:color="auto"/>
            <w:bottom w:val="none" w:sz="0" w:space="0" w:color="auto"/>
            <w:right w:val="none" w:sz="0" w:space="0" w:color="auto"/>
          </w:divBdr>
        </w:div>
        <w:div w:id="1643927496">
          <w:marLeft w:val="0"/>
          <w:marRight w:val="0"/>
          <w:marTop w:val="0"/>
          <w:marBottom w:val="0"/>
          <w:divBdr>
            <w:top w:val="none" w:sz="0" w:space="0" w:color="auto"/>
            <w:left w:val="none" w:sz="0" w:space="0" w:color="auto"/>
            <w:bottom w:val="none" w:sz="0" w:space="0" w:color="auto"/>
            <w:right w:val="none" w:sz="0" w:space="0" w:color="auto"/>
          </w:divBdr>
        </w:div>
      </w:divsChild>
    </w:div>
    <w:div w:id="877740323">
      <w:bodyDiv w:val="1"/>
      <w:marLeft w:val="0"/>
      <w:marRight w:val="0"/>
      <w:marTop w:val="0"/>
      <w:marBottom w:val="0"/>
      <w:divBdr>
        <w:top w:val="none" w:sz="0" w:space="0" w:color="auto"/>
        <w:left w:val="none" w:sz="0" w:space="0" w:color="auto"/>
        <w:bottom w:val="none" w:sz="0" w:space="0" w:color="auto"/>
        <w:right w:val="none" w:sz="0" w:space="0" w:color="auto"/>
      </w:divBdr>
    </w:div>
    <w:div w:id="906307516">
      <w:bodyDiv w:val="1"/>
      <w:marLeft w:val="0"/>
      <w:marRight w:val="0"/>
      <w:marTop w:val="0"/>
      <w:marBottom w:val="0"/>
      <w:divBdr>
        <w:top w:val="none" w:sz="0" w:space="0" w:color="auto"/>
        <w:left w:val="none" w:sz="0" w:space="0" w:color="auto"/>
        <w:bottom w:val="none" w:sz="0" w:space="0" w:color="auto"/>
        <w:right w:val="none" w:sz="0" w:space="0" w:color="auto"/>
      </w:divBdr>
    </w:div>
    <w:div w:id="924414537">
      <w:bodyDiv w:val="1"/>
      <w:marLeft w:val="0"/>
      <w:marRight w:val="0"/>
      <w:marTop w:val="0"/>
      <w:marBottom w:val="0"/>
      <w:divBdr>
        <w:top w:val="none" w:sz="0" w:space="0" w:color="auto"/>
        <w:left w:val="none" w:sz="0" w:space="0" w:color="auto"/>
        <w:bottom w:val="none" w:sz="0" w:space="0" w:color="auto"/>
        <w:right w:val="none" w:sz="0" w:space="0" w:color="auto"/>
      </w:divBdr>
    </w:div>
    <w:div w:id="955256185">
      <w:bodyDiv w:val="1"/>
      <w:marLeft w:val="0"/>
      <w:marRight w:val="0"/>
      <w:marTop w:val="0"/>
      <w:marBottom w:val="0"/>
      <w:divBdr>
        <w:top w:val="none" w:sz="0" w:space="0" w:color="auto"/>
        <w:left w:val="none" w:sz="0" w:space="0" w:color="auto"/>
        <w:bottom w:val="none" w:sz="0" w:space="0" w:color="auto"/>
        <w:right w:val="none" w:sz="0" w:space="0" w:color="auto"/>
      </w:divBdr>
    </w:div>
    <w:div w:id="970204908">
      <w:bodyDiv w:val="1"/>
      <w:marLeft w:val="0"/>
      <w:marRight w:val="0"/>
      <w:marTop w:val="0"/>
      <w:marBottom w:val="0"/>
      <w:divBdr>
        <w:top w:val="none" w:sz="0" w:space="0" w:color="auto"/>
        <w:left w:val="none" w:sz="0" w:space="0" w:color="auto"/>
        <w:bottom w:val="none" w:sz="0" w:space="0" w:color="auto"/>
        <w:right w:val="none" w:sz="0" w:space="0" w:color="auto"/>
      </w:divBdr>
      <w:divsChild>
        <w:div w:id="1260219892">
          <w:marLeft w:val="0"/>
          <w:marRight w:val="0"/>
          <w:marTop w:val="0"/>
          <w:marBottom w:val="0"/>
          <w:divBdr>
            <w:top w:val="none" w:sz="0" w:space="0" w:color="auto"/>
            <w:left w:val="none" w:sz="0" w:space="0" w:color="auto"/>
            <w:bottom w:val="none" w:sz="0" w:space="0" w:color="auto"/>
            <w:right w:val="none" w:sz="0" w:space="0" w:color="auto"/>
          </w:divBdr>
        </w:div>
        <w:div w:id="1594435405">
          <w:marLeft w:val="0"/>
          <w:marRight w:val="0"/>
          <w:marTop w:val="0"/>
          <w:marBottom w:val="0"/>
          <w:divBdr>
            <w:top w:val="none" w:sz="0" w:space="0" w:color="auto"/>
            <w:left w:val="none" w:sz="0" w:space="0" w:color="auto"/>
            <w:bottom w:val="none" w:sz="0" w:space="0" w:color="auto"/>
            <w:right w:val="none" w:sz="0" w:space="0" w:color="auto"/>
          </w:divBdr>
        </w:div>
        <w:div w:id="999773777">
          <w:marLeft w:val="0"/>
          <w:marRight w:val="0"/>
          <w:marTop w:val="0"/>
          <w:marBottom w:val="0"/>
          <w:divBdr>
            <w:top w:val="none" w:sz="0" w:space="0" w:color="auto"/>
            <w:left w:val="none" w:sz="0" w:space="0" w:color="auto"/>
            <w:bottom w:val="none" w:sz="0" w:space="0" w:color="auto"/>
            <w:right w:val="none" w:sz="0" w:space="0" w:color="auto"/>
          </w:divBdr>
        </w:div>
        <w:div w:id="2066638288">
          <w:marLeft w:val="0"/>
          <w:marRight w:val="0"/>
          <w:marTop w:val="0"/>
          <w:marBottom w:val="0"/>
          <w:divBdr>
            <w:top w:val="none" w:sz="0" w:space="0" w:color="auto"/>
            <w:left w:val="none" w:sz="0" w:space="0" w:color="auto"/>
            <w:bottom w:val="none" w:sz="0" w:space="0" w:color="auto"/>
            <w:right w:val="none" w:sz="0" w:space="0" w:color="auto"/>
          </w:divBdr>
        </w:div>
        <w:div w:id="207766151">
          <w:marLeft w:val="0"/>
          <w:marRight w:val="0"/>
          <w:marTop w:val="0"/>
          <w:marBottom w:val="0"/>
          <w:divBdr>
            <w:top w:val="none" w:sz="0" w:space="0" w:color="auto"/>
            <w:left w:val="none" w:sz="0" w:space="0" w:color="auto"/>
            <w:bottom w:val="none" w:sz="0" w:space="0" w:color="auto"/>
            <w:right w:val="none" w:sz="0" w:space="0" w:color="auto"/>
          </w:divBdr>
        </w:div>
        <w:div w:id="1499227231">
          <w:marLeft w:val="0"/>
          <w:marRight w:val="0"/>
          <w:marTop w:val="0"/>
          <w:marBottom w:val="0"/>
          <w:divBdr>
            <w:top w:val="none" w:sz="0" w:space="0" w:color="auto"/>
            <w:left w:val="none" w:sz="0" w:space="0" w:color="auto"/>
            <w:bottom w:val="none" w:sz="0" w:space="0" w:color="auto"/>
            <w:right w:val="none" w:sz="0" w:space="0" w:color="auto"/>
          </w:divBdr>
        </w:div>
      </w:divsChild>
    </w:div>
    <w:div w:id="986713168">
      <w:bodyDiv w:val="1"/>
      <w:marLeft w:val="0"/>
      <w:marRight w:val="0"/>
      <w:marTop w:val="0"/>
      <w:marBottom w:val="0"/>
      <w:divBdr>
        <w:top w:val="none" w:sz="0" w:space="0" w:color="auto"/>
        <w:left w:val="none" w:sz="0" w:space="0" w:color="auto"/>
        <w:bottom w:val="none" w:sz="0" w:space="0" w:color="auto"/>
        <w:right w:val="none" w:sz="0" w:space="0" w:color="auto"/>
      </w:divBdr>
    </w:div>
    <w:div w:id="999164280">
      <w:bodyDiv w:val="1"/>
      <w:marLeft w:val="0"/>
      <w:marRight w:val="0"/>
      <w:marTop w:val="0"/>
      <w:marBottom w:val="0"/>
      <w:divBdr>
        <w:top w:val="none" w:sz="0" w:space="0" w:color="auto"/>
        <w:left w:val="none" w:sz="0" w:space="0" w:color="auto"/>
        <w:bottom w:val="none" w:sz="0" w:space="0" w:color="auto"/>
        <w:right w:val="none" w:sz="0" w:space="0" w:color="auto"/>
      </w:divBdr>
    </w:div>
    <w:div w:id="1001004955">
      <w:bodyDiv w:val="1"/>
      <w:marLeft w:val="0"/>
      <w:marRight w:val="0"/>
      <w:marTop w:val="0"/>
      <w:marBottom w:val="0"/>
      <w:divBdr>
        <w:top w:val="none" w:sz="0" w:space="0" w:color="auto"/>
        <w:left w:val="none" w:sz="0" w:space="0" w:color="auto"/>
        <w:bottom w:val="none" w:sz="0" w:space="0" w:color="auto"/>
        <w:right w:val="none" w:sz="0" w:space="0" w:color="auto"/>
      </w:divBdr>
    </w:div>
    <w:div w:id="1003315012">
      <w:bodyDiv w:val="1"/>
      <w:marLeft w:val="0"/>
      <w:marRight w:val="0"/>
      <w:marTop w:val="0"/>
      <w:marBottom w:val="0"/>
      <w:divBdr>
        <w:top w:val="none" w:sz="0" w:space="0" w:color="auto"/>
        <w:left w:val="none" w:sz="0" w:space="0" w:color="auto"/>
        <w:bottom w:val="none" w:sz="0" w:space="0" w:color="auto"/>
        <w:right w:val="none" w:sz="0" w:space="0" w:color="auto"/>
      </w:divBdr>
    </w:div>
    <w:div w:id="1041982906">
      <w:bodyDiv w:val="1"/>
      <w:marLeft w:val="0"/>
      <w:marRight w:val="0"/>
      <w:marTop w:val="0"/>
      <w:marBottom w:val="0"/>
      <w:divBdr>
        <w:top w:val="none" w:sz="0" w:space="0" w:color="auto"/>
        <w:left w:val="none" w:sz="0" w:space="0" w:color="auto"/>
        <w:bottom w:val="none" w:sz="0" w:space="0" w:color="auto"/>
        <w:right w:val="none" w:sz="0" w:space="0" w:color="auto"/>
      </w:divBdr>
    </w:div>
    <w:div w:id="1061976746">
      <w:bodyDiv w:val="1"/>
      <w:marLeft w:val="0"/>
      <w:marRight w:val="0"/>
      <w:marTop w:val="0"/>
      <w:marBottom w:val="0"/>
      <w:divBdr>
        <w:top w:val="none" w:sz="0" w:space="0" w:color="auto"/>
        <w:left w:val="none" w:sz="0" w:space="0" w:color="auto"/>
        <w:bottom w:val="none" w:sz="0" w:space="0" w:color="auto"/>
        <w:right w:val="none" w:sz="0" w:space="0" w:color="auto"/>
      </w:divBdr>
    </w:div>
    <w:div w:id="1064063948">
      <w:bodyDiv w:val="1"/>
      <w:marLeft w:val="0"/>
      <w:marRight w:val="0"/>
      <w:marTop w:val="0"/>
      <w:marBottom w:val="0"/>
      <w:divBdr>
        <w:top w:val="none" w:sz="0" w:space="0" w:color="auto"/>
        <w:left w:val="none" w:sz="0" w:space="0" w:color="auto"/>
        <w:bottom w:val="none" w:sz="0" w:space="0" w:color="auto"/>
        <w:right w:val="none" w:sz="0" w:space="0" w:color="auto"/>
      </w:divBdr>
    </w:div>
    <w:div w:id="1114907442">
      <w:bodyDiv w:val="1"/>
      <w:marLeft w:val="0"/>
      <w:marRight w:val="0"/>
      <w:marTop w:val="0"/>
      <w:marBottom w:val="0"/>
      <w:divBdr>
        <w:top w:val="none" w:sz="0" w:space="0" w:color="auto"/>
        <w:left w:val="none" w:sz="0" w:space="0" w:color="auto"/>
        <w:bottom w:val="none" w:sz="0" w:space="0" w:color="auto"/>
        <w:right w:val="none" w:sz="0" w:space="0" w:color="auto"/>
      </w:divBdr>
      <w:divsChild>
        <w:div w:id="1153909408">
          <w:marLeft w:val="0"/>
          <w:marRight w:val="0"/>
          <w:marTop w:val="0"/>
          <w:marBottom w:val="0"/>
          <w:divBdr>
            <w:top w:val="none" w:sz="0" w:space="0" w:color="auto"/>
            <w:left w:val="none" w:sz="0" w:space="0" w:color="auto"/>
            <w:bottom w:val="none" w:sz="0" w:space="0" w:color="auto"/>
            <w:right w:val="none" w:sz="0" w:space="0" w:color="auto"/>
          </w:divBdr>
        </w:div>
        <w:div w:id="125315699">
          <w:marLeft w:val="0"/>
          <w:marRight w:val="0"/>
          <w:marTop w:val="0"/>
          <w:marBottom w:val="0"/>
          <w:divBdr>
            <w:top w:val="none" w:sz="0" w:space="0" w:color="auto"/>
            <w:left w:val="none" w:sz="0" w:space="0" w:color="auto"/>
            <w:bottom w:val="none" w:sz="0" w:space="0" w:color="auto"/>
            <w:right w:val="none" w:sz="0" w:space="0" w:color="auto"/>
          </w:divBdr>
        </w:div>
        <w:div w:id="403992372">
          <w:marLeft w:val="0"/>
          <w:marRight w:val="0"/>
          <w:marTop w:val="0"/>
          <w:marBottom w:val="0"/>
          <w:divBdr>
            <w:top w:val="none" w:sz="0" w:space="0" w:color="auto"/>
            <w:left w:val="none" w:sz="0" w:space="0" w:color="auto"/>
            <w:bottom w:val="none" w:sz="0" w:space="0" w:color="auto"/>
            <w:right w:val="none" w:sz="0" w:space="0" w:color="auto"/>
          </w:divBdr>
        </w:div>
        <w:div w:id="1489007491">
          <w:marLeft w:val="0"/>
          <w:marRight w:val="0"/>
          <w:marTop w:val="0"/>
          <w:marBottom w:val="0"/>
          <w:divBdr>
            <w:top w:val="none" w:sz="0" w:space="0" w:color="auto"/>
            <w:left w:val="none" w:sz="0" w:space="0" w:color="auto"/>
            <w:bottom w:val="none" w:sz="0" w:space="0" w:color="auto"/>
            <w:right w:val="none" w:sz="0" w:space="0" w:color="auto"/>
          </w:divBdr>
        </w:div>
        <w:div w:id="386876468">
          <w:marLeft w:val="0"/>
          <w:marRight w:val="0"/>
          <w:marTop w:val="0"/>
          <w:marBottom w:val="0"/>
          <w:divBdr>
            <w:top w:val="none" w:sz="0" w:space="0" w:color="auto"/>
            <w:left w:val="none" w:sz="0" w:space="0" w:color="auto"/>
            <w:bottom w:val="none" w:sz="0" w:space="0" w:color="auto"/>
            <w:right w:val="none" w:sz="0" w:space="0" w:color="auto"/>
          </w:divBdr>
        </w:div>
        <w:div w:id="212667568">
          <w:marLeft w:val="0"/>
          <w:marRight w:val="0"/>
          <w:marTop w:val="0"/>
          <w:marBottom w:val="0"/>
          <w:divBdr>
            <w:top w:val="none" w:sz="0" w:space="0" w:color="auto"/>
            <w:left w:val="none" w:sz="0" w:space="0" w:color="auto"/>
            <w:bottom w:val="none" w:sz="0" w:space="0" w:color="auto"/>
            <w:right w:val="none" w:sz="0" w:space="0" w:color="auto"/>
          </w:divBdr>
        </w:div>
        <w:div w:id="1062216891">
          <w:marLeft w:val="0"/>
          <w:marRight w:val="0"/>
          <w:marTop w:val="0"/>
          <w:marBottom w:val="0"/>
          <w:divBdr>
            <w:top w:val="none" w:sz="0" w:space="0" w:color="auto"/>
            <w:left w:val="none" w:sz="0" w:space="0" w:color="auto"/>
            <w:bottom w:val="none" w:sz="0" w:space="0" w:color="auto"/>
            <w:right w:val="none" w:sz="0" w:space="0" w:color="auto"/>
          </w:divBdr>
        </w:div>
        <w:div w:id="807210223">
          <w:marLeft w:val="0"/>
          <w:marRight w:val="0"/>
          <w:marTop w:val="0"/>
          <w:marBottom w:val="0"/>
          <w:divBdr>
            <w:top w:val="none" w:sz="0" w:space="0" w:color="auto"/>
            <w:left w:val="none" w:sz="0" w:space="0" w:color="auto"/>
            <w:bottom w:val="none" w:sz="0" w:space="0" w:color="auto"/>
            <w:right w:val="none" w:sz="0" w:space="0" w:color="auto"/>
          </w:divBdr>
        </w:div>
        <w:div w:id="1008755173">
          <w:marLeft w:val="0"/>
          <w:marRight w:val="0"/>
          <w:marTop w:val="0"/>
          <w:marBottom w:val="0"/>
          <w:divBdr>
            <w:top w:val="none" w:sz="0" w:space="0" w:color="auto"/>
            <w:left w:val="none" w:sz="0" w:space="0" w:color="auto"/>
            <w:bottom w:val="none" w:sz="0" w:space="0" w:color="auto"/>
            <w:right w:val="none" w:sz="0" w:space="0" w:color="auto"/>
          </w:divBdr>
        </w:div>
      </w:divsChild>
    </w:div>
    <w:div w:id="1136601225">
      <w:bodyDiv w:val="1"/>
      <w:marLeft w:val="0"/>
      <w:marRight w:val="0"/>
      <w:marTop w:val="0"/>
      <w:marBottom w:val="0"/>
      <w:divBdr>
        <w:top w:val="none" w:sz="0" w:space="0" w:color="auto"/>
        <w:left w:val="none" w:sz="0" w:space="0" w:color="auto"/>
        <w:bottom w:val="none" w:sz="0" w:space="0" w:color="auto"/>
        <w:right w:val="none" w:sz="0" w:space="0" w:color="auto"/>
      </w:divBdr>
    </w:div>
    <w:div w:id="1140268472">
      <w:bodyDiv w:val="1"/>
      <w:marLeft w:val="0"/>
      <w:marRight w:val="0"/>
      <w:marTop w:val="0"/>
      <w:marBottom w:val="0"/>
      <w:divBdr>
        <w:top w:val="none" w:sz="0" w:space="0" w:color="auto"/>
        <w:left w:val="none" w:sz="0" w:space="0" w:color="auto"/>
        <w:bottom w:val="none" w:sz="0" w:space="0" w:color="auto"/>
        <w:right w:val="none" w:sz="0" w:space="0" w:color="auto"/>
      </w:divBdr>
    </w:div>
    <w:div w:id="1140807287">
      <w:bodyDiv w:val="1"/>
      <w:marLeft w:val="0"/>
      <w:marRight w:val="0"/>
      <w:marTop w:val="0"/>
      <w:marBottom w:val="0"/>
      <w:divBdr>
        <w:top w:val="none" w:sz="0" w:space="0" w:color="auto"/>
        <w:left w:val="none" w:sz="0" w:space="0" w:color="auto"/>
        <w:bottom w:val="none" w:sz="0" w:space="0" w:color="auto"/>
        <w:right w:val="none" w:sz="0" w:space="0" w:color="auto"/>
      </w:divBdr>
    </w:div>
    <w:div w:id="1159272723">
      <w:bodyDiv w:val="1"/>
      <w:marLeft w:val="0"/>
      <w:marRight w:val="0"/>
      <w:marTop w:val="0"/>
      <w:marBottom w:val="0"/>
      <w:divBdr>
        <w:top w:val="none" w:sz="0" w:space="0" w:color="auto"/>
        <w:left w:val="none" w:sz="0" w:space="0" w:color="auto"/>
        <w:bottom w:val="none" w:sz="0" w:space="0" w:color="auto"/>
        <w:right w:val="none" w:sz="0" w:space="0" w:color="auto"/>
      </w:divBdr>
    </w:div>
    <w:div w:id="1166748489">
      <w:bodyDiv w:val="1"/>
      <w:marLeft w:val="0"/>
      <w:marRight w:val="0"/>
      <w:marTop w:val="0"/>
      <w:marBottom w:val="0"/>
      <w:divBdr>
        <w:top w:val="none" w:sz="0" w:space="0" w:color="auto"/>
        <w:left w:val="none" w:sz="0" w:space="0" w:color="auto"/>
        <w:bottom w:val="none" w:sz="0" w:space="0" w:color="auto"/>
        <w:right w:val="none" w:sz="0" w:space="0" w:color="auto"/>
      </w:divBdr>
    </w:div>
    <w:div w:id="1205170381">
      <w:bodyDiv w:val="1"/>
      <w:marLeft w:val="0"/>
      <w:marRight w:val="0"/>
      <w:marTop w:val="0"/>
      <w:marBottom w:val="0"/>
      <w:divBdr>
        <w:top w:val="none" w:sz="0" w:space="0" w:color="auto"/>
        <w:left w:val="none" w:sz="0" w:space="0" w:color="auto"/>
        <w:bottom w:val="none" w:sz="0" w:space="0" w:color="auto"/>
        <w:right w:val="none" w:sz="0" w:space="0" w:color="auto"/>
      </w:divBdr>
    </w:div>
    <w:div w:id="1205872566">
      <w:bodyDiv w:val="1"/>
      <w:marLeft w:val="0"/>
      <w:marRight w:val="0"/>
      <w:marTop w:val="0"/>
      <w:marBottom w:val="0"/>
      <w:divBdr>
        <w:top w:val="none" w:sz="0" w:space="0" w:color="auto"/>
        <w:left w:val="none" w:sz="0" w:space="0" w:color="auto"/>
        <w:bottom w:val="none" w:sz="0" w:space="0" w:color="auto"/>
        <w:right w:val="none" w:sz="0" w:space="0" w:color="auto"/>
      </w:divBdr>
    </w:div>
    <w:div w:id="1239830829">
      <w:bodyDiv w:val="1"/>
      <w:marLeft w:val="0"/>
      <w:marRight w:val="0"/>
      <w:marTop w:val="0"/>
      <w:marBottom w:val="0"/>
      <w:divBdr>
        <w:top w:val="none" w:sz="0" w:space="0" w:color="auto"/>
        <w:left w:val="none" w:sz="0" w:space="0" w:color="auto"/>
        <w:bottom w:val="none" w:sz="0" w:space="0" w:color="auto"/>
        <w:right w:val="none" w:sz="0" w:space="0" w:color="auto"/>
      </w:divBdr>
    </w:div>
    <w:div w:id="1258059260">
      <w:bodyDiv w:val="1"/>
      <w:marLeft w:val="0"/>
      <w:marRight w:val="0"/>
      <w:marTop w:val="0"/>
      <w:marBottom w:val="0"/>
      <w:divBdr>
        <w:top w:val="none" w:sz="0" w:space="0" w:color="auto"/>
        <w:left w:val="none" w:sz="0" w:space="0" w:color="auto"/>
        <w:bottom w:val="none" w:sz="0" w:space="0" w:color="auto"/>
        <w:right w:val="none" w:sz="0" w:space="0" w:color="auto"/>
      </w:divBdr>
    </w:div>
    <w:div w:id="1259290287">
      <w:bodyDiv w:val="1"/>
      <w:marLeft w:val="0"/>
      <w:marRight w:val="0"/>
      <w:marTop w:val="0"/>
      <w:marBottom w:val="0"/>
      <w:divBdr>
        <w:top w:val="none" w:sz="0" w:space="0" w:color="auto"/>
        <w:left w:val="none" w:sz="0" w:space="0" w:color="auto"/>
        <w:bottom w:val="none" w:sz="0" w:space="0" w:color="auto"/>
        <w:right w:val="none" w:sz="0" w:space="0" w:color="auto"/>
      </w:divBdr>
    </w:div>
    <w:div w:id="1261992163">
      <w:bodyDiv w:val="1"/>
      <w:marLeft w:val="0"/>
      <w:marRight w:val="0"/>
      <w:marTop w:val="0"/>
      <w:marBottom w:val="0"/>
      <w:divBdr>
        <w:top w:val="none" w:sz="0" w:space="0" w:color="auto"/>
        <w:left w:val="none" w:sz="0" w:space="0" w:color="auto"/>
        <w:bottom w:val="none" w:sz="0" w:space="0" w:color="auto"/>
        <w:right w:val="none" w:sz="0" w:space="0" w:color="auto"/>
      </w:divBdr>
    </w:div>
    <w:div w:id="1274752643">
      <w:bodyDiv w:val="1"/>
      <w:marLeft w:val="0"/>
      <w:marRight w:val="0"/>
      <w:marTop w:val="0"/>
      <w:marBottom w:val="0"/>
      <w:divBdr>
        <w:top w:val="none" w:sz="0" w:space="0" w:color="auto"/>
        <w:left w:val="none" w:sz="0" w:space="0" w:color="auto"/>
        <w:bottom w:val="none" w:sz="0" w:space="0" w:color="auto"/>
        <w:right w:val="none" w:sz="0" w:space="0" w:color="auto"/>
      </w:divBdr>
    </w:div>
    <w:div w:id="1276793327">
      <w:bodyDiv w:val="1"/>
      <w:marLeft w:val="0"/>
      <w:marRight w:val="0"/>
      <w:marTop w:val="0"/>
      <w:marBottom w:val="0"/>
      <w:divBdr>
        <w:top w:val="none" w:sz="0" w:space="0" w:color="auto"/>
        <w:left w:val="none" w:sz="0" w:space="0" w:color="auto"/>
        <w:bottom w:val="none" w:sz="0" w:space="0" w:color="auto"/>
        <w:right w:val="none" w:sz="0" w:space="0" w:color="auto"/>
      </w:divBdr>
    </w:div>
    <w:div w:id="1293440123">
      <w:bodyDiv w:val="1"/>
      <w:marLeft w:val="0"/>
      <w:marRight w:val="0"/>
      <w:marTop w:val="0"/>
      <w:marBottom w:val="0"/>
      <w:divBdr>
        <w:top w:val="none" w:sz="0" w:space="0" w:color="auto"/>
        <w:left w:val="none" w:sz="0" w:space="0" w:color="auto"/>
        <w:bottom w:val="none" w:sz="0" w:space="0" w:color="auto"/>
        <w:right w:val="none" w:sz="0" w:space="0" w:color="auto"/>
      </w:divBdr>
    </w:div>
    <w:div w:id="1293907235">
      <w:bodyDiv w:val="1"/>
      <w:marLeft w:val="0"/>
      <w:marRight w:val="0"/>
      <w:marTop w:val="0"/>
      <w:marBottom w:val="0"/>
      <w:divBdr>
        <w:top w:val="none" w:sz="0" w:space="0" w:color="auto"/>
        <w:left w:val="none" w:sz="0" w:space="0" w:color="auto"/>
        <w:bottom w:val="none" w:sz="0" w:space="0" w:color="auto"/>
        <w:right w:val="none" w:sz="0" w:space="0" w:color="auto"/>
      </w:divBdr>
    </w:div>
    <w:div w:id="1303998116">
      <w:bodyDiv w:val="1"/>
      <w:marLeft w:val="0"/>
      <w:marRight w:val="0"/>
      <w:marTop w:val="0"/>
      <w:marBottom w:val="0"/>
      <w:divBdr>
        <w:top w:val="none" w:sz="0" w:space="0" w:color="auto"/>
        <w:left w:val="none" w:sz="0" w:space="0" w:color="auto"/>
        <w:bottom w:val="none" w:sz="0" w:space="0" w:color="auto"/>
        <w:right w:val="none" w:sz="0" w:space="0" w:color="auto"/>
      </w:divBdr>
    </w:div>
    <w:div w:id="1324972175">
      <w:bodyDiv w:val="1"/>
      <w:marLeft w:val="0"/>
      <w:marRight w:val="0"/>
      <w:marTop w:val="0"/>
      <w:marBottom w:val="0"/>
      <w:divBdr>
        <w:top w:val="none" w:sz="0" w:space="0" w:color="auto"/>
        <w:left w:val="none" w:sz="0" w:space="0" w:color="auto"/>
        <w:bottom w:val="none" w:sz="0" w:space="0" w:color="auto"/>
        <w:right w:val="none" w:sz="0" w:space="0" w:color="auto"/>
      </w:divBdr>
    </w:div>
    <w:div w:id="1347634812">
      <w:bodyDiv w:val="1"/>
      <w:marLeft w:val="0"/>
      <w:marRight w:val="0"/>
      <w:marTop w:val="0"/>
      <w:marBottom w:val="0"/>
      <w:divBdr>
        <w:top w:val="none" w:sz="0" w:space="0" w:color="auto"/>
        <w:left w:val="none" w:sz="0" w:space="0" w:color="auto"/>
        <w:bottom w:val="none" w:sz="0" w:space="0" w:color="auto"/>
        <w:right w:val="none" w:sz="0" w:space="0" w:color="auto"/>
      </w:divBdr>
    </w:div>
    <w:div w:id="1364134397">
      <w:bodyDiv w:val="1"/>
      <w:marLeft w:val="0"/>
      <w:marRight w:val="0"/>
      <w:marTop w:val="0"/>
      <w:marBottom w:val="0"/>
      <w:divBdr>
        <w:top w:val="none" w:sz="0" w:space="0" w:color="auto"/>
        <w:left w:val="none" w:sz="0" w:space="0" w:color="auto"/>
        <w:bottom w:val="none" w:sz="0" w:space="0" w:color="auto"/>
        <w:right w:val="none" w:sz="0" w:space="0" w:color="auto"/>
      </w:divBdr>
    </w:div>
    <w:div w:id="1413702206">
      <w:bodyDiv w:val="1"/>
      <w:marLeft w:val="0"/>
      <w:marRight w:val="0"/>
      <w:marTop w:val="0"/>
      <w:marBottom w:val="0"/>
      <w:divBdr>
        <w:top w:val="none" w:sz="0" w:space="0" w:color="auto"/>
        <w:left w:val="none" w:sz="0" w:space="0" w:color="auto"/>
        <w:bottom w:val="none" w:sz="0" w:space="0" w:color="auto"/>
        <w:right w:val="none" w:sz="0" w:space="0" w:color="auto"/>
      </w:divBdr>
    </w:div>
    <w:div w:id="1442452263">
      <w:bodyDiv w:val="1"/>
      <w:marLeft w:val="0"/>
      <w:marRight w:val="0"/>
      <w:marTop w:val="0"/>
      <w:marBottom w:val="0"/>
      <w:divBdr>
        <w:top w:val="none" w:sz="0" w:space="0" w:color="auto"/>
        <w:left w:val="none" w:sz="0" w:space="0" w:color="auto"/>
        <w:bottom w:val="none" w:sz="0" w:space="0" w:color="auto"/>
        <w:right w:val="none" w:sz="0" w:space="0" w:color="auto"/>
      </w:divBdr>
    </w:div>
    <w:div w:id="1489907107">
      <w:bodyDiv w:val="1"/>
      <w:marLeft w:val="0"/>
      <w:marRight w:val="0"/>
      <w:marTop w:val="0"/>
      <w:marBottom w:val="0"/>
      <w:divBdr>
        <w:top w:val="none" w:sz="0" w:space="0" w:color="auto"/>
        <w:left w:val="none" w:sz="0" w:space="0" w:color="auto"/>
        <w:bottom w:val="none" w:sz="0" w:space="0" w:color="auto"/>
        <w:right w:val="none" w:sz="0" w:space="0" w:color="auto"/>
      </w:divBdr>
    </w:div>
    <w:div w:id="1497960592">
      <w:bodyDiv w:val="1"/>
      <w:marLeft w:val="0"/>
      <w:marRight w:val="0"/>
      <w:marTop w:val="0"/>
      <w:marBottom w:val="0"/>
      <w:divBdr>
        <w:top w:val="none" w:sz="0" w:space="0" w:color="auto"/>
        <w:left w:val="none" w:sz="0" w:space="0" w:color="auto"/>
        <w:bottom w:val="none" w:sz="0" w:space="0" w:color="auto"/>
        <w:right w:val="none" w:sz="0" w:space="0" w:color="auto"/>
      </w:divBdr>
    </w:div>
    <w:div w:id="1527065358">
      <w:bodyDiv w:val="1"/>
      <w:marLeft w:val="0"/>
      <w:marRight w:val="0"/>
      <w:marTop w:val="0"/>
      <w:marBottom w:val="0"/>
      <w:divBdr>
        <w:top w:val="none" w:sz="0" w:space="0" w:color="auto"/>
        <w:left w:val="none" w:sz="0" w:space="0" w:color="auto"/>
        <w:bottom w:val="none" w:sz="0" w:space="0" w:color="auto"/>
        <w:right w:val="none" w:sz="0" w:space="0" w:color="auto"/>
      </w:divBdr>
    </w:div>
    <w:div w:id="1551572590">
      <w:bodyDiv w:val="1"/>
      <w:marLeft w:val="0"/>
      <w:marRight w:val="0"/>
      <w:marTop w:val="0"/>
      <w:marBottom w:val="0"/>
      <w:divBdr>
        <w:top w:val="none" w:sz="0" w:space="0" w:color="auto"/>
        <w:left w:val="none" w:sz="0" w:space="0" w:color="auto"/>
        <w:bottom w:val="none" w:sz="0" w:space="0" w:color="auto"/>
        <w:right w:val="none" w:sz="0" w:space="0" w:color="auto"/>
      </w:divBdr>
    </w:div>
    <w:div w:id="1640108038">
      <w:bodyDiv w:val="1"/>
      <w:marLeft w:val="0"/>
      <w:marRight w:val="0"/>
      <w:marTop w:val="0"/>
      <w:marBottom w:val="0"/>
      <w:divBdr>
        <w:top w:val="none" w:sz="0" w:space="0" w:color="auto"/>
        <w:left w:val="none" w:sz="0" w:space="0" w:color="auto"/>
        <w:bottom w:val="none" w:sz="0" w:space="0" w:color="auto"/>
        <w:right w:val="none" w:sz="0" w:space="0" w:color="auto"/>
      </w:divBdr>
    </w:div>
    <w:div w:id="1668901958">
      <w:bodyDiv w:val="1"/>
      <w:marLeft w:val="0"/>
      <w:marRight w:val="0"/>
      <w:marTop w:val="0"/>
      <w:marBottom w:val="0"/>
      <w:divBdr>
        <w:top w:val="none" w:sz="0" w:space="0" w:color="auto"/>
        <w:left w:val="none" w:sz="0" w:space="0" w:color="auto"/>
        <w:bottom w:val="none" w:sz="0" w:space="0" w:color="auto"/>
        <w:right w:val="none" w:sz="0" w:space="0" w:color="auto"/>
      </w:divBdr>
    </w:div>
    <w:div w:id="1671906127">
      <w:bodyDiv w:val="1"/>
      <w:marLeft w:val="0"/>
      <w:marRight w:val="0"/>
      <w:marTop w:val="0"/>
      <w:marBottom w:val="0"/>
      <w:divBdr>
        <w:top w:val="none" w:sz="0" w:space="0" w:color="auto"/>
        <w:left w:val="none" w:sz="0" w:space="0" w:color="auto"/>
        <w:bottom w:val="none" w:sz="0" w:space="0" w:color="auto"/>
        <w:right w:val="none" w:sz="0" w:space="0" w:color="auto"/>
      </w:divBdr>
    </w:div>
    <w:div w:id="1675034729">
      <w:bodyDiv w:val="1"/>
      <w:marLeft w:val="0"/>
      <w:marRight w:val="0"/>
      <w:marTop w:val="0"/>
      <w:marBottom w:val="0"/>
      <w:divBdr>
        <w:top w:val="none" w:sz="0" w:space="0" w:color="auto"/>
        <w:left w:val="none" w:sz="0" w:space="0" w:color="auto"/>
        <w:bottom w:val="none" w:sz="0" w:space="0" w:color="auto"/>
        <w:right w:val="none" w:sz="0" w:space="0" w:color="auto"/>
      </w:divBdr>
    </w:div>
    <w:div w:id="1690638895">
      <w:bodyDiv w:val="1"/>
      <w:marLeft w:val="0"/>
      <w:marRight w:val="0"/>
      <w:marTop w:val="0"/>
      <w:marBottom w:val="0"/>
      <w:divBdr>
        <w:top w:val="none" w:sz="0" w:space="0" w:color="auto"/>
        <w:left w:val="none" w:sz="0" w:space="0" w:color="auto"/>
        <w:bottom w:val="none" w:sz="0" w:space="0" w:color="auto"/>
        <w:right w:val="none" w:sz="0" w:space="0" w:color="auto"/>
      </w:divBdr>
    </w:div>
    <w:div w:id="1701124326">
      <w:bodyDiv w:val="1"/>
      <w:marLeft w:val="0"/>
      <w:marRight w:val="0"/>
      <w:marTop w:val="0"/>
      <w:marBottom w:val="0"/>
      <w:divBdr>
        <w:top w:val="none" w:sz="0" w:space="0" w:color="auto"/>
        <w:left w:val="none" w:sz="0" w:space="0" w:color="auto"/>
        <w:bottom w:val="none" w:sz="0" w:space="0" w:color="auto"/>
        <w:right w:val="none" w:sz="0" w:space="0" w:color="auto"/>
      </w:divBdr>
    </w:div>
    <w:div w:id="1713463004">
      <w:bodyDiv w:val="1"/>
      <w:marLeft w:val="0"/>
      <w:marRight w:val="0"/>
      <w:marTop w:val="0"/>
      <w:marBottom w:val="0"/>
      <w:divBdr>
        <w:top w:val="none" w:sz="0" w:space="0" w:color="auto"/>
        <w:left w:val="none" w:sz="0" w:space="0" w:color="auto"/>
        <w:bottom w:val="none" w:sz="0" w:space="0" w:color="auto"/>
        <w:right w:val="none" w:sz="0" w:space="0" w:color="auto"/>
      </w:divBdr>
    </w:div>
    <w:div w:id="1771267975">
      <w:bodyDiv w:val="1"/>
      <w:marLeft w:val="0"/>
      <w:marRight w:val="0"/>
      <w:marTop w:val="0"/>
      <w:marBottom w:val="0"/>
      <w:divBdr>
        <w:top w:val="none" w:sz="0" w:space="0" w:color="auto"/>
        <w:left w:val="none" w:sz="0" w:space="0" w:color="auto"/>
        <w:bottom w:val="none" w:sz="0" w:space="0" w:color="auto"/>
        <w:right w:val="none" w:sz="0" w:space="0" w:color="auto"/>
      </w:divBdr>
    </w:div>
    <w:div w:id="1791706898">
      <w:bodyDiv w:val="1"/>
      <w:marLeft w:val="0"/>
      <w:marRight w:val="0"/>
      <w:marTop w:val="0"/>
      <w:marBottom w:val="0"/>
      <w:divBdr>
        <w:top w:val="none" w:sz="0" w:space="0" w:color="auto"/>
        <w:left w:val="none" w:sz="0" w:space="0" w:color="auto"/>
        <w:bottom w:val="none" w:sz="0" w:space="0" w:color="auto"/>
        <w:right w:val="none" w:sz="0" w:space="0" w:color="auto"/>
      </w:divBdr>
    </w:div>
    <w:div w:id="1794328715">
      <w:bodyDiv w:val="1"/>
      <w:marLeft w:val="0"/>
      <w:marRight w:val="0"/>
      <w:marTop w:val="0"/>
      <w:marBottom w:val="0"/>
      <w:divBdr>
        <w:top w:val="none" w:sz="0" w:space="0" w:color="auto"/>
        <w:left w:val="none" w:sz="0" w:space="0" w:color="auto"/>
        <w:bottom w:val="none" w:sz="0" w:space="0" w:color="auto"/>
        <w:right w:val="none" w:sz="0" w:space="0" w:color="auto"/>
      </w:divBdr>
    </w:div>
    <w:div w:id="1810710343">
      <w:bodyDiv w:val="1"/>
      <w:marLeft w:val="0"/>
      <w:marRight w:val="0"/>
      <w:marTop w:val="0"/>
      <w:marBottom w:val="0"/>
      <w:divBdr>
        <w:top w:val="none" w:sz="0" w:space="0" w:color="auto"/>
        <w:left w:val="none" w:sz="0" w:space="0" w:color="auto"/>
        <w:bottom w:val="none" w:sz="0" w:space="0" w:color="auto"/>
        <w:right w:val="none" w:sz="0" w:space="0" w:color="auto"/>
      </w:divBdr>
    </w:div>
    <w:div w:id="1835104439">
      <w:bodyDiv w:val="1"/>
      <w:marLeft w:val="0"/>
      <w:marRight w:val="0"/>
      <w:marTop w:val="0"/>
      <w:marBottom w:val="0"/>
      <w:divBdr>
        <w:top w:val="none" w:sz="0" w:space="0" w:color="auto"/>
        <w:left w:val="none" w:sz="0" w:space="0" w:color="auto"/>
        <w:bottom w:val="none" w:sz="0" w:space="0" w:color="auto"/>
        <w:right w:val="none" w:sz="0" w:space="0" w:color="auto"/>
      </w:divBdr>
    </w:div>
    <w:div w:id="1845778287">
      <w:bodyDiv w:val="1"/>
      <w:marLeft w:val="0"/>
      <w:marRight w:val="0"/>
      <w:marTop w:val="0"/>
      <w:marBottom w:val="0"/>
      <w:divBdr>
        <w:top w:val="none" w:sz="0" w:space="0" w:color="auto"/>
        <w:left w:val="none" w:sz="0" w:space="0" w:color="auto"/>
        <w:bottom w:val="none" w:sz="0" w:space="0" w:color="auto"/>
        <w:right w:val="none" w:sz="0" w:space="0" w:color="auto"/>
      </w:divBdr>
    </w:div>
    <w:div w:id="1854954961">
      <w:bodyDiv w:val="1"/>
      <w:marLeft w:val="0"/>
      <w:marRight w:val="0"/>
      <w:marTop w:val="0"/>
      <w:marBottom w:val="0"/>
      <w:divBdr>
        <w:top w:val="none" w:sz="0" w:space="0" w:color="auto"/>
        <w:left w:val="none" w:sz="0" w:space="0" w:color="auto"/>
        <w:bottom w:val="none" w:sz="0" w:space="0" w:color="auto"/>
        <w:right w:val="none" w:sz="0" w:space="0" w:color="auto"/>
      </w:divBdr>
    </w:div>
    <w:div w:id="1883401836">
      <w:bodyDiv w:val="1"/>
      <w:marLeft w:val="0"/>
      <w:marRight w:val="0"/>
      <w:marTop w:val="0"/>
      <w:marBottom w:val="0"/>
      <w:divBdr>
        <w:top w:val="none" w:sz="0" w:space="0" w:color="auto"/>
        <w:left w:val="none" w:sz="0" w:space="0" w:color="auto"/>
        <w:bottom w:val="none" w:sz="0" w:space="0" w:color="auto"/>
        <w:right w:val="none" w:sz="0" w:space="0" w:color="auto"/>
      </w:divBdr>
    </w:div>
    <w:div w:id="1888910890">
      <w:bodyDiv w:val="1"/>
      <w:marLeft w:val="0"/>
      <w:marRight w:val="0"/>
      <w:marTop w:val="0"/>
      <w:marBottom w:val="0"/>
      <w:divBdr>
        <w:top w:val="none" w:sz="0" w:space="0" w:color="auto"/>
        <w:left w:val="none" w:sz="0" w:space="0" w:color="auto"/>
        <w:bottom w:val="none" w:sz="0" w:space="0" w:color="auto"/>
        <w:right w:val="none" w:sz="0" w:space="0" w:color="auto"/>
      </w:divBdr>
    </w:div>
    <w:div w:id="1909999008">
      <w:bodyDiv w:val="1"/>
      <w:marLeft w:val="0"/>
      <w:marRight w:val="0"/>
      <w:marTop w:val="0"/>
      <w:marBottom w:val="0"/>
      <w:divBdr>
        <w:top w:val="none" w:sz="0" w:space="0" w:color="auto"/>
        <w:left w:val="none" w:sz="0" w:space="0" w:color="auto"/>
        <w:bottom w:val="none" w:sz="0" w:space="0" w:color="auto"/>
        <w:right w:val="none" w:sz="0" w:space="0" w:color="auto"/>
      </w:divBdr>
    </w:div>
    <w:div w:id="1949893909">
      <w:bodyDiv w:val="1"/>
      <w:marLeft w:val="0"/>
      <w:marRight w:val="0"/>
      <w:marTop w:val="0"/>
      <w:marBottom w:val="0"/>
      <w:divBdr>
        <w:top w:val="none" w:sz="0" w:space="0" w:color="auto"/>
        <w:left w:val="none" w:sz="0" w:space="0" w:color="auto"/>
        <w:bottom w:val="none" w:sz="0" w:space="0" w:color="auto"/>
        <w:right w:val="none" w:sz="0" w:space="0" w:color="auto"/>
      </w:divBdr>
    </w:div>
    <w:div w:id="1973175262">
      <w:bodyDiv w:val="1"/>
      <w:marLeft w:val="0"/>
      <w:marRight w:val="0"/>
      <w:marTop w:val="0"/>
      <w:marBottom w:val="0"/>
      <w:divBdr>
        <w:top w:val="none" w:sz="0" w:space="0" w:color="auto"/>
        <w:left w:val="none" w:sz="0" w:space="0" w:color="auto"/>
        <w:bottom w:val="none" w:sz="0" w:space="0" w:color="auto"/>
        <w:right w:val="none" w:sz="0" w:space="0" w:color="auto"/>
      </w:divBdr>
    </w:div>
    <w:div w:id="2028211187">
      <w:bodyDiv w:val="1"/>
      <w:marLeft w:val="0"/>
      <w:marRight w:val="0"/>
      <w:marTop w:val="0"/>
      <w:marBottom w:val="0"/>
      <w:divBdr>
        <w:top w:val="none" w:sz="0" w:space="0" w:color="auto"/>
        <w:left w:val="none" w:sz="0" w:space="0" w:color="auto"/>
        <w:bottom w:val="none" w:sz="0" w:space="0" w:color="auto"/>
        <w:right w:val="none" w:sz="0" w:space="0" w:color="auto"/>
      </w:divBdr>
    </w:div>
    <w:div w:id="2040660720">
      <w:bodyDiv w:val="1"/>
      <w:marLeft w:val="0"/>
      <w:marRight w:val="0"/>
      <w:marTop w:val="0"/>
      <w:marBottom w:val="0"/>
      <w:divBdr>
        <w:top w:val="none" w:sz="0" w:space="0" w:color="auto"/>
        <w:left w:val="none" w:sz="0" w:space="0" w:color="auto"/>
        <w:bottom w:val="none" w:sz="0" w:space="0" w:color="auto"/>
        <w:right w:val="none" w:sz="0" w:space="0" w:color="auto"/>
      </w:divBdr>
    </w:div>
    <w:div w:id="2061318102">
      <w:bodyDiv w:val="1"/>
      <w:marLeft w:val="0"/>
      <w:marRight w:val="0"/>
      <w:marTop w:val="0"/>
      <w:marBottom w:val="0"/>
      <w:divBdr>
        <w:top w:val="none" w:sz="0" w:space="0" w:color="auto"/>
        <w:left w:val="none" w:sz="0" w:space="0" w:color="auto"/>
        <w:bottom w:val="none" w:sz="0" w:space="0" w:color="auto"/>
        <w:right w:val="none" w:sz="0" w:space="0" w:color="auto"/>
      </w:divBdr>
    </w:div>
    <w:div w:id="2087528222">
      <w:bodyDiv w:val="1"/>
      <w:marLeft w:val="0"/>
      <w:marRight w:val="0"/>
      <w:marTop w:val="0"/>
      <w:marBottom w:val="0"/>
      <w:divBdr>
        <w:top w:val="none" w:sz="0" w:space="0" w:color="auto"/>
        <w:left w:val="none" w:sz="0" w:space="0" w:color="auto"/>
        <w:bottom w:val="none" w:sz="0" w:space="0" w:color="auto"/>
        <w:right w:val="none" w:sz="0" w:space="0" w:color="auto"/>
      </w:divBdr>
    </w:div>
    <w:div w:id="2102678733">
      <w:bodyDiv w:val="1"/>
      <w:marLeft w:val="0"/>
      <w:marRight w:val="0"/>
      <w:marTop w:val="0"/>
      <w:marBottom w:val="0"/>
      <w:divBdr>
        <w:top w:val="none" w:sz="0" w:space="0" w:color="auto"/>
        <w:left w:val="none" w:sz="0" w:space="0" w:color="auto"/>
        <w:bottom w:val="none" w:sz="0" w:space="0" w:color="auto"/>
        <w:right w:val="none" w:sz="0" w:space="0" w:color="auto"/>
      </w:divBdr>
    </w:div>
    <w:div w:id="2123838369">
      <w:bodyDiv w:val="1"/>
      <w:marLeft w:val="0"/>
      <w:marRight w:val="0"/>
      <w:marTop w:val="0"/>
      <w:marBottom w:val="0"/>
      <w:divBdr>
        <w:top w:val="none" w:sz="0" w:space="0" w:color="auto"/>
        <w:left w:val="none" w:sz="0" w:space="0" w:color="auto"/>
        <w:bottom w:val="none" w:sz="0" w:space="0" w:color="auto"/>
        <w:right w:val="none" w:sz="0" w:space="0" w:color="auto"/>
      </w:divBdr>
    </w:div>
    <w:div w:id="2125464458">
      <w:bodyDiv w:val="1"/>
      <w:marLeft w:val="0"/>
      <w:marRight w:val="0"/>
      <w:marTop w:val="0"/>
      <w:marBottom w:val="0"/>
      <w:divBdr>
        <w:top w:val="none" w:sz="0" w:space="0" w:color="auto"/>
        <w:left w:val="none" w:sz="0" w:space="0" w:color="auto"/>
        <w:bottom w:val="none" w:sz="0" w:space="0" w:color="auto"/>
        <w:right w:val="none" w:sz="0" w:space="0" w:color="auto"/>
      </w:divBdr>
    </w:div>
    <w:div w:id="2130002824">
      <w:bodyDiv w:val="1"/>
      <w:marLeft w:val="0"/>
      <w:marRight w:val="0"/>
      <w:marTop w:val="0"/>
      <w:marBottom w:val="0"/>
      <w:divBdr>
        <w:top w:val="none" w:sz="0" w:space="0" w:color="auto"/>
        <w:left w:val="none" w:sz="0" w:space="0" w:color="auto"/>
        <w:bottom w:val="none" w:sz="0" w:space="0" w:color="auto"/>
        <w:right w:val="none" w:sz="0" w:space="0" w:color="auto"/>
      </w:divBdr>
    </w:div>
    <w:div w:id="214257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D1350B-550B-46F1-B874-AA4436841E4E}"/>
</file>

<file path=customXml/itemProps2.xml><?xml version="1.0" encoding="utf-8"?>
<ds:datastoreItem xmlns:ds="http://schemas.openxmlformats.org/officeDocument/2006/customXml" ds:itemID="{C7A0F0E7-74F3-46BB-8609-CEC5662273C4}"/>
</file>

<file path=customXml/itemProps3.xml><?xml version="1.0" encoding="utf-8"?>
<ds:datastoreItem xmlns:ds="http://schemas.openxmlformats.org/officeDocument/2006/customXml" ds:itemID="{C24E97E3-7623-4C1E-A0E2-5756B528B3AF}"/>
</file>

<file path=docProps/app.xml><?xml version="1.0" encoding="utf-8"?>
<Properties xmlns="http://schemas.openxmlformats.org/officeDocument/2006/extended-properties" xmlns:vt="http://schemas.openxmlformats.org/officeDocument/2006/docPropsVTypes">
  <Template>Normal.dotm</Template>
  <TotalTime>411</TotalTime>
  <Pages>22</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Bagoes Harsono</dc:creator>
  <cp:lastModifiedBy>teni rahma</cp:lastModifiedBy>
  <cp:revision>20</cp:revision>
  <cp:lastPrinted>2019-08-13T07:18:00Z</cp:lastPrinted>
  <dcterms:created xsi:type="dcterms:W3CDTF">2025-03-21T03:40:00Z</dcterms:created>
  <dcterms:modified xsi:type="dcterms:W3CDTF">2025-03-27T10:13:00Z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2013-01-07T00:00:00Z</vt:filetime>
  </property>
  <property fmtid="{D5CDD505-2E9C-101B-9397-08002B2CF9AE}" pid="3" name="LastSaved">
    <vt:filetime>2013-01-07T00:00:00Z</vt:filetime>
  </property>
  <property fmtid="{D5CDD505-2E9C-101B-9397-08002B2CF9AE}" pid="4" name="ContentTypeId">
    <vt:lpwstr>0x0101000E568EA12C02744B90C2548B18D7B906</vt:lpwstr>
  </property>
</Properties>
</file>