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C8" w:rsidRPr="00886725" w:rsidRDefault="00490CC8" w:rsidP="00886725">
      <w:pPr>
        <w:spacing w:line="276" w:lineRule="auto"/>
        <w:ind w:right="2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noProof/>
          <w:sz w:val="22"/>
          <w:szCs w:val="22"/>
          <w:lang w:eastAsia="en-US"/>
        </w:rPr>
        <w:drawing>
          <wp:inline distT="0" distB="0" distL="0" distR="0" wp14:anchorId="733CF76F" wp14:editId="04ED6061">
            <wp:extent cx="914400" cy="977900"/>
            <wp:effectExtent l="0" t="0" r="0" b="0"/>
            <wp:docPr id="2" name="image1.jpg" descr="Description: garu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garu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CC8" w:rsidRPr="00886725" w:rsidRDefault="00490CC8" w:rsidP="00886725">
      <w:pPr>
        <w:spacing w:line="276" w:lineRule="auto"/>
        <w:ind w:right="2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 xml:space="preserve">OTORITAS JASA KEUANGAN </w:t>
      </w:r>
    </w:p>
    <w:p w:rsidR="00490CC8" w:rsidRPr="00886725" w:rsidRDefault="00490CC8" w:rsidP="00886725">
      <w:pPr>
        <w:tabs>
          <w:tab w:val="left" w:pos="1701"/>
        </w:tabs>
        <w:spacing w:line="276" w:lineRule="auto"/>
        <w:ind w:right="2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REPUBLIK INDONESIA</w:t>
      </w:r>
    </w:p>
    <w:p w:rsidR="00490CC8" w:rsidRPr="00886725" w:rsidRDefault="00490CC8" w:rsidP="00886725">
      <w:pPr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490CC8" w:rsidRPr="00886725" w:rsidRDefault="00490CC8" w:rsidP="00886725">
      <w:pPr>
        <w:widowControl w:val="0"/>
        <w:spacing w:before="120" w:line="276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PERATURAN OTORITAS JASA KEUANGAN</w:t>
      </w:r>
    </w:p>
    <w:p w:rsidR="00490CC8" w:rsidRPr="00886725" w:rsidRDefault="00490CC8" w:rsidP="00886725">
      <w:pPr>
        <w:widowControl w:val="0"/>
        <w:spacing w:before="120" w:line="276" w:lineRule="auto"/>
        <w:ind w:hanging="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NOMOR      /POJK.04/2022</w:t>
      </w:r>
    </w:p>
    <w:p w:rsidR="00490CC8" w:rsidRPr="00886725" w:rsidRDefault="00490CC8" w:rsidP="00886725">
      <w:pPr>
        <w:keepNext/>
        <w:keepLines/>
        <w:spacing w:before="120" w:line="276" w:lineRule="auto"/>
        <w:ind w:hanging="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TENTANG</w:t>
      </w:r>
    </w:p>
    <w:p w:rsidR="00490CC8" w:rsidRPr="00886725" w:rsidRDefault="00490CC8" w:rsidP="00886725">
      <w:pPr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i/>
          <w:sz w:val="22"/>
          <w:szCs w:val="22"/>
        </w:rPr>
      </w:pPr>
      <w:bookmarkStart w:id="0" w:name="_GoBack"/>
      <w:r w:rsidRPr="00886725">
        <w:rPr>
          <w:rFonts w:ascii="Bookman Old Style" w:eastAsia="Bookman Old Style" w:hAnsi="Bookman Old Style" w:cs="Bookman Old Style"/>
          <w:sz w:val="22"/>
          <w:szCs w:val="22"/>
        </w:rPr>
        <w:t xml:space="preserve">PENYELENGGARA LAYANAN </w:t>
      </w:r>
      <w:r w:rsidRPr="00886725">
        <w:rPr>
          <w:rFonts w:ascii="Bookman Old Style" w:eastAsia="Bookman Old Style" w:hAnsi="Bookman Old Style" w:cs="Bookman Old Style"/>
          <w:i/>
          <w:sz w:val="22"/>
          <w:szCs w:val="22"/>
        </w:rPr>
        <w:t>KNOW YOUR CUSTOMER ADMINISTRATION</w:t>
      </w:r>
    </w:p>
    <w:bookmarkEnd w:id="0"/>
    <w:p w:rsidR="00490CC8" w:rsidRPr="00886725" w:rsidRDefault="00490CC8" w:rsidP="00886725">
      <w:pPr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490CC8" w:rsidRPr="00886725" w:rsidRDefault="00490CC8" w:rsidP="00886725">
      <w:pPr>
        <w:widowControl w:val="0"/>
        <w:spacing w:line="276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DENGAN RAHMAT TUHAN YANG MAHA ESA</w:t>
      </w:r>
    </w:p>
    <w:p w:rsidR="00490CC8" w:rsidRPr="00886725" w:rsidRDefault="00490CC8" w:rsidP="00886725">
      <w:pPr>
        <w:widowControl w:val="0"/>
        <w:spacing w:line="276" w:lineRule="auto"/>
        <w:ind w:hanging="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490CC8" w:rsidRPr="00886725" w:rsidRDefault="00490CC8" w:rsidP="00886725">
      <w:pPr>
        <w:widowControl w:val="0"/>
        <w:spacing w:line="276" w:lineRule="auto"/>
        <w:ind w:hanging="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886725">
        <w:rPr>
          <w:rFonts w:ascii="Bookman Old Style" w:eastAsia="Bookman Old Style" w:hAnsi="Bookman Old Style" w:cs="Bookman Old Style"/>
          <w:sz w:val="22"/>
          <w:szCs w:val="22"/>
        </w:rPr>
        <w:t>DEWAN KOMISIONER OTORITAS JASA KEUANGAN,</w:t>
      </w:r>
    </w:p>
    <w:p w:rsidR="005F3C4A" w:rsidRPr="00886725" w:rsidRDefault="00F07BCD" w:rsidP="00886725">
      <w:pPr>
        <w:spacing w:line="276" w:lineRule="auto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15"/>
        <w:gridCol w:w="5938"/>
        <w:gridCol w:w="5217"/>
      </w:tblGrid>
      <w:tr w:rsidR="00490CC8" w:rsidRPr="00886725" w:rsidTr="00490CC8">
        <w:tc>
          <w:tcPr>
            <w:tcW w:w="1770" w:type="pct"/>
            <w:shd w:val="clear" w:color="auto" w:fill="BFBFBF" w:themeFill="background1" w:themeFillShade="BF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b/>
                <w:sz w:val="22"/>
                <w:szCs w:val="22"/>
              </w:rPr>
              <w:t xml:space="preserve">Draft </w:t>
            </w:r>
            <w:proofErr w:type="spellStart"/>
            <w:r w:rsidRPr="00886725">
              <w:rPr>
                <w:rFonts w:ascii="Bookman Old Style" w:hAnsi="Bookman Old Style"/>
                <w:b/>
                <w:sz w:val="22"/>
                <w:szCs w:val="22"/>
              </w:rPr>
              <w:t>Peraturan</w:t>
            </w:r>
            <w:proofErr w:type="spellEnd"/>
          </w:p>
        </w:tc>
        <w:tc>
          <w:tcPr>
            <w:tcW w:w="1719" w:type="pct"/>
            <w:shd w:val="clear" w:color="auto" w:fill="BFBFBF" w:themeFill="background1" w:themeFillShade="BF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b/>
                <w:sz w:val="22"/>
                <w:szCs w:val="22"/>
              </w:rPr>
              <w:t>Penjelasan</w:t>
            </w:r>
            <w:proofErr w:type="spellEnd"/>
          </w:p>
        </w:tc>
        <w:tc>
          <w:tcPr>
            <w:tcW w:w="1510" w:type="pct"/>
            <w:shd w:val="clear" w:color="auto" w:fill="BFBFBF" w:themeFill="background1" w:themeFillShade="BF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b/>
                <w:sz w:val="22"/>
                <w:szCs w:val="22"/>
              </w:rPr>
              <w:t>Tanggapan</w:t>
            </w:r>
            <w:proofErr w:type="spellEnd"/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PENJELASAN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ATAS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PERATURAN OTORITAS JASA KEUANGAN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NOMOR         /POJK.04/2022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TENTANG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PENYELENGGARA LAYANAN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KNOW YOUR CUSTOMER ADMINISTRATION</w:t>
            </w: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  <w:tab w:val="center" w:pos="4320"/>
                <w:tab w:val="right" w:pos="8640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552" w:hanging="255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Menimbang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  <w:t>:  a.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bahwa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meningkatkan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efisiensi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bagi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mengkinikan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serta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meningkatkan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efisiensi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proses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bagi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pembukaan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pasar modal,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perlu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penyederhanaan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menghilangkan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pengulangan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berbeda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infrastruktur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know your customer administration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tersentralisasi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701"/>
                <w:tab w:val="left" w:pos="1985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552" w:hanging="566"/>
              <w:jc w:val="both"/>
              <w:rPr>
                <w:rFonts w:ascii="Bookman Old Style" w:eastAsia="Bookman Old Style" w:hAnsi="Bookman Old Style" w:cs="Bookman Old Style"/>
                <w:strike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b.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bahwa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efektivitas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infrastruktur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know your customer 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diperlukan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mendasari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infrastruktur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tersebut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701"/>
                <w:tab w:val="left" w:pos="1985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552" w:hanging="566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c.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bahwa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berdasarkan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pertimbangan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perlu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tentang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Know Your Customer 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  <w:tab w:val="left" w:pos="2268"/>
                <w:tab w:val="center" w:pos="4320"/>
                <w:tab w:val="right" w:pos="8640"/>
                <w:tab w:val="left" w:pos="1701"/>
                <w:tab w:val="left" w:pos="1985"/>
                <w:tab w:val="left" w:pos="2127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552" w:hanging="2552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Mengingat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  <w:t xml:space="preserve">: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  <w:t>1.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Undang-Undang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8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Tahun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1995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tentang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Pasar Modal (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Lembaran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Negara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Republik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Tahun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1995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64,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Tambahan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Lembaran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Negara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Republik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3608);</w:t>
            </w:r>
          </w:p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center" w:pos="4320"/>
                <w:tab w:val="right" w:pos="8640"/>
                <w:tab w:val="left" w:pos="1701"/>
                <w:tab w:val="left" w:pos="1985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552" w:hanging="566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2.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Undang-Undang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21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Tahun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2011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tentang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Lembaran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Negara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Republik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Tahun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2011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111,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Tambahan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Lembaran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Negara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Republik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Nomor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5253);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spacing w:after="200"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MEMUTUSKAN:</w:t>
            </w:r>
          </w:p>
          <w:p w:rsidR="00490CC8" w:rsidRPr="00886725" w:rsidRDefault="00490CC8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3686"/>
                <w:tab w:val="center" w:pos="4320"/>
                <w:tab w:val="right" w:pos="8640"/>
                <w:tab w:val="left" w:pos="1701"/>
                <w:tab w:val="left" w:pos="1985"/>
                <w:tab w:val="left" w:pos="2127"/>
                <w:tab w:val="left" w:pos="2552"/>
                <w:tab w:val="left" w:pos="3119"/>
                <w:tab w:val="left" w:pos="3686"/>
              </w:tabs>
              <w:spacing w:before="120" w:line="276" w:lineRule="auto"/>
              <w:ind w:left="2041" w:hanging="2041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  <w:t xml:space="preserve">: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ab/>
              <w:t xml:space="preserve">PERATURAN OTORITAS JASA KEUANGAN TENTANG PENYELENGGARA LAYANAN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KNOW YOUR CUSTOMER 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 w:rsidRPr="00886725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490CC8" w:rsidRPr="00886725" w:rsidRDefault="00490CC8" w:rsidP="008867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UMUM</w:t>
            </w:r>
          </w:p>
          <w:p w:rsidR="00490CC8" w:rsidRPr="00886725" w:rsidRDefault="00490CC8" w:rsidP="00886725">
            <w:pPr>
              <w:pStyle w:val="ListParagraph"/>
              <w:spacing w:line="276" w:lineRule="auto"/>
              <w:ind w:left="526" w:firstLine="5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di Pasar Modal Indonesia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membuka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beberapa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di mana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lastRenderedPageBreak/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sehingga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mengalami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berulang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jumlah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dikunjungi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membuka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Pengulangan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menjadi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langkah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kurang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efisien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dilihat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baik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sudut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pandang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maupun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karena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membutuhkan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lebih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lama dan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biaya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dikeluarkan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menjadi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lebih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besar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dikarenakan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data,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informasi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dan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pendukung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sama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disimpan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seluruh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tempat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membuka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90CC8" w:rsidRPr="00886725" w:rsidRDefault="00490CC8" w:rsidP="00886725">
            <w:pPr>
              <w:pStyle w:val="ListParagraph"/>
              <w:spacing w:line="276" w:lineRule="auto"/>
              <w:ind w:left="526" w:firstLine="5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rangka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mempermudah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mengkinikan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serta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mempercepat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pembukaan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beberapa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maka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diperlukan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adanya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data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know your customer (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kyc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) administration.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Sehubungan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hal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diperlukan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adanya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suatu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regulasi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mendasari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infrastruktur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kyc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administration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sehingga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dimanfaatkan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efektif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BAB I</w:t>
            </w:r>
          </w:p>
          <w:p w:rsidR="00490CC8" w:rsidRPr="00886725" w:rsidRDefault="00490CC8" w:rsidP="00886725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lastRenderedPageBreak/>
              <w:t>KETENTUAN UMUM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6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lastRenderedPageBreak/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Demi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  <w:p w:rsidR="00490CC8" w:rsidRPr="00886725" w:rsidRDefault="00490CC8" w:rsidP="00886725">
            <w:pPr>
              <w:widowControl w:val="0"/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</w:t>
            </w:r>
          </w:p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1134" w:hanging="567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Know Your Customer Administration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selanjutnya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disebut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tersentralisasi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mendukung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pelaksanaan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(customer due diligence)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(enhanced due diligence)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menyediakan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mengelola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menjalankan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Agen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Penjual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Dana, Mitra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Pemasaran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kelembagaan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Urun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lain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disetujui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OJK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menjadi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surat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berharga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yaitu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surat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pengakuan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utang,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surat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berharga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komersial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obligasi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tanda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bukti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utang, Unit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Penyertaan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kontrak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kolektif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kontrak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berjangka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derivatif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orang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perseorangan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perusahaan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asosiasi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kelompok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terorganisasi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penjamin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emisi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,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beli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kepentingan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sendiri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mengelola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portofolio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mengelola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portofolio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kolektif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sekelompok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kecuali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perusahaan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asuransi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pensiun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dan bank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sendiri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umum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memperoleh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menyelenggarakan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Agen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Penjual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penjualan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berdasarkan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kontrak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kerja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pengelola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Dana.</w:t>
            </w: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Mitra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Pemasaran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menyediakan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pemasaran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berdasarkan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kontrak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kerja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selanjutnya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disebut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Bank RDN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bank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mendapatkan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Lembaga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Penyelesaian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bank administrator RDN.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Penawaran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Urun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Berbasis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Teknologi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Informasi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selanjutnya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disebut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Urun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penawaran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penerbit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menjual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langsung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pemodal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jaringan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bersifat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terbuka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0" w:hanging="63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Lembaga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Penyelesaian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menyelenggarakan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sentral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bagi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0CC8" w:rsidRPr="00886725" w:rsidTr="00490CC8">
        <w:tc>
          <w:tcPr>
            <w:tcW w:w="1770" w:type="pct"/>
          </w:tcPr>
          <w:p w:rsidR="00490CC8" w:rsidRPr="00886725" w:rsidRDefault="00490CC8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490CC8" w:rsidRPr="00886725" w:rsidRDefault="00490CC8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490CC8" w:rsidRPr="00886725" w:rsidRDefault="00490CC8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diselenggarakan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rangka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mempermudah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mengkinikan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mempercepat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pembukaan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beberapa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</w:p>
          <w:p w:rsidR="00EC656F" w:rsidRPr="00886725" w:rsidRDefault="00EC656F" w:rsidP="00886725">
            <w:pPr>
              <w:widowControl w:val="0"/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567"/>
              <w:jc w:val="both"/>
              <w:rPr>
                <w:rFonts w:ascii="Bookman Old Style" w:hAnsi="Bookman Old Style"/>
                <w:iCs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“uji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”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adalah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berupa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identifikasi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verifikasi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dan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pemantauan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memastikan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transaksi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profil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karakteristik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, dan/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pola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transaksi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walk in customer.</w:t>
            </w:r>
          </w:p>
          <w:p w:rsidR="00EC656F" w:rsidRPr="00886725" w:rsidRDefault="00EC656F" w:rsidP="00886725">
            <w:pPr>
              <w:widowControl w:val="0"/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567"/>
              <w:jc w:val="both"/>
              <w:rPr>
                <w:rFonts w:ascii="Bookman Old Style" w:hAnsi="Bookman Old Style"/>
                <w:iCs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iCs/>
                <w:sz w:val="22"/>
                <w:szCs w:val="22"/>
              </w:rPr>
              <w:t xml:space="preserve">Yang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</w:rPr>
              <w:t xml:space="preserve"> “</w:t>
            </w:r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uji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lanjut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”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adalah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tindakan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uji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lebih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mendalam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dilakukan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penyedia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terhadap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calon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,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  <w:lang w:val="en-ID"/>
              </w:rPr>
              <w:t>walk in customer</w:t>
            </w:r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, yang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berisiko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tinggi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termasuk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orang yang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populer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secara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politis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 (</w:t>
            </w:r>
            <w:r w:rsidRPr="00886725">
              <w:rPr>
                <w:rFonts w:ascii="Bookman Old Style" w:hAnsi="Bookman Old Style"/>
                <w:i/>
                <w:iCs/>
                <w:sz w:val="22"/>
                <w:szCs w:val="22"/>
                <w:lang w:val="en-ID"/>
              </w:rPr>
              <w:t xml:space="preserve">politically exposed person) </w:t>
            </w:r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dan/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dalam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area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berisiko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tinggi</w:t>
            </w:r>
            <w:proofErr w:type="spellEnd"/>
            <w:r w:rsidRPr="00886725">
              <w:rPr>
                <w:rFonts w:ascii="Bookman Old Style" w:hAnsi="Bookman Old Style"/>
                <w:iCs/>
                <w:sz w:val="22"/>
                <w:szCs w:val="22"/>
                <w:lang w:val="en-ID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3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6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Pembukaan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merupakan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menjalankan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termasuk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sub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menjadi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alternatif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milik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567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 (1)</w:t>
            </w:r>
          </w:p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ind w:left="14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6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sub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milik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merupakan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menjalankan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dikecualikan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mutasi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milik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penyelesaian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transaksi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72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 (2)</w:t>
            </w:r>
          </w:p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center" w:pos="4320"/>
                <w:tab w:val="right" w:pos="864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76" w:lineRule="auto"/>
              <w:ind w:left="1426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mutasi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pemilik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penyelesaian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Transaksi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dilaksanakan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pelaksanaan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perundangundangan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bidang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pasar modal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mengenai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pengendalian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internal 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II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 xml:space="preserve">PENYELENGGARA LAYANAN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276"/>
                <w:tab w:val="left" w:pos="1418"/>
              </w:tabs>
              <w:spacing w:line="276" w:lineRule="auto"/>
              <w:ind w:left="72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4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menyelenggarakan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merupakan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Lembaga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Penyimpanan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Penyelesaian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EC656F" w:rsidRPr="00886725" w:rsidRDefault="00EC656F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134"/>
              </w:tabs>
              <w:spacing w:line="276" w:lineRule="auto"/>
              <w:ind w:left="72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5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66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sedikit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meliputi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:rsidR="00EC656F" w:rsidRPr="00886725" w:rsidRDefault="00EC656F" w:rsidP="0088672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1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penerimaan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pengkinian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pemanfaatan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sentralisasi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Administration; dan</w:t>
            </w:r>
          </w:p>
          <w:p w:rsidR="00EC656F" w:rsidRPr="00886725" w:rsidRDefault="00EC656F" w:rsidP="0088672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1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sharing data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Administration.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lastRenderedPageBreak/>
              <w:t>Ayat (1)</w:t>
            </w:r>
          </w:p>
          <w:p w:rsidR="00EC656F" w:rsidRPr="00886725" w:rsidRDefault="00387E45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66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statik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rangka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identifikasi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tidak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termasuk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penilaian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profil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risiko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Ayat (2)</w:t>
            </w:r>
          </w:p>
          <w:p w:rsidR="00EC656F" w:rsidRPr="00886725" w:rsidRDefault="00387E45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66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menyelenggarakan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penyediaan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infrastruktur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portal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verifikasi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kependudukan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rangka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>Ayat (3)</w:t>
            </w:r>
          </w:p>
          <w:p w:rsidR="00EC656F" w:rsidRPr="00886725" w:rsidRDefault="00387E45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Verifikasi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kependudukan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Administration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lain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memanfaatkan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kependudukan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dikelola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lembaga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berwenang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kependudukan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pencatatan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</w:p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Administration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4,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prinsip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merupakan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ketiga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(KYC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ketiga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);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merupakan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bertanggung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jawab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p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>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 xml:space="preserve"> Layanan 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KYC </w:t>
            </w:r>
            <w:r w:rsidRPr="00886725">
              <w:rPr>
                <w:rFonts w:ascii="Bookman Old Style" w:eastAsia="Bookman Old Style" w:hAnsi="Bookman Old Style" w:cs="Bookman Old Style"/>
                <w:bCs/>
                <w:i/>
                <w:iCs/>
                <w:sz w:val="22"/>
                <w:szCs w:val="22"/>
              </w:rPr>
              <w:t>Admin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i/>
                <w:iCs/>
                <w:sz w:val="22"/>
                <w:szCs w:val="22"/>
                <w:lang w:val="id-ID"/>
              </w:rPr>
              <w:t>istration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>dilakukan dengan adanya persetujuan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 xml:space="preserve"> nasabah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 xml:space="preserve"> Pengguna Layanan KYC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i/>
                <w:iCs/>
                <w:sz w:val="22"/>
                <w:szCs w:val="22"/>
                <w:lang w:val="id-ID"/>
              </w:rPr>
              <w:t>Administration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bahwa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data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dimanfaatkan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bCs/>
                <w:i/>
                <w:iCs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fungsi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>tugasnya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  <w:lang w:val="id-ID"/>
              </w:rPr>
              <w:t>;</w:t>
            </w:r>
            <w:r w:rsidRPr="00886725">
              <w:rPr>
                <w:rFonts w:ascii="Bookman Old Style" w:eastAsia="Bookman Old Style" w:hAnsi="Bookman Old Style" w:cs="Bookman Old Style"/>
                <w:bCs/>
                <w:sz w:val="22"/>
                <w:szCs w:val="22"/>
              </w:rPr>
              <w:t xml:space="preserve"> dan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pengelolaan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III</w:t>
            </w:r>
          </w:p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PENGGUNA LAYANAN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Perusahaan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menjalankan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Bank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Kustodian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Agen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Penjual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Dana, Mitra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Pemasaran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kelembagaan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Bank RDN,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Urun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Dana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menjadi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Agen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Penjual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Reksa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Dana dan Mitra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Pemasaran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kelembagaan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berdasarkan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delegasi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agen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perjanjian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ketiga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Perusahaan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menjalankan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Perantara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Pedagang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Manajer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Investasi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8</w:t>
            </w:r>
          </w:p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6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memperoleh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kelengkapan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standar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format dan data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ditetapkan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10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(3)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c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konfirmasi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ulang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diperoleh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memastikan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tersebut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terkini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valid.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kelengkapan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pengkinian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</w:rPr>
              <w:t>Adminsitration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mendokumentasikan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mematuhi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ditetapkan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menandatangani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perjanjian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memastikan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keamanan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keandalan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terkoneksi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bertanggung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jawab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kerugian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ditimbulkan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karena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kesalahan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kelalaiannya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IV</w:t>
            </w:r>
          </w:p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OPERASIONAL DAN PENGENDALIAN INTERNAL PENYELENGGARA LAYANAN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656F" w:rsidRPr="00886725" w:rsidTr="00490CC8">
        <w:tc>
          <w:tcPr>
            <w:tcW w:w="1770" w:type="pct"/>
          </w:tcPr>
          <w:p w:rsidR="00EC656F" w:rsidRPr="00886725" w:rsidRDefault="00EC656F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EC656F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9</w:t>
            </w:r>
          </w:p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EC656F" w:rsidRPr="00886725" w:rsidRDefault="00EC656F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menyediakan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memiliki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mekanisme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prosedur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operasional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standar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memiliki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rencana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kelangsungan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bisnis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memiliki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menempatkan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fasilitas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pengganti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pusat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pusat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pemulihan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bencana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wilayah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tempat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aman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terpisah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pusat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utama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pengembangan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termasuk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penambahan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fitur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memerlukan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penyesuaian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melindungi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memastikan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keamanan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diadministrasikan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pengawasan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terhadap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 xml:space="preserve">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terlibat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pemrosesan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bawah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kendali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mencegah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diakses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tidak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dokumentasi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terhadap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seluruh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pemrosesan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pemrosesan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10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dilarang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mengungkapkan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Administration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luar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pelaksanaan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5,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kecuali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sebelumnya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memperoleh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diwajibkan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berdasarkan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perundang-undangan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11</w:t>
            </w:r>
          </w:p>
          <w:p w:rsidR="00387E45" w:rsidRPr="00886725" w:rsidRDefault="00387E45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menetapkan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berlaku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setelah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memperoleh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sedikit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mencakup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persyaratan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tata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pendaftaran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termasuk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pembatalan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pendaftaran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standar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format dan data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proses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 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pembukaan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rekening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efek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memenuhi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perundang-undangan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mengenai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penerapan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program anti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pencucian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pencegahan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pendanaan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terorisme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sektor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biaya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batasan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akses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mekanisme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penyampaian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pengambilan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mekanisme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memastikan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kelangsungan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bisnis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penghentian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sementara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pemberian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memiliki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bahwa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dimanfaatkan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fungsi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tugasnya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menjaga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kerahasiaan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keutuhan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ketersediaan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serta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perlindungan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terhadap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informasi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uji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tuntas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lanjut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387E45" w:rsidRPr="00886725" w:rsidRDefault="00387E45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387E45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12</w:t>
            </w:r>
          </w:p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memberikan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memiliki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perjanjian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tertulis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terkait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Perjanjian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tertulis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memuat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sedikit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ruang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lingkup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 xml:space="preserve">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pernyataan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jaminan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tentang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kebenaran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keterkinian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data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informasi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calon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nasabah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disampaikannya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A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V</w:t>
            </w:r>
          </w:p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LAPORAN DAN PEMBERITAHUAN PENYELENGGARA LAYANAN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387E45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13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melaporkan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berikut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rencana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pengembangan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termasuk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penambahan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fitur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memerlukan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penyesuaian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lambat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3 (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tiga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bulan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sebelum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implementasi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perubahan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pengembangan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dilaksanakan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a</w:t>
            </w:r>
          </w:p>
          <w:p w:rsidR="002A2917" w:rsidRPr="00886725" w:rsidRDefault="002A2917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gangguan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menyebabkan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tidak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disampaikan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lambat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kerja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berikutnya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sejak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terjadinya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gangguan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b</w:t>
            </w:r>
          </w:p>
          <w:p w:rsidR="002A2917" w:rsidRPr="00886725" w:rsidRDefault="002A2917" w:rsidP="00886725">
            <w:pPr>
              <w:tabs>
                <w:tab w:val="left" w:pos="1134"/>
              </w:tabs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gangguan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menyebabkan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tidak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”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lain: </w:t>
            </w:r>
          </w:p>
          <w:p w:rsidR="002A2917" w:rsidRPr="00886725" w:rsidRDefault="002A2917" w:rsidP="00886725">
            <w:pPr>
              <w:numPr>
                <w:ilvl w:val="0"/>
                <w:numId w:val="9"/>
              </w:numPr>
              <w:tabs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kegagalan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keamanan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disebabkan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karena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peretasan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; dan/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2A2917" w:rsidRPr="00886725" w:rsidRDefault="002A2917" w:rsidP="00886725">
            <w:pPr>
              <w:numPr>
                <w:ilvl w:val="0"/>
                <w:numId w:val="9"/>
              </w:numPr>
              <w:tabs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lastRenderedPageBreak/>
              <w:t>kegagalan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disebabkan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kondisi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kahar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seperti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bencana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alam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:rsidR="002A2917" w:rsidRPr="00886725" w:rsidRDefault="002A2917" w:rsidP="00886725">
            <w:pPr>
              <w:tabs>
                <w:tab w:val="left" w:pos="1134"/>
              </w:tabs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Pelaporan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lain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disampaikan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melalui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(e-mail)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alamat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hyperlink r:id="rId6">
              <w:r w:rsidRPr="0088672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......@ojk.go.id</w:t>
              </w:r>
            </w:hyperlink>
          </w:p>
          <w:p w:rsidR="002A2917" w:rsidRPr="00886725" w:rsidRDefault="002A2917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penghentian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sementara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pemberian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lambat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 (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dua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kerja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sejak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penghentian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sementara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pemberian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c</w:t>
            </w:r>
          </w:p>
          <w:p w:rsidR="002A2917" w:rsidRPr="00886725" w:rsidRDefault="002A2917" w:rsidP="00886725">
            <w:pPr>
              <w:spacing w:line="276" w:lineRule="auto"/>
              <w:ind w:left="144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87E45" w:rsidRPr="00886725" w:rsidTr="00490CC8">
        <w:tc>
          <w:tcPr>
            <w:tcW w:w="1770" w:type="pct"/>
          </w:tcPr>
          <w:p w:rsidR="00387E45" w:rsidRPr="00886725" w:rsidRDefault="00387E45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387E45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14</w:t>
            </w:r>
          </w:p>
        </w:tc>
        <w:tc>
          <w:tcPr>
            <w:tcW w:w="1510" w:type="pct"/>
          </w:tcPr>
          <w:p w:rsidR="00387E45" w:rsidRPr="00886725" w:rsidRDefault="00387E45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wajib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menyampaikan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pemberitahuan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elektronik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gangguan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menyebabkan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tidak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digunakan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12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b, paling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lambat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 (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dua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jam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sejak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terjadinya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gangguan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Administration.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VI</w:t>
            </w:r>
          </w:p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 SANKSI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2A2917" w:rsidRPr="00886725" w:rsidRDefault="00032B73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15</w:t>
            </w:r>
          </w:p>
          <w:p w:rsidR="00032B73" w:rsidRPr="00886725" w:rsidRDefault="00032B73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melanggar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6,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7,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8,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9,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10,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11,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12,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13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dikenai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dikenakan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juga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menyebabkan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terjadinya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pelanggaran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(2)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dijatuhkan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(1)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peringatan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tertulis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yaitu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kewajiban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membayar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sejumlah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uang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tertentu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pembatasan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pembekuan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kegiatan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pencabutan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izin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usaha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pembatalan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persetujuan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; dan/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</w:p>
          <w:p w:rsidR="002A2917" w:rsidRPr="00886725" w:rsidRDefault="002A2917" w:rsidP="0088672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 w:hanging="45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pembatalan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pendaftaran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c,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e,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f,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dikenakan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tanpa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didahului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peringatan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tertulis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a.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berupa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dikenakan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tersendiri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bersama-sama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c,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e,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f,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atau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huruf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g.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0" w:hanging="540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Tata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cara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(3)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dilaksanakan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sesuai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perundang-undangan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16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Selain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12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tindakan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tertentu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terhadap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pihak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melakukan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pelanggaran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2A2917" w:rsidRPr="00886725" w:rsidRDefault="002A2917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tindakan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tertentu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”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lain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tindakan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Penyelenggara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 xml:space="preserve">Administration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menghentikan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sementara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waktu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pemberian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Pengguna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Layanan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KYC </w:t>
            </w:r>
            <w:r w:rsidRPr="00886725">
              <w:rPr>
                <w:rFonts w:ascii="Bookman Old Style" w:hAnsi="Bookman Old Style"/>
                <w:i/>
                <w:sz w:val="22"/>
                <w:szCs w:val="22"/>
              </w:rPr>
              <w:t>Administration</w:t>
            </w:r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karena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adanya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pengenaan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dikenakan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oleh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2A2917" w:rsidRPr="00886725" w:rsidRDefault="00032B73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17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2B73" w:rsidRPr="00886725" w:rsidTr="00490CC8">
        <w:tc>
          <w:tcPr>
            <w:tcW w:w="1770" w:type="pct"/>
          </w:tcPr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dapat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mengumumkan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pengenaan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sanksi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administratif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13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ayat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(4) dan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tindakan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tertentu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sebagaimana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dimaksud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14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kepada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masyarakat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:rsidR="00032B73" w:rsidRPr="00886725" w:rsidRDefault="00032B73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032B73" w:rsidRPr="00886725" w:rsidRDefault="00032B73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2B73" w:rsidRPr="00886725" w:rsidTr="00490CC8">
        <w:tc>
          <w:tcPr>
            <w:tcW w:w="1770" w:type="pct"/>
          </w:tcPr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BAB VII</w:t>
            </w:r>
          </w:p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KETENTUAN PENUTUP</w:t>
            </w:r>
          </w:p>
        </w:tc>
        <w:tc>
          <w:tcPr>
            <w:tcW w:w="1719" w:type="pct"/>
          </w:tcPr>
          <w:p w:rsidR="00032B73" w:rsidRPr="00886725" w:rsidRDefault="00032B73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0" w:type="pct"/>
          </w:tcPr>
          <w:p w:rsidR="00032B73" w:rsidRPr="00886725" w:rsidRDefault="00032B73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2917" w:rsidRPr="00886725" w:rsidTr="00490CC8">
        <w:tc>
          <w:tcPr>
            <w:tcW w:w="1770" w:type="pct"/>
          </w:tcPr>
          <w:p w:rsidR="002A2917" w:rsidRPr="00886725" w:rsidRDefault="002A2917" w:rsidP="008867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19" w:type="pct"/>
          </w:tcPr>
          <w:p w:rsidR="002A2917" w:rsidRPr="00886725" w:rsidRDefault="00032B73" w:rsidP="00886725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Pasal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18</w:t>
            </w:r>
          </w:p>
        </w:tc>
        <w:tc>
          <w:tcPr>
            <w:tcW w:w="1510" w:type="pct"/>
          </w:tcPr>
          <w:p w:rsidR="002A2917" w:rsidRPr="00886725" w:rsidRDefault="002A2917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2B73" w:rsidRPr="00886725" w:rsidTr="00490CC8">
        <w:tc>
          <w:tcPr>
            <w:tcW w:w="1770" w:type="pct"/>
          </w:tcPr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mulai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berlaku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pada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tanggal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diundangkan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  <w:p w:rsidR="00032B73" w:rsidRPr="00886725" w:rsidRDefault="00032B73" w:rsidP="0088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Agar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setiap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orang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mengetahuinya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memerintahkan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pengundangan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Peraturan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Otoritas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Keuangan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ini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dengan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penempatannya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dalam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Lembaran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Negara </w:t>
            </w:r>
            <w:proofErr w:type="spellStart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Republik</w:t>
            </w:r>
            <w:proofErr w:type="spellEnd"/>
            <w:r w:rsidRPr="0088672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Indonesia.</w:t>
            </w:r>
          </w:p>
        </w:tc>
        <w:tc>
          <w:tcPr>
            <w:tcW w:w="1719" w:type="pct"/>
          </w:tcPr>
          <w:p w:rsidR="00032B73" w:rsidRPr="00886725" w:rsidRDefault="00032B73" w:rsidP="00886725">
            <w:pPr>
              <w:spacing w:line="276" w:lineRule="auto"/>
              <w:ind w:left="72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Cukup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725">
              <w:rPr>
                <w:rFonts w:ascii="Bookman Old Style" w:hAnsi="Bookman Old Style"/>
                <w:sz w:val="22"/>
                <w:szCs w:val="22"/>
              </w:rPr>
              <w:t>jelas</w:t>
            </w:r>
            <w:proofErr w:type="spellEnd"/>
            <w:r w:rsidRPr="008867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10" w:type="pct"/>
          </w:tcPr>
          <w:p w:rsidR="00032B73" w:rsidRPr="00886725" w:rsidRDefault="00032B73" w:rsidP="0088672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90CC8" w:rsidRPr="00886725" w:rsidRDefault="00490CC8" w:rsidP="00886725">
      <w:pPr>
        <w:spacing w:line="276" w:lineRule="auto"/>
        <w:rPr>
          <w:rFonts w:ascii="Bookman Old Style" w:hAnsi="Bookman Old Style"/>
          <w:sz w:val="22"/>
          <w:szCs w:val="22"/>
        </w:rPr>
      </w:pPr>
    </w:p>
    <w:sectPr w:rsidR="00490CC8" w:rsidRPr="00886725" w:rsidSect="00490CC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EC8"/>
    <w:multiLevelType w:val="multilevel"/>
    <w:tmpl w:val="3B5EED82"/>
    <w:lvl w:ilvl="0">
      <w:start w:val="1"/>
      <w:numFmt w:val="decimal"/>
      <w:lvlText w:val="Pasal %1"/>
      <w:lvlJc w:val="center"/>
      <w:pPr>
        <w:ind w:left="2705" w:hanging="360"/>
      </w:pPr>
      <w:rPr>
        <w:rFonts w:ascii="Bookman Old Style" w:eastAsia="Bookman Old Style" w:hAnsi="Bookman Old Style" w:cs="Bookman Old Style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DF17986"/>
    <w:multiLevelType w:val="multilevel"/>
    <w:tmpl w:val="ADAE854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C244A7F"/>
    <w:multiLevelType w:val="hybridMultilevel"/>
    <w:tmpl w:val="E9B8E6C6"/>
    <w:lvl w:ilvl="0" w:tplc="7256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713"/>
    <w:multiLevelType w:val="hybridMultilevel"/>
    <w:tmpl w:val="99CCBA0E"/>
    <w:lvl w:ilvl="0" w:tplc="7256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3CA6"/>
    <w:multiLevelType w:val="hybridMultilevel"/>
    <w:tmpl w:val="FE525C78"/>
    <w:lvl w:ilvl="0" w:tplc="7256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016A"/>
    <w:multiLevelType w:val="hybridMultilevel"/>
    <w:tmpl w:val="862487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271"/>
    <w:multiLevelType w:val="hybridMultilevel"/>
    <w:tmpl w:val="FB0479AA"/>
    <w:lvl w:ilvl="0" w:tplc="7256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00C13"/>
    <w:multiLevelType w:val="multilevel"/>
    <w:tmpl w:val="C5D8738A"/>
    <w:lvl w:ilvl="0">
      <w:start w:val="1"/>
      <w:numFmt w:val="decimal"/>
      <w:lvlText w:val="%1."/>
      <w:lvlJc w:val="left"/>
      <w:pPr>
        <w:ind w:left="2705" w:hanging="360"/>
      </w:pPr>
      <w:rPr>
        <w:rFonts w:ascii="Bookman Old Style" w:eastAsia="Bookman Old Style" w:hAnsi="Bookman Old Style" w:cs="Bookman Old Style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53D721E0"/>
    <w:multiLevelType w:val="hybridMultilevel"/>
    <w:tmpl w:val="898E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80C2E"/>
    <w:multiLevelType w:val="hybridMultilevel"/>
    <w:tmpl w:val="FB0479AA"/>
    <w:lvl w:ilvl="0" w:tplc="7256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C8"/>
    <w:rsid w:val="00032B73"/>
    <w:rsid w:val="002A2917"/>
    <w:rsid w:val="00387E45"/>
    <w:rsid w:val="00483677"/>
    <w:rsid w:val="00490CC8"/>
    <w:rsid w:val="00886725"/>
    <w:rsid w:val="00EC656F"/>
    <w:rsid w:val="00F07BC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CFD4-E37C-494D-BBE5-B721D7B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C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@ojk.go.i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96190-E32E-4C43-B6A6-A1EC6A122AB4}"/>
</file>

<file path=customXml/itemProps2.xml><?xml version="1.0" encoding="utf-8"?>
<ds:datastoreItem xmlns:ds="http://schemas.openxmlformats.org/officeDocument/2006/customXml" ds:itemID="{1D73BF3F-C9A4-48B1-9E35-90763967C5CC}"/>
</file>

<file path=customXml/itemProps3.xml><?xml version="1.0" encoding="utf-8"?>
<ds:datastoreItem xmlns:ds="http://schemas.openxmlformats.org/officeDocument/2006/customXml" ds:itemID="{65F59248-B9CD-43F8-872A-4D1FE1C78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DPSIAdm</dc:creator>
  <cp:keywords/>
  <dc:description/>
  <cp:lastModifiedBy>Anakiowa Padmandaru</cp:lastModifiedBy>
  <cp:revision>2</cp:revision>
  <dcterms:created xsi:type="dcterms:W3CDTF">2022-09-08T04:34:00Z</dcterms:created>
  <dcterms:modified xsi:type="dcterms:W3CDTF">2022-09-08T04:34:00Z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