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7C2AB" w14:textId="4C7C42FF" w:rsidR="00C52F0E" w:rsidRPr="00306115" w:rsidRDefault="003E709B" w:rsidP="00513BCE">
      <w:pPr>
        <w:tabs>
          <w:tab w:val="left" w:pos="8910"/>
        </w:tabs>
        <w:spacing w:after="0" w:line="240" w:lineRule="auto"/>
        <w:ind w:right="26"/>
        <w:rPr>
          <w:noProof/>
          <w:color w:val="000000" w:themeColor="text1"/>
          <w:szCs w:val="24"/>
        </w:rPr>
      </w:pPr>
      <w:r w:rsidRPr="00306115">
        <w:rPr>
          <w:rFonts w:eastAsia="MS Mincho" w:cs="Arial"/>
          <w:b/>
          <w:noProof/>
          <w:color w:val="000000" w:themeColor="text1"/>
          <w:szCs w:val="24"/>
          <w:lang w:eastAsia="id-ID"/>
        </w:rPr>
        <w:drawing>
          <wp:anchor distT="0" distB="0" distL="114300" distR="114300" simplePos="0" relativeHeight="251658241" behindDoc="1" locked="0" layoutInCell="1" allowOverlap="1" wp14:anchorId="56231E1B" wp14:editId="6C7B8A98">
            <wp:simplePos x="0" y="0"/>
            <wp:positionH relativeFrom="margin">
              <wp:posOffset>-169708</wp:posOffset>
            </wp:positionH>
            <wp:positionV relativeFrom="paragraph">
              <wp:posOffset>0</wp:posOffset>
            </wp:positionV>
            <wp:extent cx="2333625" cy="1009650"/>
            <wp:effectExtent l="0" t="0" r="9525" b="0"/>
            <wp:wrapSquare wrapText="bothSides"/>
            <wp:docPr id="1375822438" name="Picture 1375822438" descr="A logo with a red and white letter x&#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A logo with a red and white letter x&#10;&#10;AI-generated content may be incorrect."/>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33625"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6A28F3" w14:textId="77777777" w:rsidR="00400421" w:rsidRPr="00306115" w:rsidRDefault="00400421" w:rsidP="00513BCE">
      <w:pPr>
        <w:tabs>
          <w:tab w:val="left" w:pos="8910"/>
        </w:tabs>
        <w:spacing w:after="0" w:line="240" w:lineRule="auto"/>
        <w:ind w:right="26"/>
        <w:rPr>
          <w:noProof/>
          <w:color w:val="000000" w:themeColor="text1"/>
          <w:szCs w:val="24"/>
        </w:rPr>
      </w:pPr>
    </w:p>
    <w:p w14:paraId="5BD356EB" w14:textId="77777777" w:rsidR="00400421" w:rsidRPr="00306115" w:rsidRDefault="00400421" w:rsidP="00513BCE">
      <w:pPr>
        <w:tabs>
          <w:tab w:val="left" w:pos="8910"/>
        </w:tabs>
        <w:spacing w:after="0" w:line="240" w:lineRule="auto"/>
        <w:ind w:right="26"/>
        <w:rPr>
          <w:noProof/>
          <w:color w:val="000000" w:themeColor="text1"/>
          <w:szCs w:val="24"/>
        </w:rPr>
      </w:pPr>
    </w:p>
    <w:p w14:paraId="6832B424" w14:textId="77777777" w:rsidR="00400421" w:rsidRPr="00306115" w:rsidRDefault="00400421" w:rsidP="00513BCE">
      <w:pPr>
        <w:tabs>
          <w:tab w:val="left" w:pos="8910"/>
        </w:tabs>
        <w:spacing w:after="0" w:line="240" w:lineRule="auto"/>
        <w:ind w:right="26"/>
        <w:rPr>
          <w:noProof/>
          <w:color w:val="000000" w:themeColor="text1"/>
          <w:szCs w:val="24"/>
        </w:rPr>
      </w:pPr>
    </w:p>
    <w:p w14:paraId="31FCB46E" w14:textId="77777777" w:rsidR="00400421" w:rsidRPr="00306115" w:rsidRDefault="00400421" w:rsidP="00513BCE">
      <w:pPr>
        <w:tabs>
          <w:tab w:val="left" w:pos="8910"/>
        </w:tabs>
        <w:spacing w:after="0" w:line="240" w:lineRule="auto"/>
        <w:ind w:right="26"/>
        <w:rPr>
          <w:noProof/>
          <w:color w:val="000000" w:themeColor="text1"/>
          <w:szCs w:val="24"/>
        </w:rPr>
      </w:pPr>
    </w:p>
    <w:p w14:paraId="6AE448F9" w14:textId="77777777" w:rsidR="00400421" w:rsidRPr="00306115" w:rsidRDefault="00400421" w:rsidP="00513BCE">
      <w:pPr>
        <w:tabs>
          <w:tab w:val="left" w:pos="8910"/>
        </w:tabs>
        <w:spacing w:after="0" w:line="240" w:lineRule="auto"/>
        <w:ind w:right="26"/>
        <w:rPr>
          <w:noProof/>
          <w:color w:val="000000" w:themeColor="text1"/>
          <w:szCs w:val="24"/>
        </w:rPr>
      </w:pPr>
    </w:p>
    <w:p w14:paraId="25CD55FF" w14:textId="5168DBBF" w:rsidR="008528A8" w:rsidRPr="00306115" w:rsidRDefault="008528A8" w:rsidP="00513BCE">
      <w:pPr>
        <w:tabs>
          <w:tab w:val="left" w:pos="8910"/>
        </w:tabs>
        <w:spacing w:after="0" w:line="240" w:lineRule="auto"/>
        <w:ind w:right="26"/>
        <w:rPr>
          <w:noProof/>
          <w:color w:val="000000" w:themeColor="text1"/>
          <w:szCs w:val="24"/>
        </w:rPr>
      </w:pPr>
    </w:p>
    <w:p w14:paraId="3EC30C7F" w14:textId="77777777" w:rsidR="008528A8" w:rsidRPr="00306115" w:rsidRDefault="008528A8" w:rsidP="00513BCE">
      <w:pPr>
        <w:tabs>
          <w:tab w:val="left" w:pos="8910"/>
        </w:tabs>
        <w:spacing w:after="0" w:line="240" w:lineRule="auto"/>
        <w:ind w:right="26"/>
        <w:rPr>
          <w:noProof/>
          <w:color w:val="000000" w:themeColor="text1"/>
          <w:szCs w:val="24"/>
        </w:rPr>
      </w:pPr>
    </w:p>
    <w:p w14:paraId="228D6CD8" w14:textId="1FE1FEC4" w:rsidR="00775E32" w:rsidRPr="00306115" w:rsidRDefault="00C655D0" w:rsidP="00513BCE">
      <w:pPr>
        <w:tabs>
          <w:tab w:val="left" w:pos="8910"/>
        </w:tabs>
        <w:spacing w:after="0" w:line="240" w:lineRule="auto"/>
        <w:ind w:right="26"/>
        <w:rPr>
          <w:noProof/>
          <w:color w:val="000000" w:themeColor="text1"/>
          <w:szCs w:val="24"/>
        </w:rPr>
      </w:pPr>
      <w:r w:rsidRPr="00306115">
        <w:rPr>
          <w:noProof/>
          <w:color w:val="000000" w:themeColor="text1"/>
          <w:szCs w:val="24"/>
        </w:rPr>
        <w:t>LAMPIRAN</w:t>
      </w:r>
      <w:r w:rsidR="00AF54AB" w:rsidRPr="00306115">
        <w:rPr>
          <w:noProof/>
          <w:color w:val="000000" w:themeColor="text1"/>
          <w:szCs w:val="24"/>
        </w:rPr>
        <w:t xml:space="preserve"> I</w:t>
      </w:r>
    </w:p>
    <w:p w14:paraId="6AEAB032" w14:textId="40DBAF34" w:rsidR="00C655D0" w:rsidRPr="00306115" w:rsidRDefault="0052045D" w:rsidP="00513BCE">
      <w:pPr>
        <w:tabs>
          <w:tab w:val="left" w:pos="8910"/>
        </w:tabs>
        <w:spacing w:after="0" w:line="240" w:lineRule="auto"/>
        <w:ind w:right="26"/>
        <w:rPr>
          <w:noProof/>
          <w:color w:val="000000" w:themeColor="text1"/>
          <w:szCs w:val="24"/>
        </w:rPr>
      </w:pPr>
      <w:r w:rsidRPr="00306115">
        <w:rPr>
          <w:noProof/>
          <w:color w:val="000000" w:themeColor="text1"/>
          <w:szCs w:val="24"/>
        </w:rPr>
        <w:t>PERATURAN ANGGOTA DEWAN KOMISIONER</w:t>
      </w:r>
      <w:r w:rsidR="00C655D0" w:rsidRPr="00306115">
        <w:rPr>
          <w:noProof/>
          <w:color w:val="000000" w:themeColor="text1"/>
          <w:szCs w:val="24"/>
        </w:rPr>
        <w:t xml:space="preserve"> OTORITAS JASA KEUANGAN</w:t>
      </w:r>
    </w:p>
    <w:p w14:paraId="63C19F89" w14:textId="37C22F42" w:rsidR="00C655D0" w:rsidRPr="00306115" w:rsidRDefault="00C655D0" w:rsidP="00513BCE">
      <w:pPr>
        <w:tabs>
          <w:tab w:val="left" w:pos="8910"/>
        </w:tabs>
        <w:spacing w:after="0" w:line="240" w:lineRule="auto"/>
        <w:ind w:right="26"/>
        <w:rPr>
          <w:noProof/>
          <w:color w:val="000000" w:themeColor="text1"/>
          <w:szCs w:val="24"/>
        </w:rPr>
      </w:pPr>
      <w:r w:rsidRPr="00306115">
        <w:rPr>
          <w:noProof/>
          <w:color w:val="000000" w:themeColor="text1"/>
          <w:szCs w:val="24"/>
        </w:rPr>
        <w:t>REPUBLIK INDONESIA</w:t>
      </w:r>
    </w:p>
    <w:p w14:paraId="0778B5AC" w14:textId="226078B8" w:rsidR="00C655D0" w:rsidRPr="00306115" w:rsidRDefault="00C655D0" w:rsidP="00513BCE">
      <w:pPr>
        <w:tabs>
          <w:tab w:val="left" w:pos="8910"/>
        </w:tabs>
        <w:spacing w:after="0" w:line="240" w:lineRule="auto"/>
        <w:ind w:right="26"/>
        <w:rPr>
          <w:noProof/>
          <w:color w:val="000000" w:themeColor="text1"/>
          <w:szCs w:val="24"/>
        </w:rPr>
      </w:pPr>
      <w:r w:rsidRPr="00306115">
        <w:rPr>
          <w:noProof/>
          <w:color w:val="000000" w:themeColor="text1"/>
          <w:szCs w:val="24"/>
        </w:rPr>
        <w:t>NOMOR ...</w:t>
      </w:r>
      <w:r w:rsidR="00007E1A" w:rsidRPr="00306115">
        <w:rPr>
          <w:noProof/>
          <w:color w:val="000000" w:themeColor="text1"/>
          <w:szCs w:val="24"/>
        </w:rPr>
        <w:t>TAHUN ...</w:t>
      </w:r>
    </w:p>
    <w:p w14:paraId="29BAD4D1" w14:textId="0AADC080" w:rsidR="00C655D0" w:rsidRPr="00306115" w:rsidRDefault="00C655D0" w:rsidP="00513BCE">
      <w:pPr>
        <w:tabs>
          <w:tab w:val="left" w:pos="8910"/>
        </w:tabs>
        <w:spacing w:after="0" w:line="240" w:lineRule="auto"/>
        <w:ind w:right="26"/>
        <w:rPr>
          <w:noProof/>
          <w:color w:val="000000" w:themeColor="text1"/>
          <w:szCs w:val="24"/>
        </w:rPr>
      </w:pPr>
      <w:r w:rsidRPr="00306115">
        <w:rPr>
          <w:noProof/>
          <w:color w:val="000000" w:themeColor="text1"/>
          <w:szCs w:val="24"/>
        </w:rPr>
        <w:t>TENTANG</w:t>
      </w:r>
    </w:p>
    <w:p w14:paraId="023B5C89" w14:textId="68D7E939" w:rsidR="00963F59" w:rsidRPr="00306115" w:rsidRDefault="00D328EC" w:rsidP="00513BCE">
      <w:pPr>
        <w:spacing w:after="0" w:line="240" w:lineRule="auto"/>
        <w:rPr>
          <w:noProof/>
          <w:color w:val="000000" w:themeColor="text1"/>
          <w:szCs w:val="24"/>
          <w:lang w:val="en-US"/>
        </w:rPr>
      </w:pPr>
      <w:r w:rsidRPr="00306115">
        <w:rPr>
          <w:noProof/>
          <w:color w:val="000000" w:themeColor="text1"/>
          <w:szCs w:val="24"/>
        </w:rPr>
        <w:t>PEDOMAN PENERAPAN MANAJEMEN RISIKO DAN PENILAIAN</w:t>
      </w:r>
      <w:r w:rsidR="00963F59" w:rsidRPr="00306115">
        <w:rPr>
          <w:noProof/>
          <w:color w:val="000000" w:themeColor="text1"/>
          <w:szCs w:val="24"/>
        </w:rPr>
        <w:t xml:space="preserve"> </w:t>
      </w:r>
      <w:r w:rsidR="00963F59" w:rsidRPr="00306115">
        <w:rPr>
          <w:noProof/>
          <w:color w:val="000000" w:themeColor="text1"/>
          <w:szCs w:val="24"/>
        </w:rPr>
        <w:br/>
      </w:r>
      <w:r w:rsidRPr="00306115">
        <w:rPr>
          <w:noProof/>
          <w:color w:val="000000" w:themeColor="text1"/>
          <w:szCs w:val="24"/>
        </w:rPr>
        <w:t xml:space="preserve">TINGKAT KESEHATAN MANAJER </w:t>
      </w:r>
      <w:r w:rsidRPr="00306115">
        <w:rPr>
          <w:noProof/>
          <w:color w:val="000000" w:themeColor="text1"/>
          <w:szCs w:val="24"/>
          <w:lang w:val="en-US"/>
        </w:rPr>
        <w:t>INVESTASI</w:t>
      </w:r>
    </w:p>
    <w:p w14:paraId="3E1B0F64" w14:textId="77777777" w:rsidR="00963F59" w:rsidRPr="00306115" w:rsidRDefault="00963F59" w:rsidP="00513BCE">
      <w:pPr>
        <w:rPr>
          <w:noProof/>
          <w:color w:val="000000" w:themeColor="text1"/>
          <w:szCs w:val="24"/>
          <w:lang w:val="en-US"/>
        </w:rPr>
      </w:pPr>
      <w:r w:rsidRPr="00306115">
        <w:rPr>
          <w:noProof/>
          <w:color w:val="000000" w:themeColor="text1"/>
          <w:szCs w:val="24"/>
          <w:lang w:val="en-US"/>
        </w:rPr>
        <w:br w:type="page"/>
      </w:r>
    </w:p>
    <w:p w14:paraId="39C581A2" w14:textId="4CEE32A2" w:rsidR="00152770" w:rsidRPr="00306115" w:rsidRDefault="00152770" w:rsidP="00513BCE">
      <w:pPr>
        <w:pStyle w:val="HeadingAwalDaftarIsiLampiran"/>
        <w:ind w:left="567" w:hanging="567"/>
      </w:pPr>
      <w:r w:rsidRPr="00306115">
        <w:lastRenderedPageBreak/>
        <w:t>KETENTUAN UMUM</w:t>
      </w:r>
    </w:p>
    <w:p w14:paraId="71B6D64B" w14:textId="77777777" w:rsidR="006E3477" w:rsidRPr="00306115" w:rsidRDefault="00F45750" w:rsidP="00513BCE">
      <w:pPr>
        <w:pStyle w:val="HeadingAwalDaftarIsiLampiran"/>
        <w:numPr>
          <w:ilvl w:val="0"/>
          <w:numId w:val="0"/>
        </w:numPr>
        <w:ind w:left="567"/>
      </w:pPr>
      <w:r w:rsidRPr="00306115">
        <w:t>Dalam Peraturan Anggota Dewan Komisioner Otoritas Jasa Keuangan ini, yang dimaksud dengan:</w:t>
      </w:r>
    </w:p>
    <w:p w14:paraId="12B24430" w14:textId="77777777" w:rsidR="00B32E08" w:rsidRPr="00306115" w:rsidRDefault="00BD447B">
      <w:pPr>
        <w:pStyle w:val="HeadingAwalDaftarIsiLampiran"/>
        <w:numPr>
          <w:ilvl w:val="0"/>
          <w:numId w:val="6"/>
        </w:numPr>
        <w:ind w:left="1134" w:hanging="567"/>
        <w:rPr>
          <w:lang w:val="en-ID"/>
        </w:rPr>
      </w:pPr>
      <w:r w:rsidRPr="00306115">
        <w:t>Efek</w:t>
      </w:r>
      <w:r w:rsidRPr="00306115">
        <w:rPr>
          <w:lang w:val="en-ID"/>
        </w:rPr>
        <w:t xml:space="preserve"> adalah surat berharga atau kontrak investasi baik dalam bentuk konvensional dan digital atau bentuk lain sesuai dengan perkembangan teknologi yang memberikan hak kepada pemiliknya untuk secara langsung maupun tidak langsung memperoleh manfaat ekonomis dari penerbit atau dari pihak tertentu berdasarkan perjanjian dan setiap derivatif atas efek, yang dapat dialihkan dan/atau diperdagangkan di pasar modal.</w:t>
      </w:r>
    </w:p>
    <w:p w14:paraId="45D19C12" w14:textId="16F76D21" w:rsidR="0067660E" w:rsidRPr="00306115" w:rsidRDefault="0067660E">
      <w:pPr>
        <w:pStyle w:val="HeadingAwalDaftarIsiLampiran"/>
        <w:numPr>
          <w:ilvl w:val="0"/>
          <w:numId w:val="6"/>
        </w:numPr>
        <w:ind w:left="1134" w:hanging="567"/>
        <w:rPr>
          <w:lang w:val="en-ID"/>
        </w:rPr>
      </w:pPr>
      <w:r w:rsidRPr="00306115">
        <w:t xml:space="preserve">Manajer Investasi adalah pihak yang kegiatan usahanya mengelola portofolio Efek, portofolio investasi kolektif, dan/atau portofolio investasi lainnya untuk kepentingan sekelompok nasabah atau nasabah individual, kecuali </w:t>
      </w:r>
      <w:r w:rsidR="00A2281B" w:rsidRPr="00306115">
        <w:t>p</w:t>
      </w:r>
      <w:r w:rsidRPr="00306115">
        <w:t xml:space="preserve">erusahaan </w:t>
      </w:r>
      <w:r w:rsidR="00A2281B" w:rsidRPr="00306115">
        <w:t>a</w:t>
      </w:r>
      <w:r w:rsidRPr="00306115">
        <w:t xml:space="preserve">suransi, </w:t>
      </w:r>
      <w:r w:rsidR="00A2281B" w:rsidRPr="00306115">
        <w:t>p</w:t>
      </w:r>
      <w:r w:rsidRPr="00306115">
        <w:t xml:space="preserve">erusahaan </w:t>
      </w:r>
      <w:r w:rsidR="00A2281B" w:rsidRPr="00306115">
        <w:t>a</w:t>
      </w:r>
      <w:r w:rsidRPr="00306115">
        <w:t xml:space="preserve">suransi </w:t>
      </w:r>
      <w:r w:rsidR="00A2281B" w:rsidRPr="00306115">
        <w:t>s</w:t>
      </w:r>
      <w:r w:rsidRPr="00306115">
        <w:t xml:space="preserve">yariah, </w:t>
      </w:r>
      <w:r w:rsidR="00A2281B" w:rsidRPr="00306115">
        <w:t>d</w:t>
      </w:r>
      <w:r w:rsidRPr="00306115">
        <w:t xml:space="preserve">ana </w:t>
      </w:r>
      <w:r w:rsidR="00A2281B" w:rsidRPr="00306115">
        <w:t>p</w:t>
      </w:r>
      <w:r w:rsidRPr="00306115">
        <w:t xml:space="preserve">ensiun, dan </w:t>
      </w:r>
      <w:r w:rsidR="00A2281B" w:rsidRPr="00306115">
        <w:t>b</w:t>
      </w:r>
      <w:r w:rsidRPr="00306115">
        <w:t>ank yang melakukan sendiri kegiatan usahanya berdasarkan peraturan perundang-undangan</w:t>
      </w:r>
      <w:r w:rsidR="00FE22BB" w:rsidRPr="00306115">
        <w:t>.</w:t>
      </w:r>
    </w:p>
    <w:p w14:paraId="155D35E9" w14:textId="28AEC604" w:rsidR="0067660E" w:rsidRPr="00306115" w:rsidRDefault="0067660E">
      <w:pPr>
        <w:pStyle w:val="HeadingAwalDaftarIsiLampiran"/>
        <w:numPr>
          <w:ilvl w:val="0"/>
          <w:numId w:val="6"/>
        </w:numPr>
        <w:ind w:left="1134" w:hanging="567"/>
        <w:rPr>
          <w:lang w:val="en-ID"/>
        </w:rPr>
      </w:pPr>
      <w:r w:rsidRPr="00306115">
        <w:t>Produk Investasi adalah reksa dana, Efek beragun aset berbentuk kontrak investasi kolektif, dana investasi infrastruktur, dana investasi real estat, pengelolaan Portofolio Efek nasabah secara individual, dana investasi multi aset, kontrak investasi kolektif pemupukan dana tabungan perumahan rakyat, dan produk investasi lain yang ditetapkan oleh Otoritas Jasa Keuangan berdasarkan ketentuan peraturan perundang-undangan</w:t>
      </w:r>
      <w:r w:rsidR="00FE22BB" w:rsidRPr="00306115">
        <w:t>.</w:t>
      </w:r>
    </w:p>
    <w:p w14:paraId="33E9D72E" w14:textId="724AF244" w:rsidR="0067660E" w:rsidRPr="00306115" w:rsidRDefault="0067660E">
      <w:pPr>
        <w:pStyle w:val="HeadingAwalDaftarIsiLampiran"/>
        <w:numPr>
          <w:ilvl w:val="0"/>
          <w:numId w:val="6"/>
        </w:numPr>
        <w:ind w:left="1134" w:hanging="567"/>
        <w:rPr>
          <w:lang w:val="en-ID"/>
        </w:rPr>
      </w:pPr>
      <w:r w:rsidRPr="00306115">
        <w:t>Manajemen Risiko adalah serangkaian prosedur dan metodologi yang digunakan untuk mengidentifikasi, mengukur, memantau, dan mengendalikan risiko yang timbul dari kegiatan usaha Manajer Investasi</w:t>
      </w:r>
      <w:r w:rsidR="00FE22BB" w:rsidRPr="00306115">
        <w:t>.</w:t>
      </w:r>
    </w:p>
    <w:p w14:paraId="659CCC3E" w14:textId="77777777" w:rsidR="00154F63" w:rsidRPr="00306115" w:rsidRDefault="0067660E">
      <w:pPr>
        <w:pStyle w:val="HeadingAwalDaftarIsiLampiran"/>
        <w:numPr>
          <w:ilvl w:val="0"/>
          <w:numId w:val="6"/>
        </w:numPr>
        <w:ind w:left="1134" w:hanging="567"/>
        <w:rPr>
          <w:lang w:val="en-ID"/>
        </w:rPr>
      </w:pPr>
      <w:r w:rsidRPr="00306115">
        <w:t>Tingkat Kesehatan Manajer Investasi adalah hasil penilaian kondisi Manajer Investasi yang dilakukan terhadap risiko dan kinerja Manajer Investasi, termasuk Produk Investasi yang dikelola</w:t>
      </w:r>
      <w:r w:rsidR="00AE1A00" w:rsidRPr="00306115">
        <w:t>.</w:t>
      </w:r>
    </w:p>
    <w:p w14:paraId="3BC5522A" w14:textId="5BBFBEB6" w:rsidR="00142385" w:rsidRPr="00306115" w:rsidRDefault="00DA0C66">
      <w:pPr>
        <w:pStyle w:val="HeadingAwalDaftarIsiLampiran"/>
        <w:numPr>
          <w:ilvl w:val="0"/>
          <w:numId w:val="6"/>
        </w:numPr>
        <w:ind w:left="1134" w:hanging="567"/>
        <w:rPr>
          <w:lang w:val="en-ID"/>
        </w:rPr>
      </w:pPr>
      <w:r w:rsidRPr="00306115">
        <w:rPr>
          <w:rFonts w:eastAsia="Times New Roman" w:cs="Times New Roman"/>
          <w:lang w:val="en-ID" w:eastAsia="en-ID"/>
        </w:rPr>
        <w:t>Peringkat</w:t>
      </w:r>
      <w:r w:rsidRPr="00306115">
        <w:rPr>
          <w:lang w:val="en-ID"/>
        </w:rPr>
        <w:t xml:space="preserve"> Komposit adalah peringkat akhir hasil penilaian Tingkat Kesehatan Manajer Investasi.</w:t>
      </w:r>
    </w:p>
    <w:p w14:paraId="6C10FBF3" w14:textId="77777777" w:rsidR="00154F63" w:rsidRPr="00306115" w:rsidRDefault="00154F63">
      <w:pPr>
        <w:pStyle w:val="HeadingAwalDaftarIsiLampiran"/>
        <w:numPr>
          <w:ilvl w:val="0"/>
          <w:numId w:val="6"/>
        </w:numPr>
        <w:ind w:left="1134" w:hanging="567"/>
        <w:rPr>
          <w:lang w:val="en-ID"/>
        </w:rPr>
      </w:pPr>
      <w:r w:rsidRPr="00306115">
        <w:rPr>
          <w:rFonts w:eastAsia="Times New Roman" w:cs="Times New Roman"/>
          <w:lang w:val="en-ID" w:eastAsia="en-ID"/>
        </w:rPr>
        <w:t>Risiko Pasar adalah risiko yang timbul pada portofolio Produk Investasi akibat perubahan kondisi pasar</w:t>
      </w:r>
      <w:r w:rsidRPr="00306115">
        <w:rPr>
          <w:lang w:val="en-ID"/>
        </w:rPr>
        <w:t xml:space="preserve"> </w:t>
      </w:r>
      <w:r w:rsidRPr="00306115">
        <w:rPr>
          <w:rFonts w:eastAsia="Times New Roman" w:cs="Times New Roman"/>
          <w:noProof w:val="0"/>
          <w:lang w:val="en-ID" w:eastAsia="en-ID"/>
        </w:rPr>
        <w:t>termasuk perubahan harga dan suku bunga.</w:t>
      </w:r>
    </w:p>
    <w:p w14:paraId="1BC17D37" w14:textId="77777777" w:rsidR="003D0A4E" w:rsidRPr="00306115" w:rsidRDefault="00154F63">
      <w:pPr>
        <w:pStyle w:val="HeadingAwalDaftarIsiLampiran"/>
        <w:numPr>
          <w:ilvl w:val="0"/>
          <w:numId w:val="6"/>
        </w:numPr>
        <w:ind w:left="1134" w:hanging="567"/>
        <w:rPr>
          <w:lang w:val="en-ID"/>
        </w:rPr>
      </w:pPr>
      <w:r w:rsidRPr="00306115">
        <w:rPr>
          <w:lang w:val="en-ID"/>
        </w:rPr>
        <w:t>Risiko Likuiditas Produk Investasi adalah risiko yang timbul akibat ketidakmampuan Produk Investasi yang dikelola Manajer Investasi dalam memenuhi kewajiban jangka pendeknya.</w:t>
      </w:r>
    </w:p>
    <w:p w14:paraId="6929BA0A" w14:textId="77777777" w:rsidR="00E770F7" w:rsidRPr="00306115" w:rsidRDefault="003D0A4E">
      <w:pPr>
        <w:pStyle w:val="HeadingAwalDaftarIsiLampiran"/>
        <w:numPr>
          <w:ilvl w:val="0"/>
          <w:numId w:val="6"/>
        </w:numPr>
        <w:ind w:left="1134" w:hanging="567"/>
        <w:rPr>
          <w:lang w:val="en-ID"/>
        </w:rPr>
      </w:pPr>
      <w:r w:rsidRPr="00306115">
        <w:rPr>
          <w:lang w:val="en-ID"/>
        </w:rPr>
        <w:t>Risiko Kredit adalah risiko yang disebabkan kegagalan pihak lain khususnya counterparty transaksi dan/atau kontrak, terkait instrumen dalam portofolio dalam memenuhi kewajibannya kepada Produk Investasi.</w:t>
      </w:r>
    </w:p>
    <w:p w14:paraId="283AE7D1" w14:textId="77777777" w:rsidR="00532B61" w:rsidRPr="00306115" w:rsidRDefault="003D0A4E">
      <w:pPr>
        <w:pStyle w:val="HeadingAwalDaftarIsiLampiran"/>
        <w:numPr>
          <w:ilvl w:val="0"/>
          <w:numId w:val="6"/>
        </w:numPr>
        <w:ind w:left="1134" w:hanging="567"/>
        <w:rPr>
          <w:lang w:val="en-ID"/>
        </w:rPr>
      </w:pPr>
      <w:r w:rsidRPr="00306115">
        <w:rPr>
          <w:lang w:val="en-ID"/>
        </w:rPr>
        <w:t>Risiko Konsentrasi Portofolio Efek adalah risiko yang</w:t>
      </w:r>
      <w:r w:rsidR="00E770F7" w:rsidRPr="00306115">
        <w:rPr>
          <w:lang w:val="en-ID"/>
        </w:rPr>
        <w:t xml:space="preserve"> </w:t>
      </w:r>
      <w:r w:rsidRPr="00306115">
        <w:rPr>
          <w:lang w:val="en-ID"/>
        </w:rPr>
        <w:t>timbul akibat aktivitas investasi secara akumulatif dari</w:t>
      </w:r>
      <w:r w:rsidR="00E770F7" w:rsidRPr="00306115">
        <w:rPr>
          <w:lang w:val="en-ID"/>
        </w:rPr>
        <w:t xml:space="preserve"> </w:t>
      </w:r>
      <w:r w:rsidRPr="00306115">
        <w:rPr>
          <w:lang w:val="en-ID"/>
        </w:rPr>
        <w:t>seluruh portofolio Produk Investasi pada satu jenis aset</w:t>
      </w:r>
      <w:r w:rsidR="00E770F7" w:rsidRPr="00306115">
        <w:rPr>
          <w:lang w:val="en-ID"/>
        </w:rPr>
        <w:t xml:space="preserve"> </w:t>
      </w:r>
      <w:r w:rsidRPr="00306115">
        <w:rPr>
          <w:lang w:val="en-ID"/>
        </w:rPr>
        <w:t>atau instrumen yang diterbitkan entitas tertentu</w:t>
      </w:r>
      <w:r w:rsidR="00E770F7" w:rsidRPr="00306115">
        <w:rPr>
          <w:lang w:val="en-ID"/>
        </w:rPr>
        <w:t>.</w:t>
      </w:r>
    </w:p>
    <w:p w14:paraId="1217C20A" w14:textId="77777777" w:rsidR="00EB1E33" w:rsidRPr="00306115" w:rsidRDefault="00532B61">
      <w:pPr>
        <w:pStyle w:val="HeadingAwalDaftarIsiLampiran"/>
        <w:numPr>
          <w:ilvl w:val="0"/>
          <w:numId w:val="6"/>
        </w:numPr>
        <w:ind w:left="1134" w:hanging="567"/>
        <w:rPr>
          <w:lang w:val="en-ID"/>
        </w:rPr>
      </w:pPr>
      <w:r w:rsidRPr="00306115">
        <w:rPr>
          <w:lang w:val="en-ID"/>
        </w:rPr>
        <w:t>Risiko Operasional adalah risiko akibat ketidakcukupan dan/atau tidak berfungsinya proses internal, kesalahan manusia, dan kegagalan sistem serta teknologi informasi yang memengaruhi operasional Manajer Investasi.</w:t>
      </w:r>
    </w:p>
    <w:p w14:paraId="037C2AF3" w14:textId="77777777" w:rsidR="00106E60" w:rsidRPr="00306115" w:rsidRDefault="00EB1E33">
      <w:pPr>
        <w:pStyle w:val="HeadingAwalDaftarIsiLampiran"/>
        <w:numPr>
          <w:ilvl w:val="0"/>
          <w:numId w:val="6"/>
        </w:numPr>
        <w:ind w:left="1134" w:hanging="567"/>
        <w:rPr>
          <w:lang w:val="en-ID"/>
        </w:rPr>
      </w:pPr>
      <w:r w:rsidRPr="00306115">
        <w:rPr>
          <w:lang w:val="en-ID"/>
        </w:rPr>
        <w:t>Risiko Hukum adalah risiko yang timbul akibat tuntutan hukum dan/atau putusan yang dapat memengaruhi atau berdampak negatif terhadap bisnis Manajer Investasi.</w:t>
      </w:r>
    </w:p>
    <w:p w14:paraId="763BA645" w14:textId="77777777" w:rsidR="0013336D" w:rsidRPr="00306115" w:rsidRDefault="00106E60">
      <w:pPr>
        <w:pStyle w:val="HeadingAwalDaftarIsiLampiran"/>
        <w:numPr>
          <w:ilvl w:val="0"/>
          <w:numId w:val="6"/>
        </w:numPr>
        <w:ind w:left="1134" w:hanging="567"/>
        <w:rPr>
          <w:lang w:val="en-ID"/>
        </w:rPr>
      </w:pPr>
      <w:r w:rsidRPr="00306115">
        <w:rPr>
          <w:lang w:val="en-ID"/>
        </w:rPr>
        <w:t>Risiko Kepatuhan adalah risiko yang timbul akibat Manajer Investasi tidak mematuhi dan/atau tidak melaksanakan ketentuan peraturan perundang-undangan.</w:t>
      </w:r>
    </w:p>
    <w:p w14:paraId="3347CDAD" w14:textId="77777777" w:rsidR="00F13884" w:rsidRPr="00306115" w:rsidRDefault="0013336D">
      <w:pPr>
        <w:pStyle w:val="HeadingAwalDaftarIsiLampiran"/>
        <w:numPr>
          <w:ilvl w:val="0"/>
          <w:numId w:val="6"/>
        </w:numPr>
        <w:ind w:left="1134" w:hanging="567"/>
        <w:rPr>
          <w:lang w:val="en-ID"/>
        </w:rPr>
      </w:pPr>
      <w:r w:rsidRPr="00306115">
        <w:rPr>
          <w:lang w:val="en-ID"/>
        </w:rPr>
        <w:lastRenderedPageBreak/>
        <w:t>Risiko Reputasi adalah risiko yang timbul akibat persepsi negatif terhadap Manajer Investasi yang memberikan dampak atas kelangsungan bisnis atau kegiatan usaha Manajer Investasi.</w:t>
      </w:r>
    </w:p>
    <w:p w14:paraId="18239582" w14:textId="77777777" w:rsidR="00710C54" w:rsidRPr="00306115" w:rsidRDefault="00F13884">
      <w:pPr>
        <w:pStyle w:val="HeadingAwalDaftarIsiLampiran"/>
        <w:numPr>
          <w:ilvl w:val="0"/>
          <w:numId w:val="6"/>
        </w:numPr>
        <w:ind w:left="1134" w:hanging="567"/>
        <w:rPr>
          <w:lang w:val="en-ID"/>
        </w:rPr>
      </w:pPr>
      <w:r w:rsidRPr="00306115">
        <w:rPr>
          <w:lang w:val="en-ID"/>
        </w:rPr>
        <w:t>Risiko Strategis adalah risiko yang disebabkan oleh ketidaktepatan Manajer Investasi dalam pengambilan dan/atau pelaksanaan suatu keputusan strategis serta kegagalan dalam mengantisipasi perubahan lingkungan bisnis.</w:t>
      </w:r>
    </w:p>
    <w:p w14:paraId="111A24D7" w14:textId="77777777" w:rsidR="00710C54" w:rsidRPr="00306115" w:rsidRDefault="00710C54">
      <w:pPr>
        <w:pStyle w:val="HeadingAwalDaftarIsiLampiran"/>
        <w:numPr>
          <w:ilvl w:val="0"/>
          <w:numId w:val="6"/>
        </w:numPr>
        <w:ind w:left="1134" w:hanging="567"/>
        <w:rPr>
          <w:lang w:val="en-ID"/>
        </w:rPr>
      </w:pPr>
      <w:r w:rsidRPr="00306115">
        <w:rPr>
          <w:lang w:val="en-ID"/>
        </w:rPr>
        <w:t>Risiko Investasi adalah risiko yang timbul pada kondisi keuangan Manajer Investasi akibat penempatan investasi yang dilakukan untuk kepentingan Manajer Investasi sendiri.</w:t>
      </w:r>
    </w:p>
    <w:p w14:paraId="66A7EFB3" w14:textId="0DB1ED30" w:rsidR="004A13DB" w:rsidRPr="00306115" w:rsidRDefault="0067660E">
      <w:pPr>
        <w:pStyle w:val="HeadingAwalDaftarIsiLampiran"/>
        <w:numPr>
          <w:ilvl w:val="0"/>
          <w:numId w:val="6"/>
        </w:numPr>
        <w:ind w:left="1134" w:hanging="567"/>
        <w:rPr>
          <w:lang w:val="en-ID"/>
        </w:rPr>
      </w:pPr>
      <w:r w:rsidRPr="00306115">
        <w:t>Direksi adalah organ Manajer Investasi yang berwenang dan bertanggung jawab penuh atas pengurusan Manajer Investasi, sesuai dengan maksud dan tujuan Manajer Investasi serta mewakili Manajer Investasi, baik di dalam maupun di luar pengadilan sesuai dengan ketentuan anggaran dasar</w:t>
      </w:r>
      <w:r w:rsidR="004650D0" w:rsidRPr="00306115">
        <w:t>.</w:t>
      </w:r>
    </w:p>
    <w:p w14:paraId="67A947B2" w14:textId="0006FEFD" w:rsidR="004A13DB" w:rsidRPr="00306115" w:rsidRDefault="0067660E">
      <w:pPr>
        <w:pStyle w:val="HeadingAwalDaftarIsiLampiran"/>
        <w:numPr>
          <w:ilvl w:val="0"/>
          <w:numId w:val="6"/>
        </w:numPr>
        <w:ind w:left="1134" w:hanging="567"/>
      </w:pPr>
      <w:r w:rsidRPr="00306115">
        <w:t>Dewan Komisaris adalah organ Manajer Investasi yang bertugas melakukan pengawasan secara umum dan/atau khusus serta memberi nasihat kepada Direksi</w:t>
      </w:r>
      <w:r w:rsidR="00BE7EFA" w:rsidRPr="00306115">
        <w:t xml:space="preserve"> sesuai dengan anggaran dasar</w:t>
      </w:r>
      <w:r w:rsidRPr="00306115">
        <w:t>.</w:t>
      </w:r>
      <w:r w:rsidRPr="00306115" w:rsidDel="005E7DAB">
        <w:t xml:space="preserve"> </w:t>
      </w:r>
    </w:p>
    <w:p w14:paraId="3BEBB144" w14:textId="4DC7AB64" w:rsidR="00B32E08" w:rsidRPr="00306115" w:rsidRDefault="00B32E08" w:rsidP="00513BCE">
      <w:pPr>
        <w:pStyle w:val="HeadingAwalDaftarIsiLampiran"/>
        <w:numPr>
          <w:ilvl w:val="0"/>
          <w:numId w:val="0"/>
        </w:numPr>
        <w:ind w:left="1134"/>
      </w:pPr>
    </w:p>
    <w:p w14:paraId="7E1043C5" w14:textId="60489810" w:rsidR="004A13DB" w:rsidRPr="00306115" w:rsidRDefault="004A13DB" w:rsidP="00513BCE">
      <w:pPr>
        <w:pStyle w:val="HeadingAwalDaftarIsiLampiran"/>
        <w:ind w:left="567" w:hanging="567"/>
      </w:pPr>
      <w:r w:rsidRPr="00306115">
        <w:t>PEDOMAN MENAJAMEN RISIKO SECARA UMUM</w:t>
      </w:r>
    </w:p>
    <w:p w14:paraId="37CFC2E5" w14:textId="2770D35A" w:rsidR="0067660E" w:rsidRPr="00306115" w:rsidRDefault="0067660E">
      <w:pPr>
        <w:pStyle w:val="HeadingAwalDaftarIsiLampiran"/>
        <w:numPr>
          <w:ilvl w:val="0"/>
          <w:numId w:val="12"/>
        </w:numPr>
        <w:ind w:left="1134" w:hanging="567"/>
      </w:pPr>
      <w:r w:rsidRPr="00306115">
        <w:t xml:space="preserve">Pedoman penerapan Manajemen Risiko </w:t>
      </w:r>
      <w:r w:rsidR="001E5F7F" w:rsidRPr="00306115">
        <w:t>merupakan</w:t>
      </w:r>
      <w:r w:rsidR="00926FEB" w:rsidRPr="00306115">
        <w:t xml:space="preserve"> kebijakan dan</w:t>
      </w:r>
      <w:r w:rsidR="00AF69BE" w:rsidRPr="00306115">
        <w:t xml:space="preserve"> prosedur Manajemen Risiko</w:t>
      </w:r>
      <w:r w:rsidR="00926FEB" w:rsidRPr="00306115">
        <w:t xml:space="preserve"> </w:t>
      </w:r>
      <w:r w:rsidR="001D4F04" w:rsidRPr="00306115">
        <w:t xml:space="preserve">yang </w:t>
      </w:r>
      <w:r w:rsidRPr="00306115">
        <w:t>merupakan acuan penerapan Manajemen Risiko bagi Manajer Investasi.</w:t>
      </w:r>
    </w:p>
    <w:p w14:paraId="0CB07B9C" w14:textId="07311E5E" w:rsidR="00E2127A" w:rsidRPr="00306115" w:rsidRDefault="00E2127A">
      <w:pPr>
        <w:pStyle w:val="HeadingAwalDaftarIsiLampiran"/>
        <w:numPr>
          <w:ilvl w:val="0"/>
          <w:numId w:val="12"/>
        </w:numPr>
        <w:ind w:left="1134" w:hanging="567"/>
      </w:pPr>
      <w:r w:rsidRPr="00306115">
        <w:rPr>
          <w:rFonts w:eastAsia="Calibri"/>
        </w:rPr>
        <w:t>Penyesuaian</w:t>
      </w:r>
      <w:r w:rsidRPr="00306115">
        <w:t xml:space="preserve"> kebijakan, prosedur, dan/atau pedoman penerapan Manajemen Risiko diterapkan pada saat ketentuan mengenai kewajiban Manajer Investasi melakukan penerapan Manajemen Risiko dan penilaian Tingkat Kesehatan Manajer Investasi sebagaimana diatur pada Peraturan Otoritas Jasa Keuangan mengenai penerapan Manajemen Risiko dan penilaian Tingkat Kesehatan Manajer Investasi mulai berlaku.</w:t>
      </w:r>
    </w:p>
    <w:p w14:paraId="59E82CC0" w14:textId="3BFA4EDE" w:rsidR="00F45750" w:rsidRPr="00306115" w:rsidRDefault="0067660E">
      <w:pPr>
        <w:pStyle w:val="HeadingAwalDaftarIsiLampiran"/>
        <w:numPr>
          <w:ilvl w:val="0"/>
          <w:numId w:val="12"/>
        </w:numPr>
        <w:ind w:left="1134" w:hanging="567"/>
      </w:pPr>
      <w:r w:rsidRPr="00306115">
        <w:t>Manajer Investasi dapat memperluas dan/atau memperdalam pedoman penerapan Manajemen Risiko sesuai dengan ukuran, kompleksitas usaha, dan kemampuan Manajer Investasi</w:t>
      </w:r>
      <w:r w:rsidR="006E3477" w:rsidRPr="00306115">
        <w:t>.</w:t>
      </w:r>
    </w:p>
    <w:p w14:paraId="1F57B358" w14:textId="444BC489" w:rsidR="003D7894" w:rsidRPr="00306115" w:rsidRDefault="000A7161">
      <w:pPr>
        <w:pStyle w:val="HeadingAwalDaftarIsiLampiran"/>
        <w:numPr>
          <w:ilvl w:val="0"/>
          <w:numId w:val="12"/>
        </w:numPr>
        <w:ind w:left="1134" w:hanging="567"/>
      </w:pPr>
      <w:r w:rsidRPr="00306115">
        <w:t xml:space="preserve">Pedoman </w:t>
      </w:r>
      <w:r w:rsidR="005966F8" w:rsidRPr="00306115">
        <w:t>p</w:t>
      </w:r>
      <w:r w:rsidRPr="00306115">
        <w:t>enerapan Manajemen Risiko bagi Manajer Investasi paling sedikit memuat:</w:t>
      </w:r>
    </w:p>
    <w:p w14:paraId="2182615F" w14:textId="563BEEFD" w:rsidR="00EF50B4" w:rsidRPr="00306115" w:rsidRDefault="00391CF9">
      <w:pPr>
        <w:pStyle w:val="HeadingAwalDaftarIsiLampiran"/>
        <w:numPr>
          <w:ilvl w:val="0"/>
          <w:numId w:val="8"/>
        </w:numPr>
        <w:ind w:left="1701" w:hanging="567"/>
      </w:pPr>
      <w:r w:rsidRPr="00306115">
        <w:t>p</w:t>
      </w:r>
      <w:r w:rsidR="003D7894" w:rsidRPr="00306115">
        <w:t>enerapan Manajemen Risiko secara umum, yang mencakup</w:t>
      </w:r>
      <w:r w:rsidR="00EF50B4" w:rsidRPr="00306115">
        <w:t>:</w:t>
      </w:r>
    </w:p>
    <w:p w14:paraId="18EB7C9A" w14:textId="77777777" w:rsidR="00391CF9" w:rsidRPr="00306115" w:rsidRDefault="00EF50B4">
      <w:pPr>
        <w:pStyle w:val="HeadingAwalDaftarIsiLampiran"/>
        <w:numPr>
          <w:ilvl w:val="0"/>
          <w:numId w:val="13"/>
        </w:numPr>
        <w:ind w:left="2268" w:hanging="567"/>
      </w:pPr>
      <w:r w:rsidRPr="00306115">
        <w:t>pe</w:t>
      </w:r>
      <w:r w:rsidR="003D7894" w:rsidRPr="00306115">
        <w:t>ngawasan aktif Direksi dan Dewan Komisaris</w:t>
      </w:r>
      <w:r w:rsidR="00391CF9" w:rsidRPr="00306115">
        <w:t>;</w:t>
      </w:r>
    </w:p>
    <w:p w14:paraId="6742FDE2" w14:textId="77777777" w:rsidR="00391CF9" w:rsidRPr="00306115" w:rsidRDefault="003D7894">
      <w:pPr>
        <w:pStyle w:val="HeadingAwalDaftarIsiLampiran"/>
        <w:numPr>
          <w:ilvl w:val="0"/>
          <w:numId w:val="13"/>
        </w:numPr>
        <w:ind w:left="2268" w:hanging="567"/>
      </w:pPr>
      <w:r w:rsidRPr="00306115">
        <w:t>kecukupan kebijakan dan prosedur Manajemen Risiko</w:t>
      </w:r>
      <w:r w:rsidR="00391CF9" w:rsidRPr="00306115">
        <w:t>;</w:t>
      </w:r>
    </w:p>
    <w:p w14:paraId="42059656" w14:textId="77777777" w:rsidR="00391CF9" w:rsidRPr="00306115" w:rsidRDefault="003D7894">
      <w:pPr>
        <w:pStyle w:val="HeadingAwalDaftarIsiLampiran"/>
        <w:numPr>
          <w:ilvl w:val="0"/>
          <w:numId w:val="13"/>
        </w:numPr>
        <w:ind w:left="2268" w:hanging="567"/>
      </w:pPr>
      <w:r w:rsidRPr="00306115">
        <w:t>kecukupan proses identifikasi, pengukuran, pemantauan, dan pengendalian risiko</w:t>
      </w:r>
      <w:r w:rsidR="00391CF9" w:rsidRPr="00306115">
        <w:t xml:space="preserve">; </w:t>
      </w:r>
      <w:r w:rsidRPr="00306115">
        <w:t xml:space="preserve">dan </w:t>
      </w:r>
    </w:p>
    <w:p w14:paraId="1397CAB7" w14:textId="14A2BBA6" w:rsidR="003D7894" w:rsidRPr="00306115" w:rsidRDefault="003D7894">
      <w:pPr>
        <w:pStyle w:val="HeadingAwalDaftarIsiLampiran"/>
        <w:numPr>
          <w:ilvl w:val="0"/>
          <w:numId w:val="13"/>
        </w:numPr>
        <w:ind w:left="2268" w:hanging="567"/>
      </w:pPr>
      <w:r w:rsidRPr="00306115">
        <w:t>sistem pengendalian internal</w:t>
      </w:r>
      <w:r w:rsidRPr="00306115">
        <w:rPr>
          <w:rFonts w:cs="BookAntiqua"/>
        </w:rPr>
        <w:t xml:space="preserve"> yang menyeluruh.</w:t>
      </w:r>
    </w:p>
    <w:p w14:paraId="6B36D24A" w14:textId="77777777" w:rsidR="00391CF9" w:rsidRPr="00306115" w:rsidRDefault="00391CF9">
      <w:pPr>
        <w:pStyle w:val="HeadingAwalDaftarIsiLampiran"/>
        <w:numPr>
          <w:ilvl w:val="0"/>
          <w:numId w:val="8"/>
        </w:numPr>
        <w:ind w:left="1701" w:hanging="567"/>
      </w:pPr>
      <w:r w:rsidRPr="00306115">
        <w:t>p</w:t>
      </w:r>
      <w:r w:rsidR="003D7894" w:rsidRPr="00306115">
        <w:t>enerapan Manajemen Risiko untuk masing-masing risiko, yang meliputi 10 (sepuluh) risiko yaitu</w:t>
      </w:r>
      <w:r w:rsidRPr="00306115">
        <w:t>:</w:t>
      </w:r>
    </w:p>
    <w:p w14:paraId="5BC6450A" w14:textId="79EE04F4" w:rsidR="00A7735C" w:rsidRPr="00306115" w:rsidRDefault="00D231DD">
      <w:pPr>
        <w:pStyle w:val="HeadingAwalDaftarIsiLampiran"/>
        <w:numPr>
          <w:ilvl w:val="0"/>
          <w:numId w:val="14"/>
        </w:numPr>
        <w:ind w:left="2268" w:hanging="567"/>
      </w:pPr>
      <w:r w:rsidRPr="00306115">
        <w:t>risiko</w:t>
      </w:r>
      <w:r w:rsidR="00A7735C" w:rsidRPr="00306115">
        <w:t xml:space="preserve"> pada Produk Investasi</w:t>
      </w:r>
      <w:r w:rsidR="00060F36" w:rsidRPr="00306115">
        <w:t>, yang mencakup</w:t>
      </w:r>
      <w:r w:rsidR="00A7735C" w:rsidRPr="00306115">
        <w:t>:</w:t>
      </w:r>
    </w:p>
    <w:p w14:paraId="0FC4A6D4" w14:textId="201857B5" w:rsidR="00391CF9" w:rsidRPr="00306115" w:rsidRDefault="0044301C">
      <w:pPr>
        <w:pStyle w:val="HeadingAwalDaftarIsiLampiran"/>
        <w:numPr>
          <w:ilvl w:val="0"/>
          <w:numId w:val="15"/>
        </w:numPr>
        <w:ind w:left="2835" w:hanging="567"/>
      </w:pPr>
      <w:r w:rsidRPr="00306115">
        <w:t>R</w:t>
      </w:r>
      <w:r w:rsidR="003D7894" w:rsidRPr="00306115">
        <w:t xml:space="preserve">isiko </w:t>
      </w:r>
      <w:r w:rsidRPr="00306115">
        <w:t>P</w:t>
      </w:r>
      <w:r w:rsidR="003D7894" w:rsidRPr="00306115">
        <w:t>asar</w:t>
      </w:r>
      <w:r w:rsidR="00391CF9" w:rsidRPr="00306115">
        <w:t>;</w:t>
      </w:r>
    </w:p>
    <w:p w14:paraId="70A72718" w14:textId="75562A02" w:rsidR="00474EAB" w:rsidRPr="00306115" w:rsidRDefault="00EB034C">
      <w:pPr>
        <w:pStyle w:val="HeadingAwalDaftarIsiLampiran"/>
        <w:numPr>
          <w:ilvl w:val="0"/>
          <w:numId w:val="15"/>
        </w:numPr>
        <w:ind w:left="2835" w:hanging="567"/>
      </w:pPr>
      <w:r w:rsidRPr="00306115">
        <w:t>R</w:t>
      </w:r>
      <w:r w:rsidR="003D7894" w:rsidRPr="00306115">
        <w:t xml:space="preserve">isiko </w:t>
      </w:r>
      <w:r w:rsidR="009E057B" w:rsidRPr="00306115">
        <w:t>L</w:t>
      </w:r>
      <w:r w:rsidR="003D7894" w:rsidRPr="00306115">
        <w:t xml:space="preserve">ikuiditas </w:t>
      </w:r>
      <w:r w:rsidR="009E057B" w:rsidRPr="00306115">
        <w:t>P</w:t>
      </w:r>
      <w:r w:rsidR="003D7894" w:rsidRPr="00306115">
        <w:t xml:space="preserve">roduk </w:t>
      </w:r>
      <w:r w:rsidR="009E057B" w:rsidRPr="00306115">
        <w:t>I</w:t>
      </w:r>
      <w:r w:rsidR="003D7894" w:rsidRPr="00306115">
        <w:t>nvestasi</w:t>
      </w:r>
      <w:r w:rsidR="00474EAB" w:rsidRPr="00306115">
        <w:t>;</w:t>
      </w:r>
    </w:p>
    <w:p w14:paraId="054294C5" w14:textId="2C452D76" w:rsidR="001D5C7A" w:rsidRPr="00306115" w:rsidRDefault="009E057B">
      <w:pPr>
        <w:pStyle w:val="HeadingAwalDaftarIsiLampiran"/>
        <w:numPr>
          <w:ilvl w:val="0"/>
          <w:numId w:val="15"/>
        </w:numPr>
        <w:ind w:left="2835" w:hanging="567"/>
      </w:pPr>
      <w:r w:rsidRPr="00306115">
        <w:t>R</w:t>
      </w:r>
      <w:r w:rsidR="003D7894" w:rsidRPr="00306115">
        <w:t xml:space="preserve">isiko </w:t>
      </w:r>
      <w:r w:rsidRPr="00306115">
        <w:t>K</w:t>
      </w:r>
      <w:r w:rsidR="003D7894" w:rsidRPr="00306115">
        <w:t>redit</w:t>
      </w:r>
      <w:r w:rsidR="001D5C7A" w:rsidRPr="00306115">
        <w:t xml:space="preserve">; dan </w:t>
      </w:r>
    </w:p>
    <w:p w14:paraId="5BC1AA89" w14:textId="67F7168F" w:rsidR="001D5C7A" w:rsidRPr="00306115" w:rsidRDefault="009E057B">
      <w:pPr>
        <w:pStyle w:val="HeadingAwalDaftarIsiLampiran"/>
        <w:numPr>
          <w:ilvl w:val="0"/>
          <w:numId w:val="15"/>
        </w:numPr>
        <w:ind w:left="2835" w:hanging="567"/>
      </w:pPr>
      <w:r w:rsidRPr="00306115">
        <w:t>R</w:t>
      </w:r>
      <w:r w:rsidR="003D7894" w:rsidRPr="00306115">
        <w:t xml:space="preserve">isiko </w:t>
      </w:r>
      <w:r w:rsidRPr="00306115">
        <w:t>K</w:t>
      </w:r>
      <w:r w:rsidR="003D7894" w:rsidRPr="00306115">
        <w:t xml:space="preserve">onsentrasi </w:t>
      </w:r>
      <w:r w:rsidRPr="00306115">
        <w:t>P</w:t>
      </w:r>
      <w:r w:rsidR="003D7894" w:rsidRPr="00306115">
        <w:t xml:space="preserve">ortofolio </w:t>
      </w:r>
      <w:r w:rsidRPr="00306115">
        <w:t>E</w:t>
      </w:r>
      <w:r w:rsidR="003D7894" w:rsidRPr="00306115">
        <w:t>fek</w:t>
      </w:r>
    </w:p>
    <w:p w14:paraId="48153401" w14:textId="03A2AAC9" w:rsidR="001D5C7A" w:rsidRPr="00306115" w:rsidRDefault="001D5C7A">
      <w:pPr>
        <w:pStyle w:val="HeadingAwalDaftarIsiLampiran"/>
        <w:numPr>
          <w:ilvl w:val="0"/>
          <w:numId w:val="14"/>
        </w:numPr>
        <w:ind w:left="2268" w:hanging="567"/>
      </w:pPr>
      <w:r w:rsidRPr="00306115">
        <w:t>risiko pada Manajer Investasi</w:t>
      </w:r>
      <w:r w:rsidR="00220F26" w:rsidRPr="00306115">
        <w:t>, yang mencakup:</w:t>
      </w:r>
    </w:p>
    <w:p w14:paraId="7B107FF6" w14:textId="1573529B" w:rsidR="00220F26" w:rsidRPr="00306115" w:rsidRDefault="009E057B">
      <w:pPr>
        <w:pStyle w:val="HeadingAwalDaftarIsiLampiran"/>
        <w:numPr>
          <w:ilvl w:val="0"/>
          <w:numId w:val="16"/>
        </w:numPr>
        <w:ind w:left="2835" w:hanging="567"/>
      </w:pPr>
      <w:r w:rsidRPr="00306115">
        <w:t>R</w:t>
      </w:r>
      <w:r w:rsidR="003D7894" w:rsidRPr="00306115">
        <w:t xml:space="preserve">isiko </w:t>
      </w:r>
      <w:r w:rsidRPr="00306115">
        <w:t>O</w:t>
      </w:r>
      <w:r w:rsidR="003D7894" w:rsidRPr="00306115">
        <w:t>perasional</w:t>
      </w:r>
      <w:r w:rsidR="00220F26" w:rsidRPr="00306115">
        <w:t>;</w:t>
      </w:r>
    </w:p>
    <w:p w14:paraId="391316B3" w14:textId="75FFA5BD" w:rsidR="00220F26" w:rsidRPr="00306115" w:rsidRDefault="009E057B">
      <w:pPr>
        <w:pStyle w:val="HeadingAwalDaftarIsiLampiran"/>
        <w:numPr>
          <w:ilvl w:val="0"/>
          <w:numId w:val="16"/>
        </w:numPr>
        <w:ind w:left="2835" w:hanging="567"/>
      </w:pPr>
      <w:r w:rsidRPr="00306115">
        <w:t>R</w:t>
      </w:r>
      <w:r w:rsidR="003D7894" w:rsidRPr="00306115">
        <w:t xml:space="preserve">isiko </w:t>
      </w:r>
      <w:r w:rsidRPr="00306115">
        <w:t>H</w:t>
      </w:r>
      <w:r w:rsidR="003D7894" w:rsidRPr="00306115">
        <w:t>ukum</w:t>
      </w:r>
      <w:r w:rsidR="00220F26" w:rsidRPr="00306115">
        <w:t>;</w:t>
      </w:r>
    </w:p>
    <w:p w14:paraId="23C1BE3A" w14:textId="192B43EE" w:rsidR="00220F26" w:rsidRPr="00306115" w:rsidRDefault="009E057B">
      <w:pPr>
        <w:pStyle w:val="HeadingAwalDaftarIsiLampiran"/>
        <w:numPr>
          <w:ilvl w:val="0"/>
          <w:numId w:val="16"/>
        </w:numPr>
        <w:ind w:left="2835" w:hanging="567"/>
      </w:pPr>
      <w:r w:rsidRPr="00306115">
        <w:t>R</w:t>
      </w:r>
      <w:r w:rsidR="003D7894" w:rsidRPr="00306115">
        <w:t xml:space="preserve">isiko </w:t>
      </w:r>
      <w:r w:rsidRPr="00306115">
        <w:t>K</w:t>
      </w:r>
      <w:r w:rsidR="003D7894" w:rsidRPr="00306115">
        <w:t>epatuhan</w:t>
      </w:r>
      <w:r w:rsidR="00A6670A" w:rsidRPr="00306115">
        <w:t>;</w:t>
      </w:r>
    </w:p>
    <w:p w14:paraId="6A013737" w14:textId="5D69058B" w:rsidR="00A6670A" w:rsidRPr="00306115" w:rsidRDefault="009E057B">
      <w:pPr>
        <w:pStyle w:val="HeadingAwalDaftarIsiLampiran"/>
        <w:numPr>
          <w:ilvl w:val="0"/>
          <w:numId w:val="16"/>
        </w:numPr>
        <w:ind w:left="2835" w:hanging="567"/>
      </w:pPr>
      <w:r w:rsidRPr="00306115">
        <w:t>R</w:t>
      </w:r>
      <w:r w:rsidR="003D7894" w:rsidRPr="00306115">
        <w:t xml:space="preserve">isiko </w:t>
      </w:r>
      <w:r w:rsidRPr="00306115">
        <w:t>R</w:t>
      </w:r>
      <w:r w:rsidR="003D7894" w:rsidRPr="00306115">
        <w:t>eputasi</w:t>
      </w:r>
      <w:r w:rsidR="00A6670A" w:rsidRPr="00306115">
        <w:t>;</w:t>
      </w:r>
    </w:p>
    <w:p w14:paraId="7A3A8252" w14:textId="133881EF" w:rsidR="00A6670A" w:rsidRPr="00306115" w:rsidRDefault="009E057B">
      <w:pPr>
        <w:pStyle w:val="HeadingAwalDaftarIsiLampiran"/>
        <w:numPr>
          <w:ilvl w:val="0"/>
          <w:numId w:val="16"/>
        </w:numPr>
        <w:ind w:left="2835" w:hanging="567"/>
      </w:pPr>
      <w:r w:rsidRPr="00306115">
        <w:t>R</w:t>
      </w:r>
      <w:r w:rsidR="003D7894" w:rsidRPr="00306115">
        <w:t xml:space="preserve">isiko </w:t>
      </w:r>
      <w:r w:rsidRPr="00306115">
        <w:t>S</w:t>
      </w:r>
      <w:r w:rsidR="003D7894" w:rsidRPr="00306115">
        <w:t>trategis</w:t>
      </w:r>
      <w:r w:rsidR="00A6670A" w:rsidRPr="00306115">
        <w:t xml:space="preserve">; </w:t>
      </w:r>
      <w:r w:rsidR="003D7894" w:rsidRPr="00306115">
        <w:t>dan</w:t>
      </w:r>
    </w:p>
    <w:p w14:paraId="41488268" w14:textId="3B582AC0" w:rsidR="003D7894" w:rsidRPr="00306115" w:rsidRDefault="009E057B">
      <w:pPr>
        <w:pStyle w:val="HeadingAwalDaftarIsiLampiran"/>
        <w:numPr>
          <w:ilvl w:val="0"/>
          <w:numId w:val="16"/>
        </w:numPr>
        <w:ind w:left="2835" w:hanging="567"/>
      </w:pPr>
      <w:r w:rsidRPr="00306115">
        <w:t>R</w:t>
      </w:r>
      <w:r w:rsidR="003D7894" w:rsidRPr="00306115">
        <w:t xml:space="preserve">isiko </w:t>
      </w:r>
      <w:r w:rsidRPr="00306115">
        <w:t>I</w:t>
      </w:r>
      <w:r w:rsidR="003D7894" w:rsidRPr="00306115">
        <w:t>nvestasi.</w:t>
      </w:r>
    </w:p>
    <w:p w14:paraId="7C77A018" w14:textId="77777777" w:rsidR="00900D20" w:rsidRPr="00306115" w:rsidRDefault="003823F3">
      <w:pPr>
        <w:pStyle w:val="HeadingAwalDaftarIsiLampiran"/>
        <w:numPr>
          <w:ilvl w:val="0"/>
          <w:numId w:val="8"/>
        </w:numPr>
        <w:ind w:left="1701" w:hanging="567"/>
      </w:pPr>
      <w:r w:rsidRPr="00306115">
        <w:lastRenderedPageBreak/>
        <w:t>p</w:t>
      </w:r>
      <w:r w:rsidR="003D7894" w:rsidRPr="00306115">
        <w:t>enilaian profil risiko yang mencakup penilaian terhadap</w:t>
      </w:r>
      <w:r w:rsidR="00655992" w:rsidRPr="00306115">
        <w:t xml:space="preserve"> </w:t>
      </w:r>
      <w:r w:rsidR="003D7894" w:rsidRPr="00306115">
        <w:t>risiko inheren</w:t>
      </w:r>
      <w:r w:rsidR="00655992" w:rsidRPr="00306115">
        <w:t xml:space="preserve"> dan</w:t>
      </w:r>
      <w:r w:rsidR="001F1674" w:rsidRPr="00306115">
        <w:t xml:space="preserve"> </w:t>
      </w:r>
      <w:r w:rsidR="003D7894" w:rsidRPr="00306115">
        <w:t xml:space="preserve">penilaian terhadap kualitas penerapan Manajemen Risiko. Penilaian tersebut dilakukan terhadap </w:t>
      </w:r>
      <w:r w:rsidR="00900D20" w:rsidRPr="00306115">
        <w:t xml:space="preserve">risiko pada: </w:t>
      </w:r>
    </w:p>
    <w:p w14:paraId="7304F24A" w14:textId="353DA4DC" w:rsidR="00026A78" w:rsidRPr="00306115" w:rsidRDefault="00026A78">
      <w:pPr>
        <w:pStyle w:val="HeadingAwalDaftarIsiLampiran"/>
        <w:numPr>
          <w:ilvl w:val="0"/>
          <w:numId w:val="17"/>
        </w:numPr>
        <w:ind w:left="2268" w:hanging="567"/>
      </w:pPr>
      <w:r w:rsidRPr="00306115">
        <w:t>Produk Investasi</w:t>
      </w:r>
      <w:r w:rsidR="00621921" w:rsidRPr="00306115">
        <w:t xml:space="preserve"> sebagaimana dimaksud</w:t>
      </w:r>
      <w:r w:rsidR="00C030EE" w:rsidRPr="00306115">
        <w:t xml:space="preserve"> </w:t>
      </w:r>
      <w:r w:rsidR="004A7705" w:rsidRPr="00306115">
        <w:t>pada</w:t>
      </w:r>
      <w:r w:rsidR="00C030EE" w:rsidRPr="00306115">
        <w:t xml:space="preserve"> huruf b angka 1)</w:t>
      </w:r>
      <w:r w:rsidRPr="00306115">
        <w:t>; dan</w:t>
      </w:r>
    </w:p>
    <w:p w14:paraId="7EA97E82" w14:textId="6813D64F" w:rsidR="00794875" w:rsidRPr="00306115" w:rsidRDefault="00026A78">
      <w:pPr>
        <w:pStyle w:val="HeadingAwalDaftarIsiLampiran"/>
        <w:numPr>
          <w:ilvl w:val="0"/>
          <w:numId w:val="17"/>
        </w:numPr>
        <w:ind w:left="2268" w:hanging="567"/>
      </w:pPr>
      <w:r w:rsidRPr="00306115">
        <w:t>Manajer Investasi</w:t>
      </w:r>
      <w:r w:rsidR="00C030EE" w:rsidRPr="00306115">
        <w:t xml:space="preserve"> sebagaimana dimaksud </w:t>
      </w:r>
      <w:r w:rsidR="004A7705" w:rsidRPr="00306115">
        <w:t>pada</w:t>
      </w:r>
      <w:r w:rsidR="00C030EE" w:rsidRPr="00306115">
        <w:t xml:space="preserve"> huruf b angka 2)</w:t>
      </w:r>
      <w:r w:rsidR="003D7894" w:rsidRPr="00306115">
        <w:t xml:space="preserve">. </w:t>
      </w:r>
    </w:p>
    <w:p w14:paraId="29492F4B" w14:textId="60BD624C" w:rsidR="000A7161" w:rsidRPr="00306115" w:rsidRDefault="003D7894" w:rsidP="00513BCE">
      <w:pPr>
        <w:pStyle w:val="HeadingAwalDaftarIsiLampiran"/>
        <w:numPr>
          <w:ilvl w:val="0"/>
          <w:numId w:val="0"/>
        </w:numPr>
        <w:ind w:left="1701"/>
      </w:pPr>
      <w:r w:rsidRPr="00306115">
        <w:t xml:space="preserve">Dalam melakukan penilaian profil risiko, Manajer Investasi berpedoman pada Lampiran I, Lampiran II, Lampiran </w:t>
      </w:r>
      <w:r w:rsidR="00AC5759" w:rsidRPr="00306115">
        <w:t>IV</w:t>
      </w:r>
      <w:r w:rsidR="0048052C" w:rsidRPr="00306115">
        <w:t>, Lampiran V</w:t>
      </w:r>
      <w:r w:rsidR="00F643C9" w:rsidRPr="00306115">
        <w:t>, dan Lampiran V</w:t>
      </w:r>
      <w:r w:rsidR="00AC5759" w:rsidRPr="00306115">
        <w:t>I</w:t>
      </w:r>
      <w:r w:rsidR="00F643C9" w:rsidRPr="00306115">
        <w:t xml:space="preserve"> </w:t>
      </w:r>
      <w:r w:rsidRPr="00306115">
        <w:t xml:space="preserve">yang </w:t>
      </w:r>
      <w:r w:rsidR="00207F3A" w:rsidRPr="00306115">
        <w:t xml:space="preserve">merupakan </w:t>
      </w:r>
      <w:r w:rsidRPr="00306115">
        <w:t>bagian tidak terpisahkan dari Peraturan Anggota Dewan Komisioner Otoritas Jasa Keuangan ini</w:t>
      </w:r>
      <w:r w:rsidR="00794875" w:rsidRPr="00306115">
        <w:t>.</w:t>
      </w:r>
    </w:p>
    <w:p w14:paraId="6120C0F3" w14:textId="77777777" w:rsidR="00404A9E" w:rsidRPr="00306115" w:rsidRDefault="00F53AB2">
      <w:pPr>
        <w:pStyle w:val="HeadingAwalDaftarIsiLampiran"/>
        <w:numPr>
          <w:ilvl w:val="0"/>
          <w:numId w:val="12"/>
        </w:numPr>
        <w:ind w:left="1134" w:hanging="567"/>
      </w:pPr>
      <w:r w:rsidRPr="00306115">
        <w:t>Dalam rangka menerapkan Manajemen Risiko, Manajer Investasi membentuk fungsi Manajemen Risiko, yang disesuaikan dengan ukuran, kompleksitas usaha, dan kemampuan Manajer Investasi.</w:t>
      </w:r>
    </w:p>
    <w:p w14:paraId="5D48980C" w14:textId="574F311B" w:rsidR="00404A9E" w:rsidRPr="00306115" w:rsidRDefault="00404A9E">
      <w:pPr>
        <w:pStyle w:val="HeadingAwalDaftarIsiLampiran"/>
        <w:numPr>
          <w:ilvl w:val="0"/>
          <w:numId w:val="12"/>
        </w:numPr>
        <w:ind w:left="1134" w:hanging="567"/>
      </w:pPr>
      <w:r w:rsidRPr="00306115">
        <w:t>Manajer Investasi dapat menyesuaikan struktur organisasi guna mendukung fungsi Manajemen Risiko dalam melaksanakan tugas</w:t>
      </w:r>
      <w:r w:rsidR="00662E0D" w:rsidRPr="00306115">
        <w:t>nya secara independen</w:t>
      </w:r>
      <w:r w:rsidRPr="00306115">
        <w:t xml:space="preserve"> dan tanggung jawabnya secara efektif.</w:t>
      </w:r>
    </w:p>
    <w:p w14:paraId="1B64871B" w14:textId="3A5791F5" w:rsidR="000054EB" w:rsidRPr="00306115" w:rsidRDefault="00404A9E">
      <w:pPr>
        <w:pStyle w:val="HeadingAwalDaftarIsiLampiran"/>
        <w:numPr>
          <w:ilvl w:val="0"/>
          <w:numId w:val="12"/>
        </w:numPr>
        <w:ind w:left="1134" w:hanging="567"/>
      </w:pPr>
      <w:r w:rsidRPr="00306115">
        <w:t>Dalam</w:t>
      </w:r>
      <w:r w:rsidRPr="00306115">
        <w:rPr>
          <w:rFonts w:eastAsia="Calibri" w:cs="Bookman Old Style"/>
          <w:lang w:eastAsia="id-ID"/>
        </w:rPr>
        <w:t xml:space="preserve"> </w:t>
      </w:r>
      <w:r w:rsidRPr="00306115">
        <w:t>rangka</w:t>
      </w:r>
      <w:r w:rsidRPr="00306115">
        <w:rPr>
          <w:rFonts w:eastAsia="Calibri" w:cs="Bookman Old Style"/>
          <w:lang w:eastAsia="id-ID"/>
        </w:rPr>
        <w:t xml:space="preserve"> penerapan Manajemen Risiko yang efektif, Manajer Investasi melakukan langkah persiapan, pengembangan, dan/atau penyempurnaan yang diperlukan antara lain:</w:t>
      </w:r>
    </w:p>
    <w:p w14:paraId="5031C299" w14:textId="0164C85D" w:rsidR="000054EB" w:rsidRPr="00306115" w:rsidRDefault="000054EB">
      <w:pPr>
        <w:pStyle w:val="HeadingAwalDaftarIsiLampiran"/>
        <w:numPr>
          <w:ilvl w:val="0"/>
          <w:numId w:val="7"/>
        </w:numPr>
        <w:ind w:left="1701" w:hanging="567"/>
      </w:pPr>
      <w:r w:rsidRPr="00306115">
        <w:rPr>
          <w:rFonts w:eastAsia="Calibri" w:cs="Bookman Old Style"/>
          <w:lang w:eastAsia="id-ID"/>
        </w:rPr>
        <w:t xml:space="preserve">melaksanakan identifikasi dan analisis mengenai organisasi, kebijakan, prosedur, pedoman, dan pengembangan sistem yang terkait dengan penerapan Manajemen Risiko; </w:t>
      </w:r>
    </w:p>
    <w:p w14:paraId="20034432" w14:textId="06EE72BA" w:rsidR="000054EB" w:rsidRPr="00306115" w:rsidRDefault="000054EB">
      <w:pPr>
        <w:pStyle w:val="HeadingAwalDaftarIsiLampiran"/>
        <w:numPr>
          <w:ilvl w:val="0"/>
          <w:numId w:val="7"/>
        </w:numPr>
        <w:ind w:left="1701" w:hanging="567"/>
        <w:rPr>
          <w:rFonts w:eastAsia="Calibri" w:cs="Bookman Old Style"/>
          <w:lang w:eastAsia="id-ID"/>
        </w:rPr>
      </w:pPr>
      <w:r w:rsidRPr="00306115">
        <w:rPr>
          <w:rFonts w:eastAsia="Calibri" w:cs="Bookman Old Style"/>
          <w:lang w:eastAsia="id-ID"/>
        </w:rPr>
        <w:t xml:space="preserve">menyusun rencana penyempurnaan sesuai dengan acuan dalam Peraturan Anggota Dewan Komisioner Otoritas Jasa Keuangan ini dalam hal masih terdapat ketidaksesuaian antara pedoman internal Manajer Investasi dengan pedoman penerapan Manajemen Risiko pada Peraturan Anggota Dewan Komisioner Otoritas Jasa Keuangan ini; </w:t>
      </w:r>
      <w:r w:rsidR="004013F1" w:rsidRPr="00306115">
        <w:rPr>
          <w:rFonts w:eastAsia="Calibri" w:cs="Bookman Old Style"/>
          <w:lang w:eastAsia="id-ID"/>
        </w:rPr>
        <w:t>dan</w:t>
      </w:r>
    </w:p>
    <w:p w14:paraId="359D5BB3" w14:textId="1DCCBBC1" w:rsidR="00404A9E" w:rsidRPr="00306115" w:rsidRDefault="000054EB">
      <w:pPr>
        <w:pStyle w:val="HeadingAwalDaftarIsiLampiran"/>
        <w:numPr>
          <w:ilvl w:val="0"/>
          <w:numId w:val="7"/>
        </w:numPr>
        <w:ind w:left="1701" w:hanging="567"/>
      </w:pPr>
      <w:r w:rsidRPr="00306115">
        <w:rPr>
          <w:rFonts w:eastAsia="Calibri" w:cs="Bookman Old Style"/>
          <w:lang w:eastAsia="id-ID"/>
        </w:rPr>
        <w:t>melakukan sosialisasi pedoman penerapan Manajemen Risiko dan mengembangkan budaya risiko (</w:t>
      </w:r>
      <w:r w:rsidRPr="00306115">
        <w:rPr>
          <w:rFonts w:eastAsia="Calibri" w:cs="Bookman Old Style"/>
          <w:i/>
          <w:iCs/>
          <w:lang w:eastAsia="id-ID"/>
        </w:rPr>
        <w:t>risk culture</w:t>
      </w:r>
      <w:r w:rsidRPr="00306115">
        <w:rPr>
          <w:rFonts w:eastAsia="Calibri" w:cs="Bookman Old Style"/>
          <w:lang w:eastAsia="id-ID"/>
        </w:rPr>
        <w:t>) kepada seluruh pegawai pada setiap tingkatan organisasi Manajer Investasi agar memahami praktik Manajemen Risiko</w:t>
      </w:r>
      <w:r w:rsidR="006F7692" w:rsidRPr="00306115">
        <w:rPr>
          <w:rFonts w:eastAsia="Calibri" w:cs="Bookman Old Style"/>
          <w:lang w:eastAsia="id-ID"/>
        </w:rPr>
        <w:t>.</w:t>
      </w:r>
    </w:p>
    <w:p w14:paraId="3EC7D7F5" w14:textId="77777777" w:rsidR="003C28BA" w:rsidRPr="00306115" w:rsidRDefault="003C28BA" w:rsidP="00513BCE">
      <w:pPr>
        <w:pStyle w:val="HeadingAwalDaftarIsiLampiran"/>
        <w:numPr>
          <w:ilvl w:val="0"/>
          <w:numId w:val="0"/>
        </w:numPr>
        <w:ind w:left="1134"/>
      </w:pPr>
    </w:p>
    <w:p w14:paraId="39A111E5" w14:textId="6CA455F4" w:rsidR="006F7692" w:rsidRPr="00306115" w:rsidRDefault="003C28BA" w:rsidP="00513BCE">
      <w:pPr>
        <w:pStyle w:val="HeadingAwalDaftarIsiLampiran"/>
        <w:ind w:left="567" w:hanging="567"/>
      </w:pPr>
      <w:r w:rsidRPr="00306115">
        <w:t>PRINSIP UMUM PEDOMAN PENILAIAN TINGKAT KESEHATAN MANAJER INVESTASI</w:t>
      </w:r>
    </w:p>
    <w:p w14:paraId="64B4999B" w14:textId="1F7B541B" w:rsidR="006F7692" w:rsidRPr="00306115" w:rsidRDefault="00341E9E" w:rsidP="00513BCE">
      <w:pPr>
        <w:pStyle w:val="HeadingAwalDaftarIsiLampiran"/>
        <w:numPr>
          <w:ilvl w:val="0"/>
          <w:numId w:val="0"/>
        </w:numPr>
        <w:ind w:left="567"/>
        <w:rPr>
          <w:lang w:val="en-US"/>
        </w:rPr>
      </w:pPr>
      <w:r w:rsidRPr="00306115">
        <w:rPr>
          <w:lang w:val="en-US"/>
        </w:rPr>
        <w:t xml:space="preserve">Manajemen </w:t>
      </w:r>
      <w:r w:rsidR="00820A23" w:rsidRPr="00306115">
        <w:rPr>
          <w:lang w:val="en-US"/>
        </w:rPr>
        <w:t>Manajer Investasi perlu memperhatikan prinsip umum sebagai landasan dalam melakukan penilaian terhadap Tingkat Kesehatan Manajer Investasi beserta produk kelolaannya sebagai berikut:</w:t>
      </w:r>
    </w:p>
    <w:p w14:paraId="06FBF729" w14:textId="71F30D59" w:rsidR="002762C4" w:rsidRPr="00306115" w:rsidRDefault="00820A23" w:rsidP="0048052C">
      <w:pPr>
        <w:pStyle w:val="HeadingAwalDaftarIsiLampiran"/>
        <w:numPr>
          <w:ilvl w:val="0"/>
          <w:numId w:val="18"/>
        </w:numPr>
        <w:tabs>
          <w:tab w:val="left" w:pos="1560"/>
        </w:tabs>
        <w:ind w:left="1134" w:hanging="476"/>
      </w:pPr>
      <w:r w:rsidRPr="00306115">
        <w:t>Berorientasi</w:t>
      </w:r>
      <w:r w:rsidRPr="00306115">
        <w:rPr>
          <w:lang w:val="en-US"/>
        </w:rPr>
        <w:t xml:space="preserve"> Risiko</w:t>
      </w:r>
    </w:p>
    <w:p w14:paraId="5FDECB4E" w14:textId="17F43156" w:rsidR="002762C4" w:rsidRPr="00306115" w:rsidRDefault="002762C4" w:rsidP="00513BCE">
      <w:pPr>
        <w:pStyle w:val="HeadingAwalDaftarIsiLampiran"/>
        <w:numPr>
          <w:ilvl w:val="0"/>
          <w:numId w:val="0"/>
        </w:numPr>
        <w:ind w:left="1134"/>
      </w:pPr>
      <w:r w:rsidRPr="00306115">
        <w:rPr>
          <w:lang w:val="en-US"/>
        </w:rPr>
        <w:t xml:space="preserve">Pedoman </w:t>
      </w:r>
      <w:r w:rsidR="00F74F90" w:rsidRPr="00306115">
        <w:rPr>
          <w:lang w:val="en-US"/>
        </w:rPr>
        <w:t>p</w:t>
      </w:r>
      <w:r w:rsidRPr="00306115">
        <w:rPr>
          <w:lang w:val="en-US"/>
        </w:rPr>
        <w:t xml:space="preserve">enilaian Tingkat Kesehatan Manajer Investasi didasarkan pada </w:t>
      </w:r>
      <w:r w:rsidR="00806F7A" w:rsidRPr="00306115">
        <w:rPr>
          <w:lang w:val="en-US"/>
        </w:rPr>
        <w:t>r</w:t>
      </w:r>
      <w:r w:rsidRPr="00306115">
        <w:rPr>
          <w:lang w:val="en-US"/>
        </w:rPr>
        <w:t xml:space="preserve">isiko Produk Investasi, </w:t>
      </w:r>
      <w:r w:rsidR="00806F7A" w:rsidRPr="00306115">
        <w:rPr>
          <w:lang w:val="en-US"/>
        </w:rPr>
        <w:t>r</w:t>
      </w:r>
      <w:r w:rsidRPr="00306115">
        <w:rPr>
          <w:lang w:val="en-US"/>
        </w:rPr>
        <w:t xml:space="preserve">isiko Manajer Investasi, dan kinerja Manajer Investasi secara keseluruhan. </w:t>
      </w:r>
    </w:p>
    <w:p w14:paraId="7245190C" w14:textId="0B458DAE" w:rsidR="002762C4" w:rsidRPr="00306115" w:rsidRDefault="002762C4" w:rsidP="00513BCE">
      <w:pPr>
        <w:pStyle w:val="HeadingAwalDaftarIsiLampiran"/>
        <w:numPr>
          <w:ilvl w:val="0"/>
          <w:numId w:val="0"/>
        </w:numPr>
        <w:ind w:left="1134"/>
      </w:pPr>
      <w:r w:rsidRPr="00306115">
        <w:rPr>
          <w:lang w:val="en-US"/>
        </w:rPr>
        <w:t>Penilaian Tingkat Kesehatan Manajer Investasi dilakukan melalui identifikasi faktor internal dan eksternal yang berpotensi memengaruhi risiko atau kinerja Manajer Investasi secara keseluruhan</w:t>
      </w:r>
      <w:r w:rsidRPr="00306115">
        <w:t xml:space="preserve">, </w:t>
      </w:r>
      <w:r w:rsidRPr="00306115">
        <w:rPr>
          <w:lang w:val="en-US"/>
        </w:rPr>
        <w:t>pada saat ini maupun pada masa mendatang. Dengan demikian, Manajer Invetsasi diharapkan mampu mendeteksi secara lebih dini akar permasalahan yang dihadapi oleh Manajer Investasi beserta produk kelolannya, serta mengambil langkah-langkah pencegahan dan/atau perbaikan secara efektif dan efisien.</w:t>
      </w:r>
    </w:p>
    <w:p w14:paraId="612026F4" w14:textId="7EEBD440" w:rsidR="00223CA2" w:rsidRPr="00306115" w:rsidRDefault="00223CA2" w:rsidP="0048052C">
      <w:pPr>
        <w:pStyle w:val="HeadingAwalDaftarIsiLampiran"/>
        <w:numPr>
          <w:ilvl w:val="0"/>
          <w:numId w:val="18"/>
        </w:numPr>
        <w:tabs>
          <w:tab w:val="left" w:pos="1560"/>
        </w:tabs>
        <w:ind w:left="1134" w:hanging="476"/>
      </w:pPr>
      <w:r w:rsidRPr="00306115">
        <w:t>Proporsionalitas</w:t>
      </w:r>
    </w:p>
    <w:p w14:paraId="616622A4" w14:textId="6F017038" w:rsidR="000467CC" w:rsidRPr="00306115" w:rsidRDefault="000467CC" w:rsidP="00513BCE">
      <w:pPr>
        <w:pStyle w:val="HeadingAwalDaftarIsiLampiran"/>
        <w:numPr>
          <w:ilvl w:val="0"/>
          <w:numId w:val="0"/>
        </w:numPr>
        <w:ind w:left="1134"/>
        <w:rPr>
          <w:lang w:val="en-US"/>
        </w:rPr>
      </w:pPr>
      <w:r w:rsidRPr="00306115">
        <w:rPr>
          <w:lang w:val="en-US"/>
        </w:rPr>
        <w:lastRenderedPageBreak/>
        <w:t xml:space="preserve">Penggunaan parameter atau indikator dalam tiap faktor </w:t>
      </w:r>
      <w:r w:rsidR="00C046B4" w:rsidRPr="00306115">
        <w:rPr>
          <w:lang w:val="en-US"/>
        </w:rPr>
        <w:t>p</w:t>
      </w:r>
      <w:r w:rsidRPr="00306115">
        <w:rPr>
          <w:lang w:val="en-US"/>
        </w:rPr>
        <w:t xml:space="preserve">edoman </w:t>
      </w:r>
      <w:r w:rsidR="00C046B4" w:rsidRPr="00306115">
        <w:rPr>
          <w:lang w:val="en-US"/>
        </w:rPr>
        <w:t>p</w:t>
      </w:r>
      <w:r w:rsidRPr="00306115">
        <w:rPr>
          <w:lang w:val="en-US"/>
        </w:rPr>
        <w:t xml:space="preserve">enilaian Tingkat Kesehatan Manajer Investasi dilakukan dengan memperhatikan ukuran, kompleksitas usaha, dan kemampuan Manajer Investasi. Parameter atau indikator </w:t>
      </w:r>
      <w:r w:rsidR="00C046B4" w:rsidRPr="00306115">
        <w:rPr>
          <w:lang w:val="en-US"/>
        </w:rPr>
        <w:t xml:space="preserve">pedoman penilaian </w:t>
      </w:r>
      <w:r w:rsidRPr="00306115">
        <w:rPr>
          <w:lang w:val="en-US"/>
        </w:rPr>
        <w:t>Tingkat Kesehatan Manajer Investasi dalam Peraturan Anggota Dewan Komisioner Otoritas Jasa Keuangan ini merupakan standar minimum yang harus digunakan dalam menilai Tingkat Kesehatan Manajer Investasi.</w:t>
      </w:r>
    </w:p>
    <w:p w14:paraId="2676077E" w14:textId="253AFCB9" w:rsidR="000467CC" w:rsidRPr="00306115" w:rsidRDefault="000467CC" w:rsidP="00513BCE">
      <w:pPr>
        <w:pStyle w:val="HeadingAwalDaftarIsiLampiran"/>
        <w:numPr>
          <w:ilvl w:val="0"/>
          <w:numId w:val="0"/>
        </w:numPr>
        <w:ind w:left="1134"/>
        <w:rPr>
          <w:lang w:val="en-US"/>
        </w:rPr>
      </w:pPr>
      <w:r w:rsidRPr="00306115">
        <w:rPr>
          <w:lang w:val="en-US"/>
        </w:rPr>
        <w:t>Disamping itu, Manajer Investasi dapat menggunakan parameter atau indikator tambahan sesuai dengan ukuran, kompleksitas usaha, dan kemampuan Manajer Investasi, dalam menilai Tingkat Kesehatan Manajer Investasi sehingga mencerminkan kondisi Manajer Investasi dengan lebih baik</w:t>
      </w:r>
      <w:r w:rsidR="00C046B4" w:rsidRPr="00306115">
        <w:rPr>
          <w:lang w:val="en-US"/>
        </w:rPr>
        <w:t>.</w:t>
      </w:r>
    </w:p>
    <w:p w14:paraId="37FDCA68" w14:textId="26A9AEA5" w:rsidR="00223CA2" w:rsidRPr="00306115" w:rsidRDefault="00223CA2" w:rsidP="0048052C">
      <w:pPr>
        <w:pStyle w:val="HeadingAwalDaftarIsiLampiran"/>
        <w:numPr>
          <w:ilvl w:val="0"/>
          <w:numId w:val="18"/>
        </w:numPr>
        <w:tabs>
          <w:tab w:val="left" w:pos="1560"/>
        </w:tabs>
        <w:ind w:left="1134" w:hanging="476"/>
      </w:pPr>
      <w:r w:rsidRPr="00306115">
        <w:t>Materialitas</w:t>
      </w:r>
      <w:r w:rsidRPr="00306115">
        <w:rPr>
          <w:lang w:val="en-US"/>
        </w:rPr>
        <w:t xml:space="preserve"> dan Signifikansi</w:t>
      </w:r>
    </w:p>
    <w:p w14:paraId="0C97922D" w14:textId="33285234" w:rsidR="00B81780" w:rsidRPr="00306115" w:rsidRDefault="00B81780" w:rsidP="00513BCE">
      <w:pPr>
        <w:pStyle w:val="HeadingAwalDaftarIsiLampiran"/>
        <w:numPr>
          <w:ilvl w:val="0"/>
          <w:numId w:val="0"/>
        </w:numPr>
        <w:ind w:left="1134"/>
        <w:rPr>
          <w:lang w:val="en-US"/>
        </w:rPr>
      </w:pPr>
      <w:r w:rsidRPr="00306115">
        <w:rPr>
          <w:lang w:val="en-US"/>
        </w:rPr>
        <w:t xml:space="preserve">Dalam menyimpulkan hasil penilaian dan menetapkan peringkat </w:t>
      </w:r>
      <w:r w:rsidR="00704A00" w:rsidRPr="00306115">
        <w:rPr>
          <w:lang w:val="en-US"/>
        </w:rPr>
        <w:t>T</w:t>
      </w:r>
      <w:r w:rsidRPr="00306115">
        <w:rPr>
          <w:lang w:val="en-US"/>
        </w:rPr>
        <w:t>ingkat Kesehatan</w:t>
      </w:r>
      <w:r w:rsidR="00704A00" w:rsidRPr="00306115">
        <w:rPr>
          <w:lang w:val="en-US"/>
        </w:rPr>
        <w:t xml:space="preserve"> Manajer Investasi</w:t>
      </w:r>
      <w:r w:rsidRPr="00306115">
        <w:rPr>
          <w:lang w:val="en-US"/>
        </w:rPr>
        <w:t xml:space="preserve">, Manajer Investasi perlu memperhatikan materialitas dan signifikansi faktor </w:t>
      </w:r>
      <w:r w:rsidR="00704A00" w:rsidRPr="00306115">
        <w:rPr>
          <w:lang w:val="en-US"/>
        </w:rPr>
        <w:t>p</w:t>
      </w:r>
      <w:r w:rsidRPr="00306115">
        <w:rPr>
          <w:lang w:val="en-US"/>
        </w:rPr>
        <w:t>enilaian Tingkat Kesehatan Manajer Investasi yaitu profil risiko, penerapan tata kelola, rentabilitas, dan permodalan, serta materialitas dan signifikansi masing-masing parameter atau indikator penilaian pada setiap faktor.</w:t>
      </w:r>
    </w:p>
    <w:p w14:paraId="0AB2E8BF" w14:textId="177DCBAA" w:rsidR="00B81780" w:rsidRPr="00306115" w:rsidRDefault="00B81780" w:rsidP="00513BCE">
      <w:pPr>
        <w:pStyle w:val="HeadingAwalDaftarIsiLampiran"/>
        <w:numPr>
          <w:ilvl w:val="0"/>
          <w:numId w:val="0"/>
        </w:numPr>
        <w:ind w:left="1134"/>
      </w:pPr>
      <w:r w:rsidRPr="00306115">
        <w:rPr>
          <w:lang w:val="en-US"/>
        </w:rPr>
        <w:t>Penentuan materialitas dan signifikansi tersebut didasarkan pada analisis yang didukung oleh data dan/atau informasi yang memadai.</w:t>
      </w:r>
    </w:p>
    <w:p w14:paraId="7A172015" w14:textId="039B54D1" w:rsidR="00223CA2" w:rsidRPr="00306115" w:rsidRDefault="00223CA2">
      <w:pPr>
        <w:pStyle w:val="HeadingAwalDaftarIsiLampiran"/>
        <w:numPr>
          <w:ilvl w:val="0"/>
          <w:numId w:val="18"/>
        </w:numPr>
        <w:ind w:left="1134" w:hanging="567"/>
      </w:pPr>
      <w:r w:rsidRPr="00306115">
        <w:t>Komprehensif</w:t>
      </w:r>
      <w:r w:rsidRPr="00306115">
        <w:rPr>
          <w:lang w:val="en-US"/>
        </w:rPr>
        <w:t xml:space="preserve"> dan Terstruktur</w:t>
      </w:r>
    </w:p>
    <w:p w14:paraId="684C5227" w14:textId="06A68967" w:rsidR="001A6CE7" w:rsidRPr="00306115" w:rsidRDefault="001A6CE7" w:rsidP="00513BCE">
      <w:pPr>
        <w:pStyle w:val="HeadingAwalDaftarIsiLampiran"/>
        <w:numPr>
          <w:ilvl w:val="0"/>
          <w:numId w:val="0"/>
        </w:numPr>
        <w:ind w:left="1134"/>
        <w:rPr>
          <w:lang w:val="en-US"/>
        </w:rPr>
      </w:pPr>
      <w:r w:rsidRPr="00306115">
        <w:rPr>
          <w:lang w:val="en-US"/>
        </w:rPr>
        <w:t xml:space="preserve">Proses </w:t>
      </w:r>
      <w:r w:rsidR="00704A00" w:rsidRPr="00306115">
        <w:rPr>
          <w:lang w:val="en-US"/>
        </w:rPr>
        <w:t>p</w:t>
      </w:r>
      <w:r w:rsidRPr="00306115">
        <w:rPr>
          <w:lang w:val="en-US"/>
        </w:rPr>
        <w:t xml:space="preserve">enilaian Tingkat Kesehatan Manajer Investasi dilakukan secara menyeluruh dan sistematis serta difokuskan pada permasalahan utama Manajer Investasi. Analisis dilakukan secara terintegrasi, yaitu dengan mempertimbangkan keterkaitan antar risiko dan antar faktor </w:t>
      </w:r>
      <w:r w:rsidR="00704A00" w:rsidRPr="00306115">
        <w:rPr>
          <w:lang w:val="en-US"/>
        </w:rPr>
        <w:t>p</w:t>
      </w:r>
      <w:r w:rsidRPr="00306115">
        <w:rPr>
          <w:lang w:val="en-US"/>
        </w:rPr>
        <w:t>enilaian Tingkat Kesehatan Manajer Investasi. Analisis harus didukung oleh data dan/atau informasi serta metodologi yang relevan, untuk menunjukkan kondisi dan/atau permasalahan yang dihadapi oleh Manajer Investasi.</w:t>
      </w:r>
    </w:p>
    <w:p w14:paraId="3A3DE503" w14:textId="77777777" w:rsidR="00704A00" w:rsidRPr="00306115" w:rsidRDefault="00704A00" w:rsidP="00513BCE">
      <w:pPr>
        <w:pStyle w:val="HeadingAwalDaftarIsiLampiran"/>
        <w:numPr>
          <w:ilvl w:val="0"/>
          <w:numId w:val="0"/>
        </w:numPr>
        <w:ind w:left="1134"/>
      </w:pPr>
    </w:p>
    <w:p w14:paraId="6C7824ED" w14:textId="77777777" w:rsidR="0055497A" w:rsidRPr="00306115" w:rsidRDefault="00704A00" w:rsidP="0055497A">
      <w:pPr>
        <w:pStyle w:val="HeadingAwalDaftarIsiLampiran"/>
        <w:ind w:left="567" w:hanging="567"/>
        <w:rPr>
          <w:lang w:val="en-US"/>
        </w:rPr>
      </w:pPr>
      <w:r w:rsidRPr="00306115">
        <w:rPr>
          <w:lang w:val="en-US"/>
        </w:rPr>
        <w:t xml:space="preserve">PEDOMAN PENILAIAN TINGKAT KESEHATAN MANAJER INVESTASI </w:t>
      </w:r>
    </w:p>
    <w:p w14:paraId="1EBF09C3" w14:textId="77777777" w:rsidR="00FA3085" w:rsidRPr="00306115" w:rsidRDefault="00AC4647" w:rsidP="0055497A">
      <w:pPr>
        <w:pStyle w:val="HeadingAwalDaftarIsiLampiran"/>
        <w:numPr>
          <w:ilvl w:val="0"/>
          <w:numId w:val="0"/>
        </w:numPr>
        <w:ind w:left="567"/>
        <w:rPr>
          <w:lang w:val="en-US"/>
        </w:rPr>
      </w:pPr>
      <w:r w:rsidRPr="00306115">
        <w:rPr>
          <w:lang w:val="en-US"/>
        </w:rPr>
        <w:t xml:space="preserve">Sesuai dengan Peraturan Otoritas Jasa Keuangan, Penilaian Tingkat Kesehatan Manajer Investasi menggunakan pendekatan berdasarkan risiko. </w:t>
      </w:r>
    </w:p>
    <w:p w14:paraId="6977ECD1" w14:textId="0C6F23DA" w:rsidR="008E0948" w:rsidRPr="00306115" w:rsidRDefault="00AC4647" w:rsidP="0055497A">
      <w:pPr>
        <w:pStyle w:val="HeadingAwalDaftarIsiLampiran"/>
        <w:numPr>
          <w:ilvl w:val="0"/>
          <w:numId w:val="0"/>
        </w:numPr>
        <w:ind w:left="567"/>
        <w:rPr>
          <w:lang w:val="en-US"/>
        </w:rPr>
      </w:pPr>
      <w:r w:rsidRPr="00306115">
        <w:rPr>
          <w:lang w:val="en-US"/>
        </w:rPr>
        <w:t>Tata cara penilaian Tingkat Kesehatan Manajer Investasi mencakup penilaian terhadap faktor profil risiko, tata kelola, rentabilitas, dan permodalan dengan mekanisme sebagai berikut:</w:t>
      </w:r>
    </w:p>
    <w:p w14:paraId="4C1AA903" w14:textId="77777777" w:rsidR="00FA3085" w:rsidRPr="00306115" w:rsidRDefault="009E1273">
      <w:pPr>
        <w:numPr>
          <w:ilvl w:val="0"/>
          <w:numId w:val="9"/>
        </w:numPr>
        <w:autoSpaceDE w:val="0"/>
        <w:autoSpaceDN w:val="0"/>
        <w:adjustRightInd w:val="0"/>
        <w:spacing w:after="0" w:line="240" w:lineRule="auto"/>
        <w:ind w:left="1134" w:hanging="490"/>
        <w:rPr>
          <w:color w:val="000000" w:themeColor="text1"/>
          <w:szCs w:val="24"/>
          <w:lang w:val="en-US"/>
        </w:rPr>
      </w:pPr>
      <w:r w:rsidRPr="00306115">
        <w:rPr>
          <w:color w:val="000000" w:themeColor="text1"/>
          <w:szCs w:val="24"/>
        </w:rPr>
        <w:t>Penilaian Faktor Profil Risiko</w:t>
      </w:r>
    </w:p>
    <w:p w14:paraId="60E2EC01" w14:textId="280111F5" w:rsidR="000F3403" w:rsidRPr="00306115" w:rsidRDefault="00564CCB" w:rsidP="00FA3085">
      <w:pPr>
        <w:autoSpaceDE w:val="0"/>
        <w:autoSpaceDN w:val="0"/>
        <w:adjustRightInd w:val="0"/>
        <w:spacing w:after="0" w:line="240" w:lineRule="auto"/>
        <w:ind w:left="1134"/>
        <w:rPr>
          <w:color w:val="000000" w:themeColor="text1"/>
          <w:szCs w:val="24"/>
          <w:lang w:val="en-US"/>
        </w:rPr>
      </w:pPr>
      <w:r w:rsidRPr="00306115">
        <w:rPr>
          <w:color w:val="000000" w:themeColor="text1"/>
          <w:szCs w:val="24"/>
        </w:rPr>
        <w:t xml:space="preserve">Penilaian faktor profil risiko merupakan penilaian terhadap risiko inheren dan kualitas penerapan Manajemen Risiko dalam operasional Manajer Investasi. </w:t>
      </w:r>
    </w:p>
    <w:p w14:paraId="1851203B" w14:textId="27432D67" w:rsidR="00564CCB" w:rsidRPr="00306115" w:rsidRDefault="00564CCB" w:rsidP="00FA3085">
      <w:pPr>
        <w:autoSpaceDE w:val="0"/>
        <w:autoSpaceDN w:val="0"/>
        <w:adjustRightInd w:val="0"/>
        <w:spacing w:after="0" w:line="240" w:lineRule="auto"/>
        <w:ind w:left="1134"/>
        <w:rPr>
          <w:color w:val="000000" w:themeColor="text1"/>
          <w:szCs w:val="24"/>
        </w:rPr>
      </w:pPr>
      <w:r w:rsidRPr="00306115">
        <w:rPr>
          <w:color w:val="000000" w:themeColor="text1"/>
          <w:szCs w:val="24"/>
        </w:rPr>
        <w:t>Risiko</w:t>
      </w:r>
      <w:r w:rsidRPr="00306115">
        <w:rPr>
          <w:color w:val="000000" w:themeColor="text1"/>
        </w:rPr>
        <w:t xml:space="preserve"> yang dinilai terdiri atas </w:t>
      </w:r>
      <w:r w:rsidR="00D32075" w:rsidRPr="00306115">
        <w:rPr>
          <w:color w:val="000000" w:themeColor="text1"/>
        </w:rPr>
        <w:t>4 (empat)</w:t>
      </w:r>
      <w:r w:rsidR="00EB6732" w:rsidRPr="00306115">
        <w:rPr>
          <w:color w:val="000000" w:themeColor="text1"/>
        </w:rPr>
        <w:t xml:space="preserve"> risiko </w:t>
      </w:r>
      <w:r w:rsidR="00B211CF" w:rsidRPr="00306115">
        <w:rPr>
          <w:color w:val="000000" w:themeColor="text1"/>
        </w:rPr>
        <w:t xml:space="preserve">pada </w:t>
      </w:r>
      <w:r w:rsidR="009C4A18" w:rsidRPr="00306115">
        <w:rPr>
          <w:color w:val="000000" w:themeColor="text1"/>
        </w:rPr>
        <w:t xml:space="preserve">Produk Investasi sebagaimana dimaksud </w:t>
      </w:r>
      <w:r w:rsidR="004A7705" w:rsidRPr="00306115">
        <w:rPr>
          <w:color w:val="000000" w:themeColor="text1"/>
        </w:rPr>
        <w:t>pada</w:t>
      </w:r>
      <w:r w:rsidR="009C4A18" w:rsidRPr="00306115">
        <w:rPr>
          <w:color w:val="000000" w:themeColor="text1"/>
        </w:rPr>
        <w:t xml:space="preserve"> </w:t>
      </w:r>
      <w:r w:rsidR="00486C79" w:rsidRPr="00306115">
        <w:rPr>
          <w:color w:val="000000" w:themeColor="text1"/>
        </w:rPr>
        <w:t xml:space="preserve">Romawi II angka 5 </w:t>
      </w:r>
      <w:r w:rsidR="009C4A18" w:rsidRPr="00306115">
        <w:rPr>
          <w:color w:val="000000" w:themeColor="text1"/>
        </w:rPr>
        <w:t>huruf b angka 1) dan</w:t>
      </w:r>
      <w:r w:rsidR="00BA353D" w:rsidRPr="00306115">
        <w:rPr>
          <w:color w:val="000000" w:themeColor="text1"/>
        </w:rPr>
        <w:t xml:space="preserve"> </w:t>
      </w:r>
      <w:r w:rsidR="00EB6732" w:rsidRPr="00306115">
        <w:rPr>
          <w:color w:val="000000" w:themeColor="text1"/>
        </w:rPr>
        <w:t xml:space="preserve">6 (enam) </w:t>
      </w:r>
      <w:r w:rsidR="00BA353D" w:rsidRPr="00306115">
        <w:rPr>
          <w:color w:val="000000" w:themeColor="text1"/>
        </w:rPr>
        <w:t xml:space="preserve">risiko pada </w:t>
      </w:r>
      <w:r w:rsidR="009C4A18" w:rsidRPr="00306115">
        <w:rPr>
          <w:color w:val="000000" w:themeColor="text1"/>
        </w:rPr>
        <w:t xml:space="preserve">Manajer Investasi sebagaimana dimaksud </w:t>
      </w:r>
      <w:r w:rsidR="004A7705" w:rsidRPr="00306115">
        <w:rPr>
          <w:color w:val="000000" w:themeColor="text1"/>
        </w:rPr>
        <w:t>pada</w:t>
      </w:r>
      <w:r w:rsidR="009C4A18" w:rsidRPr="00306115">
        <w:rPr>
          <w:color w:val="000000" w:themeColor="text1"/>
        </w:rPr>
        <w:t xml:space="preserve"> </w:t>
      </w:r>
      <w:r w:rsidR="004C52DF" w:rsidRPr="00306115">
        <w:rPr>
          <w:color w:val="000000" w:themeColor="text1"/>
        </w:rPr>
        <w:t>Romawi II angka 5</w:t>
      </w:r>
      <w:r w:rsidR="00BA6CD5" w:rsidRPr="00306115">
        <w:rPr>
          <w:color w:val="000000" w:themeColor="text1"/>
        </w:rPr>
        <w:t xml:space="preserve"> </w:t>
      </w:r>
      <w:r w:rsidR="009C4A18" w:rsidRPr="00306115">
        <w:rPr>
          <w:color w:val="000000" w:themeColor="text1"/>
        </w:rPr>
        <w:t>huruf b angka 2</w:t>
      </w:r>
      <w:r w:rsidR="004C52DF" w:rsidRPr="00306115">
        <w:rPr>
          <w:color w:val="000000" w:themeColor="text1"/>
        </w:rPr>
        <w:t>)</w:t>
      </w:r>
      <w:r w:rsidR="00BA353D" w:rsidRPr="00306115">
        <w:rPr>
          <w:color w:val="000000" w:themeColor="text1"/>
        </w:rPr>
        <w:t>.</w:t>
      </w:r>
    </w:p>
    <w:p w14:paraId="42F97D7A" w14:textId="77777777" w:rsidR="00FD71B5" w:rsidRPr="00306115" w:rsidRDefault="00F37AB0">
      <w:pPr>
        <w:numPr>
          <w:ilvl w:val="0"/>
          <w:numId w:val="10"/>
        </w:numPr>
        <w:autoSpaceDE w:val="0"/>
        <w:autoSpaceDN w:val="0"/>
        <w:adjustRightInd w:val="0"/>
        <w:spacing w:after="0" w:line="240" w:lineRule="auto"/>
        <w:ind w:left="1701" w:hanging="567"/>
        <w:rPr>
          <w:color w:val="000000" w:themeColor="text1"/>
          <w:szCs w:val="24"/>
          <w:lang w:val="en-US"/>
        </w:rPr>
      </w:pPr>
      <w:r w:rsidRPr="00306115">
        <w:rPr>
          <w:color w:val="000000" w:themeColor="text1"/>
          <w:szCs w:val="24"/>
          <w:lang w:val="en-US"/>
        </w:rPr>
        <w:t>Penilaian Risiko Inheren</w:t>
      </w:r>
    </w:p>
    <w:p w14:paraId="1A75AA72" w14:textId="77777777" w:rsidR="00FD71B5" w:rsidRPr="00306115" w:rsidRDefault="00B96DBD" w:rsidP="00FD71B5">
      <w:pPr>
        <w:autoSpaceDE w:val="0"/>
        <w:autoSpaceDN w:val="0"/>
        <w:adjustRightInd w:val="0"/>
        <w:spacing w:after="0" w:line="240" w:lineRule="auto"/>
        <w:ind w:left="1701"/>
        <w:rPr>
          <w:color w:val="000000" w:themeColor="text1"/>
          <w:szCs w:val="24"/>
          <w:lang w:val="en-US"/>
        </w:rPr>
      </w:pPr>
      <w:r w:rsidRPr="00306115">
        <w:rPr>
          <w:color w:val="000000" w:themeColor="text1"/>
          <w:szCs w:val="24"/>
        </w:rPr>
        <w:t>Penilaian risiko inheren merupakan penilaian atas risiko yang melekat pada kegiatan bisnis Manajer Investasi, baik yang dapat dikuantifikasi maupun yang tidak dapat dikuantifikasi, yang berpotensi memengaruhi posisi keuangan Manajer Investasi.</w:t>
      </w:r>
    </w:p>
    <w:p w14:paraId="44A6D14A" w14:textId="77777777" w:rsidR="00FD71B5" w:rsidRPr="00306115" w:rsidRDefault="00B96DBD" w:rsidP="00FD71B5">
      <w:pPr>
        <w:autoSpaceDE w:val="0"/>
        <w:autoSpaceDN w:val="0"/>
        <w:adjustRightInd w:val="0"/>
        <w:spacing w:after="0" w:line="240" w:lineRule="auto"/>
        <w:ind w:left="1701"/>
        <w:rPr>
          <w:color w:val="000000" w:themeColor="text1"/>
          <w:szCs w:val="24"/>
          <w:lang w:val="en-US"/>
        </w:rPr>
      </w:pPr>
      <w:r w:rsidRPr="00306115">
        <w:rPr>
          <w:color w:val="000000" w:themeColor="text1"/>
          <w:szCs w:val="24"/>
        </w:rPr>
        <w:lastRenderedPageBreak/>
        <w:t>Risiko inheren pada Manajer Investasi dapat dipengaruhi faktor internal maupun eksternal, antara lain karakteristik dan strategi bisnis, kompleksitas kegiatan usaha dan produk, kondisi industri Pengelolaan Investasi, dan kondisi makro ekonomi.</w:t>
      </w:r>
    </w:p>
    <w:p w14:paraId="46C24AF7" w14:textId="3887C978" w:rsidR="009F762B" w:rsidRPr="00306115" w:rsidRDefault="00B96DBD" w:rsidP="00FD71B5">
      <w:pPr>
        <w:autoSpaceDE w:val="0"/>
        <w:autoSpaceDN w:val="0"/>
        <w:adjustRightInd w:val="0"/>
        <w:spacing w:after="0" w:line="240" w:lineRule="auto"/>
        <w:ind w:left="1701"/>
        <w:rPr>
          <w:color w:val="000000" w:themeColor="text1"/>
          <w:szCs w:val="24"/>
          <w:lang w:val="en-US"/>
        </w:rPr>
      </w:pPr>
      <w:r w:rsidRPr="00306115">
        <w:rPr>
          <w:color w:val="000000" w:themeColor="text1"/>
          <w:szCs w:val="24"/>
        </w:rPr>
        <w:t>Penilaian atas risiko inheren dilakukan dengan memperhatikan parameter atau indikator yang bersifat kuantitatif maupun kualitatif. Penetapan tingkat risiko inheren atas masing-masing jenis risiko mengacu pada prinsip umum penilaian Tingkat Kesehatan Manajer Investasi. Penetapan tingkat risiko inheren untuk masing-masing jenis risiko dikategorikan ke dalam</w:t>
      </w:r>
      <w:r w:rsidR="00044022" w:rsidRPr="00306115">
        <w:rPr>
          <w:color w:val="000000" w:themeColor="text1"/>
          <w:szCs w:val="24"/>
        </w:rPr>
        <w:t xml:space="preserve"> 5 (lima) peringkat, yaitu</w:t>
      </w:r>
      <w:r w:rsidR="009F762B" w:rsidRPr="00306115">
        <w:rPr>
          <w:color w:val="000000" w:themeColor="text1"/>
          <w:szCs w:val="24"/>
        </w:rPr>
        <w:t>:</w:t>
      </w:r>
    </w:p>
    <w:p w14:paraId="18F6CDC3" w14:textId="556D82F8" w:rsidR="009F762B" w:rsidRPr="00306115" w:rsidRDefault="006E7151">
      <w:pPr>
        <w:pStyle w:val="ListParagraph"/>
        <w:numPr>
          <w:ilvl w:val="0"/>
          <w:numId w:val="20"/>
        </w:numPr>
        <w:autoSpaceDE w:val="0"/>
        <w:autoSpaceDN w:val="0"/>
        <w:adjustRightInd w:val="0"/>
        <w:spacing w:after="0" w:line="240" w:lineRule="auto"/>
        <w:ind w:left="2268" w:hanging="567"/>
        <w:rPr>
          <w:color w:val="000000" w:themeColor="text1"/>
          <w:szCs w:val="24"/>
        </w:rPr>
      </w:pPr>
      <w:r w:rsidRPr="00306115">
        <w:rPr>
          <w:color w:val="000000" w:themeColor="text1"/>
          <w:szCs w:val="24"/>
        </w:rPr>
        <w:t>p</w:t>
      </w:r>
      <w:r w:rsidR="00B96DBD" w:rsidRPr="00306115">
        <w:rPr>
          <w:color w:val="000000" w:themeColor="text1"/>
          <w:szCs w:val="24"/>
        </w:rPr>
        <w:t>eringkat 1 (</w:t>
      </w:r>
      <w:r w:rsidR="00B96DBD" w:rsidRPr="00306115">
        <w:rPr>
          <w:i/>
          <w:iCs/>
          <w:color w:val="000000" w:themeColor="text1"/>
          <w:szCs w:val="24"/>
        </w:rPr>
        <w:t>low</w:t>
      </w:r>
      <w:r w:rsidR="00B96DBD" w:rsidRPr="00306115">
        <w:rPr>
          <w:color w:val="000000" w:themeColor="text1"/>
          <w:szCs w:val="24"/>
        </w:rPr>
        <w:t>)</w:t>
      </w:r>
      <w:r w:rsidR="009F762B" w:rsidRPr="00306115">
        <w:rPr>
          <w:color w:val="000000" w:themeColor="text1"/>
          <w:szCs w:val="24"/>
        </w:rPr>
        <w:t>;</w:t>
      </w:r>
    </w:p>
    <w:p w14:paraId="25B1240F" w14:textId="237A1377" w:rsidR="009F762B" w:rsidRPr="00306115" w:rsidRDefault="006E7151">
      <w:pPr>
        <w:pStyle w:val="ListParagraph"/>
        <w:numPr>
          <w:ilvl w:val="0"/>
          <w:numId w:val="20"/>
        </w:numPr>
        <w:autoSpaceDE w:val="0"/>
        <w:autoSpaceDN w:val="0"/>
        <w:adjustRightInd w:val="0"/>
        <w:spacing w:after="0" w:line="240" w:lineRule="auto"/>
        <w:ind w:left="2268" w:hanging="567"/>
        <w:rPr>
          <w:color w:val="000000" w:themeColor="text1"/>
          <w:szCs w:val="24"/>
        </w:rPr>
      </w:pPr>
      <w:r w:rsidRPr="00306115">
        <w:rPr>
          <w:color w:val="000000" w:themeColor="text1"/>
          <w:szCs w:val="24"/>
        </w:rPr>
        <w:t>p</w:t>
      </w:r>
      <w:r w:rsidR="00B96DBD" w:rsidRPr="00306115">
        <w:rPr>
          <w:color w:val="000000" w:themeColor="text1"/>
          <w:szCs w:val="24"/>
        </w:rPr>
        <w:t>eringkat 2 (</w:t>
      </w:r>
      <w:r w:rsidR="00B96DBD" w:rsidRPr="00306115">
        <w:rPr>
          <w:i/>
          <w:iCs/>
          <w:color w:val="000000" w:themeColor="text1"/>
          <w:szCs w:val="24"/>
        </w:rPr>
        <w:t>low to moderate</w:t>
      </w:r>
      <w:r w:rsidR="00B96DBD" w:rsidRPr="00306115">
        <w:rPr>
          <w:color w:val="000000" w:themeColor="text1"/>
          <w:szCs w:val="24"/>
        </w:rPr>
        <w:t>)</w:t>
      </w:r>
      <w:r w:rsidR="009F762B" w:rsidRPr="00306115">
        <w:rPr>
          <w:color w:val="000000" w:themeColor="text1"/>
          <w:szCs w:val="24"/>
        </w:rPr>
        <w:t>;</w:t>
      </w:r>
    </w:p>
    <w:p w14:paraId="0B40006C" w14:textId="26F5D16B" w:rsidR="009F762B" w:rsidRPr="00306115" w:rsidRDefault="006E7151">
      <w:pPr>
        <w:pStyle w:val="ListParagraph"/>
        <w:numPr>
          <w:ilvl w:val="0"/>
          <w:numId w:val="20"/>
        </w:numPr>
        <w:autoSpaceDE w:val="0"/>
        <w:autoSpaceDN w:val="0"/>
        <w:adjustRightInd w:val="0"/>
        <w:spacing w:after="0" w:line="240" w:lineRule="auto"/>
        <w:ind w:left="2268" w:hanging="567"/>
        <w:rPr>
          <w:color w:val="000000" w:themeColor="text1"/>
          <w:szCs w:val="24"/>
        </w:rPr>
      </w:pPr>
      <w:r w:rsidRPr="00306115">
        <w:rPr>
          <w:color w:val="000000" w:themeColor="text1"/>
          <w:szCs w:val="24"/>
        </w:rPr>
        <w:t>p</w:t>
      </w:r>
      <w:r w:rsidR="00B96DBD" w:rsidRPr="00306115">
        <w:rPr>
          <w:color w:val="000000" w:themeColor="text1"/>
          <w:szCs w:val="24"/>
        </w:rPr>
        <w:t>eringkat 3 (</w:t>
      </w:r>
      <w:r w:rsidR="00B96DBD" w:rsidRPr="00306115">
        <w:rPr>
          <w:i/>
          <w:iCs/>
          <w:color w:val="000000" w:themeColor="text1"/>
          <w:szCs w:val="24"/>
        </w:rPr>
        <w:t>moderate</w:t>
      </w:r>
      <w:r w:rsidR="00B96DBD" w:rsidRPr="00306115">
        <w:rPr>
          <w:color w:val="000000" w:themeColor="text1"/>
          <w:szCs w:val="24"/>
        </w:rPr>
        <w:t>)</w:t>
      </w:r>
      <w:r w:rsidR="009F762B" w:rsidRPr="00306115">
        <w:rPr>
          <w:color w:val="000000" w:themeColor="text1"/>
          <w:szCs w:val="24"/>
        </w:rPr>
        <w:t>;</w:t>
      </w:r>
    </w:p>
    <w:p w14:paraId="1450AB41" w14:textId="3AE2DFF1" w:rsidR="009F762B" w:rsidRPr="00306115" w:rsidRDefault="006E7151">
      <w:pPr>
        <w:pStyle w:val="ListParagraph"/>
        <w:numPr>
          <w:ilvl w:val="0"/>
          <w:numId w:val="20"/>
        </w:numPr>
        <w:autoSpaceDE w:val="0"/>
        <w:autoSpaceDN w:val="0"/>
        <w:adjustRightInd w:val="0"/>
        <w:spacing w:after="0" w:line="240" w:lineRule="auto"/>
        <w:ind w:left="2268" w:hanging="567"/>
        <w:rPr>
          <w:color w:val="000000" w:themeColor="text1"/>
          <w:szCs w:val="24"/>
        </w:rPr>
      </w:pPr>
      <w:r w:rsidRPr="00306115">
        <w:rPr>
          <w:color w:val="000000" w:themeColor="text1"/>
          <w:szCs w:val="24"/>
        </w:rPr>
        <w:t>p</w:t>
      </w:r>
      <w:r w:rsidR="00B96DBD" w:rsidRPr="00306115">
        <w:rPr>
          <w:color w:val="000000" w:themeColor="text1"/>
          <w:szCs w:val="24"/>
        </w:rPr>
        <w:t>eringkat 4 (</w:t>
      </w:r>
      <w:r w:rsidR="00B96DBD" w:rsidRPr="00306115">
        <w:rPr>
          <w:i/>
          <w:iCs/>
          <w:color w:val="000000" w:themeColor="text1"/>
          <w:szCs w:val="24"/>
        </w:rPr>
        <w:t>moderate to high</w:t>
      </w:r>
      <w:r w:rsidR="00B96DBD" w:rsidRPr="00306115">
        <w:rPr>
          <w:color w:val="000000" w:themeColor="text1"/>
          <w:szCs w:val="24"/>
        </w:rPr>
        <w:t>)</w:t>
      </w:r>
      <w:r w:rsidR="009F762B" w:rsidRPr="00306115">
        <w:rPr>
          <w:color w:val="000000" w:themeColor="text1"/>
          <w:szCs w:val="24"/>
        </w:rPr>
        <w:t>; dan</w:t>
      </w:r>
    </w:p>
    <w:p w14:paraId="146D7C10" w14:textId="5D1FB6D1" w:rsidR="00B96DBD" w:rsidRPr="00306115" w:rsidRDefault="006E7151">
      <w:pPr>
        <w:pStyle w:val="ListParagraph"/>
        <w:numPr>
          <w:ilvl w:val="0"/>
          <w:numId w:val="20"/>
        </w:numPr>
        <w:autoSpaceDE w:val="0"/>
        <w:autoSpaceDN w:val="0"/>
        <w:adjustRightInd w:val="0"/>
        <w:spacing w:after="0" w:line="240" w:lineRule="auto"/>
        <w:ind w:left="2268" w:hanging="567"/>
        <w:rPr>
          <w:color w:val="000000" w:themeColor="text1"/>
          <w:szCs w:val="24"/>
        </w:rPr>
      </w:pPr>
      <w:r w:rsidRPr="00306115">
        <w:rPr>
          <w:color w:val="000000" w:themeColor="text1"/>
          <w:szCs w:val="24"/>
        </w:rPr>
        <w:t>p</w:t>
      </w:r>
      <w:r w:rsidR="00B96DBD" w:rsidRPr="00306115">
        <w:rPr>
          <w:color w:val="000000" w:themeColor="text1"/>
          <w:szCs w:val="24"/>
        </w:rPr>
        <w:t>eringkat 5 (</w:t>
      </w:r>
      <w:r w:rsidR="00B96DBD" w:rsidRPr="00306115">
        <w:rPr>
          <w:i/>
          <w:iCs/>
          <w:color w:val="000000" w:themeColor="text1"/>
          <w:szCs w:val="24"/>
        </w:rPr>
        <w:t>high</w:t>
      </w:r>
      <w:r w:rsidR="00B96DBD" w:rsidRPr="00306115">
        <w:rPr>
          <w:color w:val="000000" w:themeColor="text1"/>
          <w:szCs w:val="24"/>
        </w:rPr>
        <w:t>).</w:t>
      </w:r>
    </w:p>
    <w:p w14:paraId="49768B22" w14:textId="77777777" w:rsidR="00900CCE" w:rsidRPr="00306115" w:rsidRDefault="00B96DBD" w:rsidP="00FD71B5">
      <w:pPr>
        <w:autoSpaceDE w:val="0"/>
        <w:autoSpaceDN w:val="0"/>
        <w:adjustRightInd w:val="0"/>
        <w:spacing w:after="0" w:line="240" w:lineRule="auto"/>
        <w:ind w:left="1701"/>
        <w:rPr>
          <w:color w:val="000000" w:themeColor="text1"/>
          <w:szCs w:val="24"/>
        </w:rPr>
      </w:pPr>
      <w:r w:rsidRPr="00306115">
        <w:rPr>
          <w:color w:val="000000" w:themeColor="text1"/>
          <w:szCs w:val="24"/>
        </w:rPr>
        <w:t>Terdapat beberapa parameter atau indikator minimum yang harus dijadikan acuan oleh Manajer Investasi dalam menilai risiko inheren. Manajer Investasi dapat menambah parameter atau indikator lain yang relevan dengan ukuran, kompleksitas usaha, dan kemampuan Manajer Investasi dengan memperhatikan prinsip proporsionalitas.</w:t>
      </w:r>
    </w:p>
    <w:p w14:paraId="58275713" w14:textId="7DA48F15" w:rsidR="009F762B" w:rsidRPr="00306115" w:rsidRDefault="00900CCE">
      <w:pPr>
        <w:numPr>
          <w:ilvl w:val="0"/>
          <w:numId w:val="26"/>
        </w:numPr>
        <w:autoSpaceDE w:val="0"/>
        <w:autoSpaceDN w:val="0"/>
        <w:adjustRightInd w:val="0"/>
        <w:spacing w:after="0" w:line="240" w:lineRule="auto"/>
        <w:ind w:left="2268" w:hanging="567"/>
        <w:rPr>
          <w:color w:val="000000" w:themeColor="text1"/>
          <w:szCs w:val="24"/>
        </w:rPr>
      </w:pPr>
      <w:r w:rsidRPr="00306115">
        <w:rPr>
          <w:color w:val="000000" w:themeColor="text1"/>
          <w:szCs w:val="24"/>
          <w:lang w:val="en-US"/>
        </w:rPr>
        <w:t>Penilaian</w:t>
      </w:r>
      <w:r w:rsidRPr="00306115">
        <w:rPr>
          <w:color w:val="000000" w:themeColor="text1"/>
          <w:szCs w:val="24"/>
        </w:rPr>
        <w:t xml:space="preserve"> Risiko </w:t>
      </w:r>
      <w:r w:rsidR="009A03B8" w:rsidRPr="00306115">
        <w:rPr>
          <w:color w:val="000000" w:themeColor="text1"/>
          <w:szCs w:val="24"/>
        </w:rPr>
        <w:t xml:space="preserve">pada </w:t>
      </w:r>
      <w:r w:rsidRPr="00306115">
        <w:rPr>
          <w:color w:val="000000" w:themeColor="text1"/>
          <w:szCs w:val="24"/>
        </w:rPr>
        <w:t>Produk Investasi</w:t>
      </w:r>
    </w:p>
    <w:p w14:paraId="3708F6DD" w14:textId="7446537B" w:rsidR="009A03B8" w:rsidRPr="00306115" w:rsidRDefault="00900CCE" w:rsidP="00513BCE">
      <w:pPr>
        <w:autoSpaceDE w:val="0"/>
        <w:autoSpaceDN w:val="0"/>
        <w:adjustRightInd w:val="0"/>
        <w:spacing w:after="0" w:line="240" w:lineRule="auto"/>
        <w:ind w:left="2268"/>
        <w:rPr>
          <w:color w:val="000000" w:themeColor="text1"/>
          <w:szCs w:val="24"/>
        </w:rPr>
      </w:pPr>
      <w:r w:rsidRPr="00306115">
        <w:rPr>
          <w:color w:val="000000" w:themeColor="text1"/>
          <w:szCs w:val="24"/>
        </w:rPr>
        <w:t xml:space="preserve">Penilaian atas risiko </w:t>
      </w:r>
      <w:r w:rsidR="009A03B8" w:rsidRPr="00306115">
        <w:rPr>
          <w:color w:val="000000" w:themeColor="text1"/>
          <w:szCs w:val="24"/>
        </w:rPr>
        <w:t xml:space="preserve">pada </w:t>
      </w:r>
      <w:r w:rsidRPr="00306115">
        <w:rPr>
          <w:color w:val="000000" w:themeColor="text1"/>
          <w:szCs w:val="24"/>
        </w:rPr>
        <w:t>Produk Investasi dilakukan atas seluruh Produk Investasi yang dikelola oleh Manajer Investasi, dengan memperhatikan parameter atau indikator yang bersifat kuantitatif maupun kualitatif terhadap 4 (empat) jenis risiko, yaitu:</w:t>
      </w:r>
    </w:p>
    <w:p w14:paraId="41D9DDAB" w14:textId="77777777" w:rsidR="009A03B8" w:rsidRPr="00306115" w:rsidRDefault="000F3403">
      <w:pPr>
        <w:pStyle w:val="ListParagraph"/>
        <w:numPr>
          <w:ilvl w:val="0"/>
          <w:numId w:val="21"/>
        </w:numPr>
        <w:autoSpaceDE w:val="0"/>
        <w:autoSpaceDN w:val="0"/>
        <w:adjustRightInd w:val="0"/>
        <w:spacing w:after="0" w:line="240" w:lineRule="auto"/>
        <w:ind w:left="2835" w:hanging="567"/>
        <w:rPr>
          <w:color w:val="000000" w:themeColor="text1"/>
          <w:szCs w:val="24"/>
        </w:rPr>
      </w:pPr>
      <w:r w:rsidRPr="00306115">
        <w:rPr>
          <w:color w:val="000000" w:themeColor="text1"/>
          <w:szCs w:val="24"/>
        </w:rPr>
        <w:t>Risiko Pasar</w:t>
      </w:r>
    </w:p>
    <w:p w14:paraId="720EF615" w14:textId="448BD91D" w:rsidR="00900CCE" w:rsidRPr="00306115" w:rsidRDefault="000F3403" w:rsidP="00513BCE">
      <w:pPr>
        <w:pStyle w:val="ListParagraph"/>
        <w:autoSpaceDE w:val="0"/>
        <w:autoSpaceDN w:val="0"/>
        <w:adjustRightInd w:val="0"/>
        <w:spacing w:after="0" w:line="240" w:lineRule="auto"/>
        <w:ind w:left="2835"/>
        <w:rPr>
          <w:color w:val="000000" w:themeColor="text1"/>
          <w:szCs w:val="24"/>
        </w:rPr>
      </w:pPr>
      <w:r w:rsidRPr="00306115">
        <w:rPr>
          <w:color w:val="000000" w:themeColor="text1"/>
          <w:szCs w:val="24"/>
        </w:rPr>
        <w:t>Dalam menilai Risiko Pasar, parameter atau indikator yang digunakan meliputi:</w:t>
      </w:r>
    </w:p>
    <w:p w14:paraId="65EFD5C0" w14:textId="1551A277" w:rsidR="00D24814" w:rsidRPr="00306115" w:rsidRDefault="008E791D">
      <w:pPr>
        <w:pStyle w:val="ListParagraph"/>
        <w:numPr>
          <w:ilvl w:val="0"/>
          <w:numId w:val="11"/>
        </w:numPr>
        <w:autoSpaceDE w:val="0"/>
        <w:autoSpaceDN w:val="0"/>
        <w:adjustRightInd w:val="0"/>
        <w:spacing w:after="0" w:line="240" w:lineRule="auto"/>
        <w:ind w:left="3402" w:hanging="567"/>
        <w:rPr>
          <w:i/>
          <w:iCs/>
          <w:color w:val="000000" w:themeColor="text1"/>
          <w:szCs w:val="24"/>
        </w:rPr>
      </w:pPr>
      <w:r w:rsidRPr="00306115">
        <w:rPr>
          <w:i/>
          <w:iCs/>
          <w:color w:val="000000" w:themeColor="text1"/>
          <w:szCs w:val="24"/>
        </w:rPr>
        <w:t>VaR-Cornish-Fisher Equivalent Volatility (VEV)</w:t>
      </w:r>
      <w:r w:rsidR="00D24814" w:rsidRPr="00306115">
        <w:rPr>
          <w:i/>
          <w:iCs/>
          <w:color w:val="000000" w:themeColor="text1"/>
          <w:szCs w:val="24"/>
        </w:rPr>
        <w:t>;</w:t>
      </w:r>
    </w:p>
    <w:p w14:paraId="3CE80BE7" w14:textId="72EFEA6D" w:rsidR="00D24814" w:rsidRPr="00306115" w:rsidRDefault="00823AC5">
      <w:pPr>
        <w:pStyle w:val="ListParagraph"/>
        <w:numPr>
          <w:ilvl w:val="0"/>
          <w:numId w:val="11"/>
        </w:numPr>
        <w:autoSpaceDE w:val="0"/>
        <w:autoSpaceDN w:val="0"/>
        <w:adjustRightInd w:val="0"/>
        <w:spacing w:after="0" w:line="240" w:lineRule="auto"/>
        <w:ind w:left="3402" w:hanging="567"/>
        <w:rPr>
          <w:i/>
          <w:iCs/>
          <w:color w:val="000000" w:themeColor="text1"/>
          <w:szCs w:val="24"/>
        </w:rPr>
      </w:pPr>
      <w:r w:rsidRPr="00306115">
        <w:rPr>
          <w:i/>
          <w:iCs/>
          <w:color w:val="000000" w:themeColor="text1"/>
          <w:szCs w:val="24"/>
        </w:rPr>
        <w:t>b</w:t>
      </w:r>
      <w:r w:rsidR="00D24814" w:rsidRPr="00306115">
        <w:rPr>
          <w:i/>
          <w:iCs/>
          <w:color w:val="000000" w:themeColor="text1"/>
          <w:szCs w:val="24"/>
        </w:rPr>
        <w:t xml:space="preserve">eta </w:t>
      </w:r>
      <w:r w:rsidRPr="00306115">
        <w:rPr>
          <w:i/>
          <w:iCs/>
          <w:color w:val="000000" w:themeColor="text1"/>
          <w:szCs w:val="24"/>
        </w:rPr>
        <w:t>c</w:t>
      </w:r>
      <w:r w:rsidR="00D24814" w:rsidRPr="00306115">
        <w:rPr>
          <w:i/>
          <w:iCs/>
          <w:color w:val="000000" w:themeColor="text1"/>
          <w:szCs w:val="24"/>
        </w:rPr>
        <w:t>oefficient;</w:t>
      </w:r>
      <w:r w:rsidR="001868E1" w:rsidRPr="00306115">
        <w:rPr>
          <w:i/>
          <w:iCs/>
          <w:color w:val="000000" w:themeColor="text1"/>
          <w:szCs w:val="24"/>
        </w:rPr>
        <w:t xml:space="preserve"> dan/atau</w:t>
      </w:r>
    </w:p>
    <w:p w14:paraId="2265D328" w14:textId="55A9949E" w:rsidR="001868E1" w:rsidRPr="00306115" w:rsidRDefault="001868E1">
      <w:pPr>
        <w:pStyle w:val="ListParagraph"/>
        <w:numPr>
          <w:ilvl w:val="0"/>
          <w:numId w:val="11"/>
        </w:numPr>
        <w:autoSpaceDE w:val="0"/>
        <w:autoSpaceDN w:val="0"/>
        <w:adjustRightInd w:val="0"/>
        <w:spacing w:after="0" w:line="240" w:lineRule="auto"/>
        <w:ind w:left="3402" w:hanging="567"/>
        <w:rPr>
          <w:color w:val="000000" w:themeColor="text1"/>
          <w:szCs w:val="24"/>
        </w:rPr>
      </w:pPr>
      <w:r w:rsidRPr="00306115">
        <w:rPr>
          <w:i/>
          <w:iCs/>
          <w:color w:val="000000" w:themeColor="text1"/>
          <w:szCs w:val="24"/>
          <w:lang w:val="en-GB"/>
        </w:rPr>
        <w:t>durasi surat utang.</w:t>
      </w:r>
    </w:p>
    <w:p w14:paraId="583CD60B" w14:textId="77777777" w:rsidR="0083060C" w:rsidRPr="00306115" w:rsidRDefault="0083060C">
      <w:pPr>
        <w:pStyle w:val="ListParagraph"/>
        <w:numPr>
          <w:ilvl w:val="0"/>
          <w:numId w:val="21"/>
        </w:numPr>
        <w:autoSpaceDE w:val="0"/>
        <w:autoSpaceDN w:val="0"/>
        <w:adjustRightInd w:val="0"/>
        <w:spacing w:after="0" w:line="240" w:lineRule="auto"/>
        <w:ind w:left="2835" w:hanging="567"/>
        <w:rPr>
          <w:color w:val="000000" w:themeColor="text1"/>
          <w:szCs w:val="24"/>
        </w:rPr>
      </w:pPr>
      <w:r w:rsidRPr="00306115">
        <w:rPr>
          <w:color w:val="000000" w:themeColor="text1"/>
          <w:szCs w:val="24"/>
        </w:rPr>
        <w:t>Risiko Likuiditas Produk Investasi</w:t>
      </w:r>
    </w:p>
    <w:p w14:paraId="1CED2961" w14:textId="0E831083" w:rsidR="00D24814" w:rsidRPr="00306115" w:rsidRDefault="0083060C" w:rsidP="00513BCE">
      <w:pPr>
        <w:pStyle w:val="ListParagraph"/>
        <w:autoSpaceDE w:val="0"/>
        <w:autoSpaceDN w:val="0"/>
        <w:adjustRightInd w:val="0"/>
        <w:spacing w:after="0" w:line="240" w:lineRule="auto"/>
        <w:ind w:left="2835"/>
        <w:rPr>
          <w:color w:val="000000" w:themeColor="text1"/>
          <w:szCs w:val="24"/>
        </w:rPr>
      </w:pPr>
      <w:r w:rsidRPr="00306115">
        <w:rPr>
          <w:color w:val="000000" w:themeColor="text1"/>
          <w:szCs w:val="24"/>
        </w:rPr>
        <w:t>Dalam menilai Risiko Likuiditas Produk Investasi, parameter atau indikator yang digunakan meliputi:</w:t>
      </w:r>
    </w:p>
    <w:p w14:paraId="2C4C64A1" w14:textId="73EEAA05" w:rsidR="0083060C" w:rsidRPr="00306115" w:rsidRDefault="004D39E8">
      <w:pPr>
        <w:pStyle w:val="ListParagraph"/>
        <w:numPr>
          <w:ilvl w:val="3"/>
          <w:numId w:val="19"/>
        </w:numPr>
        <w:autoSpaceDE w:val="0"/>
        <w:autoSpaceDN w:val="0"/>
        <w:adjustRightInd w:val="0"/>
        <w:spacing w:after="0" w:line="240" w:lineRule="auto"/>
        <w:ind w:left="3402" w:hanging="567"/>
        <w:rPr>
          <w:color w:val="000000" w:themeColor="text1"/>
          <w:szCs w:val="24"/>
        </w:rPr>
      </w:pPr>
      <w:r w:rsidRPr="00306115">
        <w:rPr>
          <w:color w:val="000000" w:themeColor="text1"/>
          <w:szCs w:val="24"/>
        </w:rPr>
        <w:t>r</w:t>
      </w:r>
      <w:r w:rsidR="00513BCE" w:rsidRPr="00306115">
        <w:rPr>
          <w:color w:val="000000" w:themeColor="text1"/>
          <w:szCs w:val="24"/>
        </w:rPr>
        <w:t>ata-rata jumlah hari yang diperlukan untuk melikuidasi Efek dalam portofolio; dan/atau</w:t>
      </w:r>
    </w:p>
    <w:p w14:paraId="44CC136F" w14:textId="727B53F6" w:rsidR="00513BCE" w:rsidRPr="00306115" w:rsidRDefault="00C90DC1">
      <w:pPr>
        <w:pStyle w:val="ListParagraph"/>
        <w:numPr>
          <w:ilvl w:val="3"/>
          <w:numId w:val="19"/>
        </w:numPr>
        <w:autoSpaceDE w:val="0"/>
        <w:autoSpaceDN w:val="0"/>
        <w:adjustRightInd w:val="0"/>
        <w:spacing w:after="0" w:line="240" w:lineRule="auto"/>
        <w:ind w:left="3402" w:hanging="567"/>
        <w:rPr>
          <w:color w:val="000000" w:themeColor="text1"/>
          <w:szCs w:val="24"/>
        </w:rPr>
      </w:pPr>
      <w:r w:rsidRPr="00306115">
        <w:rPr>
          <w:color w:val="000000" w:themeColor="text1"/>
          <w:szCs w:val="24"/>
          <w:lang w:val="en-GB"/>
        </w:rPr>
        <w:t>rata-</w:t>
      </w:r>
      <w:r w:rsidR="005B07F3" w:rsidRPr="00306115">
        <w:rPr>
          <w:color w:val="000000" w:themeColor="text1"/>
          <w:szCs w:val="24"/>
          <w:lang w:val="en-GB"/>
        </w:rPr>
        <w:t>r</w:t>
      </w:r>
      <w:r w:rsidRPr="00306115">
        <w:rPr>
          <w:color w:val="000000" w:themeColor="text1"/>
          <w:szCs w:val="24"/>
          <w:lang w:val="en-GB"/>
        </w:rPr>
        <w:t xml:space="preserve">ata </w:t>
      </w:r>
      <w:r w:rsidR="005B07F3" w:rsidRPr="00306115">
        <w:rPr>
          <w:color w:val="000000" w:themeColor="text1"/>
          <w:szCs w:val="24"/>
          <w:lang w:val="en-GB"/>
        </w:rPr>
        <w:t>h</w:t>
      </w:r>
      <w:r w:rsidRPr="00306115">
        <w:rPr>
          <w:color w:val="000000" w:themeColor="text1"/>
          <w:szCs w:val="24"/>
          <w:lang w:val="en-GB"/>
        </w:rPr>
        <w:t>arian</w:t>
      </w:r>
      <w:r w:rsidRPr="00306115">
        <w:rPr>
          <w:i/>
          <w:iCs/>
          <w:color w:val="000000" w:themeColor="text1"/>
          <w:szCs w:val="24"/>
          <w:lang w:val="en-GB"/>
        </w:rPr>
        <w:t xml:space="preserve"> </w:t>
      </w:r>
      <w:r w:rsidR="00BA040B" w:rsidRPr="00306115">
        <w:rPr>
          <w:i/>
          <w:iCs/>
          <w:color w:val="000000" w:themeColor="text1"/>
          <w:szCs w:val="24"/>
          <w:lang w:val="en-GB"/>
        </w:rPr>
        <w:t>haircut</w:t>
      </w:r>
      <w:r w:rsidRPr="00306115">
        <w:rPr>
          <w:color w:val="000000" w:themeColor="text1"/>
          <w:szCs w:val="24"/>
          <w:lang w:val="en-GB"/>
        </w:rPr>
        <w:t xml:space="preserve"> nilai kepemilikan portofolio</w:t>
      </w:r>
      <w:r w:rsidR="00E779A3" w:rsidRPr="00306115">
        <w:rPr>
          <w:color w:val="000000" w:themeColor="text1"/>
          <w:szCs w:val="24"/>
        </w:rPr>
        <w:t>.</w:t>
      </w:r>
    </w:p>
    <w:p w14:paraId="7E306D40" w14:textId="474FD70C" w:rsidR="000F3403" w:rsidRPr="00306115" w:rsidRDefault="00E779A3">
      <w:pPr>
        <w:pStyle w:val="ListParagraph"/>
        <w:numPr>
          <w:ilvl w:val="0"/>
          <w:numId w:val="21"/>
        </w:numPr>
        <w:autoSpaceDE w:val="0"/>
        <w:autoSpaceDN w:val="0"/>
        <w:adjustRightInd w:val="0"/>
        <w:spacing w:after="0" w:line="240" w:lineRule="auto"/>
        <w:ind w:left="2835" w:hanging="567"/>
        <w:rPr>
          <w:color w:val="000000" w:themeColor="text1"/>
          <w:szCs w:val="24"/>
        </w:rPr>
      </w:pPr>
      <w:r w:rsidRPr="00306115">
        <w:rPr>
          <w:color w:val="000000" w:themeColor="text1"/>
          <w:szCs w:val="24"/>
        </w:rPr>
        <w:t>Risiko Kredit</w:t>
      </w:r>
    </w:p>
    <w:p w14:paraId="2EA7D186" w14:textId="77777777" w:rsidR="00501B64" w:rsidRPr="00306115" w:rsidRDefault="00400DFA" w:rsidP="00501B64">
      <w:pPr>
        <w:pStyle w:val="ListParagraph"/>
        <w:autoSpaceDE w:val="0"/>
        <w:autoSpaceDN w:val="0"/>
        <w:adjustRightInd w:val="0"/>
        <w:spacing w:after="0" w:line="240" w:lineRule="auto"/>
        <w:ind w:left="2835"/>
        <w:rPr>
          <w:color w:val="000000" w:themeColor="text1"/>
          <w:szCs w:val="24"/>
        </w:rPr>
      </w:pPr>
      <w:r w:rsidRPr="00306115">
        <w:rPr>
          <w:color w:val="000000" w:themeColor="text1"/>
          <w:szCs w:val="24"/>
        </w:rPr>
        <w:t>Dalam menilai Risiko Kredit, parameter atau indikator yang digunakan meliputi:</w:t>
      </w:r>
    </w:p>
    <w:p w14:paraId="4AEB07B5" w14:textId="0C02C9CD" w:rsidR="00226057" w:rsidRPr="00306115" w:rsidRDefault="00226057" w:rsidP="00226057">
      <w:pPr>
        <w:pStyle w:val="ListParagraph"/>
        <w:numPr>
          <w:ilvl w:val="2"/>
          <w:numId w:val="18"/>
        </w:numPr>
        <w:autoSpaceDE w:val="0"/>
        <w:autoSpaceDN w:val="0"/>
        <w:adjustRightInd w:val="0"/>
        <w:spacing w:after="0" w:line="240" w:lineRule="auto"/>
        <w:ind w:left="3402" w:hanging="567"/>
        <w:rPr>
          <w:color w:val="000000" w:themeColor="text1"/>
          <w:szCs w:val="24"/>
        </w:rPr>
      </w:pPr>
      <w:r w:rsidRPr="00306115">
        <w:rPr>
          <w:color w:val="000000" w:themeColor="text1"/>
          <w:szCs w:val="24"/>
        </w:rPr>
        <w:t>p</w:t>
      </w:r>
      <w:r w:rsidR="00EA3784" w:rsidRPr="00306115">
        <w:rPr>
          <w:color w:val="000000" w:themeColor="text1"/>
          <w:szCs w:val="24"/>
        </w:rPr>
        <w:t>ersentase (%) surat utang dan</w:t>
      </w:r>
      <w:r w:rsidRPr="00306115">
        <w:rPr>
          <w:color w:val="000000" w:themeColor="text1"/>
          <w:szCs w:val="24"/>
        </w:rPr>
        <w:t>/</w:t>
      </w:r>
      <w:r w:rsidR="00EA3784" w:rsidRPr="00306115">
        <w:rPr>
          <w:color w:val="000000" w:themeColor="text1"/>
          <w:szCs w:val="24"/>
        </w:rPr>
        <w:t xml:space="preserve">atau sukuk dengan </w:t>
      </w:r>
      <w:r w:rsidR="00EA3784" w:rsidRPr="00306115">
        <w:rPr>
          <w:i/>
          <w:iCs/>
          <w:color w:val="000000" w:themeColor="text1"/>
          <w:szCs w:val="24"/>
        </w:rPr>
        <w:t>rating</w:t>
      </w:r>
      <w:r w:rsidR="00EA3784" w:rsidRPr="00306115">
        <w:rPr>
          <w:color w:val="000000" w:themeColor="text1"/>
          <w:szCs w:val="24"/>
        </w:rPr>
        <w:t xml:space="preserve">/peringkat </w:t>
      </w:r>
      <w:r w:rsidR="00EA3784" w:rsidRPr="00306115">
        <w:rPr>
          <w:i/>
          <w:iCs/>
          <w:color w:val="000000" w:themeColor="text1"/>
          <w:szCs w:val="24"/>
        </w:rPr>
        <w:t>non</w:t>
      </w:r>
      <w:r w:rsidR="00EA3784" w:rsidRPr="00306115">
        <w:rPr>
          <w:color w:val="000000" w:themeColor="text1"/>
          <w:szCs w:val="24"/>
        </w:rPr>
        <w:t>-</w:t>
      </w:r>
      <w:r w:rsidR="00EA3784" w:rsidRPr="00306115">
        <w:rPr>
          <w:i/>
          <w:iCs/>
          <w:color w:val="000000" w:themeColor="text1"/>
          <w:szCs w:val="24"/>
        </w:rPr>
        <w:t>investment grade</w:t>
      </w:r>
      <w:r w:rsidR="00CD552C" w:rsidRPr="00306115">
        <w:rPr>
          <w:i/>
          <w:iCs/>
          <w:color w:val="000000" w:themeColor="text1"/>
          <w:szCs w:val="24"/>
        </w:rPr>
        <w:t>;</w:t>
      </w:r>
    </w:p>
    <w:p w14:paraId="426C9137" w14:textId="1CEDB876" w:rsidR="00226057" w:rsidRPr="00306115" w:rsidRDefault="00226057" w:rsidP="00226057">
      <w:pPr>
        <w:pStyle w:val="ListParagraph"/>
        <w:numPr>
          <w:ilvl w:val="2"/>
          <w:numId w:val="18"/>
        </w:numPr>
        <w:autoSpaceDE w:val="0"/>
        <w:autoSpaceDN w:val="0"/>
        <w:adjustRightInd w:val="0"/>
        <w:spacing w:after="0" w:line="240" w:lineRule="auto"/>
        <w:ind w:left="3402" w:hanging="567"/>
        <w:rPr>
          <w:color w:val="000000" w:themeColor="text1"/>
          <w:szCs w:val="24"/>
        </w:rPr>
      </w:pPr>
      <w:r w:rsidRPr="00306115">
        <w:rPr>
          <w:color w:val="000000" w:themeColor="text1"/>
          <w:szCs w:val="24"/>
          <w:lang w:val="en-GB"/>
        </w:rPr>
        <w:t>p</w:t>
      </w:r>
      <w:r w:rsidRPr="00306115">
        <w:rPr>
          <w:color w:val="000000" w:themeColor="text1"/>
          <w:szCs w:val="24"/>
        </w:rPr>
        <w:t>ersentase (%) nilai investasi tertimbang berdasarkan kualitas kredit (</w:t>
      </w:r>
      <w:r w:rsidRPr="00306115">
        <w:rPr>
          <w:i/>
          <w:iCs/>
          <w:color w:val="000000" w:themeColor="text1"/>
          <w:szCs w:val="24"/>
        </w:rPr>
        <w:t>risk-weighted value</w:t>
      </w:r>
      <w:r w:rsidRPr="00306115">
        <w:rPr>
          <w:color w:val="000000" w:themeColor="text1"/>
          <w:szCs w:val="24"/>
        </w:rPr>
        <w:t xml:space="preserve">) atas </w:t>
      </w:r>
      <w:r w:rsidR="00534806" w:rsidRPr="00306115">
        <w:rPr>
          <w:color w:val="000000" w:themeColor="text1"/>
          <w:szCs w:val="24"/>
        </w:rPr>
        <w:t>E</w:t>
      </w:r>
      <w:r w:rsidRPr="00306115">
        <w:rPr>
          <w:color w:val="000000" w:themeColor="text1"/>
          <w:szCs w:val="24"/>
        </w:rPr>
        <w:t>fek bersifat utang dan/atau sukuk; dan/atau</w:t>
      </w:r>
    </w:p>
    <w:p w14:paraId="4936BDA4" w14:textId="1097A21F" w:rsidR="00CD552C" w:rsidRPr="00306115" w:rsidRDefault="00BA0BB4">
      <w:pPr>
        <w:pStyle w:val="ListParagraph"/>
        <w:numPr>
          <w:ilvl w:val="2"/>
          <w:numId w:val="18"/>
        </w:numPr>
        <w:autoSpaceDE w:val="0"/>
        <w:autoSpaceDN w:val="0"/>
        <w:adjustRightInd w:val="0"/>
        <w:spacing w:after="0" w:line="240" w:lineRule="auto"/>
        <w:ind w:left="3402" w:hanging="567"/>
        <w:rPr>
          <w:color w:val="000000" w:themeColor="text1"/>
          <w:szCs w:val="24"/>
        </w:rPr>
      </w:pPr>
      <w:r w:rsidRPr="00306115">
        <w:rPr>
          <w:color w:val="000000" w:themeColor="text1"/>
          <w:szCs w:val="24"/>
        </w:rPr>
        <w:t>persentase (%)  aset dasar yang gagal bayar (</w:t>
      </w:r>
      <w:r w:rsidRPr="00306115">
        <w:rPr>
          <w:i/>
          <w:iCs/>
          <w:color w:val="000000" w:themeColor="text1"/>
          <w:szCs w:val="24"/>
        </w:rPr>
        <w:t>default</w:t>
      </w:r>
      <w:r w:rsidRPr="00306115">
        <w:rPr>
          <w:color w:val="000000" w:themeColor="text1"/>
          <w:szCs w:val="24"/>
        </w:rPr>
        <w:t>).</w:t>
      </w:r>
    </w:p>
    <w:p w14:paraId="442D6FCB" w14:textId="77777777" w:rsidR="003B7173" w:rsidRPr="00306115" w:rsidRDefault="004F2B6C">
      <w:pPr>
        <w:pStyle w:val="ListParagraph"/>
        <w:numPr>
          <w:ilvl w:val="0"/>
          <w:numId w:val="21"/>
        </w:numPr>
        <w:autoSpaceDE w:val="0"/>
        <w:autoSpaceDN w:val="0"/>
        <w:adjustRightInd w:val="0"/>
        <w:spacing w:after="0" w:line="240" w:lineRule="auto"/>
        <w:ind w:left="2835" w:hanging="567"/>
        <w:rPr>
          <w:color w:val="000000" w:themeColor="text1"/>
          <w:szCs w:val="24"/>
        </w:rPr>
      </w:pPr>
      <w:r w:rsidRPr="00306115">
        <w:rPr>
          <w:color w:val="000000" w:themeColor="text1"/>
          <w:szCs w:val="24"/>
        </w:rPr>
        <w:t>Risiko Konsentrasi Portofolio Efek</w:t>
      </w:r>
    </w:p>
    <w:p w14:paraId="14648D60" w14:textId="77777777" w:rsidR="00076FC8" w:rsidRPr="00306115" w:rsidRDefault="003B7173" w:rsidP="00076FC8">
      <w:pPr>
        <w:pStyle w:val="ListParagraph"/>
        <w:autoSpaceDE w:val="0"/>
        <w:autoSpaceDN w:val="0"/>
        <w:adjustRightInd w:val="0"/>
        <w:spacing w:after="0" w:line="240" w:lineRule="auto"/>
        <w:ind w:left="2835"/>
        <w:rPr>
          <w:color w:val="000000" w:themeColor="text1"/>
          <w:szCs w:val="24"/>
        </w:rPr>
      </w:pPr>
      <w:r w:rsidRPr="00306115">
        <w:rPr>
          <w:color w:val="000000" w:themeColor="text1"/>
          <w:szCs w:val="24"/>
        </w:rPr>
        <w:t>Dalam menilai Risiko Konsentrasi Portofolio Efek, parameter atau indikator yang digunakan meliputi:</w:t>
      </w:r>
    </w:p>
    <w:p w14:paraId="29AEE99C" w14:textId="59965E2E" w:rsidR="00076FC8" w:rsidRPr="00306115" w:rsidRDefault="00534806">
      <w:pPr>
        <w:pStyle w:val="ListParagraph"/>
        <w:numPr>
          <w:ilvl w:val="3"/>
          <w:numId w:val="18"/>
        </w:numPr>
        <w:autoSpaceDE w:val="0"/>
        <w:autoSpaceDN w:val="0"/>
        <w:adjustRightInd w:val="0"/>
        <w:spacing w:after="0" w:line="240" w:lineRule="auto"/>
        <w:ind w:left="3402" w:hanging="567"/>
        <w:rPr>
          <w:color w:val="000000" w:themeColor="text1"/>
          <w:sz w:val="22"/>
        </w:rPr>
      </w:pPr>
      <w:r w:rsidRPr="00306115">
        <w:rPr>
          <w:color w:val="000000" w:themeColor="text1"/>
          <w:szCs w:val="24"/>
        </w:rPr>
        <w:lastRenderedPageBreak/>
        <w:t xml:space="preserve">kepemilikan atas 5 (lima) Efek bersifat ekuitas (saham) terbesar dari seluruh </w:t>
      </w:r>
      <w:r w:rsidR="004A7222" w:rsidRPr="00306115">
        <w:rPr>
          <w:color w:val="000000" w:themeColor="text1"/>
          <w:szCs w:val="24"/>
        </w:rPr>
        <w:t>P</w:t>
      </w:r>
      <w:r w:rsidRPr="00306115">
        <w:rPr>
          <w:color w:val="000000" w:themeColor="text1"/>
          <w:szCs w:val="24"/>
        </w:rPr>
        <w:t>roduk</w:t>
      </w:r>
      <w:r w:rsidR="004A7222" w:rsidRPr="00306115">
        <w:rPr>
          <w:color w:val="000000" w:themeColor="text1"/>
          <w:szCs w:val="24"/>
        </w:rPr>
        <w:t xml:space="preserve"> Investasi</w:t>
      </w:r>
      <w:r w:rsidRPr="00306115">
        <w:rPr>
          <w:color w:val="000000" w:themeColor="text1"/>
          <w:szCs w:val="24"/>
        </w:rPr>
        <w:t>, pada posisi akhir tahun</w:t>
      </w:r>
      <w:r w:rsidR="00177526" w:rsidRPr="00306115">
        <w:rPr>
          <w:color w:val="000000" w:themeColor="text1"/>
          <w:szCs w:val="24"/>
        </w:rPr>
        <w:t>;</w:t>
      </w:r>
      <w:r w:rsidR="003A4C86" w:rsidRPr="00306115">
        <w:rPr>
          <w:color w:val="000000" w:themeColor="text1"/>
          <w:szCs w:val="24"/>
        </w:rPr>
        <w:t xml:space="preserve"> dan/atau</w:t>
      </w:r>
    </w:p>
    <w:p w14:paraId="3644DC37" w14:textId="6DC063B2" w:rsidR="00DE75D1" w:rsidRPr="00306115" w:rsidRDefault="003A4C86" w:rsidP="00DE75D1">
      <w:pPr>
        <w:pStyle w:val="ListParagraph"/>
        <w:numPr>
          <w:ilvl w:val="3"/>
          <w:numId w:val="18"/>
        </w:numPr>
        <w:autoSpaceDE w:val="0"/>
        <w:autoSpaceDN w:val="0"/>
        <w:adjustRightInd w:val="0"/>
        <w:spacing w:after="0" w:line="240" w:lineRule="auto"/>
        <w:ind w:left="3402" w:hanging="567"/>
        <w:rPr>
          <w:strike/>
          <w:color w:val="000000" w:themeColor="text1"/>
          <w:szCs w:val="24"/>
        </w:rPr>
      </w:pPr>
      <w:r w:rsidRPr="00306115">
        <w:rPr>
          <w:color w:val="000000" w:themeColor="text1"/>
          <w:szCs w:val="24"/>
          <w:lang w:val="en-GB"/>
        </w:rPr>
        <w:t>k</w:t>
      </w:r>
      <w:r w:rsidRPr="00306115">
        <w:rPr>
          <w:color w:val="000000" w:themeColor="text1"/>
          <w:szCs w:val="24"/>
        </w:rPr>
        <w:t>epemilikan atas 5 (lima) Efek bersifat utang dan/atau sukuk (EBUS) terbesar dari seluruh Produk Investasi, pada posisi akhir tahun</w:t>
      </w:r>
      <w:r w:rsidR="00DE75D1" w:rsidRPr="00306115">
        <w:rPr>
          <w:color w:val="000000" w:themeColor="text1"/>
          <w:szCs w:val="24"/>
        </w:rPr>
        <w:t>.</w:t>
      </w:r>
    </w:p>
    <w:p w14:paraId="5EA9751C" w14:textId="12A61CD0" w:rsidR="00D25F7F" w:rsidRPr="00306115" w:rsidRDefault="006F7DB5">
      <w:pPr>
        <w:numPr>
          <w:ilvl w:val="0"/>
          <w:numId w:val="26"/>
        </w:numPr>
        <w:autoSpaceDE w:val="0"/>
        <w:autoSpaceDN w:val="0"/>
        <w:adjustRightInd w:val="0"/>
        <w:spacing w:after="0" w:line="240" w:lineRule="auto"/>
        <w:ind w:left="2268" w:hanging="567"/>
        <w:rPr>
          <w:color w:val="000000" w:themeColor="text1"/>
          <w:szCs w:val="24"/>
        </w:rPr>
      </w:pPr>
      <w:r w:rsidRPr="00306115">
        <w:rPr>
          <w:color w:val="000000" w:themeColor="text1"/>
          <w:szCs w:val="24"/>
          <w:lang w:val="en-US"/>
        </w:rPr>
        <w:t>Penilaian</w:t>
      </w:r>
      <w:r w:rsidRPr="00306115">
        <w:rPr>
          <w:color w:val="000000" w:themeColor="text1"/>
          <w:szCs w:val="24"/>
        </w:rPr>
        <w:t xml:space="preserve"> Risiko </w:t>
      </w:r>
      <w:r w:rsidRPr="00306115">
        <w:rPr>
          <w:color w:val="000000" w:themeColor="text1"/>
          <w:szCs w:val="24"/>
          <w:lang w:val="en-US"/>
        </w:rPr>
        <w:t>pada</w:t>
      </w:r>
      <w:r w:rsidRPr="00306115">
        <w:rPr>
          <w:color w:val="000000" w:themeColor="text1"/>
          <w:szCs w:val="24"/>
        </w:rPr>
        <w:t xml:space="preserve"> Manajer Investasi</w:t>
      </w:r>
    </w:p>
    <w:p w14:paraId="5CF96F54" w14:textId="37C93683" w:rsidR="006F7DB5" w:rsidRPr="00306115" w:rsidRDefault="00A51BE3" w:rsidP="006F7DB5">
      <w:pPr>
        <w:autoSpaceDE w:val="0"/>
        <w:autoSpaceDN w:val="0"/>
        <w:adjustRightInd w:val="0"/>
        <w:spacing w:after="0" w:line="240" w:lineRule="auto"/>
        <w:ind w:left="2268"/>
        <w:rPr>
          <w:color w:val="000000" w:themeColor="text1"/>
          <w:sz w:val="28"/>
          <w:szCs w:val="28"/>
        </w:rPr>
      </w:pPr>
      <w:r w:rsidRPr="00306115">
        <w:rPr>
          <w:color w:val="000000" w:themeColor="text1"/>
          <w:szCs w:val="24"/>
        </w:rPr>
        <w:t>Penilaian atas risiko pada Manajer Investasi dilakukan dengan memperhatikan parameter atau indikator yang bersifat kuantitatif maupun kualitatif terhadap 6 (enam) jenis risiko, yaitu</w:t>
      </w:r>
      <w:r w:rsidR="0094497E" w:rsidRPr="00306115">
        <w:rPr>
          <w:color w:val="000000" w:themeColor="text1"/>
          <w:szCs w:val="24"/>
        </w:rPr>
        <w:t>:</w:t>
      </w:r>
    </w:p>
    <w:p w14:paraId="781CADC9" w14:textId="5862E185" w:rsidR="00820A23" w:rsidRPr="00306115" w:rsidRDefault="00DF548D">
      <w:pPr>
        <w:pStyle w:val="ListParagraph"/>
        <w:numPr>
          <w:ilvl w:val="0"/>
          <w:numId w:val="22"/>
        </w:numPr>
        <w:autoSpaceDE w:val="0"/>
        <w:autoSpaceDN w:val="0"/>
        <w:adjustRightInd w:val="0"/>
        <w:spacing w:after="0" w:line="240" w:lineRule="auto"/>
        <w:ind w:left="2835" w:hanging="567"/>
        <w:rPr>
          <w:color w:val="000000" w:themeColor="text1"/>
        </w:rPr>
      </w:pPr>
      <w:r w:rsidRPr="00306115">
        <w:rPr>
          <w:color w:val="000000" w:themeColor="text1"/>
        </w:rPr>
        <w:t>Risiko Operasional</w:t>
      </w:r>
    </w:p>
    <w:p w14:paraId="5AD18055" w14:textId="2AA0EA2A" w:rsidR="00326FD1" w:rsidRPr="00306115" w:rsidRDefault="00EB417C" w:rsidP="00EB417C">
      <w:pPr>
        <w:pStyle w:val="ListParagraph"/>
        <w:autoSpaceDE w:val="0"/>
        <w:autoSpaceDN w:val="0"/>
        <w:adjustRightInd w:val="0"/>
        <w:spacing w:after="0" w:line="240" w:lineRule="auto"/>
        <w:ind w:left="2835"/>
        <w:rPr>
          <w:color w:val="000000" w:themeColor="text1"/>
          <w:szCs w:val="24"/>
        </w:rPr>
      </w:pPr>
      <w:r w:rsidRPr="00306115">
        <w:rPr>
          <w:color w:val="000000" w:themeColor="text1"/>
        </w:rPr>
        <w:t xml:space="preserve">Dalam menilai Risiko Operasional, parameter atau </w:t>
      </w:r>
      <w:r w:rsidRPr="00306115">
        <w:rPr>
          <w:color w:val="000000" w:themeColor="text1"/>
          <w:szCs w:val="24"/>
        </w:rPr>
        <w:t>indikator yang digunakan meliputi:</w:t>
      </w:r>
    </w:p>
    <w:p w14:paraId="6AC41809" w14:textId="45AF3C2E" w:rsidR="00D107E3" w:rsidRPr="00306115" w:rsidRDefault="00D6214E">
      <w:pPr>
        <w:pStyle w:val="ListParagraph"/>
        <w:numPr>
          <w:ilvl w:val="2"/>
          <w:numId w:val="12"/>
        </w:numPr>
        <w:autoSpaceDE w:val="0"/>
        <w:autoSpaceDN w:val="0"/>
        <w:adjustRightInd w:val="0"/>
        <w:spacing w:after="0" w:line="240" w:lineRule="auto"/>
        <w:ind w:left="3402" w:hanging="567"/>
        <w:rPr>
          <w:color w:val="000000" w:themeColor="text1"/>
          <w:szCs w:val="24"/>
        </w:rPr>
      </w:pPr>
      <w:r w:rsidRPr="00306115">
        <w:rPr>
          <w:i/>
          <w:iCs/>
          <w:color w:val="000000" w:themeColor="text1"/>
          <w:szCs w:val="24"/>
        </w:rPr>
        <w:t>o</w:t>
      </w:r>
      <w:r w:rsidR="00D107E3" w:rsidRPr="00306115">
        <w:rPr>
          <w:i/>
          <w:iCs/>
          <w:color w:val="000000" w:themeColor="text1"/>
          <w:szCs w:val="24"/>
        </w:rPr>
        <w:t xml:space="preserve">perational </w:t>
      </w:r>
      <w:r w:rsidRPr="00306115">
        <w:rPr>
          <w:i/>
          <w:iCs/>
          <w:color w:val="000000" w:themeColor="text1"/>
          <w:szCs w:val="24"/>
        </w:rPr>
        <w:t>l</w:t>
      </w:r>
      <w:r w:rsidR="00D107E3" w:rsidRPr="00306115">
        <w:rPr>
          <w:i/>
          <w:iCs/>
          <w:color w:val="000000" w:themeColor="text1"/>
          <w:szCs w:val="24"/>
        </w:rPr>
        <w:t>oss</w:t>
      </w:r>
      <w:r w:rsidRPr="00306115">
        <w:rPr>
          <w:color w:val="000000" w:themeColor="text1"/>
          <w:szCs w:val="24"/>
        </w:rPr>
        <w:t>;</w:t>
      </w:r>
    </w:p>
    <w:p w14:paraId="7FDB124B" w14:textId="6E2BF9D5" w:rsidR="00D107E3" w:rsidRPr="00306115" w:rsidRDefault="00441F4C">
      <w:pPr>
        <w:pStyle w:val="ListParagraph"/>
        <w:numPr>
          <w:ilvl w:val="2"/>
          <w:numId w:val="12"/>
        </w:numPr>
        <w:autoSpaceDE w:val="0"/>
        <w:autoSpaceDN w:val="0"/>
        <w:adjustRightInd w:val="0"/>
        <w:spacing w:after="0" w:line="240" w:lineRule="auto"/>
        <w:ind w:left="3402" w:hanging="567"/>
        <w:rPr>
          <w:color w:val="000000" w:themeColor="text1"/>
          <w:szCs w:val="24"/>
        </w:rPr>
      </w:pPr>
      <w:r w:rsidRPr="00306115">
        <w:rPr>
          <w:color w:val="000000" w:themeColor="text1"/>
          <w:szCs w:val="24"/>
        </w:rPr>
        <w:t>k</w:t>
      </w:r>
      <w:r w:rsidR="00D107E3" w:rsidRPr="00306115">
        <w:rPr>
          <w:color w:val="000000" w:themeColor="text1"/>
          <w:szCs w:val="24"/>
        </w:rPr>
        <w:t xml:space="preserve">esalahan </w:t>
      </w:r>
      <w:r w:rsidRPr="00306115">
        <w:rPr>
          <w:color w:val="000000" w:themeColor="text1"/>
          <w:szCs w:val="24"/>
        </w:rPr>
        <w:t>p</w:t>
      </w:r>
      <w:r w:rsidR="00D107E3" w:rsidRPr="00306115">
        <w:rPr>
          <w:color w:val="000000" w:themeColor="text1"/>
          <w:szCs w:val="24"/>
        </w:rPr>
        <w:t>erhitungan Nilai Aktiva Bersih (NAB)</w:t>
      </w:r>
      <w:r w:rsidRPr="00306115">
        <w:rPr>
          <w:color w:val="000000" w:themeColor="text1"/>
          <w:szCs w:val="24"/>
        </w:rPr>
        <w:t>;</w:t>
      </w:r>
    </w:p>
    <w:p w14:paraId="54EF2E32" w14:textId="3C420388" w:rsidR="00D107E3" w:rsidRPr="00306115" w:rsidRDefault="00441F4C">
      <w:pPr>
        <w:pStyle w:val="ListParagraph"/>
        <w:numPr>
          <w:ilvl w:val="2"/>
          <w:numId w:val="12"/>
        </w:numPr>
        <w:autoSpaceDE w:val="0"/>
        <w:autoSpaceDN w:val="0"/>
        <w:adjustRightInd w:val="0"/>
        <w:spacing w:after="0" w:line="240" w:lineRule="auto"/>
        <w:ind w:left="3402" w:hanging="567"/>
        <w:rPr>
          <w:color w:val="000000" w:themeColor="text1"/>
          <w:szCs w:val="24"/>
        </w:rPr>
      </w:pPr>
      <w:r w:rsidRPr="00306115">
        <w:rPr>
          <w:i/>
          <w:iCs/>
          <w:color w:val="000000" w:themeColor="text1"/>
          <w:szCs w:val="24"/>
        </w:rPr>
        <w:t>t</w:t>
      </w:r>
      <w:r w:rsidR="00D107E3" w:rsidRPr="00306115">
        <w:rPr>
          <w:i/>
          <w:iCs/>
          <w:color w:val="000000" w:themeColor="text1"/>
          <w:szCs w:val="24"/>
        </w:rPr>
        <w:t>urn over</w:t>
      </w:r>
      <w:r w:rsidR="00D107E3" w:rsidRPr="00306115">
        <w:rPr>
          <w:color w:val="000000" w:themeColor="text1"/>
          <w:szCs w:val="24"/>
        </w:rPr>
        <w:t xml:space="preserve"> pegawai yang memiliki izin Wakil Perusahaan Efek (WPE)</w:t>
      </w:r>
      <w:r w:rsidRPr="00306115">
        <w:rPr>
          <w:color w:val="000000" w:themeColor="text1"/>
          <w:szCs w:val="24"/>
        </w:rPr>
        <w:t>;</w:t>
      </w:r>
    </w:p>
    <w:p w14:paraId="76CC2621" w14:textId="7432BEAE" w:rsidR="00D107E3" w:rsidRPr="00306115" w:rsidRDefault="00441F4C">
      <w:pPr>
        <w:pStyle w:val="ListParagraph"/>
        <w:numPr>
          <w:ilvl w:val="2"/>
          <w:numId w:val="12"/>
        </w:numPr>
        <w:autoSpaceDE w:val="0"/>
        <w:autoSpaceDN w:val="0"/>
        <w:adjustRightInd w:val="0"/>
        <w:spacing w:after="0" w:line="240" w:lineRule="auto"/>
        <w:ind w:left="3402" w:hanging="567"/>
        <w:rPr>
          <w:color w:val="000000" w:themeColor="text1"/>
          <w:szCs w:val="24"/>
        </w:rPr>
      </w:pPr>
      <w:r w:rsidRPr="00306115">
        <w:rPr>
          <w:color w:val="000000" w:themeColor="text1"/>
          <w:szCs w:val="24"/>
        </w:rPr>
        <w:t>j</w:t>
      </w:r>
      <w:r w:rsidR="00D107E3" w:rsidRPr="00306115">
        <w:rPr>
          <w:color w:val="000000" w:themeColor="text1"/>
          <w:szCs w:val="24"/>
        </w:rPr>
        <w:t xml:space="preserve">umlah </w:t>
      </w:r>
      <w:r w:rsidR="00D107E3" w:rsidRPr="00306115">
        <w:rPr>
          <w:i/>
          <w:iCs/>
          <w:color w:val="000000" w:themeColor="text1"/>
          <w:szCs w:val="24"/>
        </w:rPr>
        <w:t>fraud</w:t>
      </w:r>
      <w:r w:rsidR="00D107E3" w:rsidRPr="00306115">
        <w:rPr>
          <w:color w:val="000000" w:themeColor="text1"/>
          <w:szCs w:val="24"/>
        </w:rPr>
        <w:t xml:space="preserve"> yang terdeteksi atau diketahui</w:t>
      </w:r>
      <w:r w:rsidR="00904DA0" w:rsidRPr="00306115">
        <w:rPr>
          <w:color w:val="000000" w:themeColor="text1"/>
          <w:szCs w:val="24"/>
        </w:rPr>
        <w:t>;</w:t>
      </w:r>
    </w:p>
    <w:p w14:paraId="4FEA2AE9" w14:textId="22407C29" w:rsidR="00D107E3" w:rsidRPr="00306115" w:rsidRDefault="00534BBE">
      <w:pPr>
        <w:pStyle w:val="ListParagraph"/>
        <w:numPr>
          <w:ilvl w:val="2"/>
          <w:numId w:val="12"/>
        </w:numPr>
        <w:autoSpaceDE w:val="0"/>
        <w:autoSpaceDN w:val="0"/>
        <w:adjustRightInd w:val="0"/>
        <w:spacing w:after="0" w:line="240" w:lineRule="auto"/>
        <w:ind w:left="3402" w:hanging="567"/>
        <w:rPr>
          <w:color w:val="000000" w:themeColor="text1"/>
          <w:szCs w:val="24"/>
        </w:rPr>
      </w:pPr>
      <w:r w:rsidRPr="00306115">
        <w:rPr>
          <w:color w:val="000000" w:themeColor="text1"/>
          <w:szCs w:val="24"/>
        </w:rPr>
        <w:t>k</w:t>
      </w:r>
      <w:r w:rsidR="00D107E3" w:rsidRPr="00306115">
        <w:rPr>
          <w:color w:val="000000" w:themeColor="text1"/>
          <w:szCs w:val="24"/>
        </w:rPr>
        <w:t xml:space="preserve">egagalan </w:t>
      </w:r>
      <w:r w:rsidR="00D107E3" w:rsidRPr="00306115">
        <w:rPr>
          <w:i/>
          <w:iCs/>
          <w:color w:val="000000" w:themeColor="text1"/>
          <w:szCs w:val="24"/>
        </w:rPr>
        <w:t>core system</w:t>
      </w:r>
      <w:r w:rsidR="00D107E3" w:rsidRPr="00306115">
        <w:rPr>
          <w:color w:val="000000" w:themeColor="text1"/>
          <w:szCs w:val="24"/>
        </w:rPr>
        <w:t xml:space="preserve"> termasuk seluruh sistem yang terhubung dengan </w:t>
      </w:r>
      <w:r w:rsidR="00D107E3" w:rsidRPr="00306115">
        <w:rPr>
          <w:i/>
          <w:iCs/>
          <w:color w:val="000000" w:themeColor="text1"/>
          <w:szCs w:val="24"/>
        </w:rPr>
        <w:t>core system</w:t>
      </w:r>
      <w:r w:rsidR="00D107E3" w:rsidRPr="00306115">
        <w:rPr>
          <w:color w:val="000000" w:themeColor="text1"/>
          <w:szCs w:val="24"/>
        </w:rPr>
        <w:t xml:space="preserve"> teknologi informasi</w:t>
      </w:r>
      <w:r w:rsidRPr="00306115">
        <w:rPr>
          <w:color w:val="000000" w:themeColor="text1"/>
          <w:szCs w:val="24"/>
        </w:rPr>
        <w:t>;</w:t>
      </w:r>
    </w:p>
    <w:p w14:paraId="657D097B" w14:textId="65DDF25C" w:rsidR="00D107E3" w:rsidRPr="00306115" w:rsidRDefault="00534BBE">
      <w:pPr>
        <w:pStyle w:val="ListParagraph"/>
        <w:numPr>
          <w:ilvl w:val="2"/>
          <w:numId w:val="12"/>
        </w:numPr>
        <w:autoSpaceDE w:val="0"/>
        <w:autoSpaceDN w:val="0"/>
        <w:adjustRightInd w:val="0"/>
        <w:spacing w:after="0" w:line="240" w:lineRule="auto"/>
        <w:ind w:left="3402" w:hanging="567"/>
        <w:rPr>
          <w:color w:val="000000" w:themeColor="text1"/>
          <w:szCs w:val="24"/>
        </w:rPr>
      </w:pPr>
      <w:r w:rsidRPr="00306115">
        <w:rPr>
          <w:color w:val="000000" w:themeColor="text1"/>
          <w:szCs w:val="24"/>
        </w:rPr>
        <w:t>r</w:t>
      </w:r>
      <w:r w:rsidR="00D107E3" w:rsidRPr="00306115">
        <w:rPr>
          <w:color w:val="000000" w:themeColor="text1"/>
          <w:szCs w:val="24"/>
        </w:rPr>
        <w:t xml:space="preserve">ata-rata waktu </w:t>
      </w:r>
      <w:r w:rsidR="005C286A" w:rsidRPr="00306115">
        <w:rPr>
          <w:color w:val="000000" w:themeColor="text1"/>
          <w:szCs w:val="24"/>
        </w:rPr>
        <w:t xml:space="preserve">yang diperlukan untuk mendeteksi </w:t>
      </w:r>
      <w:r w:rsidR="00D107E3" w:rsidRPr="00306115">
        <w:rPr>
          <w:color w:val="000000" w:themeColor="text1"/>
          <w:szCs w:val="24"/>
        </w:rPr>
        <w:t xml:space="preserve">kegagalan </w:t>
      </w:r>
      <w:r w:rsidR="00D107E3" w:rsidRPr="00306115">
        <w:rPr>
          <w:i/>
          <w:iCs/>
          <w:color w:val="000000" w:themeColor="text1"/>
          <w:szCs w:val="24"/>
        </w:rPr>
        <w:t>core system</w:t>
      </w:r>
      <w:r w:rsidR="00D107E3" w:rsidRPr="00306115">
        <w:rPr>
          <w:color w:val="000000" w:themeColor="text1"/>
          <w:szCs w:val="24"/>
        </w:rPr>
        <w:t xml:space="preserve"> termasuk seluruh sistem yang terhubung dengan </w:t>
      </w:r>
      <w:r w:rsidR="00D107E3" w:rsidRPr="00306115">
        <w:rPr>
          <w:i/>
          <w:iCs/>
          <w:color w:val="000000" w:themeColor="text1"/>
          <w:szCs w:val="24"/>
        </w:rPr>
        <w:t>core system</w:t>
      </w:r>
      <w:r w:rsidR="00D107E3" w:rsidRPr="00306115">
        <w:rPr>
          <w:color w:val="000000" w:themeColor="text1"/>
          <w:szCs w:val="24"/>
        </w:rPr>
        <w:t xml:space="preserve"> teknologi informasi</w:t>
      </w:r>
      <w:r w:rsidRPr="00306115">
        <w:rPr>
          <w:color w:val="000000" w:themeColor="text1"/>
          <w:szCs w:val="24"/>
        </w:rPr>
        <w:t>;</w:t>
      </w:r>
    </w:p>
    <w:p w14:paraId="2F26765D" w14:textId="77777777" w:rsidR="00DE062D" w:rsidRPr="00306115" w:rsidRDefault="00DE062D" w:rsidP="00DE062D">
      <w:pPr>
        <w:pStyle w:val="ListParagraph"/>
        <w:numPr>
          <w:ilvl w:val="2"/>
          <w:numId w:val="12"/>
        </w:numPr>
        <w:autoSpaceDE w:val="0"/>
        <w:autoSpaceDN w:val="0"/>
        <w:adjustRightInd w:val="0"/>
        <w:spacing w:after="0" w:line="240" w:lineRule="auto"/>
        <w:ind w:left="3402" w:hanging="567"/>
        <w:contextualSpacing w:val="0"/>
        <w:rPr>
          <w:color w:val="000000" w:themeColor="text1"/>
          <w:szCs w:val="24"/>
        </w:rPr>
      </w:pPr>
      <w:r w:rsidRPr="00306115">
        <w:rPr>
          <w:color w:val="000000" w:themeColor="text1"/>
          <w:szCs w:val="24"/>
          <w:lang w:val="en-GB"/>
        </w:rPr>
        <w:t>r</w:t>
      </w:r>
      <w:r w:rsidRPr="00306115">
        <w:rPr>
          <w:color w:val="000000" w:themeColor="text1"/>
          <w:szCs w:val="24"/>
        </w:rPr>
        <w:t>ata-rata lama waktu pemulihan (</w:t>
      </w:r>
      <w:r w:rsidRPr="00306115">
        <w:rPr>
          <w:i/>
          <w:iCs/>
          <w:color w:val="000000" w:themeColor="text1"/>
          <w:szCs w:val="24"/>
        </w:rPr>
        <w:t>downtime</w:t>
      </w:r>
      <w:r w:rsidRPr="00306115">
        <w:rPr>
          <w:color w:val="000000" w:themeColor="text1"/>
          <w:szCs w:val="24"/>
        </w:rPr>
        <w:t xml:space="preserve">) </w:t>
      </w:r>
      <w:r w:rsidRPr="00306115">
        <w:rPr>
          <w:i/>
          <w:iCs/>
          <w:color w:val="000000" w:themeColor="text1"/>
          <w:szCs w:val="24"/>
        </w:rPr>
        <w:t xml:space="preserve">core system </w:t>
      </w:r>
      <w:r w:rsidRPr="00306115">
        <w:rPr>
          <w:color w:val="000000" w:themeColor="text1"/>
          <w:szCs w:val="24"/>
          <w:lang w:val="en-GB"/>
        </w:rPr>
        <w:t>termasuk seluruh sistem yang terhubung dengan</w:t>
      </w:r>
      <w:r w:rsidRPr="00306115">
        <w:rPr>
          <w:i/>
          <w:iCs/>
          <w:color w:val="000000" w:themeColor="text1"/>
          <w:szCs w:val="24"/>
          <w:lang w:val="en-GB"/>
        </w:rPr>
        <w:t xml:space="preserve"> core system</w:t>
      </w:r>
      <w:r w:rsidRPr="00306115">
        <w:rPr>
          <w:color w:val="000000" w:themeColor="text1"/>
          <w:szCs w:val="24"/>
          <w:lang w:val="en-GB"/>
        </w:rPr>
        <w:t xml:space="preserve"> </w:t>
      </w:r>
      <w:r w:rsidRPr="00306115">
        <w:rPr>
          <w:color w:val="000000" w:themeColor="text1"/>
          <w:szCs w:val="24"/>
        </w:rPr>
        <w:t>teknologi informasi;</w:t>
      </w:r>
    </w:p>
    <w:p w14:paraId="6187FC7C" w14:textId="08193901" w:rsidR="00DE062D" w:rsidRPr="00306115" w:rsidRDefault="00E122D6" w:rsidP="00DE062D">
      <w:pPr>
        <w:pStyle w:val="ListParagraph"/>
        <w:numPr>
          <w:ilvl w:val="2"/>
          <w:numId w:val="12"/>
        </w:numPr>
        <w:autoSpaceDE w:val="0"/>
        <w:autoSpaceDN w:val="0"/>
        <w:adjustRightInd w:val="0"/>
        <w:spacing w:after="0" w:line="240" w:lineRule="auto"/>
        <w:ind w:left="3402" w:hanging="567"/>
        <w:contextualSpacing w:val="0"/>
        <w:rPr>
          <w:color w:val="000000" w:themeColor="text1"/>
          <w:szCs w:val="24"/>
        </w:rPr>
      </w:pPr>
      <w:r w:rsidRPr="00306115">
        <w:rPr>
          <w:color w:val="000000" w:themeColor="text1"/>
          <w:szCs w:val="24"/>
          <w:lang w:val="en-GB"/>
        </w:rPr>
        <w:t>t</w:t>
      </w:r>
      <w:r w:rsidRPr="00306115">
        <w:rPr>
          <w:color w:val="000000" w:themeColor="text1"/>
          <w:szCs w:val="24"/>
        </w:rPr>
        <w:t>ingkat otomasi sistem teknologi informasi;</w:t>
      </w:r>
    </w:p>
    <w:p w14:paraId="2ACFC422" w14:textId="60B6D869" w:rsidR="00D107E3" w:rsidRPr="00306115" w:rsidRDefault="00FA36BA">
      <w:pPr>
        <w:pStyle w:val="ListParagraph"/>
        <w:numPr>
          <w:ilvl w:val="2"/>
          <w:numId w:val="12"/>
        </w:numPr>
        <w:autoSpaceDE w:val="0"/>
        <w:autoSpaceDN w:val="0"/>
        <w:adjustRightInd w:val="0"/>
        <w:spacing w:after="0" w:line="240" w:lineRule="auto"/>
        <w:ind w:left="3402" w:hanging="567"/>
        <w:rPr>
          <w:color w:val="000000" w:themeColor="text1"/>
          <w:szCs w:val="24"/>
        </w:rPr>
      </w:pPr>
      <w:r w:rsidRPr="00306115">
        <w:rPr>
          <w:color w:val="000000" w:themeColor="text1"/>
          <w:szCs w:val="24"/>
        </w:rPr>
        <w:t>p</w:t>
      </w:r>
      <w:r w:rsidR="00D107E3" w:rsidRPr="00306115">
        <w:rPr>
          <w:color w:val="000000" w:themeColor="text1"/>
          <w:szCs w:val="24"/>
        </w:rPr>
        <w:t xml:space="preserve">ersentase </w:t>
      </w:r>
      <w:r w:rsidR="00F17640" w:rsidRPr="00306115">
        <w:rPr>
          <w:color w:val="000000" w:themeColor="text1"/>
          <w:szCs w:val="24"/>
        </w:rPr>
        <w:t xml:space="preserve">(%) </w:t>
      </w:r>
      <w:r w:rsidR="00D107E3" w:rsidRPr="00306115">
        <w:rPr>
          <w:color w:val="000000" w:themeColor="text1"/>
          <w:szCs w:val="24"/>
        </w:rPr>
        <w:t>peringatan keamanan yang salah (</w:t>
      </w:r>
      <w:r w:rsidR="00D107E3" w:rsidRPr="00306115">
        <w:rPr>
          <w:i/>
          <w:iCs/>
          <w:color w:val="000000" w:themeColor="text1"/>
          <w:szCs w:val="24"/>
        </w:rPr>
        <w:t>false positives</w:t>
      </w:r>
      <w:r w:rsidR="00D107E3" w:rsidRPr="00306115">
        <w:rPr>
          <w:color w:val="000000" w:themeColor="text1"/>
          <w:szCs w:val="24"/>
        </w:rPr>
        <w:t>)</w:t>
      </w:r>
      <w:r w:rsidRPr="00306115">
        <w:rPr>
          <w:color w:val="000000" w:themeColor="text1"/>
          <w:szCs w:val="24"/>
        </w:rPr>
        <w:t>;</w:t>
      </w:r>
    </w:p>
    <w:p w14:paraId="0B804F6C" w14:textId="55A47405" w:rsidR="008F5CEA" w:rsidRPr="00306115" w:rsidRDefault="008F5CEA">
      <w:pPr>
        <w:pStyle w:val="ListParagraph"/>
        <w:numPr>
          <w:ilvl w:val="2"/>
          <w:numId w:val="12"/>
        </w:numPr>
        <w:autoSpaceDE w:val="0"/>
        <w:autoSpaceDN w:val="0"/>
        <w:adjustRightInd w:val="0"/>
        <w:spacing w:after="0" w:line="240" w:lineRule="auto"/>
        <w:ind w:left="3402" w:hanging="567"/>
        <w:rPr>
          <w:color w:val="000000" w:themeColor="text1"/>
          <w:szCs w:val="24"/>
        </w:rPr>
      </w:pPr>
      <w:r w:rsidRPr="00306115">
        <w:rPr>
          <w:color w:val="000000" w:themeColor="text1"/>
          <w:szCs w:val="24"/>
          <w:lang w:val="en-GB"/>
        </w:rPr>
        <w:t>j</w:t>
      </w:r>
      <w:r w:rsidRPr="00306115">
        <w:rPr>
          <w:color w:val="000000" w:themeColor="text1"/>
          <w:szCs w:val="24"/>
        </w:rPr>
        <w:t>umlah insiden pembobolan sistem (</w:t>
      </w:r>
      <w:r w:rsidRPr="00306115">
        <w:rPr>
          <w:i/>
          <w:iCs/>
          <w:color w:val="000000" w:themeColor="text1"/>
          <w:szCs w:val="24"/>
        </w:rPr>
        <w:t>system</w:t>
      </w:r>
      <w:r w:rsidRPr="00306115">
        <w:rPr>
          <w:color w:val="000000" w:themeColor="text1"/>
          <w:szCs w:val="24"/>
        </w:rPr>
        <w:t xml:space="preserve"> </w:t>
      </w:r>
      <w:r w:rsidRPr="00306115">
        <w:rPr>
          <w:i/>
          <w:iCs/>
          <w:color w:val="000000" w:themeColor="text1"/>
          <w:szCs w:val="24"/>
        </w:rPr>
        <w:t>compromise</w:t>
      </w:r>
      <w:r w:rsidRPr="00306115">
        <w:rPr>
          <w:color w:val="000000" w:themeColor="text1"/>
          <w:szCs w:val="24"/>
        </w:rPr>
        <w:t>) yang terkonfirmasi;</w:t>
      </w:r>
    </w:p>
    <w:p w14:paraId="2CF3ABEA" w14:textId="3E59F2D4" w:rsidR="00934F44" w:rsidRPr="00306115" w:rsidRDefault="00934F44">
      <w:pPr>
        <w:pStyle w:val="ListParagraph"/>
        <w:numPr>
          <w:ilvl w:val="2"/>
          <w:numId w:val="12"/>
        </w:numPr>
        <w:autoSpaceDE w:val="0"/>
        <w:autoSpaceDN w:val="0"/>
        <w:adjustRightInd w:val="0"/>
        <w:spacing w:after="0" w:line="240" w:lineRule="auto"/>
        <w:ind w:left="3402" w:hanging="567"/>
        <w:rPr>
          <w:color w:val="000000" w:themeColor="text1"/>
          <w:szCs w:val="24"/>
        </w:rPr>
      </w:pPr>
      <w:r w:rsidRPr="00306115">
        <w:rPr>
          <w:color w:val="000000" w:themeColor="text1"/>
          <w:szCs w:val="24"/>
          <w:lang w:val="en-GB"/>
        </w:rPr>
        <w:t>j</w:t>
      </w:r>
      <w:r w:rsidRPr="00306115">
        <w:rPr>
          <w:color w:val="000000" w:themeColor="text1"/>
          <w:szCs w:val="24"/>
        </w:rPr>
        <w:t>umlah kebocoran/pencurian data yang terkonfirmasi</w:t>
      </w:r>
      <w:r w:rsidR="00167211" w:rsidRPr="00306115">
        <w:rPr>
          <w:color w:val="000000" w:themeColor="text1"/>
          <w:szCs w:val="24"/>
        </w:rPr>
        <w:t>; dan</w:t>
      </w:r>
    </w:p>
    <w:p w14:paraId="017F697F" w14:textId="6707BD58" w:rsidR="00167211" w:rsidRPr="00306115" w:rsidRDefault="00167211">
      <w:pPr>
        <w:pStyle w:val="ListParagraph"/>
        <w:numPr>
          <w:ilvl w:val="2"/>
          <w:numId w:val="12"/>
        </w:numPr>
        <w:autoSpaceDE w:val="0"/>
        <w:autoSpaceDN w:val="0"/>
        <w:adjustRightInd w:val="0"/>
        <w:spacing w:after="0" w:line="240" w:lineRule="auto"/>
        <w:ind w:left="3402" w:hanging="567"/>
        <w:rPr>
          <w:color w:val="000000" w:themeColor="text1"/>
          <w:szCs w:val="24"/>
        </w:rPr>
      </w:pPr>
      <w:r w:rsidRPr="00306115">
        <w:rPr>
          <w:color w:val="000000" w:themeColor="text1"/>
          <w:szCs w:val="24"/>
          <w:lang w:val="en-GB"/>
        </w:rPr>
        <w:t>j</w:t>
      </w:r>
      <w:r w:rsidRPr="00306115">
        <w:rPr>
          <w:color w:val="000000" w:themeColor="text1"/>
          <w:szCs w:val="24"/>
        </w:rPr>
        <w:t xml:space="preserve">umlah persentase (%) temuan </w:t>
      </w:r>
      <w:r w:rsidRPr="00306115">
        <w:rPr>
          <w:i/>
          <w:iCs/>
          <w:color w:val="000000" w:themeColor="text1"/>
          <w:szCs w:val="24"/>
          <w:lang w:val="en-GB"/>
        </w:rPr>
        <w:t>penetration test</w:t>
      </w:r>
      <w:r w:rsidRPr="00306115">
        <w:rPr>
          <w:color w:val="000000" w:themeColor="text1"/>
          <w:szCs w:val="24"/>
          <w:lang w:val="en-GB"/>
        </w:rPr>
        <w:t xml:space="preserve"> </w:t>
      </w:r>
      <w:r w:rsidRPr="00306115">
        <w:rPr>
          <w:color w:val="000000" w:themeColor="text1"/>
          <w:szCs w:val="24"/>
        </w:rPr>
        <w:t xml:space="preserve">yang </w:t>
      </w:r>
      <w:r w:rsidRPr="00306115">
        <w:rPr>
          <w:color w:val="000000" w:themeColor="text1"/>
          <w:szCs w:val="24"/>
          <w:lang w:val="en-GB"/>
        </w:rPr>
        <w:t>telah terselesaikan.</w:t>
      </w:r>
    </w:p>
    <w:p w14:paraId="42D1F431" w14:textId="61A4D35C" w:rsidR="00326FD1" w:rsidRPr="00306115" w:rsidRDefault="00326FD1">
      <w:pPr>
        <w:pStyle w:val="ListParagraph"/>
        <w:numPr>
          <w:ilvl w:val="0"/>
          <w:numId w:val="22"/>
        </w:numPr>
        <w:autoSpaceDE w:val="0"/>
        <w:autoSpaceDN w:val="0"/>
        <w:adjustRightInd w:val="0"/>
        <w:spacing w:after="0" w:line="240" w:lineRule="auto"/>
        <w:ind w:left="2835" w:hanging="567"/>
        <w:rPr>
          <w:color w:val="000000" w:themeColor="text1"/>
          <w:szCs w:val="24"/>
        </w:rPr>
      </w:pPr>
      <w:r w:rsidRPr="00306115">
        <w:rPr>
          <w:color w:val="000000" w:themeColor="text1"/>
          <w:szCs w:val="24"/>
        </w:rPr>
        <w:t>Risiko Hukum</w:t>
      </w:r>
    </w:p>
    <w:p w14:paraId="6AE8379E" w14:textId="449E18F0" w:rsidR="00FA36BA" w:rsidRPr="00306115" w:rsidRDefault="00D237A9" w:rsidP="00D237A9">
      <w:pPr>
        <w:pStyle w:val="ListParagraph"/>
        <w:autoSpaceDE w:val="0"/>
        <w:autoSpaceDN w:val="0"/>
        <w:adjustRightInd w:val="0"/>
        <w:spacing w:after="0" w:line="240" w:lineRule="auto"/>
        <w:ind w:left="2835"/>
        <w:rPr>
          <w:color w:val="000000" w:themeColor="text1"/>
          <w:szCs w:val="24"/>
        </w:rPr>
      </w:pPr>
      <w:r w:rsidRPr="00306115">
        <w:rPr>
          <w:color w:val="000000" w:themeColor="text1"/>
          <w:szCs w:val="24"/>
        </w:rPr>
        <w:t>Dalam menilai Risiko Hukum, parameter atau indikator yang digunakan meliputi:</w:t>
      </w:r>
    </w:p>
    <w:p w14:paraId="244D5F95" w14:textId="2F80AA9B" w:rsidR="00830AA2" w:rsidRPr="00306115" w:rsidRDefault="00830AA2">
      <w:pPr>
        <w:pStyle w:val="ListParagraph"/>
        <w:numPr>
          <w:ilvl w:val="3"/>
          <w:numId w:val="12"/>
        </w:numPr>
        <w:autoSpaceDE w:val="0"/>
        <w:autoSpaceDN w:val="0"/>
        <w:adjustRightInd w:val="0"/>
        <w:spacing w:after="0" w:line="240" w:lineRule="auto"/>
        <w:ind w:left="3402" w:hanging="567"/>
        <w:rPr>
          <w:color w:val="000000" w:themeColor="text1"/>
          <w:szCs w:val="24"/>
        </w:rPr>
      </w:pPr>
      <w:r w:rsidRPr="00306115">
        <w:rPr>
          <w:color w:val="000000" w:themeColor="text1"/>
          <w:szCs w:val="24"/>
        </w:rPr>
        <w:t>jumlah tuntutan/gugatan hukum yang diajukan kepada Manajer Investasi;</w:t>
      </w:r>
    </w:p>
    <w:p w14:paraId="47589D43" w14:textId="6CB66D74" w:rsidR="00830AA2" w:rsidRPr="00306115" w:rsidRDefault="00830AA2">
      <w:pPr>
        <w:pStyle w:val="ListParagraph"/>
        <w:numPr>
          <w:ilvl w:val="3"/>
          <w:numId w:val="12"/>
        </w:numPr>
        <w:autoSpaceDE w:val="0"/>
        <w:autoSpaceDN w:val="0"/>
        <w:adjustRightInd w:val="0"/>
        <w:spacing w:after="0" w:line="240" w:lineRule="auto"/>
        <w:ind w:left="3402" w:hanging="567"/>
        <w:rPr>
          <w:color w:val="000000" w:themeColor="text1"/>
          <w:szCs w:val="24"/>
        </w:rPr>
      </w:pPr>
      <w:r w:rsidRPr="00306115">
        <w:rPr>
          <w:color w:val="000000" w:themeColor="text1"/>
          <w:szCs w:val="24"/>
        </w:rPr>
        <w:t>besarnya nominal tuntutan/gugatan hukum yang diajukan kepada Manajer Investasi dibandingkan dengan Modal Kerja Bersih Disesuaikan (MKBD); dan</w:t>
      </w:r>
    </w:p>
    <w:p w14:paraId="7855C8FA" w14:textId="17446475" w:rsidR="00E1341F" w:rsidRPr="00306115" w:rsidRDefault="00830AA2">
      <w:pPr>
        <w:pStyle w:val="ListParagraph"/>
        <w:numPr>
          <w:ilvl w:val="3"/>
          <w:numId w:val="12"/>
        </w:numPr>
        <w:autoSpaceDE w:val="0"/>
        <w:autoSpaceDN w:val="0"/>
        <w:adjustRightInd w:val="0"/>
        <w:spacing w:after="0" w:line="240" w:lineRule="auto"/>
        <w:ind w:left="3402" w:hanging="567"/>
        <w:rPr>
          <w:color w:val="000000" w:themeColor="text1"/>
          <w:szCs w:val="24"/>
        </w:rPr>
      </w:pPr>
      <w:r w:rsidRPr="00306115">
        <w:rPr>
          <w:color w:val="000000" w:themeColor="text1"/>
          <w:szCs w:val="24"/>
        </w:rPr>
        <w:t>besarnya nominal kerugian yang dialami Manajer Investasi dari adanya putusan pengadilan yang mempunyai kekuatan hukum tetap dibandingkan dengan MKBD.</w:t>
      </w:r>
    </w:p>
    <w:p w14:paraId="30F2A952" w14:textId="765CF2DA" w:rsidR="00326FD1" w:rsidRPr="00306115" w:rsidRDefault="00326FD1">
      <w:pPr>
        <w:pStyle w:val="ListParagraph"/>
        <w:numPr>
          <w:ilvl w:val="0"/>
          <w:numId w:val="22"/>
        </w:numPr>
        <w:autoSpaceDE w:val="0"/>
        <w:autoSpaceDN w:val="0"/>
        <w:adjustRightInd w:val="0"/>
        <w:spacing w:after="0" w:line="240" w:lineRule="auto"/>
        <w:ind w:left="2835" w:hanging="567"/>
        <w:rPr>
          <w:color w:val="000000" w:themeColor="text1"/>
          <w:szCs w:val="24"/>
        </w:rPr>
      </w:pPr>
      <w:r w:rsidRPr="00306115">
        <w:rPr>
          <w:color w:val="000000" w:themeColor="text1"/>
          <w:szCs w:val="24"/>
        </w:rPr>
        <w:t>Risiko Kepatuhan</w:t>
      </w:r>
    </w:p>
    <w:p w14:paraId="30219A5F" w14:textId="7DEC9420" w:rsidR="009B2A66" w:rsidRPr="00306115" w:rsidRDefault="0097267E" w:rsidP="0097267E">
      <w:pPr>
        <w:pStyle w:val="ListParagraph"/>
        <w:autoSpaceDE w:val="0"/>
        <w:autoSpaceDN w:val="0"/>
        <w:adjustRightInd w:val="0"/>
        <w:spacing w:after="0" w:line="240" w:lineRule="auto"/>
        <w:ind w:left="2835"/>
        <w:rPr>
          <w:color w:val="000000" w:themeColor="text1"/>
          <w:szCs w:val="24"/>
        </w:rPr>
      </w:pPr>
      <w:r w:rsidRPr="00306115">
        <w:rPr>
          <w:color w:val="000000" w:themeColor="text1"/>
          <w:szCs w:val="24"/>
        </w:rPr>
        <w:t>Dalam menilai Risiko Kepatuhan, parameter atau indikator yang digunakan meliputi:</w:t>
      </w:r>
    </w:p>
    <w:p w14:paraId="188AE863" w14:textId="77777777" w:rsidR="00CF7F12" w:rsidRPr="00306115" w:rsidRDefault="00CF7F12">
      <w:pPr>
        <w:pStyle w:val="ListParagraph"/>
        <w:numPr>
          <w:ilvl w:val="0"/>
          <w:numId w:val="23"/>
        </w:numPr>
        <w:autoSpaceDE w:val="0"/>
        <w:autoSpaceDN w:val="0"/>
        <w:adjustRightInd w:val="0"/>
        <w:spacing w:after="0" w:line="240" w:lineRule="auto"/>
        <w:ind w:left="3402" w:hanging="567"/>
        <w:rPr>
          <w:color w:val="000000" w:themeColor="text1"/>
          <w:szCs w:val="24"/>
        </w:rPr>
      </w:pPr>
      <w:r w:rsidRPr="00306115">
        <w:rPr>
          <w:color w:val="000000" w:themeColor="text1"/>
          <w:szCs w:val="24"/>
        </w:rPr>
        <w:lastRenderedPageBreak/>
        <w:t>jumlah sanksi yang diberikan oleh Otoritas Jasa Keuangan;</w:t>
      </w:r>
    </w:p>
    <w:p w14:paraId="12446084" w14:textId="77777777" w:rsidR="00CF7F12" w:rsidRPr="00306115" w:rsidRDefault="00CF7F12">
      <w:pPr>
        <w:pStyle w:val="ListParagraph"/>
        <w:numPr>
          <w:ilvl w:val="0"/>
          <w:numId w:val="23"/>
        </w:numPr>
        <w:autoSpaceDE w:val="0"/>
        <w:autoSpaceDN w:val="0"/>
        <w:adjustRightInd w:val="0"/>
        <w:spacing w:after="0" w:line="240" w:lineRule="auto"/>
        <w:ind w:left="3402" w:hanging="567"/>
        <w:rPr>
          <w:color w:val="000000" w:themeColor="text1"/>
          <w:szCs w:val="24"/>
        </w:rPr>
      </w:pPr>
      <w:r w:rsidRPr="00306115">
        <w:rPr>
          <w:color w:val="000000" w:themeColor="text1"/>
          <w:szCs w:val="24"/>
        </w:rPr>
        <w:t>signifikansi dari sanksi terberat;</w:t>
      </w:r>
    </w:p>
    <w:p w14:paraId="5268A303" w14:textId="77777777" w:rsidR="00CF7F12" w:rsidRPr="00306115" w:rsidRDefault="00CF7F12">
      <w:pPr>
        <w:pStyle w:val="ListParagraph"/>
        <w:numPr>
          <w:ilvl w:val="0"/>
          <w:numId w:val="23"/>
        </w:numPr>
        <w:autoSpaceDE w:val="0"/>
        <w:autoSpaceDN w:val="0"/>
        <w:adjustRightInd w:val="0"/>
        <w:spacing w:after="0" w:line="240" w:lineRule="auto"/>
        <w:ind w:left="3402" w:hanging="567"/>
        <w:rPr>
          <w:color w:val="000000" w:themeColor="text1"/>
          <w:szCs w:val="24"/>
        </w:rPr>
      </w:pPr>
      <w:r w:rsidRPr="00306115">
        <w:rPr>
          <w:color w:val="000000" w:themeColor="text1"/>
          <w:szCs w:val="24"/>
        </w:rPr>
        <w:t>jumlah teguran dari bank kustodian;</w:t>
      </w:r>
    </w:p>
    <w:p w14:paraId="05986355" w14:textId="292CB77C" w:rsidR="00CF7F12" w:rsidRPr="00306115" w:rsidRDefault="00CF7F12">
      <w:pPr>
        <w:pStyle w:val="ListParagraph"/>
        <w:numPr>
          <w:ilvl w:val="0"/>
          <w:numId w:val="23"/>
        </w:numPr>
        <w:autoSpaceDE w:val="0"/>
        <w:autoSpaceDN w:val="0"/>
        <w:adjustRightInd w:val="0"/>
        <w:spacing w:after="0" w:line="240" w:lineRule="auto"/>
        <w:ind w:left="3402" w:hanging="567"/>
        <w:rPr>
          <w:color w:val="000000" w:themeColor="text1"/>
          <w:szCs w:val="24"/>
        </w:rPr>
      </w:pPr>
      <w:r w:rsidRPr="00306115">
        <w:rPr>
          <w:color w:val="000000" w:themeColor="text1"/>
          <w:szCs w:val="24"/>
        </w:rPr>
        <w:t>jumlah tindakan pembinaan yang diterima Manajer Investasi dalam 1 tahun; dan</w:t>
      </w:r>
    </w:p>
    <w:p w14:paraId="6935E60F" w14:textId="5A6DB325" w:rsidR="0097267E" w:rsidRPr="00306115" w:rsidRDefault="00CF7F12">
      <w:pPr>
        <w:pStyle w:val="ListParagraph"/>
        <w:numPr>
          <w:ilvl w:val="0"/>
          <w:numId w:val="23"/>
        </w:numPr>
        <w:autoSpaceDE w:val="0"/>
        <w:autoSpaceDN w:val="0"/>
        <w:adjustRightInd w:val="0"/>
        <w:spacing w:after="0" w:line="240" w:lineRule="auto"/>
        <w:ind w:left="3402" w:hanging="567"/>
        <w:rPr>
          <w:color w:val="000000" w:themeColor="text1"/>
          <w:szCs w:val="24"/>
        </w:rPr>
      </w:pPr>
      <w:r w:rsidRPr="00306115">
        <w:rPr>
          <w:color w:val="000000" w:themeColor="text1"/>
          <w:szCs w:val="24"/>
        </w:rPr>
        <w:t xml:space="preserve">jumlah </w:t>
      </w:r>
      <w:r w:rsidR="00543A86" w:rsidRPr="00306115">
        <w:rPr>
          <w:i/>
          <w:iCs/>
          <w:color w:val="000000" w:themeColor="text1"/>
          <w:szCs w:val="24"/>
        </w:rPr>
        <w:t>outstanding</w:t>
      </w:r>
      <w:r w:rsidRPr="00306115">
        <w:rPr>
          <w:color w:val="000000" w:themeColor="text1"/>
          <w:szCs w:val="24"/>
        </w:rPr>
        <w:t xml:space="preserve"> tindakan pembinaan yang belum dipenuhi Manajer Investasi dalam waktu 1 (satu) tahun.</w:t>
      </w:r>
    </w:p>
    <w:p w14:paraId="59E22808" w14:textId="4E7FC8EC" w:rsidR="00326FD1" w:rsidRPr="00306115" w:rsidRDefault="00326FD1">
      <w:pPr>
        <w:pStyle w:val="ListParagraph"/>
        <w:numPr>
          <w:ilvl w:val="0"/>
          <w:numId w:val="22"/>
        </w:numPr>
        <w:autoSpaceDE w:val="0"/>
        <w:autoSpaceDN w:val="0"/>
        <w:adjustRightInd w:val="0"/>
        <w:spacing w:after="0" w:line="240" w:lineRule="auto"/>
        <w:ind w:left="2835" w:hanging="567"/>
        <w:rPr>
          <w:color w:val="000000" w:themeColor="text1"/>
          <w:szCs w:val="24"/>
        </w:rPr>
      </w:pPr>
      <w:r w:rsidRPr="00306115">
        <w:rPr>
          <w:color w:val="000000" w:themeColor="text1"/>
          <w:szCs w:val="24"/>
        </w:rPr>
        <w:t>Risiko Reputasi</w:t>
      </w:r>
    </w:p>
    <w:p w14:paraId="2F4854D2" w14:textId="2F96B845" w:rsidR="00795EF4" w:rsidRPr="00306115" w:rsidRDefault="00795EF4" w:rsidP="006F67A0">
      <w:pPr>
        <w:pStyle w:val="ListParagraph"/>
        <w:autoSpaceDE w:val="0"/>
        <w:autoSpaceDN w:val="0"/>
        <w:adjustRightInd w:val="0"/>
        <w:spacing w:after="0" w:line="240" w:lineRule="auto"/>
        <w:ind w:left="2835"/>
        <w:contextualSpacing w:val="0"/>
        <w:rPr>
          <w:color w:val="000000" w:themeColor="text1"/>
          <w:szCs w:val="24"/>
        </w:rPr>
      </w:pPr>
      <w:r w:rsidRPr="00306115">
        <w:rPr>
          <w:color w:val="000000" w:themeColor="text1"/>
          <w:szCs w:val="24"/>
        </w:rPr>
        <w:t>Dalam menilai Risiko Reputasi, parameter atau indikator yang digunakan meliputi:</w:t>
      </w:r>
    </w:p>
    <w:p w14:paraId="4B9AB8BF" w14:textId="7DE46B35" w:rsidR="006F67A0" w:rsidRPr="00306115" w:rsidRDefault="003C06ED">
      <w:pPr>
        <w:numPr>
          <w:ilvl w:val="0"/>
          <w:numId w:val="24"/>
        </w:numPr>
        <w:autoSpaceDE w:val="0"/>
        <w:autoSpaceDN w:val="0"/>
        <w:adjustRightInd w:val="0"/>
        <w:spacing w:after="0" w:line="240" w:lineRule="auto"/>
        <w:ind w:left="3402" w:hanging="567"/>
        <w:rPr>
          <w:color w:val="000000" w:themeColor="text1"/>
          <w:szCs w:val="24"/>
        </w:rPr>
      </w:pPr>
      <w:r w:rsidRPr="00306115">
        <w:rPr>
          <w:color w:val="000000" w:themeColor="text1"/>
          <w:szCs w:val="24"/>
        </w:rPr>
        <w:t xml:space="preserve">rasio </w:t>
      </w:r>
      <w:r w:rsidR="006F67A0" w:rsidRPr="00306115">
        <w:rPr>
          <w:color w:val="000000" w:themeColor="text1"/>
          <w:szCs w:val="24"/>
        </w:rPr>
        <w:t xml:space="preserve">jumlah pengaduan </w:t>
      </w:r>
      <w:r w:rsidRPr="00306115">
        <w:rPr>
          <w:color w:val="000000" w:themeColor="text1"/>
          <w:szCs w:val="24"/>
        </w:rPr>
        <w:t xml:space="preserve">terhadap jumlah </w:t>
      </w:r>
      <w:r w:rsidR="006F67A0" w:rsidRPr="00306115">
        <w:rPr>
          <w:color w:val="000000" w:themeColor="text1"/>
          <w:szCs w:val="24"/>
        </w:rPr>
        <w:t>nasabah;</w:t>
      </w:r>
    </w:p>
    <w:p w14:paraId="03BF58A5" w14:textId="35EAA75E" w:rsidR="006F67A0" w:rsidRPr="00306115" w:rsidRDefault="006F67A0">
      <w:pPr>
        <w:numPr>
          <w:ilvl w:val="0"/>
          <w:numId w:val="24"/>
        </w:numPr>
        <w:autoSpaceDE w:val="0"/>
        <w:autoSpaceDN w:val="0"/>
        <w:adjustRightInd w:val="0"/>
        <w:spacing w:after="0" w:line="240" w:lineRule="auto"/>
        <w:ind w:left="3402" w:hanging="567"/>
        <w:rPr>
          <w:color w:val="000000" w:themeColor="text1"/>
          <w:szCs w:val="24"/>
        </w:rPr>
      </w:pPr>
      <w:r w:rsidRPr="00306115">
        <w:rPr>
          <w:color w:val="000000" w:themeColor="text1"/>
          <w:szCs w:val="24"/>
        </w:rPr>
        <w:t>jumlah topik pemberitaan negatif di media massa cetak dan/atau elektronik;</w:t>
      </w:r>
    </w:p>
    <w:p w14:paraId="5FB414C8" w14:textId="04B84A09" w:rsidR="003C06ED" w:rsidRPr="00306115" w:rsidRDefault="003C06ED">
      <w:pPr>
        <w:numPr>
          <w:ilvl w:val="0"/>
          <w:numId w:val="24"/>
        </w:numPr>
        <w:autoSpaceDE w:val="0"/>
        <w:autoSpaceDN w:val="0"/>
        <w:adjustRightInd w:val="0"/>
        <w:spacing w:after="0" w:line="240" w:lineRule="auto"/>
        <w:ind w:left="3402" w:hanging="567"/>
        <w:rPr>
          <w:color w:val="000000" w:themeColor="text1"/>
          <w:szCs w:val="24"/>
        </w:rPr>
      </w:pPr>
      <w:r w:rsidRPr="00306115">
        <w:rPr>
          <w:color w:val="000000" w:themeColor="text1"/>
          <w:szCs w:val="24"/>
        </w:rPr>
        <w:t>signifikansi pemberitaan negatif; dan</w:t>
      </w:r>
    </w:p>
    <w:p w14:paraId="12633B85" w14:textId="449513DE" w:rsidR="000B37B3" w:rsidRPr="00306115" w:rsidRDefault="006F67A0">
      <w:pPr>
        <w:numPr>
          <w:ilvl w:val="0"/>
          <w:numId w:val="24"/>
        </w:numPr>
        <w:autoSpaceDE w:val="0"/>
        <w:autoSpaceDN w:val="0"/>
        <w:adjustRightInd w:val="0"/>
        <w:spacing w:after="0" w:line="240" w:lineRule="auto"/>
        <w:ind w:left="3402" w:hanging="567"/>
        <w:rPr>
          <w:color w:val="000000" w:themeColor="text1"/>
          <w:szCs w:val="24"/>
        </w:rPr>
      </w:pPr>
      <w:r w:rsidRPr="00306115">
        <w:rPr>
          <w:color w:val="000000" w:themeColor="text1"/>
          <w:szCs w:val="24"/>
        </w:rPr>
        <w:t>maksimal durasi pemberitaan negatif di media massa cetak</w:t>
      </w:r>
      <w:r w:rsidR="003D7877" w:rsidRPr="00306115">
        <w:rPr>
          <w:color w:val="000000" w:themeColor="text1"/>
          <w:szCs w:val="24"/>
        </w:rPr>
        <w:t>.</w:t>
      </w:r>
    </w:p>
    <w:p w14:paraId="532EEEB2" w14:textId="042B012C" w:rsidR="00326FD1" w:rsidRPr="00306115" w:rsidRDefault="00326FD1">
      <w:pPr>
        <w:pStyle w:val="ListParagraph"/>
        <w:numPr>
          <w:ilvl w:val="0"/>
          <w:numId w:val="22"/>
        </w:numPr>
        <w:autoSpaceDE w:val="0"/>
        <w:autoSpaceDN w:val="0"/>
        <w:adjustRightInd w:val="0"/>
        <w:spacing w:after="0" w:line="240" w:lineRule="auto"/>
        <w:ind w:left="2835" w:hanging="567"/>
        <w:rPr>
          <w:color w:val="000000" w:themeColor="text1"/>
          <w:szCs w:val="24"/>
        </w:rPr>
      </w:pPr>
      <w:r w:rsidRPr="00306115">
        <w:rPr>
          <w:color w:val="000000" w:themeColor="text1"/>
          <w:szCs w:val="24"/>
        </w:rPr>
        <w:t>Risiko Strategis</w:t>
      </w:r>
    </w:p>
    <w:p w14:paraId="26B4C45E" w14:textId="195EA4DF" w:rsidR="00312875" w:rsidRPr="00306115" w:rsidRDefault="00574406" w:rsidP="00574406">
      <w:pPr>
        <w:pStyle w:val="ListParagraph"/>
        <w:autoSpaceDE w:val="0"/>
        <w:autoSpaceDN w:val="0"/>
        <w:adjustRightInd w:val="0"/>
        <w:spacing w:after="0" w:line="240" w:lineRule="auto"/>
        <w:ind w:left="2835"/>
        <w:rPr>
          <w:color w:val="000000" w:themeColor="text1"/>
          <w:szCs w:val="24"/>
        </w:rPr>
      </w:pPr>
      <w:r w:rsidRPr="00306115">
        <w:rPr>
          <w:color w:val="000000" w:themeColor="text1"/>
          <w:szCs w:val="24"/>
        </w:rPr>
        <w:t>Dalam menilai Risiko Strategis, parameter atau indikator yang digunakan meliputi:</w:t>
      </w:r>
    </w:p>
    <w:p w14:paraId="3394B770" w14:textId="77777777" w:rsidR="00E93D9C" w:rsidRPr="00306115" w:rsidRDefault="00E93D9C">
      <w:pPr>
        <w:pStyle w:val="ListParagraph"/>
        <w:numPr>
          <w:ilvl w:val="0"/>
          <w:numId w:val="25"/>
        </w:numPr>
        <w:autoSpaceDE w:val="0"/>
        <w:autoSpaceDN w:val="0"/>
        <w:adjustRightInd w:val="0"/>
        <w:spacing w:after="0" w:line="240" w:lineRule="auto"/>
        <w:ind w:left="3402" w:hanging="567"/>
        <w:rPr>
          <w:color w:val="000000" w:themeColor="text1"/>
          <w:szCs w:val="24"/>
        </w:rPr>
      </w:pPr>
      <w:r w:rsidRPr="00306115">
        <w:rPr>
          <w:color w:val="000000" w:themeColor="text1"/>
          <w:szCs w:val="24"/>
        </w:rPr>
        <w:t>persentase (%) realisasi dari strategi pengembangan bisnis dalam rencana bisnis Manajer Investasi;</w:t>
      </w:r>
    </w:p>
    <w:p w14:paraId="7A5591D5" w14:textId="77777777" w:rsidR="00E93D9C" w:rsidRPr="00306115" w:rsidRDefault="00E93D9C">
      <w:pPr>
        <w:pStyle w:val="ListParagraph"/>
        <w:numPr>
          <w:ilvl w:val="0"/>
          <w:numId w:val="25"/>
        </w:numPr>
        <w:autoSpaceDE w:val="0"/>
        <w:autoSpaceDN w:val="0"/>
        <w:adjustRightInd w:val="0"/>
        <w:spacing w:after="0" w:line="240" w:lineRule="auto"/>
        <w:ind w:left="3402" w:hanging="567"/>
        <w:rPr>
          <w:color w:val="000000" w:themeColor="text1"/>
          <w:szCs w:val="24"/>
        </w:rPr>
      </w:pPr>
      <w:r w:rsidRPr="00306115">
        <w:rPr>
          <w:color w:val="000000" w:themeColor="text1"/>
          <w:szCs w:val="24"/>
        </w:rPr>
        <w:t>persentase (%) realisasi dari proyeksi keuangan dalam Rencana Bisnis Manajer Investasi; dan</w:t>
      </w:r>
    </w:p>
    <w:p w14:paraId="0B1D48AB" w14:textId="40BDA3D4" w:rsidR="00574406" w:rsidRPr="00306115" w:rsidRDefault="00E93D9C">
      <w:pPr>
        <w:pStyle w:val="ListParagraph"/>
        <w:numPr>
          <w:ilvl w:val="0"/>
          <w:numId w:val="25"/>
        </w:numPr>
        <w:autoSpaceDE w:val="0"/>
        <w:autoSpaceDN w:val="0"/>
        <w:adjustRightInd w:val="0"/>
        <w:spacing w:after="0" w:line="240" w:lineRule="auto"/>
        <w:ind w:left="3402" w:hanging="567"/>
        <w:rPr>
          <w:color w:val="000000" w:themeColor="text1"/>
          <w:szCs w:val="24"/>
        </w:rPr>
      </w:pPr>
      <w:r w:rsidRPr="00306115">
        <w:rPr>
          <w:color w:val="000000" w:themeColor="text1"/>
          <w:szCs w:val="24"/>
        </w:rPr>
        <w:t xml:space="preserve">persentase (%) realisasi dari </w:t>
      </w:r>
      <w:r w:rsidR="00D65431" w:rsidRPr="00306115">
        <w:rPr>
          <w:color w:val="000000" w:themeColor="text1"/>
          <w:szCs w:val="24"/>
        </w:rPr>
        <w:t>r</w:t>
      </w:r>
      <w:r w:rsidRPr="00306115">
        <w:rPr>
          <w:color w:val="000000" w:themeColor="text1"/>
          <w:szCs w:val="24"/>
        </w:rPr>
        <w:t xml:space="preserve">encana </w:t>
      </w:r>
      <w:r w:rsidR="00D65431" w:rsidRPr="00306115">
        <w:rPr>
          <w:color w:val="000000" w:themeColor="text1"/>
          <w:szCs w:val="24"/>
        </w:rPr>
        <w:t>a</w:t>
      </w:r>
      <w:r w:rsidRPr="00306115">
        <w:rPr>
          <w:color w:val="000000" w:themeColor="text1"/>
          <w:szCs w:val="24"/>
        </w:rPr>
        <w:t xml:space="preserve">ksi </w:t>
      </w:r>
      <w:r w:rsidR="00D65431" w:rsidRPr="00306115">
        <w:rPr>
          <w:color w:val="000000" w:themeColor="text1"/>
          <w:szCs w:val="24"/>
        </w:rPr>
        <w:t>k</w:t>
      </w:r>
      <w:r w:rsidRPr="00306115">
        <w:rPr>
          <w:color w:val="000000" w:themeColor="text1"/>
          <w:szCs w:val="24"/>
        </w:rPr>
        <w:t xml:space="preserve">euangan </w:t>
      </w:r>
      <w:r w:rsidR="00D65431" w:rsidRPr="00306115">
        <w:rPr>
          <w:color w:val="000000" w:themeColor="text1"/>
          <w:szCs w:val="24"/>
        </w:rPr>
        <w:t>b</w:t>
      </w:r>
      <w:r w:rsidRPr="00306115">
        <w:rPr>
          <w:color w:val="000000" w:themeColor="text1"/>
          <w:szCs w:val="24"/>
        </w:rPr>
        <w:t>erkelanjutan</w:t>
      </w:r>
      <w:r w:rsidR="00D65431" w:rsidRPr="00306115">
        <w:rPr>
          <w:color w:val="000000" w:themeColor="text1"/>
          <w:szCs w:val="24"/>
        </w:rPr>
        <w:t>.</w:t>
      </w:r>
    </w:p>
    <w:p w14:paraId="1211508F" w14:textId="4EDF8A73" w:rsidR="00326FD1" w:rsidRPr="00306115" w:rsidRDefault="00326FD1">
      <w:pPr>
        <w:pStyle w:val="ListParagraph"/>
        <w:numPr>
          <w:ilvl w:val="0"/>
          <w:numId w:val="22"/>
        </w:numPr>
        <w:autoSpaceDE w:val="0"/>
        <w:autoSpaceDN w:val="0"/>
        <w:adjustRightInd w:val="0"/>
        <w:spacing w:after="0" w:line="240" w:lineRule="auto"/>
        <w:ind w:left="2835" w:hanging="567"/>
        <w:rPr>
          <w:color w:val="000000" w:themeColor="text1"/>
          <w:szCs w:val="24"/>
        </w:rPr>
      </w:pPr>
      <w:r w:rsidRPr="00306115">
        <w:rPr>
          <w:color w:val="000000" w:themeColor="text1"/>
          <w:szCs w:val="24"/>
        </w:rPr>
        <w:t>Risiko Investasi</w:t>
      </w:r>
    </w:p>
    <w:p w14:paraId="0A212060" w14:textId="3948FE47" w:rsidR="00D216BB" w:rsidRPr="00306115" w:rsidRDefault="00D216BB" w:rsidP="00D216BB">
      <w:pPr>
        <w:pStyle w:val="ListParagraph"/>
        <w:autoSpaceDE w:val="0"/>
        <w:autoSpaceDN w:val="0"/>
        <w:adjustRightInd w:val="0"/>
        <w:spacing w:after="0" w:line="240" w:lineRule="auto"/>
        <w:ind w:left="2835"/>
        <w:rPr>
          <w:color w:val="000000" w:themeColor="text1"/>
          <w:szCs w:val="24"/>
        </w:rPr>
      </w:pPr>
      <w:r w:rsidRPr="00306115">
        <w:rPr>
          <w:color w:val="000000" w:themeColor="text1"/>
          <w:szCs w:val="24"/>
        </w:rPr>
        <w:t>Dalam menilai Risiko Investasi, parameter atau indikator yang digunakan meliputi persentase (%) portofolio Efek yang diinvestasikan pada instrumen berisiko tinggi terhadap total portofolio milik Manajer Investasi.</w:t>
      </w:r>
    </w:p>
    <w:p w14:paraId="12ED2FB0" w14:textId="77777777" w:rsidR="00D84D56" w:rsidRPr="00306115" w:rsidRDefault="00CB1577">
      <w:pPr>
        <w:numPr>
          <w:ilvl w:val="0"/>
          <w:numId w:val="10"/>
        </w:numPr>
        <w:autoSpaceDE w:val="0"/>
        <w:autoSpaceDN w:val="0"/>
        <w:adjustRightInd w:val="0"/>
        <w:spacing w:after="0" w:line="240" w:lineRule="auto"/>
        <w:ind w:left="1701" w:hanging="567"/>
        <w:rPr>
          <w:color w:val="000000" w:themeColor="text1"/>
        </w:rPr>
      </w:pPr>
      <w:r w:rsidRPr="00306115">
        <w:rPr>
          <w:color w:val="000000" w:themeColor="text1"/>
        </w:rPr>
        <w:t>Penilaian Kualitas Penerapan Manajemen Risiko</w:t>
      </w:r>
    </w:p>
    <w:p w14:paraId="6D415DB7" w14:textId="4409E2CC" w:rsidR="00D84D56" w:rsidRPr="00306115" w:rsidRDefault="00D84D56" w:rsidP="00D7580F">
      <w:pPr>
        <w:autoSpaceDE w:val="0"/>
        <w:autoSpaceDN w:val="0"/>
        <w:adjustRightInd w:val="0"/>
        <w:spacing w:after="0" w:line="240" w:lineRule="auto"/>
        <w:ind w:left="1701" w:firstLine="567"/>
        <w:rPr>
          <w:color w:val="000000" w:themeColor="text1"/>
          <w:sz w:val="32"/>
          <w:szCs w:val="28"/>
        </w:rPr>
      </w:pPr>
      <w:r w:rsidRPr="00306115">
        <w:rPr>
          <w:color w:val="000000" w:themeColor="text1"/>
          <w:szCs w:val="24"/>
          <w:lang w:val="en-US"/>
        </w:rPr>
        <w:t xml:space="preserve">Penilaian kualitas penerapan Manajemen Risiko mencerminkan penilaian terhadap kecukupan sistem pengendalian risiko, yang mencakup seluruh pilar penerapan Manajemen Risiko sebagaimana diatur </w:t>
      </w:r>
      <w:r w:rsidR="0061030D" w:rsidRPr="00306115">
        <w:rPr>
          <w:color w:val="000000" w:themeColor="text1"/>
          <w:szCs w:val="24"/>
          <w:lang w:val="en-US"/>
        </w:rPr>
        <w:t xml:space="preserve">pada </w:t>
      </w:r>
      <w:r w:rsidRPr="00306115">
        <w:rPr>
          <w:color w:val="000000" w:themeColor="text1"/>
          <w:szCs w:val="24"/>
          <w:lang w:val="en-US"/>
        </w:rPr>
        <w:t>Peraturan Otoritas Jasa Keuangan</w:t>
      </w:r>
      <w:r w:rsidR="00AD6E53" w:rsidRPr="00306115">
        <w:rPr>
          <w:color w:val="000000" w:themeColor="text1"/>
          <w:szCs w:val="24"/>
          <w:lang w:val="en-US"/>
        </w:rPr>
        <w:t xml:space="preserve"> </w:t>
      </w:r>
      <w:r w:rsidRPr="00306115">
        <w:rPr>
          <w:color w:val="000000" w:themeColor="text1"/>
          <w:szCs w:val="24"/>
          <w:lang w:val="en-US"/>
        </w:rPr>
        <w:t xml:space="preserve">mengenai </w:t>
      </w:r>
      <w:r w:rsidR="009A52C5" w:rsidRPr="00306115">
        <w:rPr>
          <w:color w:val="000000" w:themeColor="text1"/>
          <w:szCs w:val="24"/>
          <w:lang w:val="en-US"/>
        </w:rPr>
        <w:t>p</w:t>
      </w:r>
      <w:r w:rsidRPr="00306115">
        <w:rPr>
          <w:color w:val="000000" w:themeColor="text1"/>
          <w:szCs w:val="24"/>
          <w:lang w:val="en-US"/>
        </w:rPr>
        <w:t xml:space="preserve">enerapan Manajemen Risiko dan </w:t>
      </w:r>
      <w:r w:rsidR="009A52C5" w:rsidRPr="00306115">
        <w:rPr>
          <w:color w:val="000000" w:themeColor="text1"/>
          <w:szCs w:val="24"/>
          <w:lang w:val="en-US"/>
        </w:rPr>
        <w:t>p</w:t>
      </w:r>
      <w:r w:rsidRPr="00306115">
        <w:rPr>
          <w:color w:val="000000" w:themeColor="text1"/>
          <w:szCs w:val="24"/>
          <w:lang w:val="en-US"/>
        </w:rPr>
        <w:t xml:space="preserve">enilaian Tingkat Kesehatan Manajer Investasi. Penilaian kualitas penerapan Manajemen Risiko bertujuan untuk mengevaluasi efektivitas penerapan Manajemen Risiko sesuai prinsip yang diatur dalam </w:t>
      </w:r>
      <w:r w:rsidR="0067392A" w:rsidRPr="00306115">
        <w:rPr>
          <w:color w:val="000000" w:themeColor="text1"/>
          <w:szCs w:val="24"/>
          <w:lang w:val="en-US"/>
        </w:rPr>
        <w:t xml:space="preserve">Peraturan Otoritas Jasa Keuangan </w:t>
      </w:r>
      <w:r w:rsidRPr="00306115">
        <w:rPr>
          <w:color w:val="000000" w:themeColor="text1"/>
          <w:szCs w:val="24"/>
          <w:lang w:val="en-US"/>
        </w:rPr>
        <w:t xml:space="preserve">mengenai </w:t>
      </w:r>
      <w:r w:rsidR="0067392A" w:rsidRPr="00306115">
        <w:rPr>
          <w:color w:val="000000" w:themeColor="text1"/>
          <w:szCs w:val="24"/>
          <w:lang w:val="en-US"/>
        </w:rPr>
        <w:t>p</w:t>
      </w:r>
      <w:r w:rsidRPr="00306115">
        <w:rPr>
          <w:color w:val="000000" w:themeColor="text1"/>
          <w:szCs w:val="24"/>
          <w:lang w:val="en-US"/>
        </w:rPr>
        <w:t xml:space="preserve">enerapan Manajemen Risiko dan </w:t>
      </w:r>
      <w:r w:rsidR="0067392A" w:rsidRPr="00306115">
        <w:rPr>
          <w:color w:val="000000" w:themeColor="text1"/>
          <w:szCs w:val="24"/>
          <w:lang w:val="en-US"/>
        </w:rPr>
        <w:t>p</w:t>
      </w:r>
      <w:r w:rsidRPr="00306115">
        <w:rPr>
          <w:color w:val="000000" w:themeColor="text1"/>
          <w:szCs w:val="24"/>
          <w:lang w:val="en-US"/>
        </w:rPr>
        <w:t>enilaian Tingkat Kesehatan Manajer Investasi.</w:t>
      </w:r>
    </w:p>
    <w:p w14:paraId="3246C2D9" w14:textId="67AC48A2" w:rsidR="009973DC" w:rsidRPr="00306115" w:rsidRDefault="00D84D56" w:rsidP="00D7580F">
      <w:pPr>
        <w:autoSpaceDE w:val="0"/>
        <w:autoSpaceDN w:val="0"/>
        <w:adjustRightInd w:val="0"/>
        <w:spacing w:after="0" w:line="240" w:lineRule="auto"/>
        <w:ind w:left="1701" w:firstLine="567"/>
        <w:rPr>
          <w:color w:val="000000" w:themeColor="text1"/>
          <w:szCs w:val="24"/>
          <w:lang w:val="en-US"/>
        </w:rPr>
      </w:pPr>
      <w:r w:rsidRPr="00306115">
        <w:rPr>
          <w:color w:val="000000" w:themeColor="text1"/>
          <w:szCs w:val="24"/>
          <w:lang w:val="en-US"/>
        </w:rPr>
        <w:t>Penerapan Manajemen Risiko Manajer Investasi dapat bervariasi berdasarkan ukuran, kompleksitas usaha, dan kemampuan Manajer Investasi. Dengan demikian, dalam menilai kualitas penerapan Manajemen Risiko perlu diperhatikan ukuran, kompleksitas usaha, dan kemampuan Manajer Investasi</w:t>
      </w:r>
      <w:r w:rsidR="006B3098" w:rsidRPr="00306115">
        <w:rPr>
          <w:color w:val="000000" w:themeColor="text1"/>
          <w:szCs w:val="24"/>
          <w:lang w:val="en-US"/>
        </w:rPr>
        <w:t>.</w:t>
      </w:r>
    </w:p>
    <w:p w14:paraId="4E11EEF5" w14:textId="43DCB146" w:rsidR="006B3098" w:rsidRPr="00306115" w:rsidRDefault="00E63B61" w:rsidP="00D7580F">
      <w:pPr>
        <w:autoSpaceDE w:val="0"/>
        <w:autoSpaceDN w:val="0"/>
        <w:adjustRightInd w:val="0"/>
        <w:spacing w:after="0" w:line="240" w:lineRule="auto"/>
        <w:ind w:left="1701" w:firstLine="567"/>
        <w:rPr>
          <w:color w:val="000000" w:themeColor="text1"/>
          <w:szCs w:val="24"/>
          <w:lang w:val="en-US"/>
        </w:rPr>
      </w:pPr>
      <w:r w:rsidRPr="00306115">
        <w:rPr>
          <w:color w:val="000000" w:themeColor="text1"/>
          <w:szCs w:val="24"/>
          <w:lang w:val="en-US"/>
        </w:rPr>
        <w:t>Penilaian kualitas penerapan Manajemen Risiko merupakan penilaian terhadap 4 (empat) aspek terkait</w:t>
      </w:r>
      <w:r w:rsidR="00E24A59" w:rsidRPr="00306115">
        <w:rPr>
          <w:color w:val="000000" w:themeColor="text1"/>
          <w:szCs w:val="24"/>
          <w:lang w:val="en-US"/>
        </w:rPr>
        <w:t xml:space="preserve"> yang </w:t>
      </w:r>
      <w:r w:rsidR="00E24A59" w:rsidRPr="00306115">
        <w:rPr>
          <w:color w:val="000000" w:themeColor="text1"/>
          <w:szCs w:val="24"/>
          <w:lang w:val="en-US"/>
        </w:rPr>
        <w:lastRenderedPageBreak/>
        <w:t>dilakukan secara terintegrasi</w:t>
      </w:r>
      <w:r w:rsidR="007A60BF" w:rsidRPr="00306115">
        <w:rPr>
          <w:color w:val="000000" w:themeColor="text1"/>
          <w:szCs w:val="24"/>
          <w:lang w:val="en-US"/>
        </w:rPr>
        <w:t xml:space="preserve"> yang mencakup hal sebagai berikut</w:t>
      </w:r>
      <w:r w:rsidRPr="00306115">
        <w:rPr>
          <w:color w:val="000000" w:themeColor="text1"/>
          <w:szCs w:val="24"/>
          <w:lang w:val="en-US"/>
        </w:rPr>
        <w:t>:</w:t>
      </w:r>
    </w:p>
    <w:p w14:paraId="27E5EE52" w14:textId="15720CA1" w:rsidR="00214262" w:rsidRPr="00306115" w:rsidRDefault="007A60BF">
      <w:pPr>
        <w:pStyle w:val="ListParagraph"/>
        <w:numPr>
          <w:ilvl w:val="4"/>
          <w:numId w:val="12"/>
        </w:numPr>
        <w:autoSpaceDE w:val="0"/>
        <w:autoSpaceDN w:val="0"/>
        <w:adjustRightInd w:val="0"/>
        <w:spacing w:after="0" w:line="240" w:lineRule="auto"/>
        <w:ind w:left="2268" w:hanging="567"/>
        <w:rPr>
          <w:color w:val="000000" w:themeColor="text1"/>
          <w:szCs w:val="24"/>
          <w:lang w:val="en-US"/>
        </w:rPr>
      </w:pPr>
      <w:r w:rsidRPr="00306115">
        <w:rPr>
          <w:color w:val="000000" w:themeColor="text1"/>
          <w:szCs w:val="24"/>
          <w:lang w:val="en-US"/>
        </w:rPr>
        <w:t>T</w:t>
      </w:r>
      <w:r w:rsidR="00214262" w:rsidRPr="00306115">
        <w:rPr>
          <w:color w:val="000000" w:themeColor="text1"/>
          <w:szCs w:val="24"/>
          <w:lang w:val="en-US"/>
        </w:rPr>
        <w:t xml:space="preserve">ata </w:t>
      </w:r>
      <w:r w:rsidRPr="00306115">
        <w:rPr>
          <w:color w:val="000000" w:themeColor="text1"/>
          <w:szCs w:val="24"/>
          <w:lang w:val="en-US"/>
        </w:rPr>
        <w:t>K</w:t>
      </w:r>
      <w:r w:rsidR="00214262" w:rsidRPr="00306115">
        <w:rPr>
          <w:color w:val="000000" w:themeColor="text1"/>
          <w:szCs w:val="24"/>
          <w:lang w:val="en-US"/>
        </w:rPr>
        <w:t xml:space="preserve">elola </w:t>
      </w:r>
      <w:r w:rsidRPr="00306115">
        <w:rPr>
          <w:color w:val="000000" w:themeColor="text1"/>
          <w:szCs w:val="24"/>
          <w:lang w:val="en-US"/>
        </w:rPr>
        <w:t>R</w:t>
      </w:r>
      <w:r w:rsidR="00214262" w:rsidRPr="00306115">
        <w:rPr>
          <w:color w:val="000000" w:themeColor="text1"/>
          <w:szCs w:val="24"/>
          <w:lang w:val="en-US"/>
        </w:rPr>
        <w:t>isiko</w:t>
      </w:r>
    </w:p>
    <w:p w14:paraId="2CC64E1D" w14:textId="3355B421" w:rsidR="002318B8" w:rsidRPr="00306115" w:rsidRDefault="00762B59" w:rsidP="002318B8">
      <w:pPr>
        <w:pStyle w:val="ListParagraph"/>
        <w:autoSpaceDE w:val="0"/>
        <w:autoSpaceDN w:val="0"/>
        <w:adjustRightInd w:val="0"/>
        <w:spacing w:after="0" w:line="240" w:lineRule="auto"/>
        <w:ind w:left="2268"/>
        <w:rPr>
          <w:color w:val="000000" w:themeColor="text1"/>
          <w:szCs w:val="24"/>
        </w:rPr>
      </w:pPr>
      <w:r w:rsidRPr="00306115">
        <w:rPr>
          <w:color w:val="000000" w:themeColor="text1"/>
          <w:szCs w:val="24"/>
        </w:rPr>
        <w:t>Tata kelola risiko mencakup evaluasi terhadap:</w:t>
      </w:r>
    </w:p>
    <w:p w14:paraId="7521A79E" w14:textId="13AC2389" w:rsidR="00762B59" w:rsidRPr="00306115" w:rsidRDefault="00953D45">
      <w:pPr>
        <w:pStyle w:val="ListParagraph"/>
        <w:numPr>
          <w:ilvl w:val="5"/>
          <w:numId w:val="12"/>
        </w:numPr>
        <w:autoSpaceDE w:val="0"/>
        <w:autoSpaceDN w:val="0"/>
        <w:adjustRightInd w:val="0"/>
        <w:spacing w:after="0" w:line="240" w:lineRule="auto"/>
        <w:ind w:left="2835" w:hanging="567"/>
        <w:rPr>
          <w:color w:val="000000" w:themeColor="text1"/>
          <w:sz w:val="32"/>
          <w:szCs w:val="32"/>
          <w:lang w:val="en-US"/>
        </w:rPr>
      </w:pPr>
      <w:r w:rsidRPr="00306115">
        <w:rPr>
          <w:color w:val="000000" w:themeColor="text1"/>
          <w:szCs w:val="24"/>
        </w:rPr>
        <w:t>p</w:t>
      </w:r>
      <w:r w:rsidR="00E065B3" w:rsidRPr="00306115">
        <w:rPr>
          <w:color w:val="000000" w:themeColor="text1"/>
          <w:szCs w:val="24"/>
        </w:rPr>
        <w:t>erumusan tingkat risiko yang akan diambil (</w:t>
      </w:r>
      <w:r w:rsidR="00E065B3" w:rsidRPr="00306115">
        <w:rPr>
          <w:i/>
          <w:iCs/>
          <w:color w:val="000000" w:themeColor="text1"/>
          <w:szCs w:val="24"/>
        </w:rPr>
        <w:t>risk appetite</w:t>
      </w:r>
      <w:r w:rsidR="00E065B3" w:rsidRPr="00306115">
        <w:rPr>
          <w:color w:val="000000" w:themeColor="text1"/>
          <w:szCs w:val="24"/>
        </w:rPr>
        <w:t>) dan toleransi risiko (</w:t>
      </w:r>
      <w:r w:rsidR="00E065B3" w:rsidRPr="00306115">
        <w:rPr>
          <w:i/>
          <w:iCs/>
          <w:color w:val="000000" w:themeColor="text1"/>
          <w:szCs w:val="24"/>
        </w:rPr>
        <w:t>risk tolerance</w:t>
      </w:r>
      <w:r w:rsidR="00E065B3" w:rsidRPr="00306115">
        <w:rPr>
          <w:color w:val="000000" w:themeColor="text1"/>
          <w:szCs w:val="24"/>
        </w:rPr>
        <w:t>); dan</w:t>
      </w:r>
    </w:p>
    <w:p w14:paraId="566A88CF" w14:textId="0922D57C" w:rsidR="00E065B3" w:rsidRPr="00306115" w:rsidRDefault="00953D45">
      <w:pPr>
        <w:pStyle w:val="ListParagraph"/>
        <w:numPr>
          <w:ilvl w:val="5"/>
          <w:numId w:val="12"/>
        </w:numPr>
        <w:autoSpaceDE w:val="0"/>
        <w:autoSpaceDN w:val="0"/>
        <w:adjustRightInd w:val="0"/>
        <w:spacing w:after="0" w:line="240" w:lineRule="auto"/>
        <w:ind w:left="2835" w:hanging="567"/>
        <w:rPr>
          <w:color w:val="000000" w:themeColor="text1"/>
          <w:sz w:val="32"/>
          <w:szCs w:val="32"/>
          <w:lang w:val="en-US"/>
        </w:rPr>
      </w:pPr>
      <w:r w:rsidRPr="00306115">
        <w:rPr>
          <w:color w:val="000000" w:themeColor="text1"/>
          <w:szCs w:val="24"/>
        </w:rPr>
        <w:t>kecukupan pengawasan aktif oleh Direksi dan Dewan Komisaris termasuk pelaksanaan kewenangan dan tanggung jawab Direksi dan Dewan Komisaris.</w:t>
      </w:r>
    </w:p>
    <w:p w14:paraId="633A9716" w14:textId="535B300A" w:rsidR="00214262" w:rsidRPr="00306115" w:rsidRDefault="007A60BF">
      <w:pPr>
        <w:pStyle w:val="ListParagraph"/>
        <w:numPr>
          <w:ilvl w:val="4"/>
          <w:numId w:val="12"/>
        </w:numPr>
        <w:autoSpaceDE w:val="0"/>
        <w:autoSpaceDN w:val="0"/>
        <w:adjustRightInd w:val="0"/>
        <w:spacing w:after="0" w:line="240" w:lineRule="auto"/>
        <w:ind w:left="2268" w:hanging="567"/>
        <w:rPr>
          <w:color w:val="000000" w:themeColor="text1"/>
          <w:szCs w:val="24"/>
          <w:lang w:val="en-US"/>
        </w:rPr>
      </w:pPr>
      <w:r w:rsidRPr="00306115">
        <w:rPr>
          <w:color w:val="000000" w:themeColor="text1"/>
          <w:szCs w:val="24"/>
          <w:lang w:val="en-US"/>
        </w:rPr>
        <w:t>K</w:t>
      </w:r>
      <w:r w:rsidR="00214262" w:rsidRPr="00306115">
        <w:rPr>
          <w:color w:val="000000" w:themeColor="text1"/>
          <w:szCs w:val="24"/>
          <w:lang w:val="en-US"/>
        </w:rPr>
        <w:t>erangka Manajemen Risiko</w:t>
      </w:r>
    </w:p>
    <w:p w14:paraId="6B1590D6" w14:textId="2306776D" w:rsidR="00953D45" w:rsidRPr="00306115" w:rsidRDefault="00E43C2A" w:rsidP="00953D45">
      <w:pPr>
        <w:pStyle w:val="ListParagraph"/>
        <w:autoSpaceDE w:val="0"/>
        <w:autoSpaceDN w:val="0"/>
        <w:adjustRightInd w:val="0"/>
        <w:spacing w:after="0" w:line="240" w:lineRule="auto"/>
        <w:ind w:left="2268"/>
        <w:rPr>
          <w:color w:val="000000" w:themeColor="text1"/>
          <w:szCs w:val="24"/>
        </w:rPr>
      </w:pPr>
      <w:r w:rsidRPr="00306115">
        <w:rPr>
          <w:color w:val="000000" w:themeColor="text1"/>
          <w:szCs w:val="24"/>
        </w:rPr>
        <w:t>Kerangka Manajemen Risiko mencakup evaluasi terhadap:</w:t>
      </w:r>
    </w:p>
    <w:p w14:paraId="6BE71FCA" w14:textId="7DF88B7B" w:rsidR="00150131" w:rsidRPr="00306115" w:rsidRDefault="00150131">
      <w:pPr>
        <w:pStyle w:val="ListParagraph"/>
        <w:numPr>
          <w:ilvl w:val="5"/>
          <w:numId w:val="12"/>
        </w:numPr>
        <w:autoSpaceDE w:val="0"/>
        <w:autoSpaceDN w:val="0"/>
        <w:adjustRightInd w:val="0"/>
        <w:spacing w:after="0" w:line="240" w:lineRule="auto"/>
        <w:ind w:left="2835" w:hanging="567"/>
        <w:rPr>
          <w:color w:val="000000" w:themeColor="text1"/>
          <w:szCs w:val="24"/>
          <w:lang w:val="en-US"/>
        </w:rPr>
      </w:pPr>
      <w:r w:rsidRPr="00306115">
        <w:rPr>
          <w:color w:val="000000" w:themeColor="text1"/>
          <w:szCs w:val="24"/>
          <w:lang w:val="en-US"/>
        </w:rPr>
        <w:t xml:space="preserve">strategi Manajemen Risiko yang searah dengan tingkat risiko yang akan diambil dan toleransi risiko; </w:t>
      </w:r>
    </w:p>
    <w:p w14:paraId="1CBB8764" w14:textId="395EE9E8" w:rsidR="00150131" w:rsidRPr="00306115" w:rsidRDefault="00150131">
      <w:pPr>
        <w:pStyle w:val="ListParagraph"/>
        <w:numPr>
          <w:ilvl w:val="5"/>
          <w:numId w:val="12"/>
        </w:numPr>
        <w:autoSpaceDE w:val="0"/>
        <w:autoSpaceDN w:val="0"/>
        <w:adjustRightInd w:val="0"/>
        <w:spacing w:after="0" w:line="240" w:lineRule="auto"/>
        <w:ind w:left="2835" w:hanging="567"/>
        <w:rPr>
          <w:color w:val="000000" w:themeColor="text1"/>
          <w:szCs w:val="24"/>
          <w:lang w:val="en-US"/>
        </w:rPr>
      </w:pPr>
      <w:r w:rsidRPr="00306115">
        <w:rPr>
          <w:color w:val="000000" w:themeColor="text1"/>
          <w:szCs w:val="24"/>
          <w:lang w:val="en-US"/>
        </w:rPr>
        <w:t xml:space="preserve">kecukupan perangkat organisasi dalam mendukung terlaksananya Manajemen Risiko secara efektif termasuk kejelasan wewenang dan tanggung jawab; dan </w:t>
      </w:r>
    </w:p>
    <w:p w14:paraId="57330CC8" w14:textId="4399B4A4" w:rsidR="00E43C2A" w:rsidRPr="00306115" w:rsidRDefault="00150131">
      <w:pPr>
        <w:pStyle w:val="ListParagraph"/>
        <w:numPr>
          <w:ilvl w:val="5"/>
          <w:numId w:val="12"/>
        </w:numPr>
        <w:autoSpaceDE w:val="0"/>
        <w:autoSpaceDN w:val="0"/>
        <w:adjustRightInd w:val="0"/>
        <w:spacing w:after="0" w:line="240" w:lineRule="auto"/>
        <w:ind w:left="2835" w:hanging="567"/>
        <w:rPr>
          <w:color w:val="000000" w:themeColor="text1"/>
          <w:szCs w:val="24"/>
          <w:lang w:val="en-US"/>
        </w:rPr>
      </w:pPr>
      <w:r w:rsidRPr="00306115">
        <w:rPr>
          <w:color w:val="000000" w:themeColor="text1"/>
          <w:szCs w:val="24"/>
          <w:lang w:val="en-US"/>
        </w:rPr>
        <w:t>kecukupan kebijakan, prosedur, dan penetapan limit risiko.</w:t>
      </w:r>
    </w:p>
    <w:p w14:paraId="2449FE4E" w14:textId="6C4EC845" w:rsidR="00214262" w:rsidRPr="00306115" w:rsidRDefault="007A60BF">
      <w:pPr>
        <w:pStyle w:val="ListParagraph"/>
        <w:numPr>
          <w:ilvl w:val="4"/>
          <w:numId w:val="12"/>
        </w:numPr>
        <w:autoSpaceDE w:val="0"/>
        <w:autoSpaceDN w:val="0"/>
        <w:adjustRightInd w:val="0"/>
        <w:spacing w:after="0" w:line="240" w:lineRule="auto"/>
        <w:ind w:left="2268" w:hanging="567"/>
        <w:rPr>
          <w:color w:val="000000" w:themeColor="text1"/>
          <w:szCs w:val="24"/>
          <w:lang w:val="en-US"/>
        </w:rPr>
      </w:pPr>
      <w:r w:rsidRPr="00306115">
        <w:rPr>
          <w:color w:val="000000" w:themeColor="text1"/>
          <w:szCs w:val="24"/>
          <w:lang w:val="en-US"/>
        </w:rPr>
        <w:t>P</w:t>
      </w:r>
      <w:r w:rsidR="00214262" w:rsidRPr="00306115">
        <w:rPr>
          <w:color w:val="000000" w:themeColor="text1"/>
          <w:szCs w:val="24"/>
          <w:lang w:val="en-US"/>
        </w:rPr>
        <w:t xml:space="preserve">roses Manajemen Risiko, </w:t>
      </w:r>
      <w:r w:rsidRPr="00306115">
        <w:rPr>
          <w:color w:val="000000" w:themeColor="text1"/>
          <w:szCs w:val="24"/>
          <w:lang w:val="en-US"/>
        </w:rPr>
        <w:t>K</w:t>
      </w:r>
      <w:r w:rsidR="00214262" w:rsidRPr="00306115">
        <w:rPr>
          <w:color w:val="000000" w:themeColor="text1"/>
          <w:szCs w:val="24"/>
          <w:lang w:val="en-US"/>
        </w:rPr>
        <w:t xml:space="preserve">ecukupan </w:t>
      </w:r>
      <w:r w:rsidRPr="00306115">
        <w:rPr>
          <w:color w:val="000000" w:themeColor="text1"/>
          <w:szCs w:val="24"/>
          <w:lang w:val="en-US"/>
        </w:rPr>
        <w:t>S</w:t>
      </w:r>
      <w:r w:rsidR="00214262" w:rsidRPr="00306115">
        <w:rPr>
          <w:color w:val="000000" w:themeColor="text1"/>
          <w:szCs w:val="24"/>
          <w:lang w:val="en-US"/>
        </w:rPr>
        <w:t xml:space="preserve">umber </w:t>
      </w:r>
      <w:r w:rsidRPr="00306115">
        <w:rPr>
          <w:color w:val="000000" w:themeColor="text1"/>
          <w:szCs w:val="24"/>
          <w:lang w:val="en-US"/>
        </w:rPr>
        <w:t>D</w:t>
      </w:r>
      <w:r w:rsidR="00214262" w:rsidRPr="00306115">
        <w:rPr>
          <w:color w:val="000000" w:themeColor="text1"/>
          <w:szCs w:val="24"/>
          <w:lang w:val="en-US"/>
        </w:rPr>
        <w:t xml:space="preserve">aya </w:t>
      </w:r>
      <w:r w:rsidRPr="00306115">
        <w:rPr>
          <w:color w:val="000000" w:themeColor="text1"/>
          <w:szCs w:val="24"/>
          <w:lang w:val="en-US"/>
        </w:rPr>
        <w:t>M</w:t>
      </w:r>
      <w:r w:rsidR="00214262" w:rsidRPr="00306115">
        <w:rPr>
          <w:color w:val="000000" w:themeColor="text1"/>
          <w:szCs w:val="24"/>
          <w:lang w:val="en-US"/>
        </w:rPr>
        <w:t xml:space="preserve">anusia, dan </w:t>
      </w:r>
      <w:r w:rsidRPr="00306115">
        <w:rPr>
          <w:color w:val="000000" w:themeColor="text1"/>
          <w:szCs w:val="24"/>
          <w:lang w:val="en-US"/>
        </w:rPr>
        <w:t>K</w:t>
      </w:r>
      <w:r w:rsidR="00214262" w:rsidRPr="00306115">
        <w:rPr>
          <w:color w:val="000000" w:themeColor="text1"/>
          <w:szCs w:val="24"/>
          <w:lang w:val="en-US"/>
        </w:rPr>
        <w:t xml:space="preserve">ecukupan </w:t>
      </w:r>
      <w:r w:rsidRPr="00306115">
        <w:rPr>
          <w:color w:val="000000" w:themeColor="text1"/>
          <w:szCs w:val="24"/>
          <w:lang w:val="en-US"/>
        </w:rPr>
        <w:t>S</w:t>
      </w:r>
      <w:r w:rsidR="00214262" w:rsidRPr="00306115">
        <w:rPr>
          <w:color w:val="000000" w:themeColor="text1"/>
          <w:szCs w:val="24"/>
          <w:lang w:val="en-US"/>
        </w:rPr>
        <w:t xml:space="preserve">istem </w:t>
      </w:r>
      <w:r w:rsidRPr="00306115">
        <w:rPr>
          <w:color w:val="000000" w:themeColor="text1"/>
          <w:szCs w:val="24"/>
          <w:lang w:val="en-US"/>
        </w:rPr>
        <w:t>I</w:t>
      </w:r>
      <w:r w:rsidR="00214262" w:rsidRPr="00306115">
        <w:rPr>
          <w:color w:val="000000" w:themeColor="text1"/>
          <w:szCs w:val="24"/>
          <w:lang w:val="en-US"/>
        </w:rPr>
        <w:t>nformasi Manajemen Risiko</w:t>
      </w:r>
    </w:p>
    <w:p w14:paraId="07196F77" w14:textId="742BDAD1" w:rsidR="005F695E" w:rsidRPr="00306115" w:rsidRDefault="007A3065" w:rsidP="007A3065">
      <w:pPr>
        <w:pStyle w:val="ListParagraph"/>
        <w:autoSpaceDE w:val="0"/>
        <w:autoSpaceDN w:val="0"/>
        <w:adjustRightInd w:val="0"/>
        <w:spacing w:after="0" w:line="240" w:lineRule="auto"/>
        <w:ind w:left="2268"/>
        <w:rPr>
          <w:color w:val="000000" w:themeColor="text1"/>
          <w:szCs w:val="24"/>
          <w:lang w:val="en-US"/>
        </w:rPr>
      </w:pPr>
      <w:r w:rsidRPr="00306115">
        <w:rPr>
          <w:color w:val="000000" w:themeColor="text1"/>
          <w:szCs w:val="24"/>
          <w:lang w:val="en-US"/>
        </w:rPr>
        <w:t>Proses Manajemen Risiko, kecukupan sumber daya manusia, dan kecukupan sistem informasi Manajemen Risiko mencakup evaluasi terhadap</w:t>
      </w:r>
      <w:r w:rsidR="00DB6127" w:rsidRPr="00306115">
        <w:rPr>
          <w:color w:val="000000" w:themeColor="text1"/>
          <w:szCs w:val="24"/>
          <w:lang w:val="en-US"/>
        </w:rPr>
        <w:t>:</w:t>
      </w:r>
    </w:p>
    <w:p w14:paraId="0CA7DBBE" w14:textId="21211EFC" w:rsidR="00AE2BA5" w:rsidRPr="00306115" w:rsidRDefault="00AE2BA5">
      <w:pPr>
        <w:pStyle w:val="ListParagraph"/>
        <w:numPr>
          <w:ilvl w:val="5"/>
          <w:numId w:val="12"/>
        </w:numPr>
        <w:autoSpaceDE w:val="0"/>
        <w:autoSpaceDN w:val="0"/>
        <w:adjustRightInd w:val="0"/>
        <w:spacing w:after="0" w:line="240" w:lineRule="auto"/>
        <w:ind w:left="2835" w:hanging="567"/>
        <w:rPr>
          <w:color w:val="000000" w:themeColor="text1"/>
          <w:szCs w:val="24"/>
          <w:lang w:val="en-US"/>
        </w:rPr>
      </w:pPr>
      <w:r w:rsidRPr="00306115">
        <w:rPr>
          <w:color w:val="000000" w:themeColor="text1"/>
          <w:szCs w:val="24"/>
        </w:rPr>
        <w:t>p</w:t>
      </w:r>
      <w:r w:rsidR="00F74043" w:rsidRPr="00306115">
        <w:rPr>
          <w:color w:val="000000" w:themeColor="text1"/>
          <w:szCs w:val="24"/>
        </w:rPr>
        <w:t>roses identifikasi, pengukuran, pemantauan, dan pengendalian risiko;</w:t>
      </w:r>
    </w:p>
    <w:p w14:paraId="24E04925" w14:textId="55C597BA" w:rsidR="00AE2BA5" w:rsidRPr="00306115" w:rsidRDefault="00AE2BA5">
      <w:pPr>
        <w:pStyle w:val="ListParagraph"/>
        <w:numPr>
          <w:ilvl w:val="5"/>
          <w:numId w:val="12"/>
        </w:numPr>
        <w:autoSpaceDE w:val="0"/>
        <w:autoSpaceDN w:val="0"/>
        <w:adjustRightInd w:val="0"/>
        <w:spacing w:after="0" w:line="240" w:lineRule="auto"/>
        <w:ind w:left="2835" w:hanging="567"/>
        <w:rPr>
          <w:color w:val="000000" w:themeColor="text1"/>
          <w:szCs w:val="24"/>
          <w:lang w:val="en-US"/>
        </w:rPr>
      </w:pPr>
      <w:r w:rsidRPr="00306115">
        <w:rPr>
          <w:color w:val="000000" w:themeColor="text1"/>
          <w:szCs w:val="24"/>
          <w:lang w:val="en-US"/>
        </w:rPr>
        <w:t xml:space="preserve">kecukupan sistem informasi Manajemen Risiko; dan </w:t>
      </w:r>
    </w:p>
    <w:p w14:paraId="1E8D5558" w14:textId="33A731F0" w:rsidR="00F74043" w:rsidRPr="00306115" w:rsidRDefault="00AE2BA5">
      <w:pPr>
        <w:pStyle w:val="ListParagraph"/>
        <w:numPr>
          <w:ilvl w:val="5"/>
          <w:numId w:val="12"/>
        </w:numPr>
        <w:autoSpaceDE w:val="0"/>
        <w:autoSpaceDN w:val="0"/>
        <w:adjustRightInd w:val="0"/>
        <w:spacing w:after="0" w:line="240" w:lineRule="auto"/>
        <w:ind w:left="2835" w:hanging="567"/>
        <w:rPr>
          <w:color w:val="000000" w:themeColor="text1"/>
          <w:szCs w:val="24"/>
          <w:lang w:val="en-US"/>
        </w:rPr>
      </w:pPr>
      <w:r w:rsidRPr="00306115">
        <w:rPr>
          <w:color w:val="000000" w:themeColor="text1"/>
          <w:szCs w:val="24"/>
          <w:lang w:val="en-US"/>
        </w:rPr>
        <w:t>kecukupan kuantitas dan kualitas sumber daya manusia dalam mendukung efektivitas proses Manajemen Risiko.</w:t>
      </w:r>
    </w:p>
    <w:p w14:paraId="5B3E032B" w14:textId="2565FAB3" w:rsidR="00E63B61" w:rsidRPr="00306115" w:rsidRDefault="007A60BF">
      <w:pPr>
        <w:pStyle w:val="ListParagraph"/>
        <w:numPr>
          <w:ilvl w:val="4"/>
          <w:numId w:val="12"/>
        </w:numPr>
        <w:autoSpaceDE w:val="0"/>
        <w:autoSpaceDN w:val="0"/>
        <w:adjustRightInd w:val="0"/>
        <w:spacing w:after="0" w:line="240" w:lineRule="auto"/>
        <w:ind w:left="2268" w:hanging="567"/>
        <w:rPr>
          <w:color w:val="000000" w:themeColor="text1"/>
          <w:szCs w:val="24"/>
          <w:lang w:val="en-US"/>
        </w:rPr>
      </w:pPr>
      <w:r w:rsidRPr="00306115">
        <w:rPr>
          <w:color w:val="000000" w:themeColor="text1"/>
          <w:szCs w:val="24"/>
          <w:lang w:val="en-US"/>
        </w:rPr>
        <w:t>K</w:t>
      </w:r>
      <w:r w:rsidR="00214262" w:rsidRPr="00306115">
        <w:rPr>
          <w:color w:val="000000" w:themeColor="text1"/>
          <w:szCs w:val="24"/>
          <w:lang w:val="en-US"/>
        </w:rPr>
        <w:t xml:space="preserve">ecukupan </w:t>
      </w:r>
      <w:r w:rsidRPr="00306115">
        <w:rPr>
          <w:color w:val="000000" w:themeColor="text1"/>
          <w:szCs w:val="24"/>
          <w:lang w:val="en-US"/>
        </w:rPr>
        <w:t>S</w:t>
      </w:r>
      <w:r w:rsidR="00214262" w:rsidRPr="00306115">
        <w:rPr>
          <w:color w:val="000000" w:themeColor="text1"/>
          <w:szCs w:val="24"/>
          <w:lang w:val="en-US"/>
        </w:rPr>
        <w:t xml:space="preserve">istem </w:t>
      </w:r>
      <w:r w:rsidRPr="00306115">
        <w:rPr>
          <w:color w:val="000000" w:themeColor="text1"/>
          <w:szCs w:val="24"/>
          <w:lang w:val="en-US"/>
        </w:rPr>
        <w:t>P</w:t>
      </w:r>
      <w:r w:rsidR="00214262" w:rsidRPr="00306115">
        <w:rPr>
          <w:color w:val="000000" w:themeColor="text1"/>
          <w:szCs w:val="24"/>
          <w:lang w:val="en-US"/>
        </w:rPr>
        <w:t xml:space="preserve">engendalian </w:t>
      </w:r>
      <w:r w:rsidRPr="00306115">
        <w:rPr>
          <w:color w:val="000000" w:themeColor="text1"/>
          <w:szCs w:val="24"/>
          <w:lang w:val="en-US"/>
        </w:rPr>
        <w:t>R</w:t>
      </w:r>
      <w:r w:rsidR="00214262" w:rsidRPr="00306115">
        <w:rPr>
          <w:color w:val="000000" w:themeColor="text1"/>
          <w:szCs w:val="24"/>
          <w:lang w:val="en-US"/>
        </w:rPr>
        <w:t>isiko</w:t>
      </w:r>
    </w:p>
    <w:p w14:paraId="4653AEF3" w14:textId="1C8B5092" w:rsidR="00AE2BA5" w:rsidRPr="00306115" w:rsidRDefault="004867B6" w:rsidP="00AE2BA5">
      <w:pPr>
        <w:pStyle w:val="ListParagraph"/>
        <w:autoSpaceDE w:val="0"/>
        <w:autoSpaceDN w:val="0"/>
        <w:adjustRightInd w:val="0"/>
        <w:spacing w:after="0" w:line="240" w:lineRule="auto"/>
        <w:ind w:left="2268"/>
        <w:rPr>
          <w:color w:val="000000" w:themeColor="text1"/>
          <w:szCs w:val="24"/>
        </w:rPr>
      </w:pPr>
      <w:r w:rsidRPr="00306115">
        <w:rPr>
          <w:color w:val="000000" w:themeColor="text1"/>
          <w:szCs w:val="24"/>
        </w:rPr>
        <w:t>Kecukupan sistem pengendalian risiko mencakup evaluasi terhadap:</w:t>
      </w:r>
    </w:p>
    <w:p w14:paraId="6A6AE96C" w14:textId="1AC1D438" w:rsidR="002C3670" w:rsidRPr="00306115" w:rsidRDefault="002C3670">
      <w:pPr>
        <w:pStyle w:val="ListParagraph"/>
        <w:numPr>
          <w:ilvl w:val="5"/>
          <w:numId w:val="12"/>
        </w:numPr>
        <w:autoSpaceDE w:val="0"/>
        <w:autoSpaceDN w:val="0"/>
        <w:adjustRightInd w:val="0"/>
        <w:spacing w:after="0" w:line="240" w:lineRule="auto"/>
        <w:ind w:left="2835" w:hanging="567"/>
        <w:rPr>
          <w:color w:val="000000" w:themeColor="text1"/>
          <w:szCs w:val="24"/>
          <w:lang w:val="en-US"/>
        </w:rPr>
      </w:pPr>
      <w:r w:rsidRPr="00306115">
        <w:rPr>
          <w:color w:val="000000" w:themeColor="text1"/>
          <w:szCs w:val="24"/>
          <w:lang w:val="en-US"/>
        </w:rPr>
        <w:t>kecukupan sistem pengendalian internal; dan</w:t>
      </w:r>
    </w:p>
    <w:p w14:paraId="0D1CE1FD" w14:textId="115A1322" w:rsidR="004867B6" w:rsidRPr="00306115" w:rsidRDefault="002C3670">
      <w:pPr>
        <w:pStyle w:val="ListParagraph"/>
        <w:numPr>
          <w:ilvl w:val="5"/>
          <w:numId w:val="12"/>
        </w:numPr>
        <w:autoSpaceDE w:val="0"/>
        <w:autoSpaceDN w:val="0"/>
        <w:adjustRightInd w:val="0"/>
        <w:spacing w:after="0" w:line="240" w:lineRule="auto"/>
        <w:ind w:left="2835" w:hanging="567"/>
        <w:rPr>
          <w:color w:val="000000" w:themeColor="text1"/>
          <w:szCs w:val="24"/>
          <w:lang w:val="en-US"/>
        </w:rPr>
      </w:pPr>
      <w:r w:rsidRPr="00306115">
        <w:rPr>
          <w:color w:val="000000" w:themeColor="text1"/>
          <w:szCs w:val="24"/>
          <w:lang w:val="en-US"/>
        </w:rPr>
        <w:t xml:space="preserve">kecukupan kaji ulang oleh pihak independen dalam Manajer Investasi baik oleh fungsi </w:t>
      </w:r>
      <w:r w:rsidR="008175F5" w:rsidRPr="00306115">
        <w:rPr>
          <w:color w:val="000000" w:themeColor="text1"/>
          <w:szCs w:val="24"/>
          <w:lang w:val="en-US"/>
        </w:rPr>
        <w:t>M</w:t>
      </w:r>
      <w:r w:rsidRPr="00306115">
        <w:rPr>
          <w:color w:val="000000" w:themeColor="text1"/>
          <w:szCs w:val="24"/>
          <w:lang w:val="en-US"/>
        </w:rPr>
        <w:t xml:space="preserve">anajemen </w:t>
      </w:r>
      <w:r w:rsidR="008175F5" w:rsidRPr="00306115">
        <w:rPr>
          <w:color w:val="000000" w:themeColor="text1"/>
          <w:szCs w:val="24"/>
          <w:lang w:val="en-US"/>
        </w:rPr>
        <w:t>R</w:t>
      </w:r>
      <w:r w:rsidRPr="00306115">
        <w:rPr>
          <w:color w:val="000000" w:themeColor="text1"/>
          <w:szCs w:val="24"/>
          <w:lang w:val="en-US"/>
        </w:rPr>
        <w:t xml:space="preserve">isiko maupun fungsi audit internal. Kaji ulang oleh fungsi </w:t>
      </w:r>
      <w:r w:rsidR="008175F5" w:rsidRPr="00306115">
        <w:rPr>
          <w:color w:val="000000" w:themeColor="text1"/>
          <w:szCs w:val="24"/>
          <w:lang w:val="en-US"/>
        </w:rPr>
        <w:t>M</w:t>
      </w:r>
      <w:r w:rsidRPr="00306115">
        <w:rPr>
          <w:color w:val="000000" w:themeColor="text1"/>
          <w:szCs w:val="24"/>
          <w:lang w:val="en-US"/>
        </w:rPr>
        <w:t xml:space="preserve">anajemen </w:t>
      </w:r>
      <w:r w:rsidR="008175F5" w:rsidRPr="00306115">
        <w:rPr>
          <w:color w:val="000000" w:themeColor="text1"/>
          <w:szCs w:val="24"/>
          <w:lang w:val="en-US"/>
        </w:rPr>
        <w:t>R</w:t>
      </w:r>
      <w:r w:rsidRPr="00306115">
        <w:rPr>
          <w:color w:val="000000" w:themeColor="text1"/>
          <w:szCs w:val="24"/>
          <w:lang w:val="en-US"/>
        </w:rPr>
        <w:t>isiko antara lain mencakup metode, asumsi, dan variabel yang digunakan untuk mengukur dan menetapkan limit risiko, sedangkan kaji ulang oleh fungsi audit internal antara lain mencakup keandalan kebijakan dan prosedur Manajemen Risiko dan penerapan Manajemen Risiko oleh unit kerja dan/atau unit pendukung</w:t>
      </w:r>
      <w:r w:rsidR="00707FDE" w:rsidRPr="00306115">
        <w:rPr>
          <w:color w:val="000000" w:themeColor="text1"/>
          <w:szCs w:val="24"/>
          <w:lang w:val="en-US"/>
        </w:rPr>
        <w:t>.</w:t>
      </w:r>
    </w:p>
    <w:p w14:paraId="604E8D01" w14:textId="0FF2B9CF" w:rsidR="007B3903" w:rsidRPr="00306115" w:rsidRDefault="007A5B79" w:rsidP="00D7580F">
      <w:pPr>
        <w:autoSpaceDE w:val="0"/>
        <w:autoSpaceDN w:val="0"/>
        <w:adjustRightInd w:val="0"/>
        <w:spacing w:after="0" w:line="240" w:lineRule="auto"/>
        <w:ind w:left="1701" w:firstLine="567"/>
        <w:rPr>
          <w:color w:val="000000" w:themeColor="text1"/>
          <w:szCs w:val="24"/>
        </w:rPr>
      </w:pPr>
      <w:r w:rsidRPr="00306115">
        <w:rPr>
          <w:color w:val="000000" w:themeColor="text1"/>
          <w:szCs w:val="24"/>
        </w:rPr>
        <w:t xml:space="preserve">Penilaian kualitas penerapan Manajemen Risiko dilakukan terhadap </w:t>
      </w:r>
      <w:r w:rsidR="00DE2331" w:rsidRPr="00306115">
        <w:rPr>
          <w:color w:val="000000" w:themeColor="text1"/>
          <w:szCs w:val="24"/>
        </w:rPr>
        <w:t>4 (empat) risiko pada Produk Investasi sebagaimana dimaksud pada Romawi II angka 5 huruf b angka 1) dan 6 (enam) risiko pada Manajer Investasi sebagaimana dimaksud pada Romawi II angka 5</w:t>
      </w:r>
      <w:r w:rsidR="00BA6CD5" w:rsidRPr="00306115">
        <w:rPr>
          <w:color w:val="000000" w:themeColor="text1"/>
          <w:szCs w:val="24"/>
        </w:rPr>
        <w:t xml:space="preserve"> </w:t>
      </w:r>
      <w:r w:rsidR="00DE2331" w:rsidRPr="00306115">
        <w:rPr>
          <w:color w:val="000000" w:themeColor="text1"/>
          <w:szCs w:val="24"/>
        </w:rPr>
        <w:t>huruf b angka 2).</w:t>
      </w:r>
    </w:p>
    <w:p w14:paraId="47986C6E" w14:textId="77777777" w:rsidR="00044022" w:rsidRPr="00306115" w:rsidRDefault="00B84040" w:rsidP="00D7580F">
      <w:pPr>
        <w:autoSpaceDE w:val="0"/>
        <w:autoSpaceDN w:val="0"/>
        <w:adjustRightInd w:val="0"/>
        <w:spacing w:after="0" w:line="240" w:lineRule="auto"/>
        <w:ind w:left="1701" w:firstLine="567"/>
        <w:rPr>
          <w:color w:val="000000" w:themeColor="text1"/>
          <w:szCs w:val="24"/>
        </w:rPr>
      </w:pPr>
      <w:r w:rsidRPr="00306115">
        <w:rPr>
          <w:color w:val="000000" w:themeColor="text1"/>
          <w:szCs w:val="24"/>
        </w:rPr>
        <w:t>Tingkat kualitas penerapan Manajemen Risiko untuk masing-masing jenis risiko dikategorikan dalam 5 (lima) peringkat yaitu</w:t>
      </w:r>
      <w:r w:rsidR="00044022" w:rsidRPr="00306115">
        <w:rPr>
          <w:color w:val="000000" w:themeColor="text1"/>
          <w:szCs w:val="24"/>
        </w:rPr>
        <w:t>:</w:t>
      </w:r>
    </w:p>
    <w:p w14:paraId="52179998" w14:textId="77777777" w:rsidR="00044022" w:rsidRPr="00306115" w:rsidRDefault="00B84040">
      <w:pPr>
        <w:pStyle w:val="ListParagraph"/>
        <w:numPr>
          <w:ilvl w:val="4"/>
          <w:numId w:val="18"/>
        </w:numPr>
        <w:autoSpaceDE w:val="0"/>
        <w:autoSpaceDN w:val="0"/>
        <w:adjustRightInd w:val="0"/>
        <w:spacing w:after="0" w:line="240" w:lineRule="auto"/>
        <w:ind w:left="2268" w:hanging="567"/>
        <w:rPr>
          <w:color w:val="000000" w:themeColor="text1"/>
          <w:sz w:val="32"/>
          <w:szCs w:val="32"/>
        </w:rPr>
      </w:pPr>
      <w:r w:rsidRPr="00306115">
        <w:rPr>
          <w:color w:val="000000" w:themeColor="text1"/>
          <w:szCs w:val="24"/>
        </w:rPr>
        <w:t>peringkat 1 (</w:t>
      </w:r>
      <w:r w:rsidRPr="00306115">
        <w:rPr>
          <w:i/>
          <w:iCs/>
          <w:color w:val="000000" w:themeColor="text1"/>
          <w:szCs w:val="24"/>
        </w:rPr>
        <w:t>Strong</w:t>
      </w:r>
      <w:r w:rsidRPr="00306115">
        <w:rPr>
          <w:color w:val="000000" w:themeColor="text1"/>
          <w:szCs w:val="24"/>
        </w:rPr>
        <w:t>)</w:t>
      </w:r>
      <w:r w:rsidR="00044022" w:rsidRPr="00306115">
        <w:rPr>
          <w:color w:val="000000" w:themeColor="text1"/>
          <w:szCs w:val="24"/>
        </w:rPr>
        <w:t>;</w:t>
      </w:r>
    </w:p>
    <w:p w14:paraId="6D2C520D" w14:textId="77777777" w:rsidR="00044022" w:rsidRPr="00306115" w:rsidRDefault="00B84040">
      <w:pPr>
        <w:pStyle w:val="ListParagraph"/>
        <w:numPr>
          <w:ilvl w:val="4"/>
          <w:numId w:val="18"/>
        </w:numPr>
        <w:autoSpaceDE w:val="0"/>
        <w:autoSpaceDN w:val="0"/>
        <w:adjustRightInd w:val="0"/>
        <w:spacing w:after="0" w:line="240" w:lineRule="auto"/>
        <w:ind w:left="2268" w:hanging="567"/>
        <w:rPr>
          <w:color w:val="000000" w:themeColor="text1"/>
          <w:sz w:val="32"/>
          <w:szCs w:val="32"/>
        </w:rPr>
      </w:pPr>
      <w:r w:rsidRPr="00306115">
        <w:rPr>
          <w:color w:val="000000" w:themeColor="text1"/>
          <w:szCs w:val="24"/>
        </w:rPr>
        <w:t>peringkat 2 (</w:t>
      </w:r>
      <w:r w:rsidRPr="00306115">
        <w:rPr>
          <w:i/>
          <w:iCs/>
          <w:color w:val="000000" w:themeColor="text1"/>
          <w:szCs w:val="24"/>
        </w:rPr>
        <w:t>Satisfactory</w:t>
      </w:r>
      <w:r w:rsidRPr="00306115">
        <w:rPr>
          <w:color w:val="000000" w:themeColor="text1"/>
          <w:szCs w:val="24"/>
        </w:rPr>
        <w:t>)</w:t>
      </w:r>
      <w:r w:rsidR="00044022" w:rsidRPr="00306115">
        <w:rPr>
          <w:color w:val="000000" w:themeColor="text1"/>
          <w:szCs w:val="24"/>
        </w:rPr>
        <w:t>;</w:t>
      </w:r>
    </w:p>
    <w:p w14:paraId="2B146468" w14:textId="77777777" w:rsidR="00044022" w:rsidRPr="00306115" w:rsidRDefault="00B84040">
      <w:pPr>
        <w:pStyle w:val="ListParagraph"/>
        <w:numPr>
          <w:ilvl w:val="4"/>
          <w:numId w:val="18"/>
        </w:numPr>
        <w:autoSpaceDE w:val="0"/>
        <w:autoSpaceDN w:val="0"/>
        <w:adjustRightInd w:val="0"/>
        <w:spacing w:after="0" w:line="240" w:lineRule="auto"/>
        <w:ind w:left="2268" w:hanging="567"/>
        <w:rPr>
          <w:color w:val="000000" w:themeColor="text1"/>
          <w:sz w:val="32"/>
          <w:szCs w:val="32"/>
        </w:rPr>
      </w:pPr>
      <w:r w:rsidRPr="00306115">
        <w:rPr>
          <w:color w:val="000000" w:themeColor="text1"/>
          <w:szCs w:val="24"/>
        </w:rPr>
        <w:lastRenderedPageBreak/>
        <w:t>peringkat 3 (</w:t>
      </w:r>
      <w:r w:rsidRPr="00306115">
        <w:rPr>
          <w:i/>
          <w:iCs/>
          <w:color w:val="000000" w:themeColor="text1"/>
          <w:szCs w:val="24"/>
        </w:rPr>
        <w:t>Fair</w:t>
      </w:r>
      <w:r w:rsidRPr="00306115">
        <w:rPr>
          <w:color w:val="000000" w:themeColor="text1"/>
          <w:szCs w:val="24"/>
        </w:rPr>
        <w:t>)</w:t>
      </w:r>
      <w:r w:rsidR="00044022" w:rsidRPr="00306115">
        <w:rPr>
          <w:color w:val="000000" w:themeColor="text1"/>
          <w:szCs w:val="24"/>
        </w:rPr>
        <w:t>;</w:t>
      </w:r>
    </w:p>
    <w:p w14:paraId="24CA54C6" w14:textId="77777777" w:rsidR="00044022" w:rsidRPr="00306115" w:rsidRDefault="00B84040">
      <w:pPr>
        <w:pStyle w:val="ListParagraph"/>
        <w:numPr>
          <w:ilvl w:val="4"/>
          <w:numId w:val="18"/>
        </w:numPr>
        <w:autoSpaceDE w:val="0"/>
        <w:autoSpaceDN w:val="0"/>
        <w:adjustRightInd w:val="0"/>
        <w:spacing w:after="0" w:line="240" w:lineRule="auto"/>
        <w:ind w:left="2268" w:hanging="567"/>
        <w:rPr>
          <w:color w:val="000000" w:themeColor="text1"/>
          <w:sz w:val="32"/>
          <w:szCs w:val="32"/>
        </w:rPr>
      </w:pPr>
      <w:r w:rsidRPr="00306115">
        <w:rPr>
          <w:color w:val="000000" w:themeColor="text1"/>
          <w:szCs w:val="24"/>
        </w:rPr>
        <w:t>peringkat 4 (</w:t>
      </w:r>
      <w:r w:rsidRPr="00306115">
        <w:rPr>
          <w:i/>
          <w:iCs/>
          <w:color w:val="000000" w:themeColor="text1"/>
          <w:szCs w:val="24"/>
        </w:rPr>
        <w:t>Marginal</w:t>
      </w:r>
      <w:r w:rsidRPr="00306115">
        <w:rPr>
          <w:color w:val="000000" w:themeColor="text1"/>
          <w:szCs w:val="24"/>
        </w:rPr>
        <w:t>)</w:t>
      </w:r>
      <w:r w:rsidR="00044022" w:rsidRPr="00306115">
        <w:rPr>
          <w:color w:val="000000" w:themeColor="text1"/>
          <w:szCs w:val="24"/>
        </w:rPr>
        <w:t xml:space="preserve">; </w:t>
      </w:r>
      <w:r w:rsidRPr="00306115">
        <w:rPr>
          <w:color w:val="000000" w:themeColor="text1"/>
          <w:szCs w:val="24"/>
        </w:rPr>
        <w:t xml:space="preserve">dan </w:t>
      </w:r>
    </w:p>
    <w:p w14:paraId="55B75EA2" w14:textId="4D2BCFA9" w:rsidR="00852EFF" w:rsidRPr="00306115" w:rsidRDefault="00B84040">
      <w:pPr>
        <w:pStyle w:val="ListParagraph"/>
        <w:numPr>
          <w:ilvl w:val="4"/>
          <w:numId w:val="18"/>
        </w:numPr>
        <w:autoSpaceDE w:val="0"/>
        <w:autoSpaceDN w:val="0"/>
        <w:adjustRightInd w:val="0"/>
        <w:spacing w:after="0" w:line="240" w:lineRule="auto"/>
        <w:ind w:left="2268" w:hanging="567"/>
        <w:rPr>
          <w:color w:val="000000" w:themeColor="text1"/>
          <w:sz w:val="32"/>
          <w:szCs w:val="32"/>
        </w:rPr>
      </w:pPr>
      <w:r w:rsidRPr="00306115">
        <w:rPr>
          <w:color w:val="000000" w:themeColor="text1"/>
          <w:szCs w:val="24"/>
        </w:rPr>
        <w:t>peringkat 5 (</w:t>
      </w:r>
      <w:r w:rsidRPr="00306115">
        <w:rPr>
          <w:i/>
          <w:iCs/>
          <w:color w:val="000000" w:themeColor="text1"/>
          <w:szCs w:val="24"/>
        </w:rPr>
        <w:t>Unsatisfactory</w:t>
      </w:r>
      <w:r w:rsidRPr="00306115">
        <w:rPr>
          <w:color w:val="000000" w:themeColor="text1"/>
          <w:szCs w:val="24"/>
        </w:rPr>
        <w:t>).</w:t>
      </w:r>
    </w:p>
    <w:p w14:paraId="667AA9D7" w14:textId="433671CD" w:rsidR="00152770" w:rsidRPr="00306115" w:rsidRDefault="00044022">
      <w:pPr>
        <w:numPr>
          <w:ilvl w:val="0"/>
          <w:numId w:val="10"/>
        </w:numPr>
        <w:autoSpaceDE w:val="0"/>
        <w:autoSpaceDN w:val="0"/>
        <w:adjustRightInd w:val="0"/>
        <w:spacing w:after="0" w:line="240" w:lineRule="auto"/>
        <w:ind w:left="1701" w:hanging="567"/>
        <w:rPr>
          <w:color w:val="000000" w:themeColor="text1"/>
          <w:szCs w:val="24"/>
        </w:rPr>
      </w:pPr>
      <w:r w:rsidRPr="00306115">
        <w:rPr>
          <w:color w:val="000000" w:themeColor="text1"/>
          <w:szCs w:val="24"/>
        </w:rPr>
        <w:t>Penetapan Tingkat Risiko</w:t>
      </w:r>
    </w:p>
    <w:p w14:paraId="13B0E649" w14:textId="3E91A530" w:rsidR="00404912" w:rsidRPr="00306115" w:rsidRDefault="00404912" w:rsidP="00404912">
      <w:pPr>
        <w:autoSpaceDE w:val="0"/>
        <w:autoSpaceDN w:val="0"/>
        <w:adjustRightInd w:val="0"/>
        <w:spacing w:after="0" w:line="240" w:lineRule="auto"/>
        <w:ind w:left="1701"/>
        <w:rPr>
          <w:color w:val="000000" w:themeColor="text1"/>
          <w:szCs w:val="24"/>
          <w:lang w:val="en-US"/>
        </w:rPr>
      </w:pPr>
      <w:r w:rsidRPr="00306115">
        <w:rPr>
          <w:color w:val="000000" w:themeColor="text1"/>
          <w:szCs w:val="24"/>
          <w:lang w:val="en-US"/>
        </w:rPr>
        <w:t>Tingkat Risiko ditetapkan berdasarkan penilaian atas tingkat risiko inheren dan kualitas penerapan Manajemen Risiko dari masing-masing jenis risiko. Penetapan tingkat risiko inheren</w:t>
      </w:r>
      <w:r w:rsidR="004C42C2" w:rsidRPr="00306115">
        <w:rPr>
          <w:color w:val="000000" w:themeColor="text1"/>
          <w:szCs w:val="24"/>
          <w:lang w:val="en-US"/>
        </w:rPr>
        <w:t xml:space="preserve"> dan </w:t>
      </w:r>
      <w:r w:rsidR="00036343" w:rsidRPr="00306115">
        <w:rPr>
          <w:color w:val="000000" w:themeColor="text1"/>
          <w:szCs w:val="24"/>
          <w:lang w:val="en-US"/>
        </w:rPr>
        <w:t>tingkat kualitas penerapan Manajemen Risiko</w:t>
      </w:r>
      <w:r w:rsidR="00DE487C" w:rsidRPr="00306115">
        <w:rPr>
          <w:color w:val="000000" w:themeColor="text1"/>
          <w:szCs w:val="24"/>
          <w:lang w:val="en-US"/>
        </w:rPr>
        <w:t xml:space="preserve">, </w:t>
      </w:r>
      <w:r w:rsidRPr="00306115">
        <w:rPr>
          <w:color w:val="000000" w:themeColor="text1"/>
          <w:szCs w:val="24"/>
          <w:lang w:val="en-US"/>
        </w:rPr>
        <w:t xml:space="preserve">untuk masing-masing jenis risiko berpedoman pada Lampiran </w:t>
      </w:r>
      <w:r w:rsidR="003C7B3B" w:rsidRPr="00306115">
        <w:rPr>
          <w:color w:val="000000" w:themeColor="text1"/>
          <w:szCs w:val="24"/>
          <w:lang w:val="en-US"/>
        </w:rPr>
        <w:t>IV</w:t>
      </w:r>
      <w:r w:rsidRPr="00306115">
        <w:rPr>
          <w:color w:val="000000" w:themeColor="text1"/>
          <w:szCs w:val="24"/>
          <w:lang w:val="en-US"/>
        </w:rPr>
        <w:t xml:space="preserve"> yang merupakan bagian tidak terpisahkan dari Peraturan Anggota Dewan Komisioner Otoritas Jasa Keuangan ini</w:t>
      </w:r>
      <w:r w:rsidR="004C1470" w:rsidRPr="00306115">
        <w:rPr>
          <w:color w:val="000000" w:themeColor="text1"/>
          <w:szCs w:val="24"/>
          <w:lang w:val="en-US"/>
        </w:rPr>
        <w:t>.</w:t>
      </w:r>
      <w:r w:rsidRPr="00306115">
        <w:rPr>
          <w:color w:val="000000" w:themeColor="text1"/>
          <w:szCs w:val="24"/>
          <w:lang w:val="en-US"/>
        </w:rPr>
        <w:t xml:space="preserve"> Setelah penetapan tingkat risiko inheren dan kualitas penerapan Manajemen Risiko, maka ditetapkan tingkat risiko</w:t>
      </w:r>
      <w:r w:rsidR="004C1470" w:rsidRPr="00306115">
        <w:rPr>
          <w:color w:val="000000" w:themeColor="text1"/>
          <w:szCs w:val="24"/>
          <w:lang w:val="en-US"/>
        </w:rPr>
        <w:t xml:space="preserve"> </w:t>
      </w:r>
      <w:r w:rsidRPr="00306115">
        <w:rPr>
          <w:color w:val="000000" w:themeColor="text1"/>
          <w:szCs w:val="24"/>
          <w:lang w:val="en-US"/>
        </w:rPr>
        <w:t xml:space="preserve">untuk masing-masing jenis risiko dengan berpedoman pada Lampiran </w:t>
      </w:r>
      <w:r w:rsidR="00B12033" w:rsidRPr="00306115">
        <w:rPr>
          <w:color w:val="000000" w:themeColor="text1"/>
          <w:szCs w:val="24"/>
          <w:lang w:val="en-US"/>
        </w:rPr>
        <w:t>V</w:t>
      </w:r>
      <w:r w:rsidRPr="00306115">
        <w:rPr>
          <w:color w:val="000000" w:themeColor="text1"/>
          <w:szCs w:val="24"/>
          <w:lang w:val="en-US"/>
        </w:rPr>
        <w:t xml:space="preserve"> yang merupakan bagian tidak terpisahkan dari Peraturan Anggota Dewan Komisioner Otoritas Jasa Keuangan ini.</w:t>
      </w:r>
    </w:p>
    <w:p w14:paraId="4A5F2A7C" w14:textId="3594C9D1" w:rsidR="0076198B" w:rsidRPr="00306115" w:rsidRDefault="0076198B">
      <w:pPr>
        <w:numPr>
          <w:ilvl w:val="0"/>
          <w:numId w:val="10"/>
        </w:numPr>
        <w:autoSpaceDE w:val="0"/>
        <w:autoSpaceDN w:val="0"/>
        <w:adjustRightInd w:val="0"/>
        <w:spacing w:after="0" w:line="240" w:lineRule="auto"/>
        <w:ind w:left="1701" w:hanging="567"/>
        <w:rPr>
          <w:color w:val="000000" w:themeColor="text1"/>
          <w:szCs w:val="24"/>
        </w:rPr>
      </w:pPr>
      <w:r w:rsidRPr="00306115">
        <w:rPr>
          <w:color w:val="000000" w:themeColor="text1"/>
          <w:szCs w:val="24"/>
        </w:rPr>
        <w:t>Penetapan Peringkat Faktor Profil Risiko</w:t>
      </w:r>
    </w:p>
    <w:p w14:paraId="6844D297" w14:textId="1E25D697" w:rsidR="0076198B" w:rsidRPr="00306115" w:rsidRDefault="00381A31" w:rsidP="0076198B">
      <w:pPr>
        <w:autoSpaceDE w:val="0"/>
        <w:autoSpaceDN w:val="0"/>
        <w:adjustRightInd w:val="0"/>
        <w:spacing w:after="0" w:line="240" w:lineRule="auto"/>
        <w:ind w:left="1701"/>
        <w:rPr>
          <w:color w:val="000000" w:themeColor="text1"/>
          <w:szCs w:val="24"/>
          <w:lang w:val="en-US"/>
        </w:rPr>
      </w:pPr>
      <w:r w:rsidRPr="00306115">
        <w:rPr>
          <w:color w:val="000000" w:themeColor="text1"/>
          <w:szCs w:val="24"/>
          <w:lang w:val="en-US"/>
        </w:rPr>
        <w:t>Penetapan peringkat faktor profil risiko dilakukan dengan tahapan sebagai berikut:</w:t>
      </w:r>
    </w:p>
    <w:p w14:paraId="7D0B36AA" w14:textId="747AEBA4" w:rsidR="00381A31" w:rsidRPr="00306115" w:rsidRDefault="00C32034">
      <w:pPr>
        <w:pStyle w:val="ListParagraph"/>
        <w:numPr>
          <w:ilvl w:val="4"/>
          <w:numId w:val="19"/>
        </w:numPr>
        <w:autoSpaceDE w:val="0"/>
        <w:autoSpaceDN w:val="0"/>
        <w:adjustRightInd w:val="0"/>
        <w:spacing w:after="0" w:line="240" w:lineRule="auto"/>
        <w:ind w:left="2268" w:hanging="567"/>
        <w:rPr>
          <w:color w:val="000000" w:themeColor="text1"/>
          <w:szCs w:val="24"/>
        </w:rPr>
      </w:pPr>
      <w:r w:rsidRPr="00306115">
        <w:rPr>
          <w:color w:val="000000" w:themeColor="text1"/>
          <w:szCs w:val="24"/>
        </w:rPr>
        <w:t>p</w:t>
      </w:r>
      <w:r w:rsidR="00667E2B" w:rsidRPr="00306115">
        <w:rPr>
          <w:color w:val="000000" w:themeColor="text1"/>
          <w:szCs w:val="24"/>
        </w:rPr>
        <w:t xml:space="preserve">enetapan tingkat risiko dari masing-masing risiko, dengan mengacu </w:t>
      </w:r>
      <w:r w:rsidR="004F1495" w:rsidRPr="00306115">
        <w:rPr>
          <w:color w:val="000000" w:themeColor="text1"/>
          <w:szCs w:val="24"/>
        </w:rPr>
        <w:t xml:space="preserve">tahapan sebagaimana dimaksud </w:t>
      </w:r>
      <w:r w:rsidR="00667E2B" w:rsidRPr="00306115">
        <w:rPr>
          <w:color w:val="000000" w:themeColor="text1"/>
          <w:szCs w:val="24"/>
        </w:rPr>
        <w:t xml:space="preserve">pada </w:t>
      </w:r>
      <w:r w:rsidR="00F5772E" w:rsidRPr="00306115">
        <w:rPr>
          <w:color w:val="000000" w:themeColor="text1"/>
          <w:szCs w:val="24"/>
        </w:rPr>
        <w:t>Lampiran IV</w:t>
      </w:r>
      <w:r w:rsidR="000D3325" w:rsidRPr="00306115">
        <w:rPr>
          <w:color w:val="000000" w:themeColor="text1"/>
          <w:szCs w:val="24"/>
        </w:rPr>
        <w:t xml:space="preserve"> yang merupakan bagian tidak terpisahkan dari Peraturan Anggota Dewan Komisioner Otoritas Jasa Keuangan ini</w:t>
      </w:r>
      <w:r w:rsidR="00667E2B" w:rsidRPr="00306115">
        <w:rPr>
          <w:color w:val="000000" w:themeColor="text1"/>
          <w:szCs w:val="24"/>
        </w:rPr>
        <w:t>;</w:t>
      </w:r>
    </w:p>
    <w:p w14:paraId="6DD53513" w14:textId="18A0E076" w:rsidR="00667E2B" w:rsidRPr="00306115" w:rsidRDefault="00C32034" w:rsidP="00FF76B4">
      <w:pPr>
        <w:pStyle w:val="ListParagraph"/>
        <w:numPr>
          <w:ilvl w:val="4"/>
          <w:numId w:val="19"/>
        </w:numPr>
        <w:autoSpaceDE w:val="0"/>
        <w:autoSpaceDN w:val="0"/>
        <w:adjustRightInd w:val="0"/>
        <w:spacing w:after="0" w:line="240" w:lineRule="auto"/>
        <w:ind w:left="2268" w:hanging="567"/>
        <w:rPr>
          <w:color w:val="000000" w:themeColor="text1"/>
          <w:szCs w:val="24"/>
        </w:rPr>
      </w:pPr>
      <w:r w:rsidRPr="00306115">
        <w:rPr>
          <w:color w:val="000000" w:themeColor="text1"/>
          <w:szCs w:val="24"/>
        </w:rPr>
        <w:t>p</w:t>
      </w:r>
      <w:r w:rsidR="009F3890" w:rsidRPr="00306115">
        <w:rPr>
          <w:color w:val="000000" w:themeColor="text1"/>
          <w:szCs w:val="24"/>
        </w:rPr>
        <w:t>enetapan tingkat risiko inheren komposit dan tingkat kualitas penerapan Manajemen Risiko komposit, dengan memperhatikan signifikansi masing-masing risiko terhadap profil risiko secara keseluruhan; dan</w:t>
      </w:r>
    </w:p>
    <w:p w14:paraId="43F5114F" w14:textId="0D66D3B1" w:rsidR="009F3890" w:rsidRPr="00306115" w:rsidRDefault="00C32034">
      <w:pPr>
        <w:pStyle w:val="ListParagraph"/>
        <w:numPr>
          <w:ilvl w:val="4"/>
          <w:numId w:val="19"/>
        </w:numPr>
        <w:autoSpaceDE w:val="0"/>
        <w:autoSpaceDN w:val="0"/>
        <w:adjustRightInd w:val="0"/>
        <w:spacing w:after="0" w:line="240" w:lineRule="auto"/>
        <w:ind w:left="2268" w:hanging="567"/>
        <w:rPr>
          <w:color w:val="000000" w:themeColor="text1"/>
          <w:szCs w:val="24"/>
        </w:rPr>
      </w:pPr>
      <w:r w:rsidRPr="00306115">
        <w:rPr>
          <w:color w:val="000000" w:themeColor="text1"/>
          <w:szCs w:val="24"/>
        </w:rPr>
        <w:t>p</w:t>
      </w:r>
      <w:r w:rsidR="002B1CFE" w:rsidRPr="00306115">
        <w:rPr>
          <w:color w:val="000000" w:themeColor="text1"/>
          <w:szCs w:val="24"/>
        </w:rPr>
        <w:t xml:space="preserve">enetapan peringkat faktor profil risiko atas hasil penetapan tingkat risiko sebagaimana dimaksud pada </w:t>
      </w:r>
      <w:r w:rsidR="00D65C4A" w:rsidRPr="00306115">
        <w:rPr>
          <w:color w:val="000000" w:themeColor="text1"/>
          <w:szCs w:val="24"/>
        </w:rPr>
        <w:t xml:space="preserve">angka </w:t>
      </w:r>
      <w:r w:rsidR="00E972A4" w:rsidRPr="00306115">
        <w:rPr>
          <w:color w:val="000000" w:themeColor="text1"/>
          <w:szCs w:val="24"/>
        </w:rPr>
        <w:t>1</w:t>
      </w:r>
      <w:r w:rsidR="00D65C4A" w:rsidRPr="00306115">
        <w:rPr>
          <w:color w:val="000000" w:themeColor="text1"/>
          <w:szCs w:val="24"/>
        </w:rPr>
        <w:t>)</w:t>
      </w:r>
      <w:r w:rsidR="002B1CFE" w:rsidRPr="00306115">
        <w:rPr>
          <w:color w:val="000000" w:themeColor="text1"/>
          <w:szCs w:val="24"/>
        </w:rPr>
        <w:t xml:space="preserve"> dan tingkat risiko inheren komposit serta tingkat kualitas penerapan Manajemen Risiko</w:t>
      </w:r>
      <w:r w:rsidR="002B1CFE" w:rsidRPr="00306115">
        <w:rPr>
          <w:color w:val="000000" w:themeColor="text1"/>
          <w:spacing w:val="80"/>
          <w:szCs w:val="24"/>
        </w:rPr>
        <w:t xml:space="preserve"> </w:t>
      </w:r>
      <w:r w:rsidR="002B1CFE" w:rsidRPr="00306115">
        <w:rPr>
          <w:color w:val="000000" w:themeColor="text1"/>
          <w:szCs w:val="24"/>
        </w:rPr>
        <w:t xml:space="preserve">komposit sebagaimana dimaksud pada </w:t>
      </w:r>
      <w:r w:rsidR="00E972A4" w:rsidRPr="00306115">
        <w:rPr>
          <w:color w:val="000000" w:themeColor="text1"/>
          <w:szCs w:val="24"/>
        </w:rPr>
        <w:t>angka 2)</w:t>
      </w:r>
      <w:r w:rsidR="002B1CFE" w:rsidRPr="00306115">
        <w:rPr>
          <w:color w:val="000000" w:themeColor="text1"/>
          <w:szCs w:val="24"/>
        </w:rPr>
        <w:t xml:space="preserve"> didasarkan pada analisis secara komprehensif dan terstruktur, dengan memperhatikan signifikansi masing-masing</w:t>
      </w:r>
      <w:r w:rsidR="002B1CFE" w:rsidRPr="00306115">
        <w:rPr>
          <w:color w:val="000000" w:themeColor="text1"/>
          <w:spacing w:val="40"/>
          <w:szCs w:val="24"/>
        </w:rPr>
        <w:t xml:space="preserve"> </w:t>
      </w:r>
      <w:r w:rsidR="002B1CFE" w:rsidRPr="00306115">
        <w:rPr>
          <w:color w:val="000000" w:themeColor="text1"/>
          <w:szCs w:val="24"/>
        </w:rPr>
        <w:t>risiko</w:t>
      </w:r>
      <w:r w:rsidR="002B1CFE" w:rsidRPr="00306115">
        <w:rPr>
          <w:color w:val="000000" w:themeColor="text1"/>
          <w:spacing w:val="40"/>
          <w:szCs w:val="24"/>
        </w:rPr>
        <w:t xml:space="preserve"> </w:t>
      </w:r>
      <w:r w:rsidR="002B1CFE" w:rsidRPr="00306115">
        <w:rPr>
          <w:color w:val="000000" w:themeColor="text1"/>
          <w:szCs w:val="24"/>
        </w:rPr>
        <w:t>terhadap</w:t>
      </w:r>
      <w:r w:rsidR="002B1CFE" w:rsidRPr="00306115">
        <w:rPr>
          <w:color w:val="000000" w:themeColor="text1"/>
          <w:spacing w:val="40"/>
          <w:szCs w:val="24"/>
        </w:rPr>
        <w:t xml:space="preserve"> </w:t>
      </w:r>
      <w:r w:rsidR="002B1CFE" w:rsidRPr="00306115">
        <w:rPr>
          <w:color w:val="000000" w:themeColor="text1"/>
          <w:szCs w:val="24"/>
        </w:rPr>
        <w:t>profil</w:t>
      </w:r>
      <w:r w:rsidR="002B1CFE" w:rsidRPr="00306115">
        <w:rPr>
          <w:color w:val="000000" w:themeColor="text1"/>
          <w:spacing w:val="40"/>
          <w:szCs w:val="24"/>
        </w:rPr>
        <w:t xml:space="preserve"> </w:t>
      </w:r>
      <w:r w:rsidR="002B1CFE" w:rsidRPr="00306115">
        <w:rPr>
          <w:color w:val="000000" w:themeColor="text1"/>
          <w:szCs w:val="24"/>
        </w:rPr>
        <w:t>risiko</w:t>
      </w:r>
      <w:r w:rsidR="002B1CFE" w:rsidRPr="00306115">
        <w:rPr>
          <w:color w:val="000000" w:themeColor="text1"/>
          <w:spacing w:val="80"/>
          <w:szCs w:val="24"/>
        </w:rPr>
        <w:t xml:space="preserve"> </w:t>
      </w:r>
      <w:r w:rsidR="002B1CFE" w:rsidRPr="00306115">
        <w:rPr>
          <w:color w:val="000000" w:themeColor="text1"/>
          <w:szCs w:val="24"/>
        </w:rPr>
        <w:t>secara keseluruhan.</w:t>
      </w:r>
    </w:p>
    <w:p w14:paraId="268E4D89" w14:textId="0E3130A9" w:rsidR="00E972A4" w:rsidRPr="00306115" w:rsidRDefault="00B807BC" w:rsidP="00E972A4">
      <w:pPr>
        <w:autoSpaceDE w:val="0"/>
        <w:autoSpaceDN w:val="0"/>
        <w:adjustRightInd w:val="0"/>
        <w:spacing w:after="0" w:line="240" w:lineRule="auto"/>
        <w:ind w:left="1701"/>
        <w:rPr>
          <w:color w:val="000000" w:themeColor="text1"/>
          <w:szCs w:val="24"/>
        </w:rPr>
      </w:pPr>
      <w:r w:rsidRPr="00306115">
        <w:rPr>
          <w:color w:val="000000" w:themeColor="text1"/>
          <w:szCs w:val="24"/>
        </w:rPr>
        <w:t>Penetapan peringkat</w:t>
      </w:r>
      <w:r w:rsidR="009941C1" w:rsidRPr="00306115">
        <w:rPr>
          <w:color w:val="000000" w:themeColor="text1"/>
          <w:szCs w:val="24"/>
        </w:rPr>
        <w:t xml:space="preserve"> </w:t>
      </w:r>
      <w:r w:rsidRPr="00306115">
        <w:rPr>
          <w:color w:val="000000" w:themeColor="text1"/>
          <w:szCs w:val="24"/>
        </w:rPr>
        <w:t>faktor profil risiko terdiri dari 5 (lima) peringkat yaitu:</w:t>
      </w:r>
    </w:p>
    <w:p w14:paraId="45F943C5" w14:textId="174C9223" w:rsidR="00B807BC" w:rsidRPr="00306115" w:rsidRDefault="00E4680D">
      <w:pPr>
        <w:pStyle w:val="ListParagraph"/>
        <w:numPr>
          <w:ilvl w:val="0"/>
          <w:numId w:val="27"/>
        </w:numPr>
        <w:autoSpaceDE w:val="0"/>
        <w:autoSpaceDN w:val="0"/>
        <w:adjustRightInd w:val="0"/>
        <w:spacing w:after="0" w:line="240" w:lineRule="auto"/>
        <w:ind w:left="2268" w:hanging="567"/>
        <w:rPr>
          <w:color w:val="000000" w:themeColor="text1"/>
          <w:szCs w:val="24"/>
        </w:rPr>
      </w:pPr>
      <w:r w:rsidRPr="00306115">
        <w:rPr>
          <w:color w:val="000000" w:themeColor="text1"/>
          <w:szCs w:val="24"/>
        </w:rPr>
        <w:t>p</w:t>
      </w:r>
      <w:r w:rsidR="00554489" w:rsidRPr="00306115">
        <w:rPr>
          <w:color w:val="000000" w:themeColor="text1"/>
          <w:szCs w:val="24"/>
        </w:rPr>
        <w:t>eringkat 1;</w:t>
      </w:r>
    </w:p>
    <w:p w14:paraId="787B698B" w14:textId="6C342574" w:rsidR="00554489" w:rsidRPr="00306115" w:rsidRDefault="00E4680D">
      <w:pPr>
        <w:pStyle w:val="ListParagraph"/>
        <w:numPr>
          <w:ilvl w:val="0"/>
          <w:numId w:val="27"/>
        </w:numPr>
        <w:autoSpaceDE w:val="0"/>
        <w:autoSpaceDN w:val="0"/>
        <w:adjustRightInd w:val="0"/>
        <w:spacing w:after="0" w:line="240" w:lineRule="auto"/>
        <w:ind w:left="2268" w:hanging="567"/>
        <w:rPr>
          <w:color w:val="000000" w:themeColor="text1"/>
          <w:szCs w:val="24"/>
        </w:rPr>
      </w:pPr>
      <w:r w:rsidRPr="00306115">
        <w:rPr>
          <w:color w:val="000000" w:themeColor="text1"/>
          <w:szCs w:val="24"/>
        </w:rPr>
        <w:t>p</w:t>
      </w:r>
      <w:r w:rsidR="00554489" w:rsidRPr="00306115">
        <w:rPr>
          <w:color w:val="000000" w:themeColor="text1"/>
          <w:szCs w:val="24"/>
        </w:rPr>
        <w:t>eringkat 2;</w:t>
      </w:r>
    </w:p>
    <w:p w14:paraId="6F56D1D0" w14:textId="04A7431A" w:rsidR="00554489" w:rsidRPr="00306115" w:rsidRDefault="00E4680D">
      <w:pPr>
        <w:pStyle w:val="ListParagraph"/>
        <w:numPr>
          <w:ilvl w:val="0"/>
          <w:numId w:val="27"/>
        </w:numPr>
        <w:autoSpaceDE w:val="0"/>
        <w:autoSpaceDN w:val="0"/>
        <w:adjustRightInd w:val="0"/>
        <w:spacing w:after="0" w:line="240" w:lineRule="auto"/>
        <w:ind w:left="2268" w:hanging="567"/>
        <w:rPr>
          <w:color w:val="000000" w:themeColor="text1"/>
          <w:szCs w:val="24"/>
        </w:rPr>
      </w:pPr>
      <w:r w:rsidRPr="00306115">
        <w:rPr>
          <w:color w:val="000000" w:themeColor="text1"/>
          <w:szCs w:val="24"/>
        </w:rPr>
        <w:t>p</w:t>
      </w:r>
      <w:r w:rsidR="00554489" w:rsidRPr="00306115">
        <w:rPr>
          <w:color w:val="000000" w:themeColor="text1"/>
          <w:szCs w:val="24"/>
        </w:rPr>
        <w:t>eringkat 3;</w:t>
      </w:r>
    </w:p>
    <w:p w14:paraId="54314FBB" w14:textId="080D9CD9" w:rsidR="00554489" w:rsidRPr="00306115" w:rsidRDefault="00E4680D">
      <w:pPr>
        <w:pStyle w:val="ListParagraph"/>
        <w:numPr>
          <w:ilvl w:val="0"/>
          <w:numId w:val="27"/>
        </w:numPr>
        <w:autoSpaceDE w:val="0"/>
        <w:autoSpaceDN w:val="0"/>
        <w:adjustRightInd w:val="0"/>
        <w:spacing w:after="0" w:line="240" w:lineRule="auto"/>
        <w:ind w:left="2268" w:hanging="567"/>
        <w:rPr>
          <w:color w:val="000000" w:themeColor="text1"/>
          <w:szCs w:val="24"/>
        </w:rPr>
      </w:pPr>
      <w:r w:rsidRPr="00306115">
        <w:rPr>
          <w:color w:val="000000" w:themeColor="text1"/>
          <w:szCs w:val="24"/>
        </w:rPr>
        <w:t>p</w:t>
      </w:r>
      <w:r w:rsidR="00554489" w:rsidRPr="00306115">
        <w:rPr>
          <w:color w:val="000000" w:themeColor="text1"/>
          <w:szCs w:val="24"/>
        </w:rPr>
        <w:t>eringkat 4</w:t>
      </w:r>
      <w:r w:rsidR="00DF3783" w:rsidRPr="00306115">
        <w:rPr>
          <w:color w:val="000000" w:themeColor="text1"/>
          <w:szCs w:val="24"/>
        </w:rPr>
        <w:t>; dan</w:t>
      </w:r>
    </w:p>
    <w:p w14:paraId="6D84FBA9" w14:textId="75D0C3ED" w:rsidR="00554489" w:rsidRPr="00306115" w:rsidRDefault="00E4680D">
      <w:pPr>
        <w:pStyle w:val="ListParagraph"/>
        <w:numPr>
          <w:ilvl w:val="0"/>
          <w:numId w:val="27"/>
        </w:numPr>
        <w:autoSpaceDE w:val="0"/>
        <w:autoSpaceDN w:val="0"/>
        <w:adjustRightInd w:val="0"/>
        <w:spacing w:after="0" w:line="240" w:lineRule="auto"/>
        <w:ind w:left="2268" w:hanging="567"/>
        <w:rPr>
          <w:color w:val="000000" w:themeColor="text1"/>
          <w:szCs w:val="24"/>
        </w:rPr>
      </w:pPr>
      <w:r w:rsidRPr="00306115">
        <w:rPr>
          <w:color w:val="000000" w:themeColor="text1"/>
          <w:szCs w:val="24"/>
        </w:rPr>
        <w:t>p</w:t>
      </w:r>
      <w:r w:rsidR="00554489" w:rsidRPr="00306115">
        <w:rPr>
          <w:color w:val="000000" w:themeColor="text1"/>
          <w:szCs w:val="24"/>
        </w:rPr>
        <w:t>eringkat 5</w:t>
      </w:r>
      <w:r w:rsidR="00DF3783" w:rsidRPr="00306115">
        <w:rPr>
          <w:color w:val="000000" w:themeColor="text1"/>
          <w:szCs w:val="24"/>
        </w:rPr>
        <w:t>.</w:t>
      </w:r>
    </w:p>
    <w:p w14:paraId="39F7F863" w14:textId="19172C47" w:rsidR="00044022" w:rsidRPr="00306115" w:rsidRDefault="00DF3783" w:rsidP="00044022">
      <w:pPr>
        <w:autoSpaceDE w:val="0"/>
        <w:autoSpaceDN w:val="0"/>
        <w:adjustRightInd w:val="0"/>
        <w:spacing w:after="0" w:line="240" w:lineRule="auto"/>
        <w:ind w:left="1701"/>
        <w:rPr>
          <w:color w:val="000000" w:themeColor="text1"/>
          <w:szCs w:val="24"/>
        </w:rPr>
      </w:pPr>
      <w:r w:rsidRPr="00306115">
        <w:rPr>
          <w:color w:val="000000" w:themeColor="text1"/>
          <w:szCs w:val="24"/>
        </w:rPr>
        <w:t>Urutan peringkat faktor profil risiko yang lebih kecil mencerminkan semakin rendahnya risiko yang dihadapi Manajer Investasi. Penetapan peringkat faktor</w:t>
      </w:r>
      <w:r w:rsidRPr="00306115">
        <w:rPr>
          <w:color w:val="000000" w:themeColor="text1"/>
          <w:spacing w:val="40"/>
          <w:szCs w:val="24"/>
        </w:rPr>
        <w:t xml:space="preserve"> </w:t>
      </w:r>
      <w:r w:rsidRPr="00306115">
        <w:rPr>
          <w:color w:val="000000" w:themeColor="text1"/>
          <w:szCs w:val="24"/>
        </w:rPr>
        <w:t>profil</w:t>
      </w:r>
      <w:r w:rsidRPr="00306115">
        <w:rPr>
          <w:color w:val="000000" w:themeColor="text1"/>
          <w:spacing w:val="25"/>
          <w:szCs w:val="24"/>
        </w:rPr>
        <w:t xml:space="preserve"> </w:t>
      </w:r>
      <w:r w:rsidRPr="00306115">
        <w:rPr>
          <w:color w:val="000000" w:themeColor="text1"/>
          <w:szCs w:val="24"/>
        </w:rPr>
        <w:t>risiko</w:t>
      </w:r>
      <w:r w:rsidRPr="00306115">
        <w:rPr>
          <w:color w:val="000000" w:themeColor="text1"/>
          <w:spacing w:val="25"/>
          <w:szCs w:val="24"/>
        </w:rPr>
        <w:t xml:space="preserve"> </w:t>
      </w:r>
      <w:r w:rsidRPr="00306115">
        <w:rPr>
          <w:color w:val="000000" w:themeColor="text1"/>
          <w:szCs w:val="24"/>
        </w:rPr>
        <w:t>dilakukan</w:t>
      </w:r>
      <w:r w:rsidRPr="00306115">
        <w:rPr>
          <w:color w:val="000000" w:themeColor="text1"/>
          <w:spacing w:val="25"/>
          <w:szCs w:val="24"/>
        </w:rPr>
        <w:t xml:space="preserve"> </w:t>
      </w:r>
      <w:r w:rsidRPr="00306115">
        <w:rPr>
          <w:color w:val="000000" w:themeColor="text1"/>
          <w:szCs w:val="24"/>
        </w:rPr>
        <w:t>dengan</w:t>
      </w:r>
      <w:r w:rsidRPr="00306115">
        <w:rPr>
          <w:color w:val="000000" w:themeColor="text1"/>
          <w:spacing w:val="25"/>
          <w:szCs w:val="24"/>
        </w:rPr>
        <w:t xml:space="preserve"> </w:t>
      </w:r>
      <w:r w:rsidRPr="00306115">
        <w:rPr>
          <w:color w:val="000000" w:themeColor="text1"/>
          <w:szCs w:val="24"/>
        </w:rPr>
        <w:t>berpedoman</w:t>
      </w:r>
      <w:r w:rsidRPr="00306115">
        <w:rPr>
          <w:color w:val="000000" w:themeColor="text1"/>
          <w:spacing w:val="25"/>
          <w:szCs w:val="24"/>
        </w:rPr>
        <w:t xml:space="preserve"> </w:t>
      </w:r>
      <w:r w:rsidRPr="00306115">
        <w:rPr>
          <w:color w:val="000000" w:themeColor="text1"/>
          <w:szCs w:val="24"/>
        </w:rPr>
        <w:t>pada</w:t>
      </w:r>
      <w:r w:rsidRPr="00306115">
        <w:rPr>
          <w:color w:val="000000" w:themeColor="text1"/>
          <w:spacing w:val="25"/>
          <w:szCs w:val="24"/>
        </w:rPr>
        <w:t xml:space="preserve"> </w:t>
      </w:r>
      <w:r w:rsidRPr="00306115">
        <w:rPr>
          <w:color w:val="000000" w:themeColor="text1"/>
          <w:szCs w:val="24"/>
        </w:rPr>
        <w:t xml:space="preserve">Lampiran </w:t>
      </w:r>
      <w:r w:rsidR="00F1294C" w:rsidRPr="00306115">
        <w:rPr>
          <w:color w:val="000000" w:themeColor="text1"/>
          <w:szCs w:val="24"/>
        </w:rPr>
        <w:t>V</w:t>
      </w:r>
      <w:r w:rsidRPr="00306115">
        <w:rPr>
          <w:color w:val="000000" w:themeColor="text1"/>
          <w:szCs w:val="24"/>
        </w:rPr>
        <w:t xml:space="preserve"> yang merupakan bagian tidak terpisahkan dari Peraturan Anggota Dewan Komisioner Otoritas Jasa Keuangan ini.</w:t>
      </w:r>
    </w:p>
    <w:p w14:paraId="6C8BA4F3" w14:textId="222FC0B5" w:rsidR="00702944" w:rsidRPr="00306115" w:rsidRDefault="003440A1">
      <w:pPr>
        <w:numPr>
          <w:ilvl w:val="0"/>
          <w:numId w:val="9"/>
        </w:numPr>
        <w:autoSpaceDE w:val="0"/>
        <w:autoSpaceDN w:val="0"/>
        <w:adjustRightInd w:val="0"/>
        <w:spacing w:after="0" w:line="240" w:lineRule="auto"/>
        <w:ind w:left="1134" w:hanging="490"/>
        <w:rPr>
          <w:color w:val="000000" w:themeColor="text1"/>
        </w:rPr>
      </w:pPr>
      <w:r w:rsidRPr="00306115">
        <w:rPr>
          <w:color w:val="000000" w:themeColor="text1"/>
        </w:rPr>
        <w:t>Penilaian Faktor Tata Kelola Manajer Investasi</w:t>
      </w:r>
    </w:p>
    <w:p w14:paraId="3A98AA8C" w14:textId="06E43444" w:rsidR="003440A1" w:rsidRPr="00306115" w:rsidRDefault="00941A5E">
      <w:pPr>
        <w:pStyle w:val="ListParagraph"/>
        <w:numPr>
          <w:ilvl w:val="5"/>
          <w:numId w:val="19"/>
        </w:numPr>
        <w:autoSpaceDE w:val="0"/>
        <w:autoSpaceDN w:val="0"/>
        <w:adjustRightInd w:val="0"/>
        <w:spacing w:after="0" w:line="240" w:lineRule="auto"/>
        <w:ind w:left="1701" w:hanging="567"/>
        <w:rPr>
          <w:color w:val="000000" w:themeColor="text1"/>
          <w:szCs w:val="24"/>
        </w:rPr>
      </w:pPr>
      <w:r w:rsidRPr="00306115">
        <w:rPr>
          <w:color w:val="000000" w:themeColor="text1"/>
          <w:szCs w:val="24"/>
          <w:lang w:val="en-US"/>
        </w:rPr>
        <w:t>Penilaian faktor tata kelola Manajer Investasi merupakan penilaian sejauh mana Manajer Investasi menerapkan tata kelola berdasarkan prinsip tata kelola Manajer Investasi.</w:t>
      </w:r>
    </w:p>
    <w:p w14:paraId="05CDB568" w14:textId="290A6CF9" w:rsidR="00941A5E" w:rsidRPr="00306115" w:rsidRDefault="00E316BD" w:rsidP="00941A5E">
      <w:pPr>
        <w:pStyle w:val="ListParagraph"/>
        <w:autoSpaceDE w:val="0"/>
        <w:autoSpaceDN w:val="0"/>
        <w:adjustRightInd w:val="0"/>
        <w:spacing w:after="0" w:line="240" w:lineRule="auto"/>
        <w:ind w:left="1701"/>
        <w:rPr>
          <w:color w:val="000000" w:themeColor="text1"/>
          <w:szCs w:val="24"/>
          <w:lang w:val="en-US"/>
        </w:rPr>
      </w:pPr>
      <w:r w:rsidRPr="00306115">
        <w:rPr>
          <w:color w:val="000000" w:themeColor="text1"/>
          <w:szCs w:val="24"/>
          <w:lang w:val="en-US"/>
        </w:rPr>
        <w:t xml:space="preserve">Penerapan prinsip tata kelola Manajer Investasi dan faktor-faktor penilaian tata kelola mengacu pada </w:t>
      </w:r>
      <w:r w:rsidR="00DA5586" w:rsidRPr="00306115">
        <w:rPr>
          <w:color w:val="000000" w:themeColor="text1"/>
          <w:szCs w:val="24"/>
          <w:lang w:val="en-US"/>
        </w:rPr>
        <w:t xml:space="preserve">Peraturan Otoritas </w:t>
      </w:r>
      <w:r w:rsidR="00DA5586" w:rsidRPr="00306115">
        <w:rPr>
          <w:color w:val="000000" w:themeColor="text1"/>
          <w:szCs w:val="24"/>
          <w:lang w:val="en-US"/>
        </w:rPr>
        <w:lastRenderedPageBreak/>
        <w:t xml:space="preserve">Jasa Keuangan </w:t>
      </w:r>
      <w:r w:rsidRPr="00306115">
        <w:rPr>
          <w:color w:val="000000" w:themeColor="text1"/>
          <w:szCs w:val="24"/>
          <w:lang w:val="en-US"/>
        </w:rPr>
        <w:t xml:space="preserve">mengenai </w:t>
      </w:r>
      <w:r w:rsidR="00DA5586" w:rsidRPr="00306115">
        <w:rPr>
          <w:color w:val="000000" w:themeColor="text1"/>
          <w:szCs w:val="24"/>
          <w:lang w:val="en-US"/>
        </w:rPr>
        <w:t>p</w:t>
      </w:r>
      <w:r w:rsidRPr="00306115">
        <w:rPr>
          <w:color w:val="000000" w:themeColor="text1"/>
          <w:szCs w:val="24"/>
          <w:lang w:val="en-US"/>
        </w:rPr>
        <w:t xml:space="preserve">enerapan </w:t>
      </w:r>
      <w:r w:rsidR="00DA5586" w:rsidRPr="00306115">
        <w:rPr>
          <w:color w:val="000000" w:themeColor="text1"/>
          <w:szCs w:val="24"/>
          <w:lang w:val="en-US"/>
        </w:rPr>
        <w:t>t</w:t>
      </w:r>
      <w:r w:rsidRPr="00306115">
        <w:rPr>
          <w:color w:val="000000" w:themeColor="text1"/>
          <w:szCs w:val="24"/>
          <w:lang w:val="en-US"/>
        </w:rPr>
        <w:t xml:space="preserve">ata </w:t>
      </w:r>
      <w:r w:rsidR="00DA5586" w:rsidRPr="00306115">
        <w:rPr>
          <w:color w:val="000000" w:themeColor="text1"/>
          <w:szCs w:val="24"/>
          <w:lang w:val="en-US"/>
        </w:rPr>
        <w:t>k</w:t>
      </w:r>
      <w:r w:rsidRPr="00306115">
        <w:rPr>
          <w:color w:val="000000" w:themeColor="text1"/>
          <w:szCs w:val="24"/>
          <w:lang w:val="en-US"/>
        </w:rPr>
        <w:t>elola Manajer Investasi, dengan memperhatikan ukuran, kompleksitas usaha, dan kemampuan Manajer Investasi.</w:t>
      </w:r>
    </w:p>
    <w:p w14:paraId="6339B314" w14:textId="10034362" w:rsidR="00E316BD" w:rsidRPr="00306115" w:rsidRDefault="004116E0">
      <w:pPr>
        <w:pStyle w:val="ListParagraph"/>
        <w:numPr>
          <w:ilvl w:val="5"/>
          <w:numId w:val="19"/>
        </w:numPr>
        <w:autoSpaceDE w:val="0"/>
        <w:autoSpaceDN w:val="0"/>
        <w:adjustRightInd w:val="0"/>
        <w:spacing w:after="0" w:line="240" w:lineRule="auto"/>
        <w:ind w:left="1701" w:hanging="567"/>
        <w:rPr>
          <w:color w:val="000000" w:themeColor="text1"/>
          <w:szCs w:val="24"/>
        </w:rPr>
      </w:pPr>
      <w:r w:rsidRPr="00306115">
        <w:rPr>
          <w:color w:val="000000" w:themeColor="text1"/>
          <w:szCs w:val="24"/>
          <w:lang w:val="en-US"/>
        </w:rPr>
        <w:t xml:space="preserve">Penetapan peringkat faktor tata kelola Manajer Investasi dilakukan berdasarkan analisis yang komprehensif dan terstruktur atas kecukupan pelaksaksanaan tata kelola terhadap faktor-faktor penilaian, berdasarkan pada prinsip tata kelola perusahaan. Dalam penetapan peringkat faktor tata kelola, Manajer Investasi menggunakan </w:t>
      </w:r>
      <w:r w:rsidR="00DA0C66" w:rsidRPr="00306115">
        <w:rPr>
          <w:color w:val="000000" w:themeColor="text1"/>
          <w:szCs w:val="24"/>
          <w:lang w:val="en-US"/>
        </w:rPr>
        <w:t>p</w:t>
      </w:r>
      <w:r w:rsidRPr="00306115">
        <w:rPr>
          <w:color w:val="000000" w:themeColor="text1"/>
          <w:szCs w:val="24"/>
          <w:lang w:val="en-US"/>
        </w:rPr>
        <w:t xml:space="preserve">eringkat </w:t>
      </w:r>
      <w:r w:rsidR="00DA0C66" w:rsidRPr="00306115">
        <w:rPr>
          <w:color w:val="000000" w:themeColor="text1"/>
          <w:szCs w:val="24"/>
          <w:lang w:val="en-US"/>
        </w:rPr>
        <w:t>k</w:t>
      </w:r>
      <w:r w:rsidRPr="00306115">
        <w:rPr>
          <w:color w:val="000000" w:themeColor="text1"/>
          <w:szCs w:val="24"/>
          <w:lang w:val="en-US"/>
        </w:rPr>
        <w:t>omposit hasil penilaian sendiri (</w:t>
      </w:r>
      <w:r w:rsidRPr="00306115">
        <w:rPr>
          <w:i/>
          <w:iCs/>
          <w:color w:val="000000" w:themeColor="text1"/>
          <w:szCs w:val="24"/>
          <w:lang w:val="en-US"/>
        </w:rPr>
        <w:t>self-assessment</w:t>
      </w:r>
      <w:r w:rsidRPr="00306115">
        <w:rPr>
          <w:color w:val="000000" w:themeColor="text1"/>
          <w:szCs w:val="24"/>
          <w:lang w:val="en-US"/>
        </w:rPr>
        <w:t xml:space="preserve">) penerapan tata kelola Manajer Investasi sebagaimana diatur dalam </w:t>
      </w:r>
      <w:r w:rsidR="005F5813" w:rsidRPr="00306115">
        <w:rPr>
          <w:color w:val="000000" w:themeColor="text1"/>
          <w:szCs w:val="24"/>
          <w:lang w:val="en-US"/>
        </w:rPr>
        <w:t xml:space="preserve">Peraturan Otoritas Jasa Keuangan </w:t>
      </w:r>
      <w:r w:rsidRPr="00306115">
        <w:rPr>
          <w:color w:val="000000" w:themeColor="text1"/>
          <w:szCs w:val="24"/>
          <w:lang w:val="en-US"/>
        </w:rPr>
        <w:t xml:space="preserve">mengenai </w:t>
      </w:r>
      <w:r w:rsidR="005F5813" w:rsidRPr="00306115">
        <w:rPr>
          <w:color w:val="000000" w:themeColor="text1"/>
          <w:szCs w:val="24"/>
          <w:lang w:val="en-US"/>
        </w:rPr>
        <w:t>p</w:t>
      </w:r>
      <w:r w:rsidRPr="00306115">
        <w:rPr>
          <w:color w:val="000000" w:themeColor="text1"/>
          <w:szCs w:val="24"/>
          <w:lang w:val="en-US"/>
        </w:rPr>
        <w:t xml:space="preserve">enerapan </w:t>
      </w:r>
      <w:r w:rsidR="00153658" w:rsidRPr="00306115">
        <w:rPr>
          <w:color w:val="000000" w:themeColor="text1"/>
          <w:szCs w:val="24"/>
          <w:lang w:val="en-US"/>
        </w:rPr>
        <w:t>t</w:t>
      </w:r>
      <w:r w:rsidRPr="00306115">
        <w:rPr>
          <w:color w:val="000000" w:themeColor="text1"/>
          <w:szCs w:val="24"/>
          <w:lang w:val="en-US"/>
        </w:rPr>
        <w:t xml:space="preserve">ata </w:t>
      </w:r>
      <w:r w:rsidR="00153658" w:rsidRPr="00306115">
        <w:rPr>
          <w:color w:val="000000" w:themeColor="text1"/>
          <w:szCs w:val="24"/>
          <w:lang w:val="en-US"/>
        </w:rPr>
        <w:t>k</w:t>
      </w:r>
      <w:r w:rsidRPr="00306115">
        <w:rPr>
          <w:color w:val="000000" w:themeColor="text1"/>
          <w:szCs w:val="24"/>
          <w:lang w:val="en-US"/>
        </w:rPr>
        <w:t xml:space="preserve">elola Manajer Investasi, yang dikategorikan dalam 5 (lima) </w:t>
      </w:r>
      <w:r w:rsidR="00153658" w:rsidRPr="00306115">
        <w:rPr>
          <w:color w:val="000000" w:themeColor="text1"/>
          <w:szCs w:val="24"/>
          <w:lang w:val="en-US"/>
        </w:rPr>
        <w:t>p</w:t>
      </w:r>
      <w:r w:rsidRPr="00306115">
        <w:rPr>
          <w:color w:val="000000" w:themeColor="text1"/>
          <w:szCs w:val="24"/>
          <w:lang w:val="en-US"/>
        </w:rPr>
        <w:t>eringkat yaitu:</w:t>
      </w:r>
    </w:p>
    <w:p w14:paraId="5C33B067" w14:textId="57BFB98A" w:rsidR="004116E0" w:rsidRPr="00306115" w:rsidRDefault="00E4680D">
      <w:pPr>
        <w:pStyle w:val="ListParagraph"/>
        <w:numPr>
          <w:ilvl w:val="0"/>
          <w:numId w:val="28"/>
        </w:numPr>
        <w:autoSpaceDE w:val="0"/>
        <w:autoSpaceDN w:val="0"/>
        <w:adjustRightInd w:val="0"/>
        <w:spacing w:after="0" w:line="240" w:lineRule="auto"/>
        <w:ind w:left="2268" w:hanging="567"/>
        <w:rPr>
          <w:color w:val="000000" w:themeColor="text1"/>
          <w:szCs w:val="24"/>
        </w:rPr>
      </w:pPr>
      <w:r w:rsidRPr="00306115">
        <w:rPr>
          <w:color w:val="000000" w:themeColor="text1"/>
          <w:szCs w:val="24"/>
        </w:rPr>
        <w:t>peringkat 1;</w:t>
      </w:r>
    </w:p>
    <w:p w14:paraId="3BB49BCF" w14:textId="1271636F" w:rsidR="00E4680D" w:rsidRPr="00306115" w:rsidRDefault="00E4680D">
      <w:pPr>
        <w:pStyle w:val="ListParagraph"/>
        <w:numPr>
          <w:ilvl w:val="0"/>
          <w:numId w:val="28"/>
        </w:numPr>
        <w:autoSpaceDE w:val="0"/>
        <w:autoSpaceDN w:val="0"/>
        <w:adjustRightInd w:val="0"/>
        <w:spacing w:after="0" w:line="240" w:lineRule="auto"/>
        <w:ind w:left="2268" w:hanging="567"/>
        <w:rPr>
          <w:color w:val="000000" w:themeColor="text1"/>
          <w:szCs w:val="24"/>
        </w:rPr>
      </w:pPr>
      <w:r w:rsidRPr="00306115">
        <w:rPr>
          <w:color w:val="000000" w:themeColor="text1"/>
          <w:szCs w:val="24"/>
        </w:rPr>
        <w:t>peringkat 2;</w:t>
      </w:r>
    </w:p>
    <w:p w14:paraId="61383BFC" w14:textId="6F98CE49" w:rsidR="00E4680D" w:rsidRPr="00306115" w:rsidRDefault="00E4680D">
      <w:pPr>
        <w:pStyle w:val="ListParagraph"/>
        <w:numPr>
          <w:ilvl w:val="0"/>
          <w:numId w:val="28"/>
        </w:numPr>
        <w:autoSpaceDE w:val="0"/>
        <w:autoSpaceDN w:val="0"/>
        <w:adjustRightInd w:val="0"/>
        <w:spacing w:after="0" w:line="240" w:lineRule="auto"/>
        <w:ind w:left="2268" w:hanging="567"/>
        <w:rPr>
          <w:color w:val="000000" w:themeColor="text1"/>
          <w:szCs w:val="24"/>
        </w:rPr>
      </w:pPr>
      <w:r w:rsidRPr="00306115">
        <w:rPr>
          <w:color w:val="000000" w:themeColor="text1"/>
          <w:szCs w:val="24"/>
        </w:rPr>
        <w:t>peringkat 3;</w:t>
      </w:r>
    </w:p>
    <w:p w14:paraId="221FF23B" w14:textId="12357750" w:rsidR="00E4680D" w:rsidRPr="00306115" w:rsidRDefault="00E4680D">
      <w:pPr>
        <w:pStyle w:val="ListParagraph"/>
        <w:numPr>
          <w:ilvl w:val="0"/>
          <w:numId w:val="28"/>
        </w:numPr>
        <w:autoSpaceDE w:val="0"/>
        <w:autoSpaceDN w:val="0"/>
        <w:adjustRightInd w:val="0"/>
        <w:spacing w:after="0" w:line="240" w:lineRule="auto"/>
        <w:ind w:left="2268" w:hanging="567"/>
        <w:rPr>
          <w:color w:val="000000" w:themeColor="text1"/>
          <w:szCs w:val="24"/>
        </w:rPr>
      </w:pPr>
      <w:r w:rsidRPr="00306115">
        <w:rPr>
          <w:color w:val="000000" w:themeColor="text1"/>
          <w:szCs w:val="24"/>
        </w:rPr>
        <w:t>peringkat 4; dan</w:t>
      </w:r>
    </w:p>
    <w:p w14:paraId="2AAA4355" w14:textId="4196360A" w:rsidR="00E4680D" w:rsidRPr="00306115" w:rsidRDefault="00E4680D">
      <w:pPr>
        <w:pStyle w:val="ListParagraph"/>
        <w:numPr>
          <w:ilvl w:val="0"/>
          <w:numId w:val="28"/>
        </w:numPr>
        <w:autoSpaceDE w:val="0"/>
        <w:autoSpaceDN w:val="0"/>
        <w:adjustRightInd w:val="0"/>
        <w:spacing w:after="0" w:line="240" w:lineRule="auto"/>
        <w:ind w:left="2268" w:hanging="567"/>
        <w:rPr>
          <w:color w:val="000000" w:themeColor="text1"/>
          <w:szCs w:val="24"/>
        </w:rPr>
      </w:pPr>
      <w:r w:rsidRPr="00306115">
        <w:rPr>
          <w:color w:val="000000" w:themeColor="text1"/>
          <w:szCs w:val="24"/>
        </w:rPr>
        <w:t>peringkat 5.</w:t>
      </w:r>
    </w:p>
    <w:p w14:paraId="3C54716B" w14:textId="5DBD1577" w:rsidR="00E4680D" w:rsidRPr="00306115" w:rsidRDefault="00B26099" w:rsidP="00E4680D">
      <w:pPr>
        <w:autoSpaceDE w:val="0"/>
        <w:autoSpaceDN w:val="0"/>
        <w:adjustRightInd w:val="0"/>
        <w:spacing w:after="0" w:line="240" w:lineRule="auto"/>
        <w:ind w:left="1701"/>
        <w:rPr>
          <w:color w:val="000000" w:themeColor="text1"/>
          <w:szCs w:val="24"/>
        </w:rPr>
      </w:pPr>
      <w:r w:rsidRPr="00306115">
        <w:rPr>
          <w:color w:val="000000" w:themeColor="text1"/>
          <w:szCs w:val="24"/>
          <w:lang w:val="en-US"/>
        </w:rPr>
        <w:t xml:space="preserve">Urutan </w:t>
      </w:r>
      <w:r w:rsidR="00153658" w:rsidRPr="00306115">
        <w:rPr>
          <w:color w:val="000000" w:themeColor="text1"/>
          <w:szCs w:val="24"/>
          <w:lang w:val="en-US"/>
        </w:rPr>
        <w:t>p</w:t>
      </w:r>
      <w:r w:rsidRPr="00306115">
        <w:rPr>
          <w:color w:val="000000" w:themeColor="text1"/>
          <w:szCs w:val="24"/>
          <w:lang w:val="en-US"/>
        </w:rPr>
        <w:t xml:space="preserve">eringkat faktor </w:t>
      </w:r>
      <w:r w:rsidR="00153658" w:rsidRPr="00306115">
        <w:rPr>
          <w:color w:val="000000" w:themeColor="text1"/>
          <w:szCs w:val="24"/>
          <w:lang w:val="en-US"/>
        </w:rPr>
        <w:t>t</w:t>
      </w:r>
      <w:r w:rsidRPr="00306115">
        <w:rPr>
          <w:color w:val="000000" w:themeColor="text1"/>
          <w:szCs w:val="24"/>
          <w:lang w:val="en-US"/>
        </w:rPr>
        <w:t xml:space="preserve">ata </w:t>
      </w:r>
      <w:r w:rsidR="00153658" w:rsidRPr="00306115">
        <w:rPr>
          <w:color w:val="000000" w:themeColor="text1"/>
          <w:szCs w:val="24"/>
          <w:lang w:val="en-US"/>
        </w:rPr>
        <w:t>k</w:t>
      </w:r>
      <w:r w:rsidRPr="00306115">
        <w:rPr>
          <w:color w:val="000000" w:themeColor="text1"/>
          <w:szCs w:val="24"/>
          <w:lang w:val="en-US"/>
        </w:rPr>
        <w:t xml:space="preserve">elola yang lebih kecil mencerminkan penerapan </w:t>
      </w:r>
      <w:r w:rsidR="00153658" w:rsidRPr="00306115">
        <w:rPr>
          <w:color w:val="000000" w:themeColor="text1"/>
          <w:szCs w:val="24"/>
          <w:lang w:val="en-US"/>
        </w:rPr>
        <w:t>t</w:t>
      </w:r>
      <w:r w:rsidRPr="00306115">
        <w:rPr>
          <w:color w:val="000000" w:themeColor="text1"/>
          <w:szCs w:val="24"/>
          <w:lang w:val="en-US"/>
        </w:rPr>
        <w:t xml:space="preserve">ata </w:t>
      </w:r>
      <w:r w:rsidR="00153658" w:rsidRPr="00306115">
        <w:rPr>
          <w:color w:val="000000" w:themeColor="text1"/>
          <w:szCs w:val="24"/>
          <w:lang w:val="en-US"/>
        </w:rPr>
        <w:t>k</w:t>
      </w:r>
      <w:r w:rsidRPr="00306115">
        <w:rPr>
          <w:color w:val="000000" w:themeColor="text1"/>
          <w:szCs w:val="24"/>
          <w:lang w:val="en-US"/>
        </w:rPr>
        <w:t>elola yang lebih baik.</w:t>
      </w:r>
    </w:p>
    <w:p w14:paraId="2CF4445C" w14:textId="016D1C2D" w:rsidR="00152770" w:rsidRPr="00306115" w:rsidRDefault="002E0E89">
      <w:pPr>
        <w:numPr>
          <w:ilvl w:val="0"/>
          <w:numId w:val="9"/>
        </w:numPr>
        <w:autoSpaceDE w:val="0"/>
        <w:autoSpaceDN w:val="0"/>
        <w:adjustRightInd w:val="0"/>
        <w:spacing w:after="0" w:line="240" w:lineRule="auto"/>
        <w:ind w:left="1134" w:hanging="490"/>
        <w:rPr>
          <w:color w:val="000000" w:themeColor="text1"/>
          <w:szCs w:val="24"/>
        </w:rPr>
      </w:pPr>
      <w:r w:rsidRPr="00306115">
        <w:rPr>
          <w:color w:val="000000" w:themeColor="text1"/>
          <w:szCs w:val="24"/>
        </w:rPr>
        <w:t>Penilaian Faktor Rentabilitas</w:t>
      </w:r>
    </w:p>
    <w:p w14:paraId="643F9A7D" w14:textId="554B9749" w:rsidR="002E0E89" w:rsidRPr="00306115" w:rsidRDefault="00B82A2C">
      <w:pPr>
        <w:pStyle w:val="ListParagraph"/>
        <w:numPr>
          <w:ilvl w:val="5"/>
          <w:numId w:val="18"/>
        </w:numPr>
        <w:autoSpaceDE w:val="0"/>
        <w:autoSpaceDN w:val="0"/>
        <w:adjustRightInd w:val="0"/>
        <w:spacing w:after="0" w:line="240" w:lineRule="auto"/>
        <w:ind w:left="1701" w:hanging="567"/>
        <w:rPr>
          <w:color w:val="000000" w:themeColor="text1"/>
          <w:szCs w:val="24"/>
        </w:rPr>
      </w:pPr>
      <w:r w:rsidRPr="00306115">
        <w:rPr>
          <w:color w:val="000000" w:themeColor="text1"/>
          <w:szCs w:val="24"/>
          <w:lang w:val="en-US"/>
        </w:rPr>
        <w:t>Penilaian faktor rentabilitas meliputi penilaian terhadap kemampuan kinerja rentabilitas dan kesinambungan rentabilitas (</w:t>
      </w:r>
      <w:r w:rsidRPr="00306115">
        <w:rPr>
          <w:i/>
          <w:color w:val="000000" w:themeColor="text1"/>
          <w:szCs w:val="24"/>
          <w:lang w:val="en-US"/>
        </w:rPr>
        <w:t>earning’s sustainability</w:t>
      </w:r>
      <w:r w:rsidRPr="00306115">
        <w:rPr>
          <w:color w:val="000000" w:themeColor="text1"/>
          <w:szCs w:val="24"/>
          <w:lang w:val="en-US"/>
        </w:rPr>
        <w:t>) Manajer Investasi, dengan mempertimbangkan tingkat, tren, dan stabilitas rentabilitas.</w:t>
      </w:r>
      <w:r w:rsidR="002303D7" w:rsidRPr="00306115">
        <w:rPr>
          <w:color w:val="000000" w:themeColor="text1"/>
          <w:szCs w:val="24"/>
          <w:lang w:val="en-US"/>
        </w:rPr>
        <w:t xml:space="preserve"> </w:t>
      </w:r>
      <w:r w:rsidRPr="00306115">
        <w:rPr>
          <w:color w:val="000000" w:themeColor="text1"/>
          <w:szCs w:val="24"/>
          <w:lang w:val="en-US"/>
        </w:rPr>
        <w:t>Parameter atau indikator yang digunakan meliputi:</w:t>
      </w:r>
    </w:p>
    <w:p w14:paraId="4D058C29" w14:textId="57D0E0DF" w:rsidR="00B82A2C" w:rsidRPr="00306115" w:rsidRDefault="00B21515">
      <w:pPr>
        <w:pStyle w:val="ListParagraph"/>
        <w:numPr>
          <w:ilvl w:val="0"/>
          <w:numId w:val="29"/>
        </w:numPr>
        <w:autoSpaceDE w:val="0"/>
        <w:autoSpaceDN w:val="0"/>
        <w:adjustRightInd w:val="0"/>
        <w:spacing w:after="0" w:line="240" w:lineRule="auto"/>
        <w:ind w:left="2268" w:hanging="567"/>
        <w:rPr>
          <w:color w:val="000000" w:themeColor="text1"/>
          <w:szCs w:val="24"/>
        </w:rPr>
      </w:pPr>
      <w:r w:rsidRPr="00306115">
        <w:rPr>
          <w:i/>
          <w:color w:val="000000" w:themeColor="text1"/>
          <w:szCs w:val="24"/>
          <w:lang w:val="en-US"/>
        </w:rPr>
        <w:t>r</w:t>
      </w:r>
      <w:r w:rsidR="00516C07" w:rsidRPr="00306115">
        <w:rPr>
          <w:i/>
          <w:color w:val="000000" w:themeColor="text1"/>
          <w:szCs w:val="24"/>
          <w:lang w:val="en-US"/>
        </w:rPr>
        <w:t xml:space="preserve">eturn on </w:t>
      </w:r>
      <w:r w:rsidRPr="00306115">
        <w:rPr>
          <w:i/>
          <w:color w:val="000000" w:themeColor="text1"/>
          <w:szCs w:val="24"/>
          <w:lang w:val="en-US"/>
        </w:rPr>
        <w:t>a</w:t>
      </w:r>
      <w:r w:rsidR="00516C07" w:rsidRPr="00306115">
        <w:rPr>
          <w:i/>
          <w:color w:val="000000" w:themeColor="text1"/>
          <w:szCs w:val="24"/>
          <w:lang w:val="en-US"/>
        </w:rPr>
        <w:t>ssets;</w:t>
      </w:r>
    </w:p>
    <w:p w14:paraId="75D41CFF" w14:textId="5B50146D" w:rsidR="00516C07" w:rsidRPr="00306115" w:rsidRDefault="00B21515">
      <w:pPr>
        <w:pStyle w:val="ListParagraph"/>
        <w:numPr>
          <w:ilvl w:val="0"/>
          <w:numId w:val="29"/>
        </w:numPr>
        <w:autoSpaceDE w:val="0"/>
        <w:autoSpaceDN w:val="0"/>
        <w:adjustRightInd w:val="0"/>
        <w:spacing w:after="0" w:line="240" w:lineRule="auto"/>
        <w:ind w:left="2268" w:hanging="567"/>
        <w:rPr>
          <w:color w:val="000000" w:themeColor="text1"/>
          <w:szCs w:val="24"/>
        </w:rPr>
      </w:pPr>
      <w:r w:rsidRPr="00306115">
        <w:rPr>
          <w:i/>
          <w:color w:val="000000" w:themeColor="text1"/>
          <w:szCs w:val="24"/>
          <w:lang w:val="en-US"/>
        </w:rPr>
        <w:t>r</w:t>
      </w:r>
      <w:r w:rsidR="007E7EAE" w:rsidRPr="00306115">
        <w:rPr>
          <w:i/>
          <w:color w:val="000000" w:themeColor="text1"/>
          <w:szCs w:val="24"/>
          <w:lang w:val="en-US"/>
        </w:rPr>
        <w:t xml:space="preserve">eturn on </w:t>
      </w:r>
      <w:r w:rsidRPr="00306115">
        <w:rPr>
          <w:i/>
          <w:color w:val="000000" w:themeColor="text1"/>
          <w:szCs w:val="24"/>
          <w:lang w:val="en-US"/>
        </w:rPr>
        <w:t>e</w:t>
      </w:r>
      <w:r w:rsidR="007E7EAE" w:rsidRPr="00306115">
        <w:rPr>
          <w:i/>
          <w:color w:val="000000" w:themeColor="text1"/>
          <w:szCs w:val="24"/>
          <w:lang w:val="en-US"/>
        </w:rPr>
        <w:t>quity</w:t>
      </w:r>
      <w:r w:rsidR="007E7EAE" w:rsidRPr="00306115">
        <w:rPr>
          <w:color w:val="000000" w:themeColor="text1"/>
          <w:szCs w:val="24"/>
          <w:lang w:val="en-US"/>
        </w:rPr>
        <w:t>; dan</w:t>
      </w:r>
    </w:p>
    <w:p w14:paraId="5630EC20" w14:textId="29A67000" w:rsidR="007E7EAE" w:rsidRPr="00306115" w:rsidRDefault="00B21515">
      <w:pPr>
        <w:pStyle w:val="ListParagraph"/>
        <w:numPr>
          <w:ilvl w:val="0"/>
          <w:numId w:val="29"/>
        </w:numPr>
        <w:autoSpaceDE w:val="0"/>
        <w:autoSpaceDN w:val="0"/>
        <w:adjustRightInd w:val="0"/>
        <w:spacing w:after="0" w:line="240" w:lineRule="auto"/>
        <w:ind w:left="2268" w:hanging="567"/>
        <w:rPr>
          <w:color w:val="000000" w:themeColor="text1"/>
          <w:szCs w:val="24"/>
        </w:rPr>
      </w:pPr>
      <w:r w:rsidRPr="00306115">
        <w:rPr>
          <w:color w:val="000000" w:themeColor="text1"/>
          <w:szCs w:val="24"/>
          <w:lang w:val="en-US"/>
        </w:rPr>
        <w:t>t</w:t>
      </w:r>
      <w:r w:rsidR="0013782A" w:rsidRPr="00306115">
        <w:rPr>
          <w:color w:val="000000" w:themeColor="text1"/>
          <w:szCs w:val="24"/>
          <w:lang w:val="en-US"/>
        </w:rPr>
        <w:t xml:space="preserve">ren </w:t>
      </w:r>
      <w:r w:rsidRPr="00306115">
        <w:rPr>
          <w:color w:val="000000" w:themeColor="text1"/>
          <w:szCs w:val="24"/>
          <w:lang w:val="en-US"/>
        </w:rPr>
        <w:t>l</w:t>
      </w:r>
      <w:r w:rsidR="0013782A" w:rsidRPr="00306115">
        <w:rPr>
          <w:color w:val="000000" w:themeColor="text1"/>
          <w:szCs w:val="24"/>
          <w:lang w:val="en-US"/>
        </w:rPr>
        <w:t>aba/</w:t>
      </w:r>
      <w:r w:rsidRPr="00306115">
        <w:rPr>
          <w:color w:val="000000" w:themeColor="text1"/>
          <w:szCs w:val="24"/>
          <w:lang w:val="en-US"/>
        </w:rPr>
        <w:t>r</w:t>
      </w:r>
      <w:r w:rsidR="0013782A" w:rsidRPr="00306115">
        <w:rPr>
          <w:color w:val="000000" w:themeColor="text1"/>
          <w:szCs w:val="24"/>
          <w:lang w:val="en-US"/>
        </w:rPr>
        <w:t>ugi dalam 3 (tiga) tahun terakhir.</w:t>
      </w:r>
    </w:p>
    <w:p w14:paraId="438FDA91" w14:textId="77777777" w:rsidR="00B10219" w:rsidRPr="00306115" w:rsidRDefault="00F17C1B">
      <w:pPr>
        <w:pStyle w:val="ListParagraph"/>
        <w:numPr>
          <w:ilvl w:val="5"/>
          <w:numId w:val="18"/>
        </w:numPr>
        <w:autoSpaceDE w:val="0"/>
        <w:autoSpaceDN w:val="0"/>
        <w:adjustRightInd w:val="0"/>
        <w:spacing w:after="0" w:line="240" w:lineRule="auto"/>
        <w:ind w:left="1701" w:hanging="567"/>
        <w:rPr>
          <w:color w:val="000000" w:themeColor="text1"/>
          <w:szCs w:val="24"/>
        </w:rPr>
      </w:pPr>
      <w:r w:rsidRPr="00306115">
        <w:rPr>
          <w:color w:val="000000" w:themeColor="text1"/>
          <w:szCs w:val="24"/>
          <w:lang w:val="en-US"/>
        </w:rPr>
        <w:t>Penetapan peringkat faktor rentabilitas dilakukan berdasarkan analisis yang komprehensif dan terstruktur terhadap parameter atau indikator rentabilitas sebagaimana dimaksud pada huruf a, dengan memperhatikan</w:t>
      </w:r>
      <w:r w:rsidR="00B10219" w:rsidRPr="00306115">
        <w:rPr>
          <w:color w:val="000000" w:themeColor="text1"/>
          <w:szCs w:val="24"/>
          <w:lang w:val="en-US"/>
        </w:rPr>
        <w:t>:</w:t>
      </w:r>
    </w:p>
    <w:p w14:paraId="23D7726E" w14:textId="683CBF8C" w:rsidR="00B10219" w:rsidRPr="00306115" w:rsidRDefault="00F17C1B">
      <w:pPr>
        <w:pStyle w:val="ListParagraph"/>
        <w:numPr>
          <w:ilvl w:val="0"/>
          <w:numId w:val="31"/>
        </w:numPr>
        <w:autoSpaceDE w:val="0"/>
        <w:autoSpaceDN w:val="0"/>
        <w:adjustRightInd w:val="0"/>
        <w:spacing w:after="0" w:line="240" w:lineRule="auto"/>
        <w:ind w:left="2268" w:hanging="567"/>
        <w:rPr>
          <w:color w:val="000000" w:themeColor="text1"/>
          <w:szCs w:val="24"/>
        </w:rPr>
      </w:pPr>
      <w:r w:rsidRPr="00306115">
        <w:rPr>
          <w:color w:val="000000" w:themeColor="text1"/>
          <w:szCs w:val="24"/>
          <w:lang w:val="en-US"/>
        </w:rPr>
        <w:t>signifikansi masing-masing parameter atau indikator</w:t>
      </w:r>
      <w:r w:rsidR="00B10219" w:rsidRPr="00306115">
        <w:rPr>
          <w:color w:val="000000" w:themeColor="text1"/>
          <w:szCs w:val="24"/>
          <w:lang w:val="en-US"/>
        </w:rPr>
        <w:t>; dan</w:t>
      </w:r>
      <w:r w:rsidRPr="00306115">
        <w:rPr>
          <w:color w:val="000000" w:themeColor="text1"/>
          <w:szCs w:val="24"/>
          <w:lang w:val="en-US"/>
        </w:rPr>
        <w:t xml:space="preserve"> </w:t>
      </w:r>
    </w:p>
    <w:p w14:paraId="58193E16" w14:textId="7D8D397E" w:rsidR="0013782A" w:rsidRPr="00306115" w:rsidRDefault="00F17C1B">
      <w:pPr>
        <w:pStyle w:val="ListParagraph"/>
        <w:numPr>
          <w:ilvl w:val="0"/>
          <w:numId w:val="31"/>
        </w:numPr>
        <w:autoSpaceDE w:val="0"/>
        <w:autoSpaceDN w:val="0"/>
        <w:adjustRightInd w:val="0"/>
        <w:spacing w:after="0" w:line="240" w:lineRule="auto"/>
        <w:ind w:left="2268" w:hanging="567"/>
        <w:rPr>
          <w:color w:val="000000" w:themeColor="text1"/>
          <w:szCs w:val="24"/>
        </w:rPr>
      </w:pPr>
      <w:r w:rsidRPr="00306115">
        <w:rPr>
          <w:color w:val="000000" w:themeColor="text1"/>
          <w:szCs w:val="24"/>
          <w:lang w:val="en-US"/>
        </w:rPr>
        <w:t>permasalahan lain yang memengaruhi rentabilitas Manajer Investasi.</w:t>
      </w:r>
    </w:p>
    <w:p w14:paraId="6AF7026D" w14:textId="77777777" w:rsidR="00AD296C" w:rsidRPr="00306115" w:rsidRDefault="00AD296C">
      <w:pPr>
        <w:pStyle w:val="ListParagraph"/>
        <w:numPr>
          <w:ilvl w:val="5"/>
          <w:numId w:val="18"/>
        </w:numPr>
        <w:autoSpaceDE w:val="0"/>
        <w:autoSpaceDN w:val="0"/>
        <w:adjustRightInd w:val="0"/>
        <w:spacing w:after="0" w:line="240" w:lineRule="auto"/>
        <w:ind w:left="1701" w:hanging="567"/>
        <w:rPr>
          <w:color w:val="000000" w:themeColor="text1"/>
          <w:szCs w:val="24"/>
        </w:rPr>
      </w:pPr>
      <w:r w:rsidRPr="00306115">
        <w:rPr>
          <w:color w:val="000000" w:themeColor="text1"/>
          <w:szCs w:val="24"/>
          <w:lang w:val="en-US"/>
        </w:rPr>
        <w:t>Penetapan faktor rentabilitas dikategorikan dalam 5 (lima) Peringkat yaitu:</w:t>
      </w:r>
    </w:p>
    <w:p w14:paraId="3CC1BCFA" w14:textId="4931CEE6" w:rsidR="00AD296C" w:rsidRPr="00306115" w:rsidRDefault="00AD296C">
      <w:pPr>
        <w:pStyle w:val="ListParagraph"/>
        <w:numPr>
          <w:ilvl w:val="0"/>
          <w:numId w:val="30"/>
        </w:numPr>
        <w:autoSpaceDE w:val="0"/>
        <w:autoSpaceDN w:val="0"/>
        <w:adjustRightInd w:val="0"/>
        <w:spacing w:after="0" w:line="240" w:lineRule="auto"/>
        <w:ind w:left="2268" w:hanging="567"/>
        <w:rPr>
          <w:color w:val="000000" w:themeColor="text1"/>
          <w:szCs w:val="24"/>
        </w:rPr>
      </w:pPr>
      <w:r w:rsidRPr="00306115">
        <w:rPr>
          <w:color w:val="000000" w:themeColor="text1"/>
          <w:szCs w:val="24"/>
        </w:rPr>
        <w:t>peringkat 1;</w:t>
      </w:r>
    </w:p>
    <w:p w14:paraId="6F7B9EC1" w14:textId="77777777" w:rsidR="00AD296C" w:rsidRPr="00306115" w:rsidRDefault="00AD296C">
      <w:pPr>
        <w:pStyle w:val="ListParagraph"/>
        <w:numPr>
          <w:ilvl w:val="0"/>
          <w:numId w:val="30"/>
        </w:numPr>
        <w:autoSpaceDE w:val="0"/>
        <w:autoSpaceDN w:val="0"/>
        <w:adjustRightInd w:val="0"/>
        <w:spacing w:after="0" w:line="240" w:lineRule="auto"/>
        <w:ind w:left="2268" w:hanging="567"/>
        <w:rPr>
          <w:color w:val="000000" w:themeColor="text1"/>
          <w:szCs w:val="24"/>
        </w:rPr>
      </w:pPr>
      <w:r w:rsidRPr="00306115">
        <w:rPr>
          <w:color w:val="000000" w:themeColor="text1"/>
          <w:szCs w:val="24"/>
        </w:rPr>
        <w:t>peringkat 2;</w:t>
      </w:r>
    </w:p>
    <w:p w14:paraId="74864D71" w14:textId="77777777" w:rsidR="00AD296C" w:rsidRPr="00306115" w:rsidRDefault="00AD296C">
      <w:pPr>
        <w:pStyle w:val="ListParagraph"/>
        <w:numPr>
          <w:ilvl w:val="0"/>
          <w:numId w:val="30"/>
        </w:numPr>
        <w:autoSpaceDE w:val="0"/>
        <w:autoSpaceDN w:val="0"/>
        <w:adjustRightInd w:val="0"/>
        <w:spacing w:after="0" w:line="240" w:lineRule="auto"/>
        <w:ind w:left="2268" w:hanging="567"/>
        <w:rPr>
          <w:color w:val="000000" w:themeColor="text1"/>
          <w:szCs w:val="24"/>
        </w:rPr>
      </w:pPr>
      <w:r w:rsidRPr="00306115">
        <w:rPr>
          <w:color w:val="000000" w:themeColor="text1"/>
          <w:szCs w:val="24"/>
        </w:rPr>
        <w:t>peringkat 3;</w:t>
      </w:r>
    </w:p>
    <w:p w14:paraId="5F55E7A7" w14:textId="77777777" w:rsidR="00AD296C" w:rsidRPr="00306115" w:rsidRDefault="00AD296C">
      <w:pPr>
        <w:pStyle w:val="ListParagraph"/>
        <w:numPr>
          <w:ilvl w:val="0"/>
          <w:numId w:val="30"/>
        </w:numPr>
        <w:autoSpaceDE w:val="0"/>
        <w:autoSpaceDN w:val="0"/>
        <w:adjustRightInd w:val="0"/>
        <w:spacing w:after="0" w:line="240" w:lineRule="auto"/>
        <w:ind w:left="2268" w:hanging="567"/>
        <w:rPr>
          <w:color w:val="000000" w:themeColor="text1"/>
          <w:szCs w:val="24"/>
        </w:rPr>
      </w:pPr>
      <w:r w:rsidRPr="00306115">
        <w:rPr>
          <w:color w:val="000000" w:themeColor="text1"/>
          <w:szCs w:val="24"/>
        </w:rPr>
        <w:t>peringkat 4; dan</w:t>
      </w:r>
    </w:p>
    <w:p w14:paraId="650224E4" w14:textId="557BC239" w:rsidR="00AD296C" w:rsidRPr="00306115" w:rsidRDefault="00AD296C">
      <w:pPr>
        <w:pStyle w:val="ListParagraph"/>
        <w:numPr>
          <w:ilvl w:val="0"/>
          <w:numId w:val="30"/>
        </w:numPr>
        <w:autoSpaceDE w:val="0"/>
        <w:autoSpaceDN w:val="0"/>
        <w:adjustRightInd w:val="0"/>
        <w:spacing w:after="0" w:line="240" w:lineRule="auto"/>
        <w:ind w:left="2268" w:hanging="567"/>
        <w:rPr>
          <w:color w:val="000000" w:themeColor="text1"/>
          <w:szCs w:val="24"/>
        </w:rPr>
      </w:pPr>
      <w:r w:rsidRPr="00306115">
        <w:rPr>
          <w:color w:val="000000" w:themeColor="text1"/>
          <w:szCs w:val="24"/>
        </w:rPr>
        <w:t>peringkat 5.</w:t>
      </w:r>
    </w:p>
    <w:p w14:paraId="70687365" w14:textId="19FACD0C" w:rsidR="00B21515" w:rsidRPr="00306115" w:rsidRDefault="00B21515" w:rsidP="00B21515">
      <w:pPr>
        <w:autoSpaceDE w:val="0"/>
        <w:autoSpaceDN w:val="0"/>
        <w:adjustRightInd w:val="0"/>
        <w:spacing w:after="0" w:line="240" w:lineRule="auto"/>
        <w:ind w:left="1701"/>
        <w:rPr>
          <w:color w:val="000000" w:themeColor="text1"/>
          <w:szCs w:val="24"/>
        </w:rPr>
      </w:pPr>
      <w:r w:rsidRPr="00306115">
        <w:rPr>
          <w:color w:val="000000" w:themeColor="text1"/>
          <w:szCs w:val="24"/>
          <w:lang w:val="en-US"/>
        </w:rPr>
        <w:t xml:space="preserve">Urutan </w:t>
      </w:r>
      <w:r w:rsidR="00196CC4" w:rsidRPr="00306115">
        <w:rPr>
          <w:color w:val="000000" w:themeColor="text1"/>
          <w:szCs w:val="24"/>
          <w:lang w:val="en-US"/>
        </w:rPr>
        <w:t>p</w:t>
      </w:r>
      <w:r w:rsidRPr="00306115">
        <w:rPr>
          <w:color w:val="000000" w:themeColor="text1"/>
          <w:szCs w:val="24"/>
          <w:lang w:val="en-US"/>
        </w:rPr>
        <w:t>eringkat faktor rentabilitas yang lebih kecil mencerminkan kondisi rentabilitas yang lebih baik.</w:t>
      </w:r>
    </w:p>
    <w:p w14:paraId="3A4651CB" w14:textId="021C86C4" w:rsidR="002E0E89" w:rsidRPr="00306115" w:rsidRDefault="00452C72">
      <w:pPr>
        <w:numPr>
          <w:ilvl w:val="0"/>
          <w:numId w:val="9"/>
        </w:numPr>
        <w:autoSpaceDE w:val="0"/>
        <w:autoSpaceDN w:val="0"/>
        <w:adjustRightInd w:val="0"/>
        <w:spacing w:after="0" w:line="240" w:lineRule="auto"/>
        <w:ind w:left="1134" w:hanging="490"/>
        <w:rPr>
          <w:color w:val="000000" w:themeColor="text1"/>
        </w:rPr>
      </w:pPr>
      <w:r w:rsidRPr="00306115">
        <w:rPr>
          <w:color w:val="000000" w:themeColor="text1"/>
        </w:rPr>
        <w:t>Penilaian Faktor Permodalan</w:t>
      </w:r>
    </w:p>
    <w:p w14:paraId="1E6D9017" w14:textId="3C16BE3A" w:rsidR="0076656D" w:rsidRPr="00306115" w:rsidRDefault="00FD7261">
      <w:pPr>
        <w:pStyle w:val="ListParagraph"/>
        <w:numPr>
          <w:ilvl w:val="0"/>
          <w:numId w:val="32"/>
        </w:numPr>
        <w:autoSpaceDE w:val="0"/>
        <w:autoSpaceDN w:val="0"/>
        <w:adjustRightInd w:val="0"/>
        <w:spacing w:after="0" w:line="240" w:lineRule="auto"/>
        <w:ind w:left="1701" w:hanging="567"/>
        <w:rPr>
          <w:color w:val="000000" w:themeColor="text1"/>
          <w:szCs w:val="24"/>
        </w:rPr>
      </w:pPr>
      <w:r w:rsidRPr="00306115">
        <w:rPr>
          <w:color w:val="000000" w:themeColor="text1"/>
          <w:szCs w:val="24"/>
          <w:lang w:val="en-US"/>
        </w:rPr>
        <w:t xml:space="preserve">Penilaian faktor permodalan meliputi evaluasi terhadap kecukupan permodalan yang mengacu pada </w:t>
      </w:r>
      <w:r w:rsidR="008E1D2E" w:rsidRPr="00306115">
        <w:rPr>
          <w:color w:val="000000" w:themeColor="text1"/>
          <w:szCs w:val="24"/>
          <w:lang w:val="en-US"/>
        </w:rPr>
        <w:t xml:space="preserve">Peraturan Otoritas Jasa Keuangan </w:t>
      </w:r>
      <w:r w:rsidRPr="00306115">
        <w:rPr>
          <w:color w:val="000000" w:themeColor="text1"/>
          <w:szCs w:val="24"/>
          <w:lang w:val="en-US"/>
        </w:rPr>
        <w:t xml:space="preserve">mengenai </w:t>
      </w:r>
      <w:r w:rsidR="009C399D" w:rsidRPr="00306115">
        <w:rPr>
          <w:color w:val="000000" w:themeColor="text1"/>
          <w:szCs w:val="24"/>
          <w:lang w:val="en-US"/>
        </w:rPr>
        <w:t>p</w:t>
      </w:r>
      <w:r w:rsidRPr="00306115">
        <w:rPr>
          <w:color w:val="000000" w:themeColor="text1"/>
          <w:szCs w:val="24"/>
          <w:lang w:val="en-US"/>
        </w:rPr>
        <w:t xml:space="preserve">emeliharaan dan </w:t>
      </w:r>
      <w:r w:rsidR="005D25B0" w:rsidRPr="00306115">
        <w:rPr>
          <w:color w:val="000000" w:themeColor="text1"/>
          <w:szCs w:val="24"/>
          <w:lang w:val="en-US"/>
        </w:rPr>
        <w:t>p</w:t>
      </w:r>
      <w:r w:rsidRPr="00306115">
        <w:rPr>
          <w:color w:val="000000" w:themeColor="text1"/>
          <w:szCs w:val="24"/>
          <w:lang w:val="en-US"/>
        </w:rPr>
        <w:t xml:space="preserve">elaporan </w:t>
      </w:r>
      <w:r w:rsidR="005D25B0" w:rsidRPr="00306115">
        <w:rPr>
          <w:color w:val="000000" w:themeColor="text1"/>
          <w:szCs w:val="24"/>
          <w:lang w:val="en-US"/>
        </w:rPr>
        <w:t>modal kerja bersih disesuaikan</w:t>
      </w:r>
      <w:r w:rsidRPr="00306115">
        <w:rPr>
          <w:color w:val="000000" w:themeColor="text1"/>
          <w:szCs w:val="24"/>
          <w:lang w:val="en-US"/>
        </w:rPr>
        <w:t xml:space="preserve">. Dalam melakukan perhitungan permodalan, termasuk mengaitkan kecukupan modal dengan profil risiko, Manajer Investasi mengacu pada </w:t>
      </w:r>
      <w:r w:rsidR="006F4108" w:rsidRPr="00306115">
        <w:rPr>
          <w:color w:val="000000" w:themeColor="text1"/>
          <w:szCs w:val="24"/>
          <w:lang w:val="en-US"/>
        </w:rPr>
        <w:t xml:space="preserve">Peraturan Otoritas Jasa Keuangan </w:t>
      </w:r>
      <w:r w:rsidRPr="00306115">
        <w:rPr>
          <w:color w:val="000000" w:themeColor="text1"/>
          <w:szCs w:val="24"/>
          <w:lang w:val="en-US"/>
        </w:rPr>
        <w:t>mengenai</w:t>
      </w:r>
      <w:r w:rsidR="006F4108" w:rsidRPr="00306115">
        <w:rPr>
          <w:color w:val="000000" w:themeColor="text1"/>
          <w:szCs w:val="24"/>
          <w:lang w:val="en-US"/>
        </w:rPr>
        <w:t xml:space="preserve"> penyelenggaraan kegiatan usaha</w:t>
      </w:r>
      <w:r w:rsidRPr="00306115">
        <w:rPr>
          <w:color w:val="000000" w:themeColor="text1"/>
          <w:szCs w:val="24"/>
          <w:lang w:val="en-US"/>
        </w:rPr>
        <w:t xml:space="preserve"> Manajer Investasi. Semakin tinggi risiko </w:t>
      </w:r>
      <w:r w:rsidRPr="00306115">
        <w:rPr>
          <w:color w:val="000000" w:themeColor="text1"/>
          <w:szCs w:val="24"/>
          <w:lang w:val="en-US"/>
        </w:rPr>
        <w:lastRenderedPageBreak/>
        <w:t>Manajer Investasi, semakin besar modal yang harus disediakan untuk mengantisipasi risiko tersebut.</w:t>
      </w:r>
    </w:p>
    <w:p w14:paraId="1F2285E3" w14:textId="46BE2B2B" w:rsidR="00362E2E" w:rsidRPr="00306115" w:rsidRDefault="00362E2E">
      <w:pPr>
        <w:pStyle w:val="ListParagraph"/>
        <w:numPr>
          <w:ilvl w:val="0"/>
          <w:numId w:val="32"/>
        </w:numPr>
        <w:autoSpaceDE w:val="0"/>
        <w:autoSpaceDN w:val="0"/>
        <w:adjustRightInd w:val="0"/>
        <w:spacing w:after="0" w:line="240" w:lineRule="auto"/>
        <w:ind w:left="1701" w:hanging="567"/>
        <w:rPr>
          <w:color w:val="000000" w:themeColor="text1"/>
          <w:szCs w:val="24"/>
        </w:rPr>
      </w:pPr>
      <w:r w:rsidRPr="00306115">
        <w:rPr>
          <w:color w:val="000000" w:themeColor="text1"/>
          <w:szCs w:val="24"/>
          <w:lang w:val="en-US"/>
        </w:rPr>
        <w:t>Dalam melakukan penilaian terharap kecukupan permodalan, Manajer Investasi perlu mempertimbangkan tingkat, tren, dan stabilitas permodalan.</w:t>
      </w:r>
      <w:r w:rsidR="002303D7" w:rsidRPr="00306115">
        <w:rPr>
          <w:color w:val="000000" w:themeColor="text1"/>
          <w:szCs w:val="24"/>
          <w:lang w:val="en-US"/>
        </w:rPr>
        <w:t xml:space="preserve"> </w:t>
      </w:r>
      <w:r w:rsidR="000A36B9" w:rsidRPr="00306115">
        <w:rPr>
          <w:color w:val="000000" w:themeColor="text1"/>
          <w:szCs w:val="24"/>
          <w:lang w:val="en-US"/>
        </w:rPr>
        <w:t>Parameter atau indikator permodalan yang digunakan meliputi:</w:t>
      </w:r>
    </w:p>
    <w:p w14:paraId="317CBB6D" w14:textId="6452D3A6" w:rsidR="000A36B9" w:rsidRPr="00306115" w:rsidRDefault="0048666B">
      <w:pPr>
        <w:pStyle w:val="ListParagraph"/>
        <w:numPr>
          <w:ilvl w:val="0"/>
          <w:numId w:val="33"/>
        </w:numPr>
        <w:autoSpaceDE w:val="0"/>
        <w:autoSpaceDN w:val="0"/>
        <w:adjustRightInd w:val="0"/>
        <w:spacing w:after="0" w:line="240" w:lineRule="auto"/>
        <w:ind w:left="2268" w:hanging="567"/>
        <w:rPr>
          <w:color w:val="000000" w:themeColor="text1"/>
          <w:szCs w:val="24"/>
        </w:rPr>
      </w:pPr>
      <w:r w:rsidRPr="00306115">
        <w:rPr>
          <w:color w:val="000000" w:themeColor="text1"/>
          <w:szCs w:val="24"/>
          <w:lang w:val="en-US"/>
        </w:rPr>
        <w:t>k</w:t>
      </w:r>
      <w:r w:rsidR="00294017" w:rsidRPr="00306115">
        <w:rPr>
          <w:color w:val="000000" w:themeColor="text1"/>
          <w:szCs w:val="24"/>
          <w:lang w:val="en-US"/>
        </w:rPr>
        <w:t>ecukupan MKBD; dan</w:t>
      </w:r>
    </w:p>
    <w:p w14:paraId="23F199CE" w14:textId="6C1CF87C" w:rsidR="00294017" w:rsidRPr="00306115" w:rsidRDefault="0048666B">
      <w:pPr>
        <w:pStyle w:val="ListParagraph"/>
        <w:numPr>
          <w:ilvl w:val="0"/>
          <w:numId w:val="33"/>
        </w:numPr>
        <w:autoSpaceDE w:val="0"/>
        <w:autoSpaceDN w:val="0"/>
        <w:adjustRightInd w:val="0"/>
        <w:spacing w:after="0" w:line="240" w:lineRule="auto"/>
        <w:ind w:left="2268" w:hanging="567"/>
        <w:rPr>
          <w:color w:val="000000" w:themeColor="text1"/>
          <w:szCs w:val="24"/>
        </w:rPr>
      </w:pPr>
      <w:r w:rsidRPr="00306115">
        <w:rPr>
          <w:color w:val="000000" w:themeColor="text1"/>
          <w:szCs w:val="24"/>
          <w:lang w:val="en-US"/>
        </w:rPr>
        <w:t>r</w:t>
      </w:r>
      <w:r w:rsidR="006E6291" w:rsidRPr="00306115">
        <w:rPr>
          <w:color w:val="000000" w:themeColor="text1"/>
          <w:szCs w:val="24"/>
          <w:lang w:val="en-US"/>
        </w:rPr>
        <w:t>ata-rata rasio kecukupan permodalan Manajer Investasi.</w:t>
      </w:r>
    </w:p>
    <w:p w14:paraId="6B906B2D" w14:textId="77777777" w:rsidR="002303D7" w:rsidRPr="00306115" w:rsidRDefault="00CD1309">
      <w:pPr>
        <w:pStyle w:val="ListParagraph"/>
        <w:numPr>
          <w:ilvl w:val="0"/>
          <w:numId w:val="32"/>
        </w:numPr>
        <w:autoSpaceDE w:val="0"/>
        <w:autoSpaceDN w:val="0"/>
        <w:adjustRightInd w:val="0"/>
        <w:spacing w:after="0" w:line="240" w:lineRule="auto"/>
        <w:ind w:left="1701" w:hanging="567"/>
        <w:rPr>
          <w:color w:val="000000" w:themeColor="text1"/>
          <w:szCs w:val="24"/>
        </w:rPr>
      </w:pPr>
      <w:r w:rsidRPr="00306115">
        <w:rPr>
          <w:color w:val="000000" w:themeColor="text1"/>
          <w:szCs w:val="24"/>
          <w:lang w:val="en-US"/>
        </w:rPr>
        <w:t xml:space="preserve">Faktor permodalan ditetapkan berdasarkan analisis yang komprehensif dan terstruktur terhadap parameter atau indikator permodalan sebagaimana dimaksud pada huruf </w:t>
      </w:r>
      <w:r w:rsidR="002303D7" w:rsidRPr="00306115">
        <w:rPr>
          <w:color w:val="000000" w:themeColor="text1"/>
          <w:szCs w:val="24"/>
          <w:lang w:val="en-US"/>
        </w:rPr>
        <w:t>b</w:t>
      </w:r>
      <w:r w:rsidRPr="00306115">
        <w:rPr>
          <w:color w:val="000000" w:themeColor="text1"/>
          <w:szCs w:val="24"/>
          <w:lang w:val="en-US"/>
        </w:rPr>
        <w:t>, dengan memperhatikan</w:t>
      </w:r>
      <w:r w:rsidR="002303D7" w:rsidRPr="00306115">
        <w:rPr>
          <w:color w:val="000000" w:themeColor="text1"/>
          <w:szCs w:val="24"/>
          <w:lang w:val="en-US"/>
        </w:rPr>
        <w:t>:</w:t>
      </w:r>
    </w:p>
    <w:p w14:paraId="5FA27BD9" w14:textId="5C1F0928" w:rsidR="00346AD6" w:rsidRPr="00306115" w:rsidRDefault="00CD1309">
      <w:pPr>
        <w:pStyle w:val="ListParagraph"/>
        <w:numPr>
          <w:ilvl w:val="0"/>
          <w:numId w:val="35"/>
        </w:numPr>
        <w:autoSpaceDE w:val="0"/>
        <w:autoSpaceDN w:val="0"/>
        <w:adjustRightInd w:val="0"/>
        <w:spacing w:after="0" w:line="240" w:lineRule="auto"/>
        <w:ind w:left="2268" w:hanging="567"/>
        <w:rPr>
          <w:color w:val="000000" w:themeColor="text1"/>
          <w:szCs w:val="24"/>
        </w:rPr>
      </w:pPr>
      <w:r w:rsidRPr="00306115">
        <w:rPr>
          <w:color w:val="000000" w:themeColor="text1"/>
          <w:szCs w:val="24"/>
          <w:lang w:val="en-US"/>
        </w:rPr>
        <w:t>signifikansi masing-masing parameter atau indikator</w:t>
      </w:r>
      <w:r w:rsidR="00346AD6" w:rsidRPr="00306115">
        <w:rPr>
          <w:color w:val="000000" w:themeColor="text1"/>
          <w:szCs w:val="24"/>
          <w:lang w:val="en-US"/>
        </w:rPr>
        <w:t>; dan</w:t>
      </w:r>
    </w:p>
    <w:p w14:paraId="0B2156BD" w14:textId="2DAF1B33" w:rsidR="00346AD6" w:rsidRPr="00306115" w:rsidRDefault="00CD1309">
      <w:pPr>
        <w:pStyle w:val="ListParagraph"/>
        <w:numPr>
          <w:ilvl w:val="0"/>
          <w:numId w:val="35"/>
        </w:numPr>
        <w:autoSpaceDE w:val="0"/>
        <w:autoSpaceDN w:val="0"/>
        <w:adjustRightInd w:val="0"/>
        <w:spacing w:after="0" w:line="240" w:lineRule="auto"/>
        <w:ind w:left="2268" w:hanging="567"/>
        <w:rPr>
          <w:color w:val="000000" w:themeColor="text1"/>
          <w:szCs w:val="24"/>
        </w:rPr>
      </w:pPr>
      <w:r w:rsidRPr="00306115">
        <w:rPr>
          <w:color w:val="000000" w:themeColor="text1"/>
          <w:szCs w:val="24"/>
          <w:lang w:val="en-US"/>
        </w:rPr>
        <w:t>permasalahan lain yang memengaruhi permodalan Manajer Investasi.</w:t>
      </w:r>
    </w:p>
    <w:p w14:paraId="21ED368D" w14:textId="2B2CDB16" w:rsidR="00CD1309" w:rsidRPr="00306115" w:rsidRDefault="00A2354A">
      <w:pPr>
        <w:pStyle w:val="ListParagraph"/>
        <w:numPr>
          <w:ilvl w:val="0"/>
          <w:numId w:val="32"/>
        </w:numPr>
        <w:autoSpaceDE w:val="0"/>
        <w:autoSpaceDN w:val="0"/>
        <w:adjustRightInd w:val="0"/>
        <w:spacing w:after="0" w:line="240" w:lineRule="auto"/>
        <w:ind w:left="1701" w:hanging="567"/>
        <w:rPr>
          <w:color w:val="000000" w:themeColor="text1"/>
          <w:szCs w:val="24"/>
        </w:rPr>
      </w:pPr>
      <w:r w:rsidRPr="00306115">
        <w:rPr>
          <w:color w:val="000000" w:themeColor="text1"/>
          <w:szCs w:val="24"/>
          <w:lang w:val="en-US"/>
        </w:rPr>
        <w:t>Penetapan faktor permodalan dikategorikan dalam 5 (lima) Peringkat yaitu:</w:t>
      </w:r>
    </w:p>
    <w:p w14:paraId="3CC2D452" w14:textId="5E0303C5" w:rsidR="00A2354A" w:rsidRPr="00306115" w:rsidRDefault="00A2354A">
      <w:pPr>
        <w:pStyle w:val="ListParagraph"/>
        <w:numPr>
          <w:ilvl w:val="0"/>
          <w:numId w:val="34"/>
        </w:numPr>
        <w:autoSpaceDE w:val="0"/>
        <w:autoSpaceDN w:val="0"/>
        <w:adjustRightInd w:val="0"/>
        <w:spacing w:after="0" w:line="240" w:lineRule="auto"/>
        <w:ind w:left="2268" w:hanging="567"/>
        <w:rPr>
          <w:color w:val="000000" w:themeColor="text1"/>
          <w:szCs w:val="24"/>
        </w:rPr>
      </w:pPr>
      <w:r w:rsidRPr="00306115">
        <w:rPr>
          <w:color w:val="000000" w:themeColor="text1"/>
          <w:szCs w:val="24"/>
          <w:lang w:val="en-US"/>
        </w:rPr>
        <w:t>peringkat 1;</w:t>
      </w:r>
    </w:p>
    <w:p w14:paraId="76090532" w14:textId="54D5752C" w:rsidR="00A2354A" w:rsidRPr="00306115" w:rsidRDefault="00A2354A">
      <w:pPr>
        <w:pStyle w:val="ListParagraph"/>
        <w:numPr>
          <w:ilvl w:val="0"/>
          <w:numId w:val="34"/>
        </w:numPr>
        <w:autoSpaceDE w:val="0"/>
        <w:autoSpaceDN w:val="0"/>
        <w:adjustRightInd w:val="0"/>
        <w:spacing w:after="0" w:line="240" w:lineRule="auto"/>
        <w:ind w:left="2268" w:hanging="567"/>
        <w:rPr>
          <w:color w:val="000000" w:themeColor="text1"/>
          <w:szCs w:val="24"/>
        </w:rPr>
      </w:pPr>
      <w:r w:rsidRPr="00306115">
        <w:rPr>
          <w:color w:val="000000" w:themeColor="text1"/>
          <w:szCs w:val="24"/>
          <w:lang w:val="en-US"/>
        </w:rPr>
        <w:t>peringkat 2;</w:t>
      </w:r>
    </w:p>
    <w:p w14:paraId="5404A2EA" w14:textId="57930469" w:rsidR="00A2354A" w:rsidRPr="00306115" w:rsidRDefault="00A2354A">
      <w:pPr>
        <w:pStyle w:val="ListParagraph"/>
        <w:numPr>
          <w:ilvl w:val="0"/>
          <w:numId w:val="34"/>
        </w:numPr>
        <w:autoSpaceDE w:val="0"/>
        <w:autoSpaceDN w:val="0"/>
        <w:adjustRightInd w:val="0"/>
        <w:spacing w:after="0" w:line="240" w:lineRule="auto"/>
        <w:ind w:left="2268" w:hanging="567"/>
        <w:rPr>
          <w:color w:val="000000" w:themeColor="text1"/>
          <w:szCs w:val="24"/>
        </w:rPr>
      </w:pPr>
      <w:r w:rsidRPr="00306115">
        <w:rPr>
          <w:color w:val="000000" w:themeColor="text1"/>
          <w:szCs w:val="24"/>
          <w:lang w:val="en-US"/>
        </w:rPr>
        <w:t>peringkat 3;</w:t>
      </w:r>
    </w:p>
    <w:p w14:paraId="7B3758AA" w14:textId="5FE825EB" w:rsidR="00A2354A" w:rsidRPr="00306115" w:rsidRDefault="00A2354A">
      <w:pPr>
        <w:pStyle w:val="ListParagraph"/>
        <w:numPr>
          <w:ilvl w:val="0"/>
          <w:numId w:val="34"/>
        </w:numPr>
        <w:autoSpaceDE w:val="0"/>
        <w:autoSpaceDN w:val="0"/>
        <w:adjustRightInd w:val="0"/>
        <w:spacing w:after="0" w:line="240" w:lineRule="auto"/>
        <w:ind w:left="2268" w:hanging="567"/>
        <w:rPr>
          <w:color w:val="000000" w:themeColor="text1"/>
          <w:szCs w:val="24"/>
        </w:rPr>
      </w:pPr>
      <w:r w:rsidRPr="00306115">
        <w:rPr>
          <w:color w:val="000000" w:themeColor="text1"/>
          <w:szCs w:val="24"/>
          <w:lang w:val="en-US"/>
        </w:rPr>
        <w:t>peringkat 4; dan</w:t>
      </w:r>
    </w:p>
    <w:p w14:paraId="4DC3B586" w14:textId="1CC2EE88" w:rsidR="00A2354A" w:rsidRPr="00306115" w:rsidRDefault="00A2354A">
      <w:pPr>
        <w:pStyle w:val="ListParagraph"/>
        <w:numPr>
          <w:ilvl w:val="0"/>
          <w:numId w:val="34"/>
        </w:numPr>
        <w:autoSpaceDE w:val="0"/>
        <w:autoSpaceDN w:val="0"/>
        <w:adjustRightInd w:val="0"/>
        <w:spacing w:after="0" w:line="240" w:lineRule="auto"/>
        <w:ind w:left="2268" w:hanging="567"/>
        <w:rPr>
          <w:color w:val="000000" w:themeColor="text1"/>
          <w:szCs w:val="24"/>
        </w:rPr>
      </w:pPr>
      <w:r w:rsidRPr="00306115">
        <w:rPr>
          <w:color w:val="000000" w:themeColor="text1"/>
          <w:szCs w:val="24"/>
          <w:lang w:val="en-US"/>
        </w:rPr>
        <w:t>peringkat 5.</w:t>
      </w:r>
    </w:p>
    <w:p w14:paraId="50E9A815" w14:textId="2AC24B94" w:rsidR="00787EA9" w:rsidRPr="00306115" w:rsidRDefault="00787EA9" w:rsidP="00787EA9">
      <w:pPr>
        <w:autoSpaceDE w:val="0"/>
        <w:autoSpaceDN w:val="0"/>
        <w:adjustRightInd w:val="0"/>
        <w:spacing w:after="0" w:line="240" w:lineRule="auto"/>
        <w:ind w:left="1701"/>
        <w:rPr>
          <w:color w:val="000000" w:themeColor="text1"/>
          <w:szCs w:val="24"/>
        </w:rPr>
      </w:pPr>
      <w:r w:rsidRPr="00306115">
        <w:rPr>
          <w:color w:val="000000" w:themeColor="text1"/>
          <w:szCs w:val="24"/>
          <w:lang w:val="en-US"/>
        </w:rPr>
        <w:t xml:space="preserve">Urutan </w:t>
      </w:r>
      <w:r w:rsidR="00346AD6" w:rsidRPr="00306115">
        <w:rPr>
          <w:color w:val="000000" w:themeColor="text1"/>
          <w:szCs w:val="24"/>
          <w:lang w:val="en-US"/>
        </w:rPr>
        <w:t>p</w:t>
      </w:r>
      <w:r w:rsidRPr="00306115">
        <w:rPr>
          <w:color w:val="000000" w:themeColor="text1"/>
          <w:szCs w:val="24"/>
          <w:lang w:val="en-US"/>
        </w:rPr>
        <w:t>eringkat faktor permodalan yang lebih kecil mencerminkan kondisi permodalan yang lebih baik.</w:t>
      </w:r>
    </w:p>
    <w:p w14:paraId="67C25827" w14:textId="2C8CF99C" w:rsidR="00452C72" w:rsidRPr="00306115" w:rsidRDefault="00D96C5E">
      <w:pPr>
        <w:numPr>
          <w:ilvl w:val="0"/>
          <w:numId w:val="9"/>
        </w:numPr>
        <w:autoSpaceDE w:val="0"/>
        <w:autoSpaceDN w:val="0"/>
        <w:adjustRightInd w:val="0"/>
        <w:spacing w:after="0" w:line="240" w:lineRule="auto"/>
        <w:ind w:left="1134" w:hanging="490"/>
        <w:rPr>
          <w:color w:val="000000" w:themeColor="text1"/>
          <w:szCs w:val="24"/>
        </w:rPr>
      </w:pPr>
      <w:r w:rsidRPr="00306115">
        <w:rPr>
          <w:color w:val="000000" w:themeColor="text1"/>
          <w:szCs w:val="24"/>
        </w:rPr>
        <w:t>Penilaian Peringkat Komposit Tingkat Kesehatan Manajer Investasi</w:t>
      </w:r>
    </w:p>
    <w:p w14:paraId="29C6B02A" w14:textId="5BFDD028" w:rsidR="00D96C5E" w:rsidRPr="00306115" w:rsidRDefault="005A7934">
      <w:pPr>
        <w:pStyle w:val="ListParagraph"/>
        <w:numPr>
          <w:ilvl w:val="0"/>
          <w:numId w:val="36"/>
        </w:numPr>
        <w:autoSpaceDE w:val="0"/>
        <w:autoSpaceDN w:val="0"/>
        <w:adjustRightInd w:val="0"/>
        <w:spacing w:after="0" w:line="240" w:lineRule="auto"/>
        <w:ind w:left="1701" w:hanging="567"/>
        <w:rPr>
          <w:color w:val="000000" w:themeColor="text1"/>
          <w:szCs w:val="24"/>
        </w:rPr>
      </w:pPr>
      <w:r w:rsidRPr="00306115">
        <w:rPr>
          <w:color w:val="000000" w:themeColor="text1"/>
          <w:szCs w:val="24"/>
          <w:lang w:val="en-US"/>
        </w:rPr>
        <w:t>Peringkat Komposit Tingkat Kesehatan Manajer Investasi ditetapkan berdasarkan analisis secara komprehensif dan terstruktur terhadap peringkat setiap faktor, dengan memperhatikan prinsip umum penilaian Tingkat Kesehatan Manajer Investasi. Dalam melakukan analisis secara komprehensif, Manajer Investasi perlu mempertimbangkan kemampuan dalam menghadapi perubahan kondisi eksternal yang signifikan.</w:t>
      </w:r>
    </w:p>
    <w:p w14:paraId="0E7F00C6" w14:textId="566532DD" w:rsidR="005A7934" w:rsidRPr="00306115" w:rsidRDefault="008F02C3">
      <w:pPr>
        <w:pStyle w:val="ListParagraph"/>
        <w:numPr>
          <w:ilvl w:val="0"/>
          <w:numId w:val="36"/>
        </w:numPr>
        <w:autoSpaceDE w:val="0"/>
        <w:autoSpaceDN w:val="0"/>
        <w:adjustRightInd w:val="0"/>
        <w:spacing w:after="0" w:line="240" w:lineRule="auto"/>
        <w:ind w:left="1701" w:hanging="567"/>
        <w:rPr>
          <w:color w:val="000000" w:themeColor="text1"/>
          <w:szCs w:val="24"/>
        </w:rPr>
      </w:pPr>
      <w:r w:rsidRPr="00306115">
        <w:rPr>
          <w:color w:val="000000" w:themeColor="text1"/>
          <w:szCs w:val="24"/>
          <w:lang w:val="en-US"/>
        </w:rPr>
        <w:t>Penetapan Peringkat Komposit dikategorikan dalam 5 (lima) Peringkat Komposit yakni:</w:t>
      </w:r>
    </w:p>
    <w:p w14:paraId="2A17D316" w14:textId="6B630915" w:rsidR="008F02C3" w:rsidRPr="00306115" w:rsidRDefault="00A346FB">
      <w:pPr>
        <w:pStyle w:val="ListParagraph"/>
        <w:numPr>
          <w:ilvl w:val="0"/>
          <w:numId w:val="37"/>
        </w:numPr>
        <w:autoSpaceDE w:val="0"/>
        <w:autoSpaceDN w:val="0"/>
        <w:adjustRightInd w:val="0"/>
        <w:spacing w:after="0" w:line="240" w:lineRule="auto"/>
        <w:ind w:left="2268" w:hanging="567"/>
        <w:rPr>
          <w:color w:val="000000" w:themeColor="text1"/>
          <w:szCs w:val="24"/>
        </w:rPr>
      </w:pPr>
      <w:r w:rsidRPr="00306115">
        <w:rPr>
          <w:color w:val="000000" w:themeColor="text1"/>
          <w:szCs w:val="24"/>
          <w:lang w:val="en-US"/>
        </w:rPr>
        <w:t>Peringkat Komposit 1;</w:t>
      </w:r>
    </w:p>
    <w:p w14:paraId="7BBF3033" w14:textId="12E3F143" w:rsidR="00A346FB" w:rsidRPr="00306115" w:rsidRDefault="00A346FB">
      <w:pPr>
        <w:pStyle w:val="ListParagraph"/>
        <w:numPr>
          <w:ilvl w:val="0"/>
          <w:numId w:val="37"/>
        </w:numPr>
        <w:autoSpaceDE w:val="0"/>
        <w:autoSpaceDN w:val="0"/>
        <w:adjustRightInd w:val="0"/>
        <w:spacing w:after="0" w:line="240" w:lineRule="auto"/>
        <w:ind w:left="2268" w:hanging="567"/>
        <w:rPr>
          <w:color w:val="000000" w:themeColor="text1"/>
          <w:szCs w:val="24"/>
        </w:rPr>
      </w:pPr>
      <w:r w:rsidRPr="00306115">
        <w:rPr>
          <w:color w:val="000000" w:themeColor="text1"/>
          <w:szCs w:val="24"/>
          <w:lang w:val="en-US"/>
        </w:rPr>
        <w:t xml:space="preserve">Peringkat Komposit </w:t>
      </w:r>
      <w:r w:rsidR="00403328" w:rsidRPr="00306115">
        <w:rPr>
          <w:color w:val="000000" w:themeColor="text1"/>
          <w:szCs w:val="24"/>
          <w:lang w:val="en-US"/>
        </w:rPr>
        <w:t>2</w:t>
      </w:r>
      <w:r w:rsidRPr="00306115">
        <w:rPr>
          <w:color w:val="000000" w:themeColor="text1"/>
          <w:szCs w:val="24"/>
          <w:lang w:val="en-US"/>
        </w:rPr>
        <w:t>;</w:t>
      </w:r>
    </w:p>
    <w:p w14:paraId="3205592B" w14:textId="3C44C7B6" w:rsidR="00A346FB" w:rsidRPr="00306115" w:rsidRDefault="00A346FB">
      <w:pPr>
        <w:pStyle w:val="ListParagraph"/>
        <w:numPr>
          <w:ilvl w:val="0"/>
          <w:numId w:val="37"/>
        </w:numPr>
        <w:autoSpaceDE w:val="0"/>
        <w:autoSpaceDN w:val="0"/>
        <w:adjustRightInd w:val="0"/>
        <w:spacing w:after="0" w:line="240" w:lineRule="auto"/>
        <w:ind w:left="2268" w:hanging="567"/>
        <w:rPr>
          <w:color w:val="000000" w:themeColor="text1"/>
          <w:szCs w:val="24"/>
        </w:rPr>
      </w:pPr>
      <w:r w:rsidRPr="00306115">
        <w:rPr>
          <w:color w:val="000000" w:themeColor="text1"/>
          <w:szCs w:val="24"/>
          <w:lang w:val="en-US"/>
        </w:rPr>
        <w:t xml:space="preserve">Peringkat Komposit </w:t>
      </w:r>
      <w:r w:rsidR="00403328" w:rsidRPr="00306115">
        <w:rPr>
          <w:color w:val="000000" w:themeColor="text1"/>
          <w:szCs w:val="24"/>
          <w:lang w:val="en-US"/>
        </w:rPr>
        <w:t>3</w:t>
      </w:r>
      <w:r w:rsidRPr="00306115">
        <w:rPr>
          <w:color w:val="000000" w:themeColor="text1"/>
          <w:szCs w:val="24"/>
          <w:lang w:val="en-US"/>
        </w:rPr>
        <w:t>;</w:t>
      </w:r>
    </w:p>
    <w:p w14:paraId="05225D9A" w14:textId="4476FA7C" w:rsidR="00A346FB" w:rsidRPr="00306115" w:rsidRDefault="00A346FB">
      <w:pPr>
        <w:pStyle w:val="ListParagraph"/>
        <w:numPr>
          <w:ilvl w:val="0"/>
          <w:numId w:val="37"/>
        </w:numPr>
        <w:autoSpaceDE w:val="0"/>
        <w:autoSpaceDN w:val="0"/>
        <w:adjustRightInd w:val="0"/>
        <w:spacing w:after="0" w:line="240" w:lineRule="auto"/>
        <w:ind w:left="2268" w:hanging="567"/>
        <w:rPr>
          <w:color w:val="000000" w:themeColor="text1"/>
          <w:szCs w:val="24"/>
        </w:rPr>
      </w:pPr>
      <w:r w:rsidRPr="00306115">
        <w:rPr>
          <w:color w:val="000000" w:themeColor="text1"/>
          <w:szCs w:val="24"/>
          <w:lang w:val="en-US"/>
        </w:rPr>
        <w:t xml:space="preserve">Peringkat Komposit </w:t>
      </w:r>
      <w:r w:rsidR="00403328" w:rsidRPr="00306115">
        <w:rPr>
          <w:color w:val="000000" w:themeColor="text1"/>
          <w:szCs w:val="24"/>
          <w:lang w:val="en-US"/>
        </w:rPr>
        <w:t>4</w:t>
      </w:r>
      <w:r w:rsidRPr="00306115">
        <w:rPr>
          <w:color w:val="000000" w:themeColor="text1"/>
          <w:szCs w:val="24"/>
          <w:lang w:val="en-US"/>
        </w:rPr>
        <w:t>; dan</w:t>
      </w:r>
    </w:p>
    <w:p w14:paraId="3B37504D" w14:textId="0DB70E1E" w:rsidR="00A346FB" w:rsidRPr="00306115" w:rsidRDefault="00A346FB">
      <w:pPr>
        <w:pStyle w:val="ListParagraph"/>
        <w:numPr>
          <w:ilvl w:val="0"/>
          <w:numId w:val="37"/>
        </w:numPr>
        <w:autoSpaceDE w:val="0"/>
        <w:autoSpaceDN w:val="0"/>
        <w:adjustRightInd w:val="0"/>
        <w:spacing w:after="0" w:line="240" w:lineRule="auto"/>
        <w:ind w:left="2268" w:hanging="567"/>
        <w:rPr>
          <w:color w:val="000000" w:themeColor="text1"/>
          <w:szCs w:val="24"/>
        </w:rPr>
      </w:pPr>
      <w:r w:rsidRPr="00306115">
        <w:rPr>
          <w:color w:val="000000" w:themeColor="text1"/>
          <w:szCs w:val="24"/>
          <w:lang w:val="en-US"/>
        </w:rPr>
        <w:t xml:space="preserve">Peringkat Komposit </w:t>
      </w:r>
      <w:r w:rsidR="00403328" w:rsidRPr="00306115">
        <w:rPr>
          <w:color w:val="000000" w:themeColor="text1"/>
          <w:szCs w:val="24"/>
          <w:lang w:val="en-US"/>
        </w:rPr>
        <w:t>5</w:t>
      </w:r>
      <w:r w:rsidRPr="00306115">
        <w:rPr>
          <w:color w:val="000000" w:themeColor="text1"/>
          <w:szCs w:val="24"/>
          <w:lang w:val="en-US"/>
        </w:rPr>
        <w:t>.</w:t>
      </w:r>
    </w:p>
    <w:p w14:paraId="4021F468" w14:textId="57829775" w:rsidR="00A346FB" w:rsidRPr="00306115" w:rsidRDefault="00B65C83" w:rsidP="00A346FB">
      <w:pPr>
        <w:autoSpaceDE w:val="0"/>
        <w:autoSpaceDN w:val="0"/>
        <w:adjustRightInd w:val="0"/>
        <w:spacing w:after="0" w:line="240" w:lineRule="auto"/>
        <w:ind w:left="1701"/>
        <w:rPr>
          <w:color w:val="000000" w:themeColor="text1"/>
          <w:szCs w:val="24"/>
          <w:lang w:val="en-US"/>
        </w:rPr>
      </w:pPr>
      <w:r w:rsidRPr="00306115">
        <w:rPr>
          <w:color w:val="000000" w:themeColor="text1"/>
          <w:szCs w:val="24"/>
          <w:lang w:val="en-US"/>
        </w:rPr>
        <w:t xml:space="preserve">Urutan Peringkat Komposit yang lebih kecil mencerminkan kondisi Manajer Investasi yang lebih sehat. Peringkat Komposit ditetapkan dengan berpedoman pada Lampiran </w:t>
      </w:r>
      <w:r w:rsidR="00F1294C" w:rsidRPr="00306115">
        <w:rPr>
          <w:color w:val="000000" w:themeColor="text1"/>
          <w:szCs w:val="24"/>
          <w:lang w:val="en-US"/>
        </w:rPr>
        <w:t>V</w:t>
      </w:r>
      <w:r w:rsidRPr="00306115">
        <w:rPr>
          <w:color w:val="000000" w:themeColor="text1"/>
          <w:szCs w:val="24"/>
          <w:lang w:val="en-US"/>
        </w:rPr>
        <w:t>, yang merupakan bagian tidak terpisahkan dari Peraturan Anggota Dewan Komisioner Otoritas Jasa Keuangan ini.</w:t>
      </w:r>
    </w:p>
    <w:p w14:paraId="0E2A2B0A" w14:textId="47F9485B" w:rsidR="00B65C83" w:rsidRPr="00306115" w:rsidRDefault="00440B94">
      <w:pPr>
        <w:pStyle w:val="ListParagraph"/>
        <w:numPr>
          <w:ilvl w:val="0"/>
          <w:numId w:val="36"/>
        </w:numPr>
        <w:autoSpaceDE w:val="0"/>
        <w:autoSpaceDN w:val="0"/>
        <w:adjustRightInd w:val="0"/>
        <w:spacing w:after="0" w:line="240" w:lineRule="auto"/>
        <w:ind w:left="1701" w:hanging="567"/>
        <w:rPr>
          <w:color w:val="000000" w:themeColor="text1"/>
          <w:szCs w:val="24"/>
        </w:rPr>
      </w:pPr>
      <w:r w:rsidRPr="00306115">
        <w:rPr>
          <w:color w:val="000000" w:themeColor="text1"/>
          <w:szCs w:val="24"/>
          <w:lang w:val="en-US"/>
        </w:rPr>
        <w:t xml:space="preserve">Otoritas Jasa Keuangan berwenang </w:t>
      </w:r>
      <w:r w:rsidR="00CA5FEE" w:rsidRPr="00306115">
        <w:rPr>
          <w:color w:val="000000" w:themeColor="text1"/>
          <w:szCs w:val="24"/>
        </w:rPr>
        <w:t xml:space="preserve">memerintahkan </w:t>
      </w:r>
      <w:r w:rsidR="005C6FA8" w:rsidRPr="00306115">
        <w:rPr>
          <w:color w:val="000000" w:themeColor="text1"/>
          <w:szCs w:val="24"/>
        </w:rPr>
        <w:t xml:space="preserve">Manajer Investasi untuk </w:t>
      </w:r>
      <w:r w:rsidR="00CA5FEE" w:rsidRPr="00306115">
        <w:rPr>
          <w:color w:val="000000" w:themeColor="text1"/>
          <w:szCs w:val="24"/>
        </w:rPr>
        <w:t xml:space="preserve">melakukan penyesuaian atas </w:t>
      </w:r>
      <w:r w:rsidR="00F24AE5" w:rsidRPr="00306115">
        <w:rPr>
          <w:color w:val="000000" w:themeColor="text1"/>
          <w:szCs w:val="24"/>
        </w:rPr>
        <w:t xml:space="preserve">penilaian </w:t>
      </w:r>
      <w:r w:rsidR="00D0354E" w:rsidRPr="00306115">
        <w:rPr>
          <w:color w:val="000000" w:themeColor="text1"/>
          <w:szCs w:val="24"/>
        </w:rPr>
        <w:t>Peringkat Komposit Tingkat Kesehatan Manajer Investasi</w:t>
      </w:r>
      <w:r w:rsidR="00F24AE5" w:rsidRPr="00306115">
        <w:rPr>
          <w:color w:val="000000" w:themeColor="text1"/>
          <w:szCs w:val="24"/>
        </w:rPr>
        <w:t>,</w:t>
      </w:r>
      <w:r w:rsidR="00D0354E" w:rsidRPr="00306115">
        <w:rPr>
          <w:color w:val="000000" w:themeColor="text1"/>
          <w:szCs w:val="24"/>
        </w:rPr>
        <w:t xml:space="preserve"> </w:t>
      </w:r>
      <w:r w:rsidRPr="00306115">
        <w:rPr>
          <w:color w:val="000000" w:themeColor="text1"/>
          <w:szCs w:val="24"/>
          <w:lang w:val="en-US"/>
        </w:rPr>
        <w:t xml:space="preserve">dalam hal ditemukan permasalahan atau pelanggaran yang secara signifikan akan memengaruhi operasional dan/atau kelangsungan usaha Manajer Investasi. Contoh permasalahan atau pelanggaran yang berpengaruh signifikan, antara lain rekayasa termasuk </w:t>
      </w:r>
      <w:r w:rsidRPr="00306115">
        <w:rPr>
          <w:i/>
          <w:color w:val="000000" w:themeColor="text1"/>
          <w:szCs w:val="24"/>
          <w:lang w:val="en-US"/>
        </w:rPr>
        <w:t>window dressing</w:t>
      </w:r>
      <w:r w:rsidRPr="00306115">
        <w:rPr>
          <w:color w:val="000000" w:themeColor="text1"/>
          <w:szCs w:val="24"/>
          <w:lang w:val="en-US"/>
        </w:rPr>
        <w:t>, dan perselisihan internal manajemen yang memengaruhi operasional dan/atau kelangsungan usaha Manajer Investasi.</w:t>
      </w:r>
    </w:p>
    <w:p w14:paraId="7C955EC5" w14:textId="77777777" w:rsidR="002E0E89" w:rsidRPr="00306115" w:rsidRDefault="002E0E89" w:rsidP="002E0E89">
      <w:pPr>
        <w:pStyle w:val="HeadingAwalDaftarIsiLampiran"/>
        <w:numPr>
          <w:ilvl w:val="0"/>
          <w:numId w:val="0"/>
        </w:numPr>
        <w:ind w:left="720" w:hanging="360"/>
      </w:pPr>
    </w:p>
    <w:p w14:paraId="78F6495A" w14:textId="77777777" w:rsidR="006A1B87" w:rsidRPr="00306115" w:rsidRDefault="006A1B87" w:rsidP="006A1B87">
      <w:pPr>
        <w:pStyle w:val="HeadingAwalDaftarIsiLampiran"/>
        <w:ind w:left="567" w:hanging="567"/>
      </w:pPr>
      <w:r w:rsidRPr="00306115">
        <w:lastRenderedPageBreak/>
        <w:t>TINDAK LANJUT PENILAIAN TINGKAT KESEHATAN MANAJER INVESTASI</w:t>
      </w:r>
    </w:p>
    <w:p w14:paraId="05A1BF15" w14:textId="4C93972F" w:rsidR="00EE7108" w:rsidRPr="00306115" w:rsidRDefault="00AA7E21">
      <w:pPr>
        <w:pStyle w:val="HeadingAwalDaftarIsiLampiran"/>
        <w:numPr>
          <w:ilvl w:val="0"/>
          <w:numId w:val="38"/>
        </w:numPr>
        <w:ind w:left="1134" w:hanging="567"/>
      </w:pPr>
      <w:r w:rsidRPr="00306115">
        <w:t xml:space="preserve">Direksi dan/atau Dewan Komisaris Manajer Investasi wajib menyampaikan rencana tindak </w:t>
      </w:r>
      <w:r w:rsidRPr="00306115">
        <w:rPr>
          <w:rFonts w:eastAsia="Calibri"/>
        </w:rPr>
        <w:t>(</w:t>
      </w:r>
      <w:r w:rsidRPr="00306115">
        <w:rPr>
          <w:rFonts w:eastAsia="Calibri"/>
          <w:i/>
          <w:iCs/>
        </w:rPr>
        <w:t>action plan</w:t>
      </w:r>
      <w:r w:rsidRPr="00306115">
        <w:rPr>
          <w:rFonts w:eastAsia="Calibri"/>
        </w:rPr>
        <w:t>)</w:t>
      </w:r>
      <w:r w:rsidRPr="00306115">
        <w:t xml:space="preserve"> kepada </w:t>
      </w:r>
      <w:r w:rsidR="006A282E" w:rsidRPr="00306115">
        <w:t xml:space="preserve">Otoritas Jasa Keuangan </w:t>
      </w:r>
      <w:r w:rsidRPr="00306115">
        <w:t>yang memuat langkah perbaikan dan/atau mitigasi risiko dalam rangka mengatasi permasalahan signifikan yang dihadapi beserta target waktu penyelesaian, dalam hal hasil penilaian Tingkat Kesehatan Manajer Investasi menunjukan:</w:t>
      </w:r>
    </w:p>
    <w:p w14:paraId="78FAC3C8" w14:textId="4F7DFD6F" w:rsidR="00AA7E21" w:rsidRPr="00306115" w:rsidRDefault="006A282E">
      <w:pPr>
        <w:pStyle w:val="HeadingAwalDaftarIsiLampiran"/>
        <w:numPr>
          <w:ilvl w:val="0"/>
          <w:numId w:val="39"/>
        </w:numPr>
        <w:ind w:left="1701" w:hanging="567"/>
      </w:pPr>
      <w:r w:rsidRPr="00306115">
        <w:t>f</w:t>
      </w:r>
      <w:r w:rsidR="00CE6B27" w:rsidRPr="00306115">
        <w:t>aktor Tingkat Kesehatan Manajer Investasi yang ditetapkan dengan peringkat 4 atau peringkat 5;</w:t>
      </w:r>
    </w:p>
    <w:p w14:paraId="37CBAA3D" w14:textId="5D76A7A3" w:rsidR="00CE6B27" w:rsidRPr="00306115" w:rsidRDefault="0054175F">
      <w:pPr>
        <w:pStyle w:val="HeadingAwalDaftarIsiLampiran"/>
        <w:numPr>
          <w:ilvl w:val="0"/>
          <w:numId w:val="39"/>
        </w:numPr>
        <w:ind w:left="1701" w:hanging="567"/>
      </w:pPr>
      <w:r w:rsidRPr="00306115">
        <w:t>Peringkat Komposit Tingkat Kesehatan Manajer Investasi yang ditetapkan dengan peringkat 4 atau peringkat 5; dan/atau</w:t>
      </w:r>
    </w:p>
    <w:p w14:paraId="19381F7A" w14:textId="7AF5EA8F" w:rsidR="0054175F" w:rsidRPr="00306115" w:rsidRDefault="0095485A">
      <w:pPr>
        <w:pStyle w:val="HeadingAwalDaftarIsiLampiran"/>
        <w:numPr>
          <w:ilvl w:val="0"/>
          <w:numId w:val="39"/>
        </w:numPr>
        <w:ind w:left="1701" w:hanging="567"/>
      </w:pPr>
      <w:r w:rsidRPr="00306115">
        <w:t>Peringkat Komposit Tingkat Kesehatan Manajer Investasi yang ditetapkan dengan peringkat 3, namun terdapat permasalahan signifikan yang perlu diatasi agar tidak mengganggu kelangsungan usaha Manajer Investasi.</w:t>
      </w:r>
    </w:p>
    <w:p w14:paraId="18372568" w14:textId="7E1B17E6" w:rsidR="00B24E4E" w:rsidRPr="00306115" w:rsidRDefault="00140E9F">
      <w:pPr>
        <w:pStyle w:val="HeadingAwalDaftarIsiLampiran"/>
        <w:numPr>
          <w:ilvl w:val="0"/>
          <w:numId w:val="38"/>
        </w:numPr>
        <w:ind w:left="1134" w:hanging="567"/>
      </w:pPr>
      <w:r w:rsidRPr="00306115">
        <w:t>Rencana tindak (</w:t>
      </w:r>
      <w:r w:rsidRPr="00306115">
        <w:rPr>
          <w:i/>
          <w:iCs/>
        </w:rPr>
        <w:t>action plan</w:t>
      </w:r>
      <w:r w:rsidRPr="00306115">
        <w:t>) sebagaimana dimaksud pada angka 1 antara lain meliputi:</w:t>
      </w:r>
    </w:p>
    <w:p w14:paraId="20A0F50A" w14:textId="7A188F18" w:rsidR="00140E9F" w:rsidRPr="00306115" w:rsidRDefault="009B35C1">
      <w:pPr>
        <w:pStyle w:val="HeadingAwalDaftarIsiLampiran"/>
        <w:numPr>
          <w:ilvl w:val="0"/>
          <w:numId w:val="40"/>
        </w:numPr>
        <w:ind w:left="1701" w:hanging="567"/>
        <w:rPr>
          <w:sz w:val="32"/>
          <w:szCs w:val="32"/>
        </w:rPr>
      </w:pPr>
      <w:r w:rsidRPr="00306115">
        <w:rPr>
          <w:rFonts w:eastAsia="Calibri"/>
        </w:rPr>
        <w:t>m</w:t>
      </w:r>
      <w:r w:rsidR="003A36EA" w:rsidRPr="00306115">
        <w:rPr>
          <w:rFonts w:eastAsia="Calibri"/>
        </w:rPr>
        <w:t>emperbaiki, memitigasi, atau meningkatkan pelaksanaan Manajemen Risiko.</w:t>
      </w:r>
    </w:p>
    <w:p w14:paraId="3ACC42A0" w14:textId="179D0913" w:rsidR="003A36EA" w:rsidRPr="00306115" w:rsidRDefault="00C26CA6" w:rsidP="003A36EA">
      <w:pPr>
        <w:pStyle w:val="HeadingAwalDaftarIsiLampiran"/>
        <w:numPr>
          <w:ilvl w:val="0"/>
          <w:numId w:val="0"/>
        </w:numPr>
        <w:ind w:left="1701"/>
        <w:rPr>
          <w:rFonts w:eastAsia="Calibri"/>
        </w:rPr>
      </w:pPr>
      <w:r w:rsidRPr="00306115">
        <w:rPr>
          <w:rFonts w:eastAsia="Calibri"/>
        </w:rPr>
        <w:t xml:space="preserve">Sebagai contoh, pada Manajer Investasi dengan tingkat Risiko Likuiditas Produk Investasi yang tinggi, Manajer Investasi dapat menurunkan tingkat Risiko Likuiditas Produk Investasi tersebut dengan memperbaiki kelemahan dalam kualitas penerapan </w:t>
      </w:r>
      <w:r w:rsidR="003236F2" w:rsidRPr="00306115">
        <w:rPr>
          <w:rFonts w:eastAsia="Calibri"/>
        </w:rPr>
        <w:t>M</w:t>
      </w:r>
      <w:r w:rsidRPr="00306115">
        <w:rPr>
          <w:rFonts w:eastAsia="Calibri"/>
        </w:rPr>
        <w:t>anajemen</w:t>
      </w:r>
      <w:r w:rsidR="003236F2" w:rsidRPr="00306115">
        <w:rPr>
          <w:rFonts w:eastAsia="Calibri"/>
        </w:rPr>
        <w:t xml:space="preserve"> Risiko pada</w:t>
      </w:r>
      <w:r w:rsidRPr="00306115">
        <w:rPr>
          <w:rFonts w:eastAsia="Calibri"/>
        </w:rPr>
        <w:t xml:space="preserve"> Risiko Likuiditas Produk Investasi dan/atau memperbaiki strategi investasi untuk menurunkan eksposur Risiko Likuiditas Produk Investasi;</w:t>
      </w:r>
    </w:p>
    <w:p w14:paraId="6D2B7E81" w14:textId="2C1554FB" w:rsidR="00C26CA6" w:rsidRPr="00306115" w:rsidRDefault="003236F2">
      <w:pPr>
        <w:pStyle w:val="HeadingAwalDaftarIsiLampiran"/>
        <w:numPr>
          <w:ilvl w:val="0"/>
          <w:numId w:val="40"/>
        </w:numPr>
        <w:ind w:left="1701" w:hanging="567"/>
        <w:rPr>
          <w:sz w:val="32"/>
          <w:szCs w:val="32"/>
        </w:rPr>
      </w:pPr>
      <w:r w:rsidRPr="00306115">
        <w:rPr>
          <w:rFonts w:eastAsia="Calibri"/>
        </w:rPr>
        <w:t>m</w:t>
      </w:r>
      <w:r w:rsidR="003F5E39" w:rsidRPr="00306115">
        <w:rPr>
          <w:rFonts w:eastAsia="Calibri"/>
        </w:rPr>
        <w:t>emperbaiki tata kelola Manajer Investasi;</w:t>
      </w:r>
    </w:p>
    <w:p w14:paraId="163B191B" w14:textId="7DFBB2F3" w:rsidR="003F5E39" w:rsidRPr="00306115" w:rsidRDefault="003236F2">
      <w:pPr>
        <w:pStyle w:val="HeadingAwalDaftarIsiLampiran"/>
        <w:numPr>
          <w:ilvl w:val="0"/>
          <w:numId w:val="40"/>
        </w:numPr>
        <w:ind w:left="1701" w:hanging="567"/>
        <w:rPr>
          <w:sz w:val="32"/>
          <w:szCs w:val="32"/>
        </w:rPr>
      </w:pPr>
      <w:r w:rsidRPr="00306115">
        <w:rPr>
          <w:rFonts w:eastAsia="Calibri"/>
        </w:rPr>
        <w:t>m</w:t>
      </w:r>
      <w:r w:rsidR="003453C3" w:rsidRPr="00306115">
        <w:rPr>
          <w:rFonts w:eastAsia="Calibri"/>
        </w:rPr>
        <w:t>emperbaiki kinerja keuangan Manajer Investasi terkait adanya permasalahan rentabilitas; dan/atau</w:t>
      </w:r>
    </w:p>
    <w:p w14:paraId="298A667B" w14:textId="5AA6FD93" w:rsidR="003453C3" w:rsidRPr="00306115" w:rsidRDefault="003236F2">
      <w:pPr>
        <w:pStyle w:val="HeadingAwalDaftarIsiLampiran"/>
        <w:numPr>
          <w:ilvl w:val="0"/>
          <w:numId w:val="40"/>
        </w:numPr>
        <w:ind w:left="1701" w:hanging="567"/>
        <w:rPr>
          <w:sz w:val="32"/>
          <w:szCs w:val="32"/>
        </w:rPr>
      </w:pPr>
      <w:r w:rsidRPr="00306115">
        <w:rPr>
          <w:rFonts w:eastAsia="Calibri"/>
        </w:rPr>
        <w:t>m</w:t>
      </w:r>
      <w:r w:rsidR="002E7EBF" w:rsidRPr="00306115">
        <w:rPr>
          <w:rFonts w:eastAsia="Calibri"/>
        </w:rPr>
        <w:t>emperbaiki permodalan dan/atau penambahan permodalan dari pemegang saham dan/atau pihak lain, dalam hal adanya permasalahan permodalan.</w:t>
      </w:r>
    </w:p>
    <w:p w14:paraId="232CD0E9" w14:textId="77777777" w:rsidR="00EE7108" w:rsidRPr="00306115" w:rsidRDefault="00EE7108" w:rsidP="00EE7108">
      <w:pPr>
        <w:pStyle w:val="HeadingAwalDaftarIsiLampiran"/>
        <w:numPr>
          <w:ilvl w:val="0"/>
          <w:numId w:val="0"/>
        </w:numPr>
        <w:ind w:left="567"/>
      </w:pPr>
    </w:p>
    <w:p w14:paraId="24172E8B" w14:textId="77777777" w:rsidR="00A35F6A" w:rsidRPr="00306115" w:rsidRDefault="00A35F6A" w:rsidP="00A35F6A">
      <w:pPr>
        <w:tabs>
          <w:tab w:val="left" w:pos="9071"/>
        </w:tabs>
        <w:spacing w:after="0" w:line="240" w:lineRule="auto"/>
        <w:ind w:left="4536"/>
        <w:rPr>
          <w:noProof/>
          <w:color w:val="000000" w:themeColor="text1"/>
          <w:szCs w:val="24"/>
        </w:rPr>
      </w:pPr>
      <w:r w:rsidRPr="00306115">
        <w:rPr>
          <w:noProof/>
          <w:color w:val="000000" w:themeColor="text1"/>
          <w:szCs w:val="24"/>
        </w:rPr>
        <w:t>Ditetapkan di Jakarta</w:t>
      </w:r>
    </w:p>
    <w:p w14:paraId="2861476A" w14:textId="77777777" w:rsidR="00A35F6A" w:rsidRPr="00306115" w:rsidRDefault="00A35F6A" w:rsidP="00A35F6A">
      <w:pPr>
        <w:tabs>
          <w:tab w:val="left" w:pos="9071"/>
        </w:tabs>
        <w:spacing w:after="0" w:line="240" w:lineRule="auto"/>
        <w:ind w:left="4536"/>
        <w:rPr>
          <w:noProof/>
          <w:color w:val="000000" w:themeColor="text1"/>
          <w:szCs w:val="24"/>
        </w:rPr>
      </w:pPr>
      <w:r w:rsidRPr="00306115">
        <w:rPr>
          <w:noProof/>
          <w:color w:val="000000" w:themeColor="text1"/>
          <w:szCs w:val="24"/>
        </w:rPr>
        <w:t>pada tanggal …</w:t>
      </w:r>
    </w:p>
    <w:p w14:paraId="36FD7AD6" w14:textId="77777777" w:rsidR="00A35F6A" w:rsidRPr="00306115" w:rsidRDefault="00A35F6A" w:rsidP="00A35F6A">
      <w:pPr>
        <w:tabs>
          <w:tab w:val="left" w:pos="9071"/>
        </w:tabs>
        <w:spacing w:after="0" w:line="240" w:lineRule="auto"/>
        <w:ind w:left="4536"/>
        <w:rPr>
          <w:noProof/>
          <w:color w:val="000000" w:themeColor="text1"/>
          <w:szCs w:val="24"/>
        </w:rPr>
      </w:pPr>
    </w:p>
    <w:p w14:paraId="355E289A" w14:textId="77777777" w:rsidR="00A35F6A" w:rsidRPr="00306115" w:rsidRDefault="00A35F6A" w:rsidP="00A35F6A">
      <w:pPr>
        <w:tabs>
          <w:tab w:val="left" w:pos="9071"/>
        </w:tabs>
        <w:spacing w:after="0" w:line="240" w:lineRule="auto"/>
        <w:ind w:left="4536"/>
        <w:rPr>
          <w:noProof/>
          <w:color w:val="000000" w:themeColor="text1"/>
          <w:szCs w:val="24"/>
        </w:rPr>
      </w:pPr>
      <w:r w:rsidRPr="00306115">
        <w:rPr>
          <w:noProof/>
          <w:color w:val="000000" w:themeColor="text1"/>
          <w:szCs w:val="24"/>
        </w:rPr>
        <w:t>KEPALA</w:t>
      </w:r>
      <w:r w:rsidRPr="00306115">
        <w:rPr>
          <w:noProof/>
          <w:color w:val="000000" w:themeColor="text1"/>
          <w:szCs w:val="24"/>
          <w:lang w:val="en-US"/>
        </w:rPr>
        <w:t xml:space="preserve"> </w:t>
      </w:r>
      <w:r w:rsidRPr="00306115">
        <w:rPr>
          <w:noProof/>
          <w:color w:val="000000" w:themeColor="text1"/>
          <w:szCs w:val="24"/>
        </w:rPr>
        <w:t>EKSEKUTIF PENGAWAS PASAR MODAL, KEUANGAN DERIVATIF, DAN BURSA KARBON</w:t>
      </w:r>
    </w:p>
    <w:p w14:paraId="78487302" w14:textId="77777777" w:rsidR="00A35F6A" w:rsidRPr="00306115" w:rsidRDefault="00A35F6A" w:rsidP="00A35F6A">
      <w:pPr>
        <w:tabs>
          <w:tab w:val="left" w:pos="9071"/>
        </w:tabs>
        <w:spacing w:after="0" w:line="240" w:lineRule="auto"/>
        <w:ind w:left="4536"/>
        <w:rPr>
          <w:noProof/>
          <w:color w:val="000000" w:themeColor="text1"/>
          <w:szCs w:val="24"/>
        </w:rPr>
      </w:pPr>
      <w:r w:rsidRPr="00306115">
        <w:rPr>
          <w:noProof/>
          <w:color w:val="000000" w:themeColor="text1"/>
          <w:szCs w:val="24"/>
        </w:rPr>
        <w:t>OTORITAS JASA KEUANGAN</w:t>
      </w:r>
    </w:p>
    <w:p w14:paraId="0E71167B" w14:textId="77777777" w:rsidR="00A35F6A" w:rsidRPr="00306115" w:rsidRDefault="00A35F6A" w:rsidP="00A35F6A">
      <w:pPr>
        <w:tabs>
          <w:tab w:val="left" w:pos="9071"/>
        </w:tabs>
        <w:spacing w:after="0" w:line="240" w:lineRule="auto"/>
        <w:ind w:left="4536"/>
        <w:rPr>
          <w:noProof/>
          <w:color w:val="000000" w:themeColor="text1"/>
          <w:szCs w:val="24"/>
        </w:rPr>
      </w:pPr>
      <w:r w:rsidRPr="00306115">
        <w:rPr>
          <w:noProof/>
          <w:color w:val="000000" w:themeColor="text1"/>
          <w:szCs w:val="24"/>
          <w:lang w:val="en-US"/>
        </w:rPr>
        <w:t>REPUBLIK INDONESIA</w:t>
      </w:r>
      <w:r w:rsidRPr="00306115">
        <w:rPr>
          <w:noProof/>
          <w:color w:val="000000" w:themeColor="text1"/>
          <w:szCs w:val="24"/>
        </w:rPr>
        <w:t>,</w:t>
      </w:r>
    </w:p>
    <w:p w14:paraId="23781ED0" w14:textId="77777777" w:rsidR="00A35F6A" w:rsidRPr="00306115" w:rsidRDefault="00A35F6A" w:rsidP="00A35F6A">
      <w:pPr>
        <w:spacing w:after="0" w:line="240" w:lineRule="auto"/>
        <w:ind w:left="5245" w:right="26"/>
        <w:rPr>
          <w:noProof/>
          <w:color w:val="000000" w:themeColor="text1"/>
          <w:szCs w:val="24"/>
        </w:rPr>
      </w:pPr>
    </w:p>
    <w:p w14:paraId="5242D8E5" w14:textId="77777777" w:rsidR="00A35F6A" w:rsidRPr="00306115" w:rsidRDefault="00A35F6A" w:rsidP="00A35F6A">
      <w:pPr>
        <w:spacing w:after="0" w:line="240" w:lineRule="auto"/>
        <w:ind w:left="5245" w:right="26"/>
        <w:rPr>
          <w:noProof/>
          <w:color w:val="000000" w:themeColor="text1"/>
          <w:szCs w:val="24"/>
        </w:rPr>
      </w:pPr>
    </w:p>
    <w:p w14:paraId="26D44923" w14:textId="77777777" w:rsidR="00CB5229" w:rsidRPr="00306115" w:rsidRDefault="00CB5229" w:rsidP="00A35F6A">
      <w:pPr>
        <w:spacing w:after="0" w:line="240" w:lineRule="auto"/>
        <w:ind w:left="5245" w:right="26"/>
        <w:rPr>
          <w:noProof/>
          <w:color w:val="000000" w:themeColor="text1"/>
          <w:szCs w:val="24"/>
        </w:rPr>
      </w:pPr>
    </w:p>
    <w:p w14:paraId="4BF9F7BA" w14:textId="77777777" w:rsidR="00CB5229" w:rsidRPr="00306115" w:rsidRDefault="00CB5229" w:rsidP="00A35F6A">
      <w:pPr>
        <w:spacing w:after="0" w:line="240" w:lineRule="auto"/>
        <w:ind w:left="5245" w:right="26"/>
        <w:rPr>
          <w:noProof/>
          <w:color w:val="000000" w:themeColor="text1"/>
          <w:szCs w:val="24"/>
        </w:rPr>
      </w:pPr>
    </w:p>
    <w:p w14:paraId="6987A008" w14:textId="77777777" w:rsidR="00A35F6A" w:rsidRPr="00306115" w:rsidRDefault="00A35F6A" w:rsidP="00A35F6A">
      <w:pPr>
        <w:spacing w:after="0" w:line="240" w:lineRule="auto"/>
        <w:ind w:left="5245" w:right="26"/>
        <w:rPr>
          <w:noProof/>
          <w:color w:val="000000" w:themeColor="text1"/>
          <w:szCs w:val="24"/>
        </w:rPr>
      </w:pPr>
    </w:p>
    <w:p w14:paraId="131340C1" w14:textId="77777777" w:rsidR="00A35F6A" w:rsidRPr="00306115" w:rsidRDefault="00A35F6A" w:rsidP="00A35F6A">
      <w:pPr>
        <w:tabs>
          <w:tab w:val="left" w:pos="8910"/>
        </w:tabs>
        <w:spacing w:after="0" w:line="240" w:lineRule="auto"/>
        <w:ind w:left="4536"/>
        <w:jc w:val="center"/>
        <w:rPr>
          <w:noProof/>
          <w:color w:val="000000" w:themeColor="text1"/>
          <w:szCs w:val="24"/>
        </w:rPr>
      </w:pPr>
      <w:r w:rsidRPr="00306115">
        <w:rPr>
          <w:noProof/>
          <w:color w:val="000000" w:themeColor="text1"/>
          <w:szCs w:val="24"/>
        </w:rPr>
        <w:t>HASAN FAWZI</w:t>
      </w:r>
    </w:p>
    <w:p w14:paraId="73E42F52" w14:textId="77777777" w:rsidR="00A35F6A" w:rsidRPr="00306115" w:rsidRDefault="00A35F6A" w:rsidP="00951E57">
      <w:pPr>
        <w:pStyle w:val="HeadingAwalDaftarIsiLampiran"/>
        <w:numPr>
          <w:ilvl w:val="0"/>
          <w:numId w:val="0"/>
        </w:numPr>
        <w:ind w:left="567"/>
        <w:sectPr w:rsidR="00A35F6A" w:rsidRPr="00306115" w:rsidSect="00AA06DB">
          <w:headerReference w:type="default" r:id="rId12"/>
          <w:pgSz w:w="11907" w:h="18711" w:code="41"/>
          <w:pgMar w:top="1418" w:right="1418" w:bottom="1418" w:left="1418" w:header="709" w:footer="709" w:gutter="0"/>
          <w:pgNumType w:fmt="numberInDash" w:start="1"/>
          <w:cols w:space="708"/>
          <w:titlePg/>
          <w:docGrid w:linePitch="360"/>
        </w:sectPr>
      </w:pPr>
    </w:p>
    <w:p w14:paraId="7EF19872" w14:textId="3621AEEC" w:rsidR="00553740" w:rsidRPr="00306115" w:rsidRDefault="007C5EDF" w:rsidP="00951E57">
      <w:pPr>
        <w:pStyle w:val="HeadingAwalDaftarIsiLampiran"/>
        <w:numPr>
          <w:ilvl w:val="0"/>
          <w:numId w:val="0"/>
        </w:numPr>
        <w:ind w:left="567"/>
      </w:pPr>
      <w:r w:rsidRPr="00306115">
        <w:rPr>
          <w:rFonts w:eastAsia="MS Mincho" w:cs="Arial"/>
          <w:b/>
          <w:lang w:eastAsia="id-ID"/>
        </w:rPr>
        <w:lastRenderedPageBreak/>
        <w:drawing>
          <wp:anchor distT="0" distB="0" distL="114300" distR="114300" simplePos="0" relativeHeight="251660290" behindDoc="1" locked="0" layoutInCell="1" allowOverlap="1" wp14:anchorId="2019E737" wp14:editId="45406781">
            <wp:simplePos x="0" y="0"/>
            <wp:positionH relativeFrom="margin">
              <wp:align>left</wp:align>
            </wp:positionH>
            <wp:positionV relativeFrom="paragraph">
              <wp:posOffset>446</wp:posOffset>
            </wp:positionV>
            <wp:extent cx="2333625" cy="1009650"/>
            <wp:effectExtent l="0" t="0" r="9525" b="0"/>
            <wp:wrapSquare wrapText="bothSides"/>
            <wp:docPr id="161031827" name="Picture 161031827" descr="A logo with a red and white letter x&#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A logo with a red and white letter x&#10;&#10;AI-generated content may be incorrect."/>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33625"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322B78" w14:textId="3D318D79" w:rsidR="00553740" w:rsidRPr="00306115" w:rsidRDefault="00553740" w:rsidP="00553740">
      <w:pPr>
        <w:pStyle w:val="HeadingAwalDaftarIsiLampiran"/>
        <w:numPr>
          <w:ilvl w:val="0"/>
          <w:numId w:val="0"/>
        </w:numPr>
        <w:ind w:left="567"/>
      </w:pPr>
    </w:p>
    <w:p w14:paraId="4FD86A0A" w14:textId="678360B3" w:rsidR="00BE020D" w:rsidRPr="00306115" w:rsidRDefault="00BE020D" w:rsidP="00BE020D">
      <w:pPr>
        <w:tabs>
          <w:tab w:val="left" w:pos="8910"/>
        </w:tabs>
        <w:spacing w:after="0" w:line="240" w:lineRule="auto"/>
        <w:ind w:right="26"/>
        <w:rPr>
          <w:noProof/>
          <w:color w:val="000000" w:themeColor="text1"/>
          <w:szCs w:val="24"/>
        </w:rPr>
      </w:pPr>
    </w:p>
    <w:p w14:paraId="3B0E1905" w14:textId="77777777" w:rsidR="00BE020D" w:rsidRPr="00306115" w:rsidRDefault="00BE020D" w:rsidP="00BE020D">
      <w:pPr>
        <w:tabs>
          <w:tab w:val="left" w:pos="8910"/>
        </w:tabs>
        <w:spacing w:after="0" w:line="240" w:lineRule="auto"/>
        <w:ind w:right="26"/>
        <w:rPr>
          <w:noProof/>
          <w:color w:val="000000" w:themeColor="text1"/>
          <w:szCs w:val="24"/>
        </w:rPr>
      </w:pPr>
    </w:p>
    <w:p w14:paraId="60AC7C34" w14:textId="77777777" w:rsidR="00BE020D" w:rsidRPr="00306115" w:rsidRDefault="00BE020D" w:rsidP="00BE020D">
      <w:pPr>
        <w:tabs>
          <w:tab w:val="left" w:pos="8910"/>
        </w:tabs>
        <w:spacing w:after="0" w:line="240" w:lineRule="auto"/>
        <w:ind w:right="26"/>
        <w:rPr>
          <w:noProof/>
          <w:color w:val="000000" w:themeColor="text1"/>
          <w:szCs w:val="24"/>
        </w:rPr>
      </w:pPr>
    </w:p>
    <w:p w14:paraId="463BB91F" w14:textId="77777777" w:rsidR="00BE020D" w:rsidRPr="00306115" w:rsidRDefault="00BE020D" w:rsidP="00BE020D">
      <w:pPr>
        <w:tabs>
          <w:tab w:val="left" w:pos="8910"/>
        </w:tabs>
        <w:spacing w:after="0" w:line="240" w:lineRule="auto"/>
        <w:ind w:right="26"/>
        <w:rPr>
          <w:noProof/>
          <w:color w:val="000000" w:themeColor="text1"/>
          <w:szCs w:val="24"/>
        </w:rPr>
      </w:pPr>
    </w:p>
    <w:p w14:paraId="09ED0923" w14:textId="77777777" w:rsidR="00BE020D" w:rsidRPr="00306115" w:rsidRDefault="00BE020D" w:rsidP="00BE020D">
      <w:pPr>
        <w:tabs>
          <w:tab w:val="left" w:pos="8910"/>
        </w:tabs>
        <w:spacing w:after="0" w:line="240" w:lineRule="auto"/>
        <w:ind w:right="26"/>
        <w:rPr>
          <w:noProof/>
          <w:color w:val="000000" w:themeColor="text1"/>
          <w:szCs w:val="24"/>
        </w:rPr>
      </w:pPr>
    </w:p>
    <w:p w14:paraId="1CE71D3C" w14:textId="77777777" w:rsidR="00BE020D" w:rsidRPr="00306115" w:rsidRDefault="00BE020D" w:rsidP="00BE020D">
      <w:pPr>
        <w:tabs>
          <w:tab w:val="left" w:pos="8910"/>
        </w:tabs>
        <w:spacing w:after="0" w:line="240" w:lineRule="auto"/>
        <w:ind w:right="26"/>
        <w:rPr>
          <w:noProof/>
          <w:color w:val="000000" w:themeColor="text1"/>
          <w:szCs w:val="24"/>
        </w:rPr>
      </w:pPr>
    </w:p>
    <w:p w14:paraId="1DC04A15" w14:textId="6F673836" w:rsidR="00BE020D" w:rsidRPr="00306115" w:rsidRDefault="00BE020D" w:rsidP="00BE020D">
      <w:pPr>
        <w:tabs>
          <w:tab w:val="left" w:pos="8910"/>
        </w:tabs>
        <w:spacing w:after="0" w:line="240" w:lineRule="auto"/>
        <w:ind w:right="26"/>
        <w:rPr>
          <w:noProof/>
          <w:color w:val="000000" w:themeColor="text1"/>
          <w:szCs w:val="24"/>
        </w:rPr>
      </w:pPr>
      <w:r w:rsidRPr="00306115">
        <w:rPr>
          <w:noProof/>
          <w:color w:val="000000" w:themeColor="text1"/>
          <w:szCs w:val="24"/>
        </w:rPr>
        <w:t>LAMPIRAN II</w:t>
      </w:r>
    </w:p>
    <w:p w14:paraId="74E6C9A3" w14:textId="77777777" w:rsidR="00BE020D" w:rsidRPr="00306115" w:rsidRDefault="00BE020D" w:rsidP="00BE020D">
      <w:pPr>
        <w:tabs>
          <w:tab w:val="left" w:pos="8910"/>
        </w:tabs>
        <w:spacing w:after="0" w:line="240" w:lineRule="auto"/>
        <w:ind w:right="26"/>
        <w:rPr>
          <w:noProof/>
          <w:color w:val="000000" w:themeColor="text1"/>
          <w:szCs w:val="24"/>
        </w:rPr>
      </w:pPr>
      <w:r w:rsidRPr="00306115">
        <w:rPr>
          <w:noProof/>
          <w:color w:val="000000" w:themeColor="text1"/>
          <w:szCs w:val="24"/>
        </w:rPr>
        <w:t>PERATURAN ANGGOTA DEWAN KOMISIONER OTORITAS JASA KEUANGAN</w:t>
      </w:r>
    </w:p>
    <w:p w14:paraId="54D27364" w14:textId="77777777" w:rsidR="00BE020D" w:rsidRPr="00306115" w:rsidRDefault="00BE020D" w:rsidP="00BE020D">
      <w:pPr>
        <w:tabs>
          <w:tab w:val="left" w:pos="8910"/>
        </w:tabs>
        <w:spacing w:after="0" w:line="240" w:lineRule="auto"/>
        <w:ind w:right="26"/>
        <w:rPr>
          <w:noProof/>
          <w:color w:val="000000" w:themeColor="text1"/>
          <w:szCs w:val="24"/>
        </w:rPr>
      </w:pPr>
      <w:r w:rsidRPr="00306115">
        <w:rPr>
          <w:noProof/>
          <w:color w:val="000000" w:themeColor="text1"/>
          <w:szCs w:val="24"/>
        </w:rPr>
        <w:t>REPUBLIK INDONESIA</w:t>
      </w:r>
    </w:p>
    <w:p w14:paraId="28A1A2DD" w14:textId="77777777" w:rsidR="00BE020D" w:rsidRPr="00306115" w:rsidRDefault="00BE020D" w:rsidP="00BE020D">
      <w:pPr>
        <w:tabs>
          <w:tab w:val="left" w:pos="8910"/>
        </w:tabs>
        <w:spacing w:after="0" w:line="240" w:lineRule="auto"/>
        <w:ind w:right="26"/>
        <w:rPr>
          <w:noProof/>
          <w:color w:val="000000" w:themeColor="text1"/>
          <w:szCs w:val="24"/>
        </w:rPr>
      </w:pPr>
      <w:r w:rsidRPr="00306115">
        <w:rPr>
          <w:noProof/>
          <w:color w:val="000000" w:themeColor="text1"/>
          <w:szCs w:val="24"/>
        </w:rPr>
        <w:t>NOMOR ...TAHUN ...</w:t>
      </w:r>
    </w:p>
    <w:p w14:paraId="5BF1C276" w14:textId="77777777" w:rsidR="00BE020D" w:rsidRPr="00306115" w:rsidRDefault="00BE020D" w:rsidP="00BE020D">
      <w:pPr>
        <w:tabs>
          <w:tab w:val="left" w:pos="8910"/>
        </w:tabs>
        <w:spacing w:after="0" w:line="240" w:lineRule="auto"/>
        <w:ind w:right="26"/>
        <w:rPr>
          <w:noProof/>
          <w:color w:val="000000" w:themeColor="text1"/>
          <w:szCs w:val="24"/>
        </w:rPr>
      </w:pPr>
      <w:r w:rsidRPr="00306115">
        <w:rPr>
          <w:noProof/>
          <w:color w:val="000000" w:themeColor="text1"/>
          <w:szCs w:val="24"/>
        </w:rPr>
        <w:t>TENTANG</w:t>
      </w:r>
    </w:p>
    <w:p w14:paraId="64BE2253" w14:textId="77777777" w:rsidR="00BE020D" w:rsidRPr="00306115" w:rsidRDefault="00BE020D" w:rsidP="00BE020D">
      <w:pPr>
        <w:spacing w:after="0" w:line="240" w:lineRule="auto"/>
        <w:rPr>
          <w:noProof/>
          <w:color w:val="000000" w:themeColor="text1"/>
          <w:szCs w:val="24"/>
          <w:lang w:val="en-US"/>
        </w:rPr>
      </w:pPr>
      <w:r w:rsidRPr="00306115">
        <w:rPr>
          <w:noProof/>
          <w:color w:val="000000" w:themeColor="text1"/>
          <w:szCs w:val="24"/>
        </w:rPr>
        <w:t xml:space="preserve">PEDOMAN PENERAPAN MANAJEMEN RISIKO DAN PENILAIAN </w:t>
      </w:r>
      <w:r w:rsidRPr="00306115">
        <w:rPr>
          <w:noProof/>
          <w:color w:val="000000" w:themeColor="text1"/>
          <w:szCs w:val="24"/>
        </w:rPr>
        <w:br/>
        <w:t xml:space="preserve">TINGKAT KESEHATAN MANAJER </w:t>
      </w:r>
      <w:r w:rsidRPr="00306115">
        <w:rPr>
          <w:noProof/>
          <w:color w:val="000000" w:themeColor="text1"/>
          <w:szCs w:val="24"/>
          <w:lang w:val="en-US"/>
        </w:rPr>
        <w:t>INVESTASI</w:t>
      </w:r>
    </w:p>
    <w:p w14:paraId="20C34D73" w14:textId="77777777" w:rsidR="00553740" w:rsidRPr="00306115" w:rsidRDefault="00553740" w:rsidP="00553740">
      <w:pPr>
        <w:pStyle w:val="HeadingAwalDaftarIsiLampiran"/>
        <w:numPr>
          <w:ilvl w:val="0"/>
          <w:numId w:val="0"/>
        </w:numPr>
        <w:ind w:left="567"/>
        <w:rPr>
          <w:strike/>
          <w:sz w:val="28"/>
          <w:szCs w:val="28"/>
        </w:rPr>
      </w:pPr>
    </w:p>
    <w:p w14:paraId="2C4E68F3" w14:textId="77777777" w:rsidR="007C5EDF" w:rsidRPr="00306115" w:rsidRDefault="007C5EDF" w:rsidP="006A1B87">
      <w:pPr>
        <w:pStyle w:val="HeadingAwalDaftarIsiLampiran"/>
        <w:numPr>
          <w:ilvl w:val="0"/>
          <w:numId w:val="0"/>
        </w:numPr>
        <w:ind w:left="567"/>
        <w:sectPr w:rsidR="007C5EDF" w:rsidRPr="00306115" w:rsidSect="003A3967">
          <w:headerReference w:type="first" r:id="rId13"/>
          <w:pgSz w:w="11907" w:h="18711" w:code="41"/>
          <w:pgMar w:top="1418" w:right="1418" w:bottom="1418" w:left="1418" w:header="709" w:footer="709" w:gutter="0"/>
          <w:pgNumType w:fmt="numberInDash" w:start="1"/>
          <w:cols w:space="708"/>
          <w:titlePg/>
          <w:docGrid w:linePitch="360"/>
        </w:sectPr>
      </w:pPr>
    </w:p>
    <w:p w14:paraId="73F0CFA6" w14:textId="108B7357" w:rsidR="0037786D" w:rsidRPr="00306115" w:rsidRDefault="004C7586">
      <w:pPr>
        <w:pStyle w:val="HeadingAwalDaftarIsiLampiran"/>
        <w:numPr>
          <w:ilvl w:val="0"/>
          <w:numId w:val="42"/>
        </w:numPr>
        <w:ind w:left="567" w:hanging="567"/>
      </w:pPr>
      <w:r w:rsidRPr="00306115">
        <w:lastRenderedPageBreak/>
        <w:t>PEDOMAN PENERAPAN MANAJEMEN RISIKO SECARA UMUM</w:t>
      </w:r>
    </w:p>
    <w:p w14:paraId="5214D17D" w14:textId="3664B712" w:rsidR="00520FE7" w:rsidRPr="00306115" w:rsidRDefault="001E7E32" w:rsidP="001E7E32">
      <w:pPr>
        <w:pStyle w:val="HeadingAwalDaftarIsiLampiran"/>
        <w:numPr>
          <w:ilvl w:val="0"/>
          <w:numId w:val="0"/>
        </w:numPr>
        <w:ind w:left="567"/>
      </w:pPr>
      <w:r w:rsidRPr="00306115">
        <w:t>Manajer Investasi wajib menerapkan Manajemen Risiko secara efektif, yang paling sedikit mencakup 4 (empat) pilar yaitu:</w:t>
      </w:r>
    </w:p>
    <w:p w14:paraId="0F672064" w14:textId="323046DE" w:rsidR="008A4782" w:rsidRPr="00306115" w:rsidRDefault="00A05559">
      <w:pPr>
        <w:pStyle w:val="HeadingAwalDaftarIsiLampiran"/>
        <w:numPr>
          <w:ilvl w:val="0"/>
          <w:numId w:val="44"/>
        </w:numPr>
        <w:ind w:left="1134" w:hanging="567"/>
      </w:pPr>
      <w:r w:rsidRPr="00306115">
        <w:t>P</w:t>
      </w:r>
      <w:r w:rsidR="004332E8" w:rsidRPr="00306115">
        <w:t xml:space="preserve">engawasan </w:t>
      </w:r>
      <w:r w:rsidRPr="00306115">
        <w:t>A</w:t>
      </w:r>
      <w:r w:rsidR="004332E8" w:rsidRPr="00306115">
        <w:t>ktif Direksi dan Dewan Komisaris;</w:t>
      </w:r>
    </w:p>
    <w:p w14:paraId="6284700A" w14:textId="45FCAB82" w:rsidR="004332E8" w:rsidRPr="00306115" w:rsidRDefault="00A05559">
      <w:pPr>
        <w:pStyle w:val="HeadingAwalDaftarIsiLampiran"/>
        <w:numPr>
          <w:ilvl w:val="0"/>
          <w:numId w:val="44"/>
        </w:numPr>
        <w:ind w:left="1134" w:hanging="567"/>
      </w:pPr>
      <w:r w:rsidRPr="00306115">
        <w:t>K</w:t>
      </w:r>
      <w:r w:rsidR="00994B01" w:rsidRPr="00306115">
        <w:t xml:space="preserve">ecukupan </w:t>
      </w:r>
      <w:r w:rsidRPr="00306115">
        <w:t>K</w:t>
      </w:r>
      <w:r w:rsidR="00994B01" w:rsidRPr="00306115">
        <w:t xml:space="preserve">ebijakan dan </w:t>
      </w:r>
      <w:r w:rsidRPr="00306115">
        <w:t>P</w:t>
      </w:r>
      <w:r w:rsidR="00994B01" w:rsidRPr="00306115">
        <w:t>rosedur Manajemen Risiko;</w:t>
      </w:r>
    </w:p>
    <w:p w14:paraId="1B88211D" w14:textId="7F4F188B" w:rsidR="00994B01" w:rsidRPr="00306115" w:rsidRDefault="00A05559">
      <w:pPr>
        <w:pStyle w:val="HeadingAwalDaftarIsiLampiran"/>
        <w:numPr>
          <w:ilvl w:val="0"/>
          <w:numId w:val="44"/>
        </w:numPr>
        <w:ind w:left="1134" w:hanging="567"/>
      </w:pPr>
      <w:r w:rsidRPr="00306115">
        <w:t>K</w:t>
      </w:r>
      <w:r w:rsidR="00994B01" w:rsidRPr="00306115">
        <w:t xml:space="preserve">ecukupan </w:t>
      </w:r>
      <w:r w:rsidRPr="00306115">
        <w:t>P</w:t>
      </w:r>
      <w:r w:rsidR="00994B01" w:rsidRPr="00306115">
        <w:t xml:space="preserve">roses </w:t>
      </w:r>
      <w:r w:rsidRPr="00306115">
        <w:t>I</w:t>
      </w:r>
      <w:r w:rsidR="00994B01" w:rsidRPr="00306115">
        <w:t xml:space="preserve">dentifikasi, </w:t>
      </w:r>
      <w:r w:rsidRPr="00306115">
        <w:t>P</w:t>
      </w:r>
      <w:r w:rsidR="00994B01" w:rsidRPr="00306115">
        <w:t xml:space="preserve">engukuran, </w:t>
      </w:r>
      <w:r w:rsidRPr="00306115">
        <w:t>P</w:t>
      </w:r>
      <w:r w:rsidR="00994B01" w:rsidRPr="00306115">
        <w:t xml:space="preserve">emantauan, dan </w:t>
      </w:r>
      <w:r w:rsidR="00425CB7" w:rsidRPr="00306115">
        <w:t>P</w:t>
      </w:r>
      <w:r w:rsidR="00AB4916" w:rsidRPr="00306115">
        <w:t xml:space="preserve">engendalian </w:t>
      </w:r>
      <w:r w:rsidR="00425CB7" w:rsidRPr="00306115">
        <w:t>R</w:t>
      </w:r>
      <w:r w:rsidR="00AB4916" w:rsidRPr="00306115">
        <w:t>isiko; dan</w:t>
      </w:r>
    </w:p>
    <w:p w14:paraId="2ED0AF0C" w14:textId="56F9D634" w:rsidR="00AB4916" w:rsidRPr="00306115" w:rsidRDefault="00A05559">
      <w:pPr>
        <w:pStyle w:val="HeadingAwalDaftarIsiLampiran"/>
        <w:numPr>
          <w:ilvl w:val="0"/>
          <w:numId w:val="44"/>
        </w:numPr>
        <w:ind w:left="1134" w:hanging="567"/>
      </w:pPr>
      <w:r w:rsidRPr="00306115">
        <w:t>S</w:t>
      </w:r>
      <w:r w:rsidR="00AB4916" w:rsidRPr="00306115">
        <w:t xml:space="preserve">istem </w:t>
      </w:r>
      <w:r w:rsidRPr="00306115">
        <w:t>P</w:t>
      </w:r>
      <w:r w:rsidR="00AB4916" w:rsidRPr="00306115">
        <w:t xml:space="preserve">engendalian </w:t>
      </w:r>
      <w:r w:rsidRPr="00306115">
        <w:t>I</w:t>
      </w:r>
      <w:r w:rsidR="00AB4916" w:rsidRPr="00306115">
        <w:t xml:space="preserve">nternal yang </w:t>
      </w:r>
      <w:r w:rsidRPr="00306115">
        <w:t>M</w:t>
      </w:r>
      <w:r w:rsidR="00AB4916" w:rsidRPr="00306115">
        <w:t>enyeluruh.</w:t>
      </w:r>
    </w:p>
    <w:p w14:paraId="4FEDF5EE" w14:textId="77777777" w:rsidR="00AB4916" w:rsidRPr="00306115" w:rsidRDefault="00AB4916" w:rsidP="00AB4916">
      <w:pPr>
        <w:pStyle w:val="HeadingAwalDaftarIsiLampiran"/>
        <w:numPr>
          <w:ilvl w:val="0"/>
          <w:numId w:val="0"/>
        </w:numPr>
        <w:ind w:left="567"/>
      </w:pPr>
    </w:p>
    <w:p w14:paraId="6CDDEBEC" w14:textId="356CC85D" w:rsidR="00AB4916" w:rsidRPr="00306115" w:rsidRDefault="00AB4916" w:rsidP="00772E94">
      <w:pPr>
        <w:pStyle w:val="HeadingAwalDaftarIsiLampiran"/>
        <w:numPr>
          <w:ilvl w:val="0"/>
          <w:numId w:val="0"/>
        </w:numPr>
        <w:ind w:left="567"/>
      </w:pPr>
      <w:r w:rsidRPr="00306115">
        <w:t xml:space="preserve">Prinsip Manajemen </w:t>
      </w:r>
      <w:r w:rsidR="00772E94" w:rsidRPr="00306115">
        <w:t>Risiko dari masing-masing pilar tersebut diuraikan sebagai berikut:</w:t>
      </w:r>
    </w:p>
    <w:p w14:paraId="36569616" w14:textId="7FD333F8" w:rsidR="004C7586" w:rsidRPr="00306115" w:rsidRDefault="005F58E5">
      <w:pPr>
        <w:pStyle w:val="HeadingAwalDaftarIsiLampiran"/>
        <w:numPr>
          <w:ilvl w:val="0"/>
          <w:numId w:val="43"/>
        </w:numPr>
        <w:ind w:left="1134" w:hanging="567"/>
      </w:pPr>
      <w:r w:rsidRPr="00306115">
        <w:t>Pengawasan Aktif Direksi dan Dewan Komisaris</w:t>
      </w:r>
    </w:p>
    <w:p w14:paraId="4052B338" w14:textId="294F6556" w:rsidR="00683EF6" w:rsidRPr="00306115" w:rsidRDefault="009A26E7" w:rsidP="00683EF6">
      <w:pPr>
        <w:pStyle w:val="HeadingAwalDaftarIsiLampiran"/>
        <w:numPr>
          <w:ilvl w:val="0"/>
          <w:numId w:val="0"/>
        </w:numPr>
        <w:ind w:left="1134"/>
      </w:pPr>
      <w:r w:rsidRPr="00306115">
        <w:t xml:space="preserve">Direksi dan Dewan Komisaris bertanggung jawab atas efektivitas penerapan Manajemen Risiko di Manajer Investasi. Untuk itu Direksi dan Dewan Komisaris harus memahami </w:t>
      </w:r>
      <w:r w:rsidRPr="00306115">
        <w:rPr>
          <w:lang w:val="en-GB"/>
        </w:rPr>
        <w:t>r</w:t>
      </w:r>
      <w:r w:rsidRPr="00306115">
        <w:t>isiko yang dihadapi Manajer Investasi dan memberikan arahan yang jelas, melakukan pengawasan dan mitigasi secara aktif</w:t>
      </w:r>
      <w:r w:rsidRPr="00306115">
        <w:rPr>
          <w:lang w:val="en-GB"/>
        </w:rPr>
        <w:t xml:space="preserve">, </w:t>
      </w:r>
      <w:r w:rsidRPr="00306115">
        <w:t xml:space="preserve">serta mengembangkan budaya Manajemen Risiko di Manajer Investasi. </w:t>
      </w:r>
      <w:r w:rsidRPr="00306115">
        <w:rPr>
          <w:lang w:val="en-GB"/>
        </w:rPr>
        <w:t>Disamping itu,</w:t>
      </w:r>
      <w:r w:rsidRPr="00306115">
        <w:t xml:space="preserve"> Direksi dan Dewan Komisaris juga harus memastikan struktur organisasi yang memadai, menetapkan tugas dan tanggung jawab yang jelas pada masing-masing unit, serta memastikan kecukupan kuantitas dan kualitas sumber </w:t>
      </w:r>
      <w:r w:rsidR="00AD6B89" w:rsidRPr="00306115">
        <w:t>d</w:t>
      </w:r>
      <w:r w:rsidRPr="00306115">
        <w:t xml:space="preserve">aya </w:t>
      </w:r>
      <w:r w:rsidR="00AD6B89" w:rsidRPr="00306115">
        <w:t>m</w:t>
      </w:r>
      <w:r w:rsidRPr="00306115">
        <w:t>anusia untuk mendukung penerapan Manajemen Risiko secara efektif.</w:t>
      </w:r>
    </w:p>
    <w:p w14:paraId="07F74964" w14:textId="2D5C0D6E" w:rsidR="00AD6B89" w:rsidRPr="00306115" w:rsidRDefault="00454D71" w:rsidP="00683EF6">
      <w:pPr>
        <w:pStyle w:val="HeadingAwalDaftarIsiLampiran"/>
        <w:numPr>
          <w:ilvl w:val="0"/>
          <w:numId w:val="0"/>
        </w:numPr>
        <w:ind w:left="1134"/>
        <w:rPr>
          <w:lang w:val="en-GB"/>
        </w:rPr>
      </w:pPr>
      <w:r w:rsidRPr="00306115">
        <w:t xml:space="preserve">Hal yang perlu diperhatikan dalam pelaksanaan pengawasan </w:t>
      </w:r>
      <w:r w:rsidRPr="00306115">
        <w:rPr>
          <w:lang w:val="en-US"/>
        </w:rPr>
        <w:t xml:space="preserve">aktif </w:t>
      </w:r>
      <w:r w:rsidRPr="00306115">
        <w:t xml:space="preserve">Direksi dan Dewan Komisaris mencakup namun tidak terbatas </w:t>
      </w:r>
      <w:r w:rsidRPr="00306115">
        <w:rPr>
          <w:lang w:val="en-GB"/>
        </w:rPr>
        <w:t>pada:</w:t>
      </w:r>
    </w:p>
    <w:p w14:paraId="6A0F3E49" w14:textId="68177083" w:rsidR="00454D71" w:rsidRPr="00306115" w:rsidRDefault="00454D71">
      <w:pPr>
        <w:pStyle w:val="HeadingAwalDaftarIsiLampiran"/>
        <w:numPr>
          <w:ilvl w:val="0"/>
          <w:numId w:val="45"/>
        </w:numPr>
        <w:ind w:left="1701" w:hanging="567"/>
      </w:pPr>
      <w:r w:rsidRPr="00306115">
        <w:rPr>
          <w:lang w:val="en-GB"/>
        </w:rPr>
        <w:t>Kewenangan dan Tanggung Jawab Direksi dan Dewan Komisaris</w:t>
      </w:r>
    </w:p>
    <w:p w14:paraId="68008C4C" w14:textId="6EE35B09" w:rsidR="00286DE4" w:rsidRPr="00306115" w:rsidRDefault="00862D7E">
      <w:pPr>
        <w:pStyle w:val="HeadingAwalDaftarIsiLampiran"/>
        <w:numPr>
          <w:ilvl w:val="0"/>
          <w:numId w:val="46"/>
        </w:numPr>
        <w:ind w:left="2268" w:hanging="567"/>
      </w:pPr>
      <w:r w:rsidRPr="00306115">
        <w:t>Direksi dan Dewan Komisaris bertanggung jawab untuk memastikan penerapan  Manajemen Risiko telah memadai sesuai dengan ukuran</w:t>
      </w:r>
      <w:r w:rsidRPr="00306115">
        <w:rPr>
          <w:lang w:val="en-US"/>
        </w:rPr>
        <w:t>,</w:t>
      </w:r>
      <w:r w:rsidRPr="00306115">
        <w:t xml:space="preserve"> kompleksitas usaha</w:t>
      </w:r>
      <w:r w:rsidRPr="00306115">
        <w:rPr>
          <w:lang w:val="en-US"/>
        </w:rPr>
        <w:t xml:space="preserve">, </w:t>
      </w:r>
      <w:r w:rsidRPr="00306115">
        <w:t xml:space="preserve">kemampuan, dan profil </w:t>
      </w:r>
      <w:r w:rsidRPr="00306115">
        <w:rPr>
          <w:lang w:val="en-GB"/>
        </w:rPr>
        <w:t>r</w:t>
      </w:r>
      <w:r w:rsidRPr="00306115">
        <w:t>isiko Manajer Investasi.</w:t>
      </w:r>
    </w:p>
    <w:p w14:paraId="606219F2" w14:textId="1A25C45D" w:rsidR="00862D7E" w:rsidRPr="00306115" w:rsidRDefault="008227CD">
      <w:pPr>
        <w:pStyle w:val="HeadingAwalDaftarIsiLampiran"/>
        <w:numPr>
          <w:ilvl w:val="0"/>
          <w:numId w:val="46"/>
        </w:numPr>
        <w:ind w:left="2268" w:hanging="567"/>
      </w:pPr>
      <w:r w:rsidRPr="00306115">
        <w:t xml:space="preserve">Direksi dan Dewan Komisaris harus memahami dengan baik jenis dan tingkat </w:t>
      </w:r>
      <w:r w:rsidRPr="00306115">
        <w:rPr>
          <w:lang w:val="en-GB"/>
        </w:rPr>
        <w:t>r</w:t>
      </w:r>
      <w:r w:rsidRPr="00306115">
        <w:t>isiko yang melekat pada setiap aktivitas fungsional dari Produk Investasi dan Manajer Investasi.</w:t>
      </w:r>
    </w:p>
    <w:p w14:paraId="0F565FBC" w14:textId="5869CD0B" w:rsidR="008227CD" w:rsidRPr="00306115" w:rsidRDefault="009A69CA">
      <w:pPr>
        <w:pStyle w:val="HeadingAwalDaftarIsiLampiran"/>
        <w:numPr>
          <w:ilvl w:val="0"/>
          <w:numId w:val="46"/>
        </w:numPr>
        <w:ind w:left="2268" w:hanging="567"/>
      </w:pPr>
      <w:r w:rsidRPr="00306115">
        <w:t>We</w:t>
      </w:r>
      <w:r w:rsidR="005E0B03" w:rsidRPr="00306115">
        <w:t xml:space="preserve">wenang dan tanggung jawab Direksi, </w:t>
      </w:r>
      <w:r w:rsidR="002E6CA9" w:rsidRPr="00306115">
        <w:t>antara lain</w:t>
      </w:r>
      <w:r w:rsidR="005E0B03" w:rsidRPr="00306115">
        <w:t>:</w:t>
      </w:r>
    </w:p>
    <w:p w14:paraId="3C1A91DE" w14:textId="261A8181" w:rsidR="005E0B03" w:rsidRPr="00306115" w:rsidRDefault="00CE504E">
      <w:pPr>
        <w:pStyle w:val="HeadingAwalDaftarIsiLampiran"/>
        <w:numPr>
          <w:ilvl w:val="0"/>
          <w:numId w:val="47"/>
        </w:numPr>
        <w:ind w:left="2835" w:hanging="567"/>
      </w:pPr>
      <w:r w:rsidRPr="00306115">
        <w:t xml:space="preserve">menyusun kebijakan dan strategi Manajemen Risiko secara tertulis dan komprehensif termasuk limit </w:t>
      </w:r>
      <w:r w:rsidRPr="00306115">
        <w:rPr>
          <w:lang w:val="en-GB"/>
        </w:rPr>
        <w:t>r</w:t>
      </w:r>
      <w:r w:rsidRPr="00306115">
        <w:t xml:space="preserve">isiko secara keseluruhan dan per jenis </w:t>
      </w:r>
      <w:r w:rsidRPr="00306115">
        <w:rPr>
          <w:lang w:val="en-GB"/>
        </w:rPr>
        <w:t>r</w:t>
      </w:r>
      <w:r w:rsidRPr="00306115">
        <w:t xml:space="preserve">isiko, dengan memperhatikan tingkat </w:t>
      </w:r>
      <w:r w:rsidRPr="00306115">
        <w:rPr>
          <w:lang w:val="en-GB"/>
        </w:rPr>
        <w:t>r</w:t>
      </w:r>
      <w:r w:rsidRPr="00306115">
        <w:t>isiko yang akan diambil (</w:t>
      </w:r>
      <w:r w:rsidRPr="00306115">
        <w:rPr>
          <w:i/>
          <w:iCs/>
        </w:rPr>
        <w:t>risk appetite</w:t>
      </w:r>
      <w:r w:rsidRPr="00306115">
        <w:t xml:space="preserve">) dan toleransi </w:t>
      </w:r>
      <w:r w:rsidRPr="00306115">
        <w:rPr>
          <w:lang w:val="en-GB"/>
        </w:rPr>
        <w:t>r</w:t>
      </w:r>
      <w:r w:rsidRPr="00306115">
        <w:t>isiko (</w:t>
      </w:r>
      <w:r w:rsidRPr="00306115">
        <w:rPr>
          <w:i/>
          <w:iCs/>
        </w:rPr>
        <w:t>risk tolerance</w:t>
      </w:r>
      <w:r w:rsidRPr="00306115">
        <w:t>) sesuai kondisi Manajer Investasi</w:t>
      </w:r>
      <w:r w:rsidRPr="00306115">
        <w:rPr>
          <w:lang w:val="en-GB"/>
        </w:rPr>
        <w:t xml:space="preserve">, </w:t>
      </w:r>
      <w:r w:rsidRPr="00306115">
        <w:t xml:space="preserve">serta memperhitungkan dampak </w:t>
      </w:r>
      <w:r w:rsidRPr="00306115">
        <w:rPr>
          <w:lang w:val="en-GB"/>
        </w:rPr>
        <w:t>r</w:t>
      </w:r>
      <w:r w:rsidRPr="00306115">
        <w:t>isiko</w:t>
      </w:r>
      <w:r w:rsidRPr="00306115">
        <w:rPr>
          <w:lang w:val="en-GB"/>
        </w:rPr>
        <w:t xml:space="preserve"> terhadap </w:t>
      </w:r>
      <w:r w:rsidRPr="00306115">
        <w:rPr>
          <w:i/>
          <w:iCs/>
          <w:lang w:val="en-GB"/>
        </w:rPr>
        <w:t xml:space="preserve">going concern </w:t>
      </w:r>
      <w:r w:rsidRPr="00306115">
        <w:rPr>
          <w:lang w:val="en-GB"/>
        </w:rPr>
        <w:t>Manajer Investasi</w:t>
      </w:r>
      <w:r w:rsidR="00FA5B7E" w:rsidRPr="00306115">
        <w:rPr>
          <w:lang w:val="en-GB"/>
        </w:rPr>
        <w:t>;</w:t>
      </w:r>
    </w:p>
    <w:p w14:paraId="03BCD5DD" w14:textId="68D572BE" w:rsidR="001764AE" w:rsidRPr="00306115" w:rsidRDefault="007C73B3">
      <w:pPr>
        <w:pStyle w:val="HeadingAwalDaftarIsiLampiran"/>
        <w:numPr>
          <w:ilvl w:val="0"/>
          <w:numId w:val="47"/>
        </w:numPr>
        <w:ind w:left="2835" w:hanging="567"/>
      </w:pPr>
      <w:r w:rsidRPr="00306115">
        <w:t>bertanggung jawab atas pelaksanaan kebijakan dan strategi Manajemen Risiko yang telah disetujui oleh Dewan Komisaris</w:t>
      </w:r>
      <w:r w:rsidR="004C2BA6" w:rsidRPr="00306115">
        <w:t xml:space="preserve"> dan</w:t>
      </w:r>
      <w:r w:rsidR="004C2BA6" w:rsidRPr="00306115">
        <w:rPr>
          <w:lang w:val="en-GB"/>
        </w:rPr>
        <w:t xml:space="preserve"> eksposur risiko yang diambil oleh Manajer Investasi secara keseluruhan</w:t>
      </w:r>
      <w:r w:rsidRPr="00306115">
        <w:rPr>
          <w:lang w:val="en-GB"/>
        </w:rPr>
        <w:t xml:space="preserve">, </w:t>
      </w:r>
      <w:r w:rsidRPr="00306115">
        <w:t xml:space="preserve">serta mengevaluasi dan memberikan arahan berdasarkan laporan yang disampaikan oleh fungsi </w:t>
      </w:r>
      <w:r w:rsidR="001008B5" w:rsidRPr="00306115">
        <w:t>M</w:t>
      </w:r>
      <w:r w:rsidRPr="00306115">
        <w:t xml:space="preserve">anajemen </w:t>
      </w:r>
      <w:r w:rsidR="001008B5" w:rsidRPr="00306115">
        <w:t>R</w:t>
      </w:r>
      <w:r w:rsidRPr="00306115">
        <w:t xml:space="preserve">isiko termasuk laporan mengenai profil </w:t>
      </w:r>
      <w:r w:rsidRPr="00306115">
        <w:rPr>
          <w:lang w:val="en-GB"/>
        </w:rPr>
        <w:t>r</w:t>
      </w:r>
      <w:r w:rsidRPr="00306115">
        <w:t>isiko</w:t>
      </w:r>
      <w:r w:rsidR="000B2FDB" w:rsidRPr="00306115">
        <w:t>;</w:t>
      </w:r>
    </w:p>
    <w:p w14:paraId="64305B74" w14:textId="147BD086" w:rsidR="000B2FDB" w:rsidRPr="00306115" w:rsidRDefault="00BE712E">
      <w:pPr>
        <w:pStyle w:val="HeadingAwalDaftarIsiLampiran"/>
        <w:numPr>
          <w:ilvl w:val="0"/>
          <w:numId w:val="47"/>
        </w:numPr>
        <w:ind w:left="2835" w:hanging="567"/>
      </w:pPr>
      <w:r w:rsidRPr="00306115">
        <w:t>menyusun, menetapkan, dan mengkinikan metode, sistem</w:t>
      </w:r>
      <w:r w:rsidRPr="00306115">
        <w:rPr>
          <w:lang w:val="en-GB"/>
        </w:rPr>
        <w:t>,</w:t>
      </w:r>
      <w:r w:rsidRPr="00306115">
        <w:t xml:space="preserve"> atau prosedur yang digunakan untuk </w:t>
      </w:r>
      <w:r w:rsidRPr="00306115">
        <w:lastRenderedPageBreak/>
        <w:t xml:space="preserve">mengidentifikasi, mengukur, memonitor, dan mengendalikan </w:t>
      </w:r>
      <w:r w:rsidRPr="00306115">
        <w:rPr>
          <w:lang w:val="en-GB"/>
        </w:rPr>
        <w:t>r</w:t>
      </w:r>
      <w:r w:rsidRPr="00306115">
        <w:t>isiko;</w:t>
      </w:r>
    </w:p>
    <w:p w14:paraId="064CA842" w14:textId="77777777" w:rsidR="0075040C" w:rsidRPr="00306115" w:rsidRDefault="0075040C">
      <w:pPr>
        <w:pStyle w:val="HeadingAwalDaftarIsiLampiran"/>
        <w:numPr>
          <w:ilvl w:val="0"/>
          <w:numId w:val="47"/>
        </w:numPr>
        <w:ind w:left="2835" w:hanging="567"/>
      </w:pPr>
      <w:r w:rsidRPr="00306115">
        <w:t>mengevaluasi dan/atau mengkinikan kebijakan, strategi, dan prosedur</w:t>
      </w:r>
      <w:r w:rsidRPr="00306115">
        <w:rPr>
          <w:lang w:val="en-US"/>
        </w:rPr>
        <w:t xml:space="preserve"> </w:t>
      </w:r>
      <w:r w:rsidRPr="00306115">
        <w:t>Manajemen Risiko paling sedikit 1 (satu) kali dalam 1 (satu) tahun</w:t>
      </w:r>
      <w:r w:rsidRPr="00306115">
        <w:rPr>
          <w:lang w:val="en-GB"/>
        </w:rPr>
        <w:t>,</w:t>
      </w:r>
      <w:r w:rsidRPr="00306115">
        <w:t xml:space="preserve"> atau dalam frekuensi yang lebih sering dalam hal terdapat perubahan faktor yang mempengaruhi kegiatan usaha Manajer Investasi, eksposur </w:t>
      </w:r>
      <w:r w:rsidRPr="00306115">
        <w:rPr>
          <w:lang w:val="en-GB"/>
        </w:rPr>
        <w:t>r</w:t>
      </w:r>
      <w:r w:rsidRPr="00306115">
        <w:t xml:space="preserve">isiko, dan/atau profil </w:t>
      </w:r>
      <w:r w:rsidRPr="00306115">
        <w:rPr>
          <w:lang w:val="en-GB"/>
        </w:rPr>
        <w:t>r</w:t>
      </w:r>
      <w:r w:rsidRPr="00306115">
        <w:t>isiko secara signifikan;</w:t>
      </w:r>
    </w:p>
    <w:p w14:paraId="28C00B60" w14:textId="5B92E50D" w:rsidR="00C0596C" w:rsidRPr="00306115" w:rsidRDefault="008175F5">
      <w:pPr>
        <w:pStyle w:val="HeadingAwalDaftarIsiLampiran"/>
        <w:numPr>
          <w:ilvl w:val="0"/>
          <w:numId w:val="47"/>
        </w:numPr>
        <w:ind w:left="2835" w:hanging="567"/>
      </w:pPr>
      <w:r w:rsidRPr="00306115">
        <w:t>memastikan fungsi Manajemen Risiko telah beroperasi secara independen</w:t>
      </w:r>
      <w:r w:rsidR="00265DFF" w:rsidRPr="00306115">
        <w:t>;</w:t>
      </w:r>
    </w:p>
    <w:p w14:paraId="57F49AAE" w14:textId="5E5D0E8D" w:rsidR="00265DFF" w:rsidRPr="00306115" w:rsidRDefault="00F87D26">
      <w:pPr>
        <w:pStyle w:val="HeadingAwalDaftarIsiLampiran"/>
        <w:numPr>
          <w:ilvl w:val="0"/>
          <w:numId w:val="47"/>
        </w:numPr>
        <w:ind w:left="2835" w:hanging="567"/>
      </w:pPr>
      <w:r w:rsidRPr="00306115">
        <w:t>menetapkan struktur organisasi, termasuk wewenang dan tanggung jawab yang jelas pada setiap jenjang jabatan yang terkait dengan penerapan Manajemen Risiko;</w:t>
      </w:r>
    </w:p>
    <w:p w14:paraId="423F943F" w14:textId="4C0D88BA" w:rsidR="00F87D26" w:rsidRPr="00306115" w:rsidRDefault="00906732">
      <w:pPr>
        <w:pStyle w:val="HeadingAwalDaftarIsiLampiran"/>
        <w:numPr>
          <w:ilvl w:val="0"/>
          <w:numId w:val="47"/>
        </w:numPr>
        <w:ind w:left="2835" w:hanging="567"/>
      </w:pPr>
      <w:r w:rsidRPr="00306115">
        <w:t xml:space="preserve">memastikan </w:t>
      </w:r>
      <w:r w:rsidRPr="00306115">
        <w:rPr>
          <w:lang w:val="en-GB"/>
        </w:rPr>
        <w:t xml:space="preserve">bahwa </w:t>
      </w:r>
      <w:r w:rsidRPr="00306115">
        <w:t xml:space="preserve">seluruh </w:t>
      </w:r>
      <w:r w:rsidRPr="00306115">
        <w:rPr>
          <w:lang w:val="en-GB"/>
        </w:rPr>
        <w:t>r</w:t>
      </w:r>
      <w:r w:rsidRPr="00306115">
        <w:t xml:space="preserve">isiko yang material dan dampak yang ditimbulkan oleh </w:t>
      </w:r>
      <w:r w:rsidRPr="00306115">
        <w:rPr>
          <w:lang w:val="en-GB"/>
        </w:rPr>
        <w:t>r</w:t>
      </w:r>
      <w:r w:rsidRPr="00306115">
        <w:t xml:space="preserve">isiko dimaksud telah ditindaklanjuti dan menyampaikan laporan pertanggungjawaban kepada Dewan Komisaris secara berkala, antara lain memuat laporan perkembangan dan permasalahan terkait </w:t>
      </w:r>
      <w:r w:rsidRPr="00306115">
        <w:rPr>
          <w:lang w:val="en-GB"/>
        </w:rPr>
        <w:t>r</w:t>
      </w:r>
      <w:r w:rsidRPr="00306115">
        <w:t>isiko yang material disertai langkah-langkah perbaikan yang telah, sedang, dan akan dilakukan;</w:t>
      </w:r>
    </w:p>
    <w:p w14:paraId="2F31F8A8" w14:textId="0FCB0EEC" w:rsidR="00906732" w:rsidRPr="00306115" w:rsidRDefault="007E37CE">
      <w:pPr>
        <w:pStyle w:val="HeadingAwalDaftarIsiLampiran"/>
        <w:numPr>
          <w:ilvl w:val="0"/>
          <w:numId w:val="47"/>
        </w:numPr>
        <w:ind w:left="2835" w:hanging="567"/>
      </w:pPr>
      <w:r w:rsidRPr="00306115">
        <w:t>memastikan pelaksanaan langkah-langkah perbaikan atas permasalahan atau penyimpangan dalam kegiatan usaha Manajer Investasi yang ditemukan dalam pelaksanaan fungsi audit internal;</w:t>
      </w:r>
    </w:p>
    <w:p w14:paraId="637E2A21" w14:textId="6DAF4E19" w:rsidR="007E37CE" w:rsidRPr="00306115" w:rsidRDefault="000E3BE5">
      <w:pPr>
        <w:pStyle w:val="HeadingAwalDaftarIsiLampiran"/>
        <w:numPr>
          <w:ilvl w:val="0"/>
          <w:numId w:val="47"/>
        </w:numPr>
        <w:ind w:left="2835" w:hanging="567"/>
      </w:pPr>
      <w:r w:rsidRPr="00306115">
        <w:t xml:space="preserve">mengembangkan budaya Manajemen Risiko termasuk kesadaran </w:t>
      </w:r>
      <w:r w:rsidRPr="00306115">
        <w:rPr>
          <w:lang w:val="en-GB"/>
        </w:rPr>
        <w:t>r</w:t>
      </w:r>
      <w:r w:rsidRPr="00306115">
        <w:t>isiko pada seluruh jenjang organisasi antara lain meliputi komunikasi yang memadai kepada seluruh jenjang organisasi tentang pentingnya pengendalian internal yang efektif;</w:t>
      </w:r>
    </w:p>
    <w:p w14:paraId="282C1594" w14:textId="3172BF13" w:rsidR="000E3BE5" w:rsidRPr="00306115" w:rsidRDefault="009775DB">
      <w:pPr>
        <w:pStyle w:val="HeadingAwalDaftarIsiLampiran"/>
        <w:numPr>
          <w:ilvl w:val="0"/>
          <w:numId w:val="47"/>
        </w:numPr>
        <w:ind w:left="2835" w:hanging="567"/>
      </w:pPr>
      <w:r w:rsidRPr="00306115">
        <w:t xml:space="preserve">memastikan kecukupan dukungan sumber daya untuk mengelola dan mengendalikan </w:t>
      </w:r>
      <w:r w:rsidRPr="00306115">
        <w:rPr>
          <w:lang w:val="en-GB"/>
        </w:rPr>
        <w:t>r</w:t>
      </w:r>
      <w:r w:rsidRPr="00306115">
        <w:t xml:space="preserve">isiko </w:t>
      </w:r>
      <w:r w:rsidRPr="00306115">
        <w:rPr>
          <w:lang w:val="en-GB"/>
        </w:rPr>
        <w:t xml:space="preserve">serta </w:t>
      </w:r>
      <w:r w:rsidRPr="00306115">
        <w:t>memastikan peningkatan kompetensi sumber daya manusia yang terkait dengan Manajemen Risiko;</w:t>
      </w:r>
    </w:p>
    <w:p w14:paraId="608E55D6" w14:textId="1D2CD651" w:rsidR="009775DB" w:rsidRPr="00306115" w:rsidRDefault="00B6113D">
      <w:pPr>
        <w:pStyle w:val="HeadingAwalDaftarIsiLampiran"/>
        <w:numPr>
          <w:ilvl w:val="0"/>
          <w:numId w:val="47"/>
        </w:numPr>
        <w:ind w:left="2835" w:hanging="567"/>
      </w:pPr>
      <w:r w:rsidRPr="00306115">
        <w:rPr>
          <w:lang w:val="en-US"/>
        </w:rPr>
        <w:t>melaksanakan kaji ulang secara berkala paling sedikit 1 (satu) kali dalam 1 (satu) tahun untuk memastikan:</w:t>
      </w:r>
    </w:p>
    <w:p w14:paraId="531F0611" w14:textId="64CAA373" w:rsidR="00B6113D" w:rsidRPr="00306115" w:rsidRDefault="008566FE">
      <w:pPr>
        <w:pStyle w:val="HeadingAwalDaftarIsiLampiran"/>
        <w:numPr>
          <w:ilvl w:val="0"/>
          <w:numId w:val="48"/>
        </w:numPr>
        <w:ind w:left="3402" w:hanging="567"/>
      </w:pPr>
      <w:r w:rsidRPr="00306115">
        <w:rPr>
          <w:lang w:val="en-US"/>
        </w:rPr>
        <w:t>keakuratan metodologi penilaian risiko;</w:t>
      </w:r>
    </w:p>
    <w:p w14:paraId="49E8754F" w14:textId="24123389" w:rsidR="008566FE" w:rsidRPr="00306115" w:rsidRDefault="001E730D">
      <w:pPr>
        <w:pStyle w:val="HeadingAwalDaftarIsiLampiran"/>
        <w:numPr>
          <w:ilvl w:val="0"/>
          <w:numId w:val="48"/>
        </w:numPr>
        <w:ind w:left="3402" w:hanging="567"/>
      </w:pPr>
      <w:r w:rsidRPr="00306115">
        <w:rPr>
          <w:lang w:val="en-US"/>
        </w:rPr>
        <w:t>kecukupan implementasi sistem informasi Manajemen Risiko; dan</w:t>
      </w:r>
    </w:p>
    <w:p w14:paraId="3714B771" w14:textId="19569E6E" w:rsidR="001E730D" w:rsidRPr="00306115" w:rsidRDefault="00FC348E">
      <w:pPr>
        <w:pStyle w:val="HeadingAwalDaftarIsiLampiran"/>
        <w:numPr>
          <w:ilvl w:val="0"/>
          <w:numId w:val="48"/>
        </w:numPr>
        <w:ind w:left="3402" w:hanging="567"/>
      </w:pPr>
      <w:r w:rsidRPr="00306115">
        <w:rPr>
          <w:lang w:val="en-US"/>
        </w:rPr>
        <w:t>ketepatan kebijakan dan prosedur Manajemen Risiko serta penetapan limit risiko</w:t>
      </w:r>
      <w:r w:rsidR="006425B1" w:rsidRPr="00306115">
        <w:rPr>
          <w:lang w:val="en-US"/>
        </w:rPr>
        <w:t>; dan</w:t>
      </w:r>
    </w:p>
    <w:p w14:paraId="7678E43E" w14:textId="4A740AD0" w:rsidR="006425B1" w:rsidRPr="00306115" w:rsidRDefault="00D837FA">
      <w:pPr>
        <w:pStyle w:val="HeadingAwalDaftarIsiLampiran"/>
        <w:numPr>
          <w:ilvl w:val="0"/>
          <w:numId w:val="47"/>
        </w:numPr>
        <w:ind w:left="2835" w:hanging="567"/>
      </w:pPr>
      <w:r w:rsidRPr="00306115">
        <w:t>mengevaluasi dan memutuskan transaksi yang memerlukan persetujuan Direksi.</w:t>
      </w:r>
    </w:p>
    <w:p w14:paraId="53BB3117" w14:textId="1467B0DE" w:rsidR="00D837FA" w:rsidRPr="00306115" w:rsidRDefault="009A69CA">
      <w:pPr>
        <w:pStyle w:val="HeadingAwalDaftarIsiLampiran"/>
        <w:numPr>
          <w:ilvl w:val="0"/>
          <w:numId w:val="46"/>
        </w:numPr>
        <w:ind w:left="2268" w:hanging="567"/>
      </w:pPr>
      <w:r w:rsidRPr="00306115">
        <w:t>W</w:t>
      </w:r>
      <w:r w:rsidR="002B1F52" w:rsidRPr="00306115">
        <w:t xml:space="preserve">ewenang dan tanggung jawab Dewan Komisaris, </w:t>
      </w:r>
      <w:r w:rsidR="000E27AF" w:rsidRPr="00306115">
        <w:t>antara lain:</w:t>
      </w:r>
    </w:p>
    <w:p w14:paraId="6E1F38A4" w14:textId="3A1E3327" w:rsidR="00763153" w:rsidRPr="00306115" w:rsidRDefault="00763153">
      <w:pPr>
        <w:pStyle w:val="HeadingAwalDaftarIsiLampiran"/>
        <w:numPr>
          <w:ilvl w:val="0"/>
          <w:numId w:val="49"/>
        </w:numPr>
        <w:ind w:left="2835" w:hanging="567"/>
      </w:pPr>
      <w:r w:rsidRPr="00306115">
        <w:t xml:space="preserve">menyetujui kebijakan Manajemen Risiko yang ditetapkan sesuai dengan tingkat </w:t>
      </w:r>
      <w:r w:rsidRPr="00306115">
        <w:rPr>
          <w:lang w:val="en-GB"/>
        </w:rPr>
        <w:t>r</w:t>
      </w:r>
      <w:r w:rsidRPr="00306115">
        <w:t>isiko yang akan diambil (</w:t>
      </w:r>
      <w:r w:rsidRPr="00306115">
        <w:rPr>
          <w:i/>
          <w:iCs/>
        </w:rPr>
        <w:t>risk appetite</w:t>
      </w:r>
      <w:r w:rsidRPr="00306115">
        <w:t xml:space="preserve">) dan toleransi </w:t>
      </w:r>
      <w:r w:rsidRPr="00306115">
        <w:rPr>
          <w:lang w:val="en-GB"/>
        </w:rPr>
        <w:t>r</w:t>
      </w:r>
      <w:r w:rsidRPr="00306115">
        <w:t>isiko (</w:t>
      </w:r>
      <w:r w:rsidRPr="00306115">
        <w:rPr>
          <w:i/>
          <w:iCs/>
        </w:rPr>
        <w:t>risk tolerance</w:t>
      </w:r>
      <w:r w:rsidRPr="00306115">
        <w:t>) Manajer Investasi;</w:t>
      </w:r>
    </w:p>
    <w:p w14:paraId="326CEA38" w14:textId="353EB71D" w:rsidR="00763153" w:rsidRPr="00306115" w:rsidRDefault="00A552C2">
      <w:pPr>
        <w:pStyle w:val="HeadingAwalDaftarIsiLampiran"/>
        <w:numPr>
          <w:ilvl w:val="0"/>
          <w:numId w:val="49"/>
        </w:numPr>
        <w:ind w:left="2835" w:hanging="567"/>
      </w:pPr>
      <w:r w:rsidRPr="00306115">
        <w:t xml:space="preserve">mengevaluasi kebijakan dan prosedur Manajemen Risiko paling sedikit 1 (satu) kali dalam 1 (satu) tahun atau dalam frekuensi yang lebih sering dalam hal </w:t>
      </w:r>
      <w:r w:rsidRPr="00306115">
        <w:lastRenderedPageBreak/>
        <w:t>terdapat perubahan faktor yang mempengaruhi kegiatan usaha Manajer Investasi secara signifikan</w:t>
      </w:r>
    </w:p>
    <w:p w14:paraId="041E0133" w14:textId="283188BC" w:rsidR="00D0338D" w:rsidRPr="00306115" w:rsidRDefault="00190844">
      <w:pPr>
        <w:pStyle w:val="HeadingAwalDaftarIsiLampiran"/>
        <w:numPr>
          <w:ilvl w:val="0"/>
          <w:numId w:val="49"/>
        </w:numPr>
        <w:ind w:left="2835" w:hanging="567"/>
      </w:pPr>
      <w:r w:rsidRPr="00306115">
        <w:t>b</w:t>
      </w:r>
      <w:r w:rsidR="00211E68" w:rsidRPr="00306115">
        <w:t>erdasarkan evaluasi sebagaimana dimaksud pada angka 2), dalam hal diperlukan, Dewan Komisaris dapat memberikan masukan atas kebijakan dan prosedur Manajemen Risiko secara menyeluruh; dan</w:t>
      </w:r>
    </w:p>
    <w:p w14:paraId="042BF28A" w14:textId="4A0B36CA" w:rsidR="00211E68" w:rsidRPr="00306115" w:rsidRDefault="00F71042">
      <w:pPr>
        <w:pStyle w:val="HeadingAwalDaftarIsiLampiran"/>
        <w:numPr>
          <w:ilvl w:val="0"/>
          <w:numId w:val="49"/>
        </w:numPr>
        <w:ind w:left="2835" w:hanging="567"/>
      </w:pPr>
      <w:r w:rsidRPr="00306115">
        <w:t>mengevaluasi pertanggungjawaban Direksi dan/atau memberikan arahan perbaikan atas pertanggungjawaban Direksi dalam pelaksanaan kebijakan dan prosedur Manajemen Risiko paling sedikit dilakukan 1 (satu) kali dalam 6 (enam) bulan</w:t>
      </w:r>
      <w:r w:rsidR="00594500" w:rsidRPr="00306115">
        <w:t>.</w:t>
      </w:r>
    </w:p>
    <w:p w14:paraId="66253FDE" w14:textId="663C3A56" w:rsidR="00454D71" w:rsidRPr="00306115" w:rsidRDefault="00454D71">
      <w:pPr>
        <w:pStyle w:val="HeadingAwalDaftarIsiLampiran"/>
        <w:numPr>
          <w:ilvl w:val="0"/>
          <w:numId w:val="45"/>
        </w:numPr>
        <w:ind w:left="1701" w:hanging="567"/>
      </w:pPr>
      <w:r w:rsidRPr="00306115">
        <w:rPr>
          <w:lang w:val="en-GB"/>
        </w:rPr>
        <w:t>Sumber Daya Manusia</w:t>
      </w:r>
    </w:p>
    <w:p w14:paraId="6CDA7DBF" w14:textId="2F96EA82" w:rsidR="00541FBD" w:rsidRPr="00306115" w:rsidRDefault="00541FBD" w:rsidP="00541FBD">
      <w:pPr>
        <w:pStyle w:val="HeadingAwalDaftarIsiLampiran"/>
        <w:numPr>
          <w:ilvl w:val="0"/>
          <w:numId w:val="0"/>
        </w:numPr>
        <w:ind w:left="1701"/>
      </w:pPr>
      <w:r w:rsidRPr="00306115">
        <w:t xml:space="preserve">Dalam rangka pelaksanaan tanggung jawab penerapan Manajemen Risiko terkait </w:t>
      </w:r>
      <w:r w:rsidR="00190844" w:rsidRPr="00306115">
        <w:t>sumber daya manusia</w:t>
      </w:r>
      <w:r w:rsidRPr="00306115">
        <w:t>, Direksi harus:</w:t>
      </w:r>
    </w:p>
    <w:p w14:paraId="2C146691" w14:textId="4BAF3AF8" w:rsidR="00190844" w:rsidRPr="00306115" w:rsidRDefault="00190844">
      <w:pPr>
        <w:pStyle w:val="HeadingAwalDaftarIsiLampiran"/>
        <w:numPr>
          <w:ilvl w:val="0"/>
          <w:numId w:val="50"/>
        </w:numPr>
        <w:ind w:left="2268" w:hanging="567"/>
      </w:pPr>
      <w:r w:rsidRPr="00306115">
        <w:t>menetapkan kualifikasi sumber daya manusia yang jelas untuk setiap jenjang jabatan yang terkait dengan pelaksanaan Manajemen Risiko</w:t>
      </w:r>
      <w:r w:rsidR="00DA0365" w:rsidRPr="00306115">
        <w:t>;</w:t>
      </w:r>
    </w:p>
    <w:p w14:paraId="798842C1" w14:textId="77515938" w:rsidR="00190844" w:rsidRPr="00306115" w:rsidRDefault="00BB055D">
      <w:pPr>
        <w:pStyle w:val="HeadingAwalDaftarIsiLampiran"/>
        <w:numPr>
          <w:ilvl w:val="0"/>
          <w:numId w:val="50"/>
        </w:numPr>
        <w:ind w:left="2268" w:hanging="567"/>
      </w:pPr>
      <w:r w:rsidRPr="00306115">
        <w:t>memastikan kecukupan kuantitas dan kualitas sumber daya manusia yang ada di Manajer Investasi dan memastikan sumber daya manusia dimaksud memahami tugas dan tanggung jawabnya</w:t>
      </w:r>
      <w:r w:rsidR="00DA0365" w:rsidRPr="00306115">
        <w:t>;</w:t>
      </w:r>
    </w:p>
    <w:p w14:paraId="5B022716" w14:textId="4386BF47" w:rsidR="00BB055D" w:rsidRPr="00306115" w:rsidRDefault="0089567D">
      <w:pPr>
        <w:pStyle w:val="HeadingAwalDaftarIsiLampiran"/>
        <w:numPr>
          <w:ilvl w:val="0"/>
          <w:numId w:val="50"/>
        </w:numPr>
        <w:ind w:left="2268" w:hanging="567"/>
      </w:pPr>
      <w:r w:rsidRPr="00306115">
        <w:t>m</w:t>
      </w:r>
      <w:r w:rsidR="00426229" w:rsidRPr="00306115">
        <w:t>engembangkan sistem penerimaan, pengembangan</w:t>
      </w:r>
      <w:r w:rsidR="00426229" w:rsidRPr="00306115">
        <w:rPr>
          <w:lang w:val="en-GB"/>
        </w:rPr>
        <w:t>,</w:t>
      </w:r>
      <w:r w:rsidR="00426229" w:rsidRPr="00306115">
        <w:t xml:space="preserve"> dan pelatihan sumber daya manusia termasuk rencana suksesi manajerial serta remunerasi yang memadai untuk memastikan  tersedianya sumber daya manusia yang kompeten di bidang Manajemen Risiko</w:t>
      </w:r>
      <w:r w:rsidR="00DA0365" w:rsidRPr="00306115">
        <w:t>;</w:t>
      </w:r>
    </w:p>
    <w:p w14:paraId="5599F7E8" w14:textId="7E71CE9A" w:rsidR="00426229" w:rsidRPr="00306115" w:rsidRDefault="006A44CF">
      <w:pPr>
        <w:pStyle w:val="HeadingAwalDaftarIsiLampiran"/>
        <w:numPr>
          <w:ilvl w:val="0"/>
          <w:numId w:val="50"/>
        </w:numPr>
        <w:ind w:left="2268" w:hanging="567"/>
      </w:pPr>
      <w:r w:rsidRPr="00306115">
        <w:t>m</w:t>
      </w:r>
      <w:r w:rsidR="0089567D" w:rsidRPr="00306115">
        <w:t xml:space="preserve">emastikan peningkatan kompetensi dan integritas </w:t>
      </w:r>
      <w:r w:rsidR="0053087F" w:rsidRPr="00306115">
        <w:t xml:space="preserve">sumber daya manusia </w:t>
      </w:r>
      <w:r w:rsidR="0089567D" w:rsidRPr="00306115">
        <w:rPr>
          <w:lang w:val="en-GB"/>
        </w:rPr>
        <w:t xml:space="preserve">pada </w:t>
      </w:r>
      <w:r w:rsidR="0089567D" w:rsidRPr="00306115">
        <w:t>unit kerja operasional (</w:t>
      </w:r>
      <w:r w:rsidR="0089567D" w:rsidRPr="00306115">
        <w:rPr>
          <w:i/>
        </w:rPr>
        <w:t>risk-taking unit</w:t>
      </w:r>
      <w:r w:rsidR="0089567D" w:rsidRPr="00306115">
        <w:t>), fungsi Manajemen Risiko, dan fungsi audit internal dengan memperhatikan faktor-faktor seperti pengetahuan, pengalaman atau rekam jejak, dan kemampuan yang memadai di bidang Manajemen Risiko melalui program pendidikan dan pelatihan yang berkesinambungan untuk menunjang efektivitas proses Manajemen Risiko</w:t>
      </w:r>
      <w:r w:rsidR="00DA0365" w:rsidRPr="00306115">
        <w:t>;</w:t>
      </w:r>
    </w:p>
    <w:p w14:paraId="65D58C5B" w14:textId="2364E9B3" w:rsidR="00A20377" w:rsidRPr="00306115" w:rsidRDefault="006A44CF">
      <w:pPr>
        <w:pStyle w:val="HeadingAwalDaftarIsiLampiran"/>
        <w:numPr>
          <w:ilvl w:val="0"/>
          <w:numId w:val="50"/>
        </w:numPr>
        <w:ind w:left="2268" w:hanging="567"/>
      </w:pPr>
      <w:r w:rsidRPr="00306115">
        <w:t>memastikan</w:t>
      </w:r>
      <w:r w:rsidRPr="00306115">
        <w:rPr>
          <w:lang w:val="en-US"/>
        </w:rPr>
        <w:t xml:space="preserve"> </w:t>
      </w:r>
      <w:r w:rsidRPr="00306115">
        <w:t>sumber daya manusia pada masing-masing unit kerja operasional (</w:t>
      </w:r>
      <w:r w:rsidRPr="00306115">
        <w:rPr>
          <w:i/>
        </w:rPr>
        <w:t>risk-taking unit</w:t>
      </w:r>
      <w:r w:rsidRPr="00306115">
        <w:t>) memiliki:</w:t>
      </w:r>
    </w:p>
    <w:p w14:paraId="2C56415A" w14:textId="765EC90D" w:rsidR="006A44CF" w:rsidRPr="00306115" w:rsidRDefault="00862418">
      <w:pPr>
        <w:pStyle w:val="HeadingAwalDaftarIsiLampiran"/>
        <w:numPr>
          <w:ilvl w:val="0"/>
          <w:numId w:val="51"/>
        </w:numPr>
        <w:ind w:left="2835" w:hanging="567"/>
      </w:pPr>
      <w:r w:rsidRPr="00306115">
        <w:t>pemahaman mengenai risiko yang melekat pada setiap produk dan/atau aktivitas Manajer Investasi;</w:t>
      </w:r>
    </w:p>
    <w:p w14:paraId="0ABF80D0" w14:textId="14DE2F27" w:rsidR="00862418" w:rsidRPr="00306115" w:rsidRDefault="005B561F">
      <w:pPr>
        <w:pStyle w:val="HeadingAwalDaftarIsiLampiran"/>
        <w:numPr>
          <w:ilvl w:val="0"/>
          <w:numId w:val="51"/>
        </w:numPr>
        <w:ind w:left="2835" w:hanging="567"/>
      </w:pPr>
      <w:r w:rsidRPr="00306115">
        <w:t>pemahaman mengenai faktor-faktor risiko yang relevan dan kondisi pasar yang memengaruhi produk dan/atau aktivitas Manajer Investasi, serta kemampuan mengestimasi dampak dari perubahan faktor-faktor tersebut terhadap kelangsungan  usaha Manajer Investasi; dan</w:t>
      </w:r>
    </w:p>
    <w:p w14:paraId="2D427645" w14:textId="23A12A41" w:rsidR="005B561F" w:rsidRPr="00306115" w:rsidRDefault="00606681">
      <w:pPr>
        <w:pStyle w:val="HeadingAwalDaftarIsiLampiran"/>
        <w:numPr>
          <w:ilvl w:val="0"/>
          <w:numId w:val="51"/>
        </w:numPr>
        <w:ind w:left="2835" w:hanging="567"/>
      </w:pPr>
      <w:r w:rsidRPr="00306115">
        <w:t>kemampuan mengomunikasikan implikasi eksposur risiko kepada Direksi dan/atau unit kerja yang melaksanakan fungsi Manajemen Risiko secara tepat waktu;</w:t>
      </w:r>
      <w:r w:rsidR="009B7C80" w:rsidRPr="00306115">
        <w:t xml:space="preserve"> dan</w:t>
      </w:r>
    </w:p>
    <w:p w14:paraId="6C6AB1AC" w14:textId="7C0692D6" w:rsidR="00606681" w:rsidRPr="00306115" w:rsidRDefault="00DA0365">
      <w:pPr>
        <w:pStyle w:val="HeadingAwalDaftarIsiLampiran"/>
        <w:numPr>
          <w:ilvl w:val="0"/>
          <w:numId w:val="50"/>
        </w:numPr>
        <w:ind w:left="2268" w:hanging="567"/>
      </w:pPr>
      <w:r w:rsidRPr="00306115">
        <w:t>m</w:t>
      </w:r>
      <w:r w:rsidR="009B7C80" w:rsidRPr="00306115">
        <w:t>emastikan</w:t>
      </w:r>
      <w:r w:rsidR="009B7C80" w:rsidRPr="00306115">
        <w:rPr>
          <w:lang w:val="en-US"/>
        </w:rPr>
        <w:t xml:space="preserve"> agar </w:t>
      </w:r>
      <w:r w:rsidR="009B7C80" w:rsidRPr="00306115">
        <w:t xml:space="preserve">seluruh sumber daya manusia memahami strategi, tingkat </w:t>
      </w:r>
      <w:r w:rsidR="009B7C80" w:rsidRPr="00306115">
        <w:rPr>
          <w:lang w:val="en-GB"/>
        </w:rPr>
        <w:t>r</w:t>
      </w:r>
      <w:r w:rsidR="009B7C80" w:rsidRPr="00306115">
        <w:t>isiko yang akan diambil</w:t>
      </w:r>
      <w:r w:rsidR="009B7C80" w:rsidRPr="00306115">
        <w:rPr>
          <w:lang w:val="en-GB"/>
        </w:rPr>
        <w:t>,</w:t>
      </w:r>
      <w:r w:rsidR="009B7C80" w:rsidRPr="00306115">
        <w:t xml:space="preserve"> dan toleransi </w:t>
      </w:r>
      <w:r w:rsidR="009B7C80" w:rsidRPr="00306115">
        <w:rPr>
          <w:lang w:val="en-GB"/>
        </w:rPr>
        <w:t>r</w:t>
      </w:r>
      <w:r w:rsidR="009B7C80" w:rsidRPr="00306115">
        <w:t>isiko,</w:t>
      </w:r>
      <w:r w:rsidR="009B7C80" w:rsidRPr="00306115">
        <w:rPr>
          <w:lang w:val="en-US"/>
        </w:rPr>
        <w:t xml:space="preserve"> </w:t>
      </w:r>
      <w:r w:rsidR="009B7C80" w:rsidRPr="00306115">
        <w:t>yang telah ditetapkan Direksi dan disetujui oleh Dewan Komisaris serta memastikan seluruh sumber daya manusia menerapkan secara konsisten dalam aktivitas yang ditangani</w:t>
      </w:r>
      <w:r w:rsidRPr="00306115">
        <w:t>.</w:t>
      </w:r>
    </w:p>
    <w:p w14:paraId="17B50AA9" w14:textId="474EF2A0" w:rsidR="00BE34D3" w:rsidRPr="00306115" w:rsidRDefault="00BE34D3">
      <w:pPr>
        <w:pStyle w:val="HeadingAwalDaftarIsiLampiran"/>
        <w:numPr>
          <w:ilvl w:val="0"/>
          <w:numId w:val="45"/>
        </w:numPr>
        <w:ind w:left="1701" w:hanging="567"/>
      </w:pPr>
      <w:r w:rsidRPr="00306115">
        <w:rPr>
          <w:lang w:val="en-GB"/>
        </w:rPr>
        <w:lastRenderedPageBreak/>
        <w:t>Organisasi Manajemen Risiko</w:t>
      </w:r>
    </w:p>
    <w:p w14:paraId="173032E8" w14:textId="535C6C6B" w:rsidR="009B7C80" w:rsidRPr="00306115" w:rsidRDefault="00657978" w:rsidP="009B7C80">
      <w:pPr>
        <w:pStyle w:val="HeadingAwalDaftarIsiLampiran"/>
        <w:numPr>
          <w:ilvl w:val="0"/>
          <w:numId w:val="0"/>
        </w:numPr>
        <w:ind w:left="1701"/>
      </w:pPr>
      <w:r w:rsidRPr="00306115">
        <w:t>Dalam rangka penerapan Manajemen Risiko yang efektif, Direksi Manajer Investasi menetapkan struktur organisasi dengan memperhatikan hal berikut:</w:t>
      </w:r>
    </w:p>
    <w:p w14:paraId="5E354F35" w14:textId="166949D6" w:rsidR="00657978" w:rsidRPr="00306115" w:rsidRDefault="005C37EA">
      <w:pPr>
        <w:pStyle w:val="HeadingAwalDaftarIsiLampiran"/>
        <w:numPr>
          <w:ilvl w:val="0"/>
          <w:numId w:val="52"/>
        </w:numPr>
        <w:ind w:left="2268" w:hanging="567"/>
      </w:pPr>
      <w:r w:rsidRPr="00306115">
        <w:t>s</w:t>
      </w:r>
      <w:r w:rsidR="00355A3D" w:rsidRPr="00306115">
        <w:t>truktur organisasi yang disusun harus disertai dengan kejelasan tugas dan tanggung jawab secara umum maupun terkait penerapan Manajemen Risiko pada seluruh unit kerja</w:t>
      </w:r>
      <w:r w:rsidR="00355A3D" w:rsidRPr="00306115">
        <w:rPr>
          <w:lang w:val="en-GB"/>
        </w:rPr>
        <w:t>,</w:t>
      </w:r>
      <w:r w:rsidR="00355A3D" w:rsidRPr="00306115">
        <w:t xml:space="preserve"> yang disesuaikan dengan tujuan dan kebijakan usaha serta ukuran</w:t>
      </w:r>
      <w:r w:rsidR="00355A3D" w:rsidRPr="00306115">
        <w:rPr>
          <w:lang w:val="en-US"/>
        </w:rPr>
        <w:t xml:space="preserve">, </w:t>
      </w:r>
      <w:r w:rsidR="00355A3D" w:rsidRPr="00306115">
        <w:t>kompleksitas</w:t>
      </w:r>
      <w:r w:rsidR="00355A3D" w:rsidRPr="00306115">
        <w:rPr>
          <w:lang w:val="en-US"/>
        </w:rPr>
        <w:t xml:space="preserve"> </w:t>
      </w:r>
      <w:r w:rsidR="00355A3D" w:rsidRPr="00306115">
        <w:t xml:space="preserve"> usaha, dan kemampuan Manajer Investasi</w:t>
      </w:r>
      <w:r w:rsidR="00594500" w:rsidRPr="00306115">
        <w:t>;</w:t>
      </w:r>
    </w:p>
    <w:p w14:paraId="0BF2E788" w14:textId="61442AB4" w:rsidR="00355A3D" w:rsidRPr="00306115" w:rsidRDefault="005C37EA">
      <w:pPr>
        <w:pStyle w:val="HeadingAwalDaftarIsiLampiran"/>
        <w:numPr>
          <w:ilvl w:val="0"/>
          <w:numId w:val="52"/>
        </w:numPr>
        <w:ind w:left="2268" w:hanging="567"/>
      </w:pPr>
      <w:r w:rsidRPr="00306115">
        <w:t>s</w:t>
      </w:r>
      <w:r w:rsidR="00DD6899" w:rsidRPr="00306115">
        <w:t xml:space="preserve">truktur organisasi harus dirancang untuk memastikan bahwa unit kerja yang melakukan fungsi audit internal dan </w:t>
      </w:r>
      <w:r w:rsidRPr="00306115">
        <w:t>M</w:t>
      </w:r>
      <w:r w:rsidR="00DD6899" w:rsidRPr="00306115">
        <w:t xml:space="preserve">anajemen </w:t>
      </w:r>
      <w:r w:rsidRPr="00306115">
        <w:t>R</w:t>
      </w:r>
      <w:r w:rsidR="00DD6899" w:rsidRPr="00306115">
        <w:t>isiko dapat bertindak independen terhadap unit kerja Manajer Investasi lainnya</w:t>
      </w:r>
      <w:r w:rsidR="00594500" w:rsidRPr="00306115">
        <w:t>; dan</w:t>
      </w:r>
    </w:p>
    <w:p w14:paraId="3BB90691" w14:textId="0508750E" w:rsidR="00DD6899" w:rsidRPr="00306115" w:rsidRDefault="005C37EA">
      <w:pPr>
        <w:pStyle w:val="HeadingAwalDaftarIsiLampiran"/>
        <w:numPr>
          <w:ilvl w:val="0"/>
          <w:numId w:val="52"/>
        </w:numPr>
        <w:ind w:left="2268" w:hanging="567"/>
      </w:pPr>
      <w:r w:rsidRPr="00306115">
        <w:t xml:space="preserve">kecukupan kerangka pendelegasian wewenang disesuaikan dengan kompleksitas usaha dan tingkat </w:t>
      </w:r>
      <w:r w:rsidRPr="00306115">
        <w:rPr>
          <w:lang w:val="en-GB"/>
        </w:rPr>
        <w:t>r</w:t>
      </w:r>
      <w:r w:rsidRPr="00306115">
        <w:t xml:space="preserve">isiko yang akan diambil Manajer Investasi serta pengalaman dan keahlian sumber daya manusia yang bersangkutan. Kewenangan yang didelegasikan harus dikaji ulang secara berkala </w:t>
      </w:r>
      <w:r w:rsidRPr="00306115">
        <w:rPr>
          <w:lang w:val="en-GB"/>
        </w:rPr>
        <w:t xml:space="preserve">paling sedikit 1 (satu) kali dalam 1 (satu) tahun </w:t>
      </w:r>
      <w:r w:rsidRPr="00306115">
        <w:t xml:space="preserve">untuk memastikan bahwa kewenangan tersebut sesuai dengan kondisi terkini dan </w:t>
      </w:r>
      <w:r w:rsidRPr="00306115">
        <w:rPr>
          <w:lang w:val="en-GB"/>
        </w:rPr>
        <w:t xml:space="preserve">level jabatan </w:t>
      </w:r>
      <w:r w:rsidRPr="00306115">
        <w:t>sumber daya manusia terkait.</w:t>
      </w:r>
    </w:p>
    <w:p w14:paraId="4680117D" w14:textId="1A184D4E" w:rsidR="005F58E5" w:rsidRPr="00306115" w:rsidRDefault="005F58E5">
      <w:pPr>
        <w:pStyle w:val="HeadingAwalDaftarIsiLampiran"/>
        <w:numPr>
          <w:ilvl w:val="0"/>
          <w:numId w:val="43"/>
        </w:numPr>
        <w:ind w:left="1134" w:hanging="567"/>
      </w:pPr>
      <w:r w:rsidRPr="00306115">
        <w:t>Kecukupan Kebijakan dan Prosedur Manajemen Risiko</w:t>
      </w:r>
    </w:p>
    <w:p w14:paraId="08C9EBAF" w14:textId="307F5355" w:rsidR="00C26AB3" w:rsidRPr="00306115" w:rsidRDefault="007A3B70" w:rsidP="00642CA3">
      <w:pPr>
        <w:pStyle w:val="HeadingAwalDaftarIsiLampiran"/>
        <w:numPr>
          <w:ilvl w:val="0"/>
          <w:numId w:val="0"/>
        </w:numPr>
        <w:ind w:left="1134" w:firstLine="567"/>
      </w:pPr>
      <w:r w:rsidRPr="00306115">
        <w:t>Penerapan Manajemen Risiko yang efektif harus didukung dengan kerangka yang mencakup kebijakan dan prosedur Manajemen Risiko</w:t>
      </w:r>
      <w:r w:rsidRPr="00306115">
        <w:rPr>
          <w:lang w:val="en-GB"/>
        </w:rPr>
        <w:t xml:space="preserve">, </w:t>
      </w:r>
      <w:r w:rsidRPr="00306115">
        <w:t xml:space="preserve">serta limit </w:t>
      </w:r>
      <w:r w:rsidRPr="00306115">
        <w:rPr>
          <w:lang w:val="en-GB"/>
        </w:rPr>
        <w:t>r</w:t>
      </w:r>
      <w:r w:rsidRPr="00306115">
        <w:t xml:space="preserve">isiko yang ditetapkan secara jelas dan sejalan dengan visi, misi, dan strategi bisnis Manajer Investasi. Penyusunan kebijakan dan prosedur Manajemen Risiko tersebut dilakukan dengan memperhatikan antara lain ukuran, kompleksitas usaha, kemampuan Manajer Investasi, profil risiko, tingkat </w:t>
      </w:r>
      <w:r w:rsidRPr="00306115">
        <w:rPr>
          <w:lang w:val="en-GB"/>
        </w:rPr>
        <w:t>r</w:t>
      </w:r>
      <w:r w:rsidRPr="00306115">
        <w:t xml:space="preserve">isiko yang akan diambil, keterkaitan antar </w:t>
      </w:r>
      <w:r w:rsidRPr="00306115">
        <w:rPr>
          <w:lang w:val="en-GB"/>
        </w:rPr>
        <w:t>r</w:t>
      </w:r>
      <w:r w:rsidRPr="00306115">
        <w:t xml:space="preserve">isiko, serta peraturan yang ditetapkan regulator. Selain itu, penerapan kebijakan dan prosedur Manajemen Risiko yang dimiliki Manajer Investasi harus didukung oleh kecukupan permodalan dan kualitas </w:t>
      </w:r>
      <w:r w:rsidR="00773433" w:rsidRPr="00306115">
        <w:t>sumber daya manusia</w:t>
      </w:r>
      <w:r w:rsidRPr="00306115">
        <w:t>.</w:t>
      </w:r>
    </w:p>
    <w:p w14:paraId="2FDE760D" w14:textId="56ADBDA9" w:rsidR="007A3B70" w:rsidRPr="00306115" w:rsidRDefault="00305FCB" w:rsidP="00642CA3">
      <w:pPr>
        <w:pStyle w:val="HeadingAwalDaftarIsiLampiran"/>
        <w:numPr>
          <w:ilvl w:val="0"/>
          <w:numId w:val="0"/>
        </w:numPr>
        <w:ind w:left="1134" w:firstLine="567"/>
      </w:pPr>
      <w:r w:rsidRPr="00306115">
        <w:t xml:space="preserve">Dalam rangka pengendalian risiko secara efektif, kebijakan dan prosedur </w:t>
      </w:r>
      <w:r w:rsidRPr="00306115">
        <w:rPr>
          <w:lang w:val="en-US"/>
        </w:rPr>
        <w:t xml:space="preserve">yang dimiliki Manajer Investasi </w:t>
      </w:r>
      <w:r w:rsidRPr="00306115">
        <w:t xml:space="preserve">harus memperhatikan strategi Manajemen Risiko beserta toleransi risiko dan limit risiko. Penetapan toleransi </w:t>
      </w:r>
      <w:r w:rsidRPr="00306115">
        <w:rPr>
          <w:lang w:val="en-GB"/>
        </w:rPr>
        <w:t>r</w:t>
      </w:r>
      <w:r w:rsidRPr="00306115">
        <w:t xml:space="preserve">isiko dan limit </w:t>
      </w:r>
      <w:r w:rsidRPr="00306115">
        <w:rPr>
          <w:lang w:val="en-GB"/>
        </w:rPr>
        <w:t>r</w:t>
      </w:r>
      <w:r w:rsidRPr="00306115">
        <w:t xml:space="preserve">isiko dilakukan dengan memperhatikan tingkat </w:t>
      </w:r>
      <w:r w:rsidRPr="00306115">
        <w:rPr>
          <w:lang w:val="en-GB"/>
        </w:rPr>
        <w:t>r</w:t>
      </w:r>
      <w:r w:rsidRPr="00306115">
        <w:t>isiko yang akan diambil dan strategi Manajer Investasi secara keseluruhan.</w:t>
      </w:r>
    </w:p>
    <w:p w14:paraId="78F928F0" w14:textId="5467C12E" w:rsidR="00305FCB" w:rsidRPr="00306115" w:rsidRDefault="00CE14CD" w:rsidP="00C26AB3">
      <w:pPr>
        <w:pStyle w:val="HeadingAwalDaftarIsiLampiran"/>
        <w:numPr>
          <w:ilvl w:val="0"/>
          <w:numId w:val="0"/>
        </w:numPr>
        <w:ind w:left="1134"/>
      </w:pPr>
      <w:r w:rsidRPr="00306115">
        <w:t>Hal-hal yang perlu diperhatikan dalam penetapan kerangka Manajemen Risiko termasuk kebijakan, prosedur, dan limit, antara lain:</w:t>
      </w:r>
    </w:p>
    <w:p w14:paraId="3FC88720" w14:textId="3FAF912B" w:rsidR="00CE14CD" w:rsidRPr="00306115" w:rsidRDefault="00CE14CD">
      <w:pPr>
        <w:pStyle w:val="HeadingAwalDaftarIsiLampiran"/>
        <w:numPr>
          <w:ilvl w:val="0"/>
          <w:numId w:val="53"/>
        </w:numPr>
        <w:ind w:left="1701" w:hanging="567"/>
      </w:pPr>
      <w:r w:rsidRPr="00306115">
        <w:t>Kebijakan dan Prosedur</w:t>
      </w:r>
    </w:p>
    <w:p w14:paraId="1B3CE325" w14:textId="71BAC78A" w:rsidR="00CE14CD" w:rsidRPr="00306115" w:rsidRDefault="009A69CA">
      <w:pPr>
        <w:pStyle w:val="HeadingAwalDaftarIsiLampiran"/>
        <w:numPr>
          <w:ilvl w:val="0"/>
          <w:numId w:val="54"/>
        </w:numPr>
        <w:ind w:left="2268" w:hanging="567"/>
      </w:pPr>
      <w:r w:rsidRPr="00306115">
        <w:t>Ke</w:t>
      </w:r>
      <w:r w:rsidR="00C608B5" w:rsidRPr="00306115">
        <w:t>bijakan Manajemen Risiko merupakan arahan tertulis dalam menerapkan Manajemen Risiko dan harus sejalan dengan visi, misi,</w:t>
      </w:r>
      <w:r w:rsidR="00C608B5" w:rsidRPr="00306115">
        <w:rPr>
          <w:lang w:val="en-GB"/>
        </w:rPr>
        <w:t xml:space="preserve"> dan </w:t>
      </w:r>
      <w:r w:rsidR="00C608B5" w:rsidRPr="00306115">
        <w:t>strategi bisnis Manajer Investasi</w:t>
      </w:r>
      <w:r w:rsidR="00C608B5" w:rsidRPr="00306115">
        <w:rPr>
          <w:lang w:val="en-GB"/>
        </w:rPr>
        <w:t>,</w:t>
      </w:r>
      <w:r w:rsidR="00C608B5" w:rsidRPr="00306115">
        <w:t xml:space="preserve"> dan dalam penyusunannya harus dikoordinasikan dengan fungsi</w:t>
      </w:r>
      <w:r w:rsidR="00C608B5" w:rsidRPr="00306115">
        <w:rPr>
          <w:lang w:val="en-US"/>
        </w:rPr>
        <w:t xml:space="preserve"> atau unit kerja terkait.</w:t>
      </w:r>
    </w:p>
    <w:p w14:paraId="2D46610C" w14:textId="1A48CA2A" w:rsidR="00C608B5" w:rsidRPr="00306115" w:rsidRDefault="009A69CA">
      <w:pPr>
        <w:pStyle w:val="HeadingAwalDaftarIsiLampiran"/>
        <w:numPr>
          <w:ilvl w:val="0"/>
          <w:numId w:val="54"/>
        </w:numPr>
        <w:ind w:left="2268" w:hanging="567"/>
      </w:pPr>
      <w:r w:rsidRPr="00306115">
        <w:t xml:space="preserve">Kebijakan </w:t>
      </w:r>
      <w:r w:rsidR="00FA3EE1" w:rsidRPr="00306115">
        <w:t xml:space="preserve">dan prosedur harus didesain dan diimplementasikan dengan memperhatikan kompleksitas kegiatan usaha, tingkat </w:t>
      </w:r>
      <w:r w:rsidR="00FA3EE1" w:rsidRPr="00306115">
        <w:rPr>
          <w:lang w:val="en-GB"/>
        </w:rPr>
        <w:t>r</w:t>
      </w:r>
      <w:r w:rsidR="00FA3EE1" w:rsidRPr="00306115">
        <w:t>isiko yang akan diambil dan toleransi risiko, profil risiko</w:t>
      </w:r>
      <w:r w:rsidR="00FA3EE1" w:rsidRPr="00306115">
        <w:rPr>
          <w:lang w:val="en-GB"/>
        </w:rPr>
        <w:t xml:space="preserve">, </w:t>
      </w:r>
      <w:r w:rsidR="00FA3EE1" w:rsidRPr="00306115">
        <w:t>serta peraturan perundang-undangan</w:t>
      </w:r>
      <w:r w:rsidR="00642CA3" w:rsidRPr="00306115">
        <w:t>.</w:t>
      </w:r>
    </w:p>
    <w:p w14:paraId="57FB6659" w14:textId="6B5BA6BB" w:rsidR="00FA3EE1" w:rsidRPr="00306115" w:rsidRDefault="00B1404C">
      <w:pPr>
        <w:pStyle w:val="HeadingAwalDaftarIsiLampiran"/>
        <w:numPr>
          <w:ilvl w:val="0"/>
          <w:numId w:val="54"/>
        </w:numPr>
        <w:ind w:left="2268" w:hanging="567"/>
      </w:pPr>
      <w:r w:rsidRPr="00306115">
        <w:lastRenderedPageBreak/>
        <w:t xml:space="preserve">Manajer Investasi harus memiliki prosedur dan proses untuk menerapkan kebijakan Manajemen Risiko. Prosedur dan proses tersebut dituangkan dalam pedoman pelaksanaan yang harus dikaji ulang dan dikinikan secara berkala </w:t>
      </w:r>
      <w:r w:rsidRPr="00306115">
        <w:rPr>
          <w:lang w:val="en-GB"/>
        </w:rPr>
        <w:t xml:space="preserve">paling sedikit 1 (satu) kali dalam 1 (satu) tahun </w:t>
      </w:r>
      <w:r w:rsidRPr="00306115">
        <w:t>untuk mengakomodasi perubahan yang terjadi.</w:t>
      </w:r>
    </w:p>
    <w:p w14:paraId="59E2C831" w14:textId="7288B181" w:rsidR="00B1404C" w:rsidRPr="00306115" w:rsidRDefault="009A69CA">
      <w:pPr>
        <w:pStyle w:val="HeadingAwalDaftarIsiLampiran"/>
        <w:numPr>
          <w:ilvl w:val="0"/>
          <w:numId w:val="54"/>
        </w:numPr>
        <w:ind w:left="2268" w:hanging="567"/>
      </w:pPr>
      <w:r w:rsidRPr="00306115">
        <w:t xml:space="preserve">Kebijakan </w:t>
      </w:r>
      <w:r w:rsidR="0032679A" w:rsidRPr="00306115">
        <w:t>Manajemen Risiko memuat:</w:t>
      </w:r>
    </w:p>
    <w:p w14:paraId="44155B30" w14:textId="11565AAA" w:rsidR="0032679A" w:rsidRPr="00306115" w:rsidRDefault="00CE6FEA">
      <w:pPr>
        <w:pStyle w:val="HeadingAwalDaftarIsiLampiran"/>
        <w:numPr>
          <w:ilvl w:val="0"/>
          <w:numId w:val="55"/>
        </w:numPr>
        <w:ind w:left="2835" w:hanging="567"/>
      </w:pPr>
      <w:r w:rsidRPr="00306115">
        <w:t>strategi Manajemen Risiko yang komprehensif bagi Manajer Investasi termasuk juga bagi Produk Investasi;</w:t>
      </w:r>
    </w:p>
    <w:p w14:paraId="5BEBBBF9" w14:textId="405D36F6" w:rsidR="00CE6FEA" w:rsidRPr="00306115" w:rsidRDefault="0078166B">
      <w:pPr>
        <w:pStyle w:val="HeadingAwalDaftarIsiLampiran"/>
        <w:numPr>
          <w:ilvl w:val="0"/>
          <w:numId w:val="55"/>
        </w:numPr>
        <w:ind w:left="2835" w:hanging="567"/>
      </w:pPr>
      <w:r w:rsidRPr="00306115">
        <w:t xml:space="preserve">penetapan </w:t>
      </w:r>
      <w:r w:rsidRPr="00306115">
        <w:rPr>
          <w:lang w:val="en-GB"/>
        </w:rPr>
        <w:t>r</w:t>
      </w:r>
      <w:r w:rsidRPr="00306115">
        <w:t>isiko yang terkait dengan Produk Investasi dan entitas Manajer Investasi yang didasarkan atas hasil analisis Manajer Investasi terhadap risiko yang melekat pada setiap Produk Investasi dan entitas Manajer Investasi</w:t>
      </w:r>
      <w:r w:rsidRPr="00306115">
        <w:rPr>
          <w:lang w:val="en-GB"/>
        </w:rPr>
        <w:t xml:space="preserve">, </w:t>
      </w:r>
      <w:r w:rsidRPr="00306115">
        <w:t>yang telah dan akan dilakukan sesuai dengan ukuran</w:t>
      </w:r>
      <w:r w:rsidRPr="00306115">
        <w:rPr>
          <w:lang w:val="en-US"/>
        </w:rPr>
        <w:t>,</w:t>
      </w:r>
      <w:r w:rsidRPr="00306115">
        <w:t xml:space="preserve"> kompleksitas usaha</w:t>
      </w:r>
      <w:r w:rsidRPr="00306115">
        <w:rPr>
          <w:lang w:val="en-US"/>
        </w:rPr>
        <w:t xml:space="preserve">, dan </w:t>
      </w:r>
      <w:r w:rsidRPr="00306115">
        <w:t>kemampuan Manajer Investasi;</w:t>
      </w:r>
    </w:p>
    <w:p w14:paraId="7F02DEF4" w14:textId="74767901" w:rsidR="0078166B" w:rsidRPr="00306115" w:rsidRDefault="00A63FFA">
      <w:pPr>
        <w:pStyle w:val="HeadingAwalDaftarIsiLampiran"/>
        <w:numPr>
          <w:ilvl w:val="0"/>
          <w:numId w:val="55"/>
        </w:numPr>
        <w:ind w:left="2835" w:hanging="567"/>
      </w:pPr>
      <w:r w:rsidRPr="00306115">
        <w:t>penetapan penggunaan metode identifikasi, pengukuran, pemantauan</w:t>
      </w:r>
      <w:r w:rsidRPr="00306115">
        <w:rPr>
          <w:lang w:val="en-GB"/>
        </w:rPr>
        <w:t xml:space="preserve">, </w:t>
      </w:r>
      <w:r w:rsidRPr="00306115">
        <w:t>dan pengendalian risiko dan sistem informasi Manajemen Risiko, dalam rangka menilai secara tepat eksposur risiko pada Manajer Investasi dan produk yang dikelola</w:t>
      </w:r>
      <w:r w:rsidR="000F0B2A" w:rsidRPr="00306115">
        <w:t>;</w:t>
      </w:r>
    </w:p>
    <w:p w14:paraId="0F29FAFB" w14:textId="3D4F712F" w:rsidR="000F0B2A" w:rsidRPr="00306115" w:rsidRDefault="000F0B2A">
      <w:pPr>
        <w:pStyle w:val="HeadingAwalDaftarIsiLampiran"/>
        <w:numPr>
          <w:ilvl w:val="0"/>
          <w:numId w:val="55"/>
        </w:numPr>
        <w:ind w:left="2835" w:hanging="567"/>
      </w:pPr>
      <w:r w:rsidRPr="00306115">
        <w:t>penetapan data yang harus dilaporkan, format laporan, dan jenis informasi yang harus dimasukkan dalam laporan Manajemen Risiko</w:t>
      </w:r>
      <w:r w:rsidRPr="00306115">
        <w:rPr>
          <w:lang w:val="en-GB"/>
        </w:rPr>
        <w:t xml:space="preserve">, </w:t>
      </w:r>
      <w:r w:rsidRPr="00306115">
        <w:t>sehingga mencerminkan eksposur risiko yang menjadi pertimbangan dalam rangka pengambilan keputusan bisnis;</w:t>
      </w:r>
    </w:p>
    <w:p w14:paraId="7DA6F455" w14:textId="14760043" w:rsidR="000F0B2A" w:rsidRPr="00306115" w:rsidRDefault="00A647FC">
      <w:pPr>
        <w:pStyle w:val="HeadingAwalDaftarIsiLampiran"/>
        <w:numPr>
          <w:ilvl w:val="0"/>
          <w:numId w:val="55"/>
        </w:numPr>
        <w:ind w:left="2835" w:hanging="567"/>
      </w:pPr>
      <w:r w:rsidRPr="00306115">
        <w:t>sistem deteksi dini;</w:t>
      </w:r>
    </w:p>
    <w:p w14:paraId="01DDA432" w14:textId="19E79566" w:rsidR="00A647FC" w:rsidRPr="00306115" w:rsidRDefault="00784037">
      <w:pPr>
        <w:pStyle w:val="HeadingAwalDaftarIsiLampiran"/>
        <w:numPr>
          <w:ilvl w:val="0"/>
          <w:numId w:val="55"/>
        </w:numPr>
        <w:ind w:left="2835" w:hanging="567"/>
      </w:pPr>
      <w:r w:rsidRPr="00306115">
        <w:t xml:space="preserve">prosedur penetapan limit dan toleransi risiko, yang mencakup penetapan kewenangan dan besaran limit secara berjenjang termasuk batasan transaksi yang memerlukan persetujuan Direksi, serta penetapan toleransi risiko </w:t>
      </w:r>
      <w:r w:rsidRPr="00306115">
        <w:rPr>
          <w:lang w:val="en-GB"/>
        </w:rPr>
        <w:t>yang merupakan</w:t>
      </w:r>
      <w:r w:rsidRPr="00306115">
        <w:t xml:space="preserve"> batas</w:t>
      </w:r>
      <w:r w:rsidRPr="00306115">
        <w:rPr>
          <w:lang w:val="en-GB"/>
        </w:rPr>
        <w:t>an</w:t>
      </w:r>
      <w:r w:rsidRPr="00306115">
        <w:t xml:space="preserve"> potensi kerugian yang disesuaikan dengan karakteristik risiko setiap Produk Investasi;</w:t>
      </w:r>
    </w:p>
    <w:p w14:paraId="1998F0E0" w14:textId="0ED0E65D" w:rsidR="004F2DA0" w:rsidRPr="00306115" w:rsidRDefault="004F2DA0">
      <w:pPr>
        <w:pStyle w:val="HeadingAwalDaftarIsiLampiran"/>
        <w:numPr>
          <w:ilvl w:val="0"/>
          <w:numId w:val="55"/>
        </w:numPr>
        <w:ind w:left="2835" w:hanging="567"/>
      </w:pPr>
      <w:r w:rsidRPr="00306115">
        <w:t>mekanisme persetujuan dalam hal terjadi pelampauan limit risiko;</w:t>
      </w:r>
    </w:p>
    <w:p w14:paraId="5DD1489F" w14:textId="0F18D027" w:rsidR="004F2DA0" w:rsidRPr="00306115" w:rsidRDefault="00DF0398">
      <w:pPr>
        <w:pStyle w:val="HeadingAwalDaftarIsiLampiran"/>
        <w:numPr>
          <w:ilvl w:val="0"/>
          <w:numId w:val="55"/>
        </w:numPr>
        <w:ind w:left="2835" w:hanging="567"/>
      </w:pPr>
      <w:r w:rsidRPr="00306115">
        <w:t xml:space="preserve">penetapan </w:t>
      </w:r>
      <w:r w:rsidRPr="00306115">
        <w:rPr>
          <w:lang w:val="en-GB"/>
        </w:rPr>
        <w:t xml:space="preserve">penilaian </w:t>
      </w:r>
      <w:r w:rsidRPr="00306115">
        <w:t>peringkat profil risiko sebagai dasar bagi Manajer Investasi untuk menentukan langkah-langkah perbaikan atas evaluasi hasil pelaksanaan kebijakan dan strategi Manajemen Risik</w:t>
      </w:r>
      <w:r w:rsidRPr="00306115">
        <w:rPr>
          <w:lang w:val="en-GB"/>
        </w:rPr>
        <w:t xml:space="preserve">o, </w:t>
      </w:r>
      <w:r w:rsidRPr="00306115">
        <w:t>baik terhadap Produk Investasi yang dikelola Manajer Investasi maupun aktivitas kegiatan usaha Manajer Investasi;</w:t>
      </w:r>
    </w:p>
    <w:p w14:paraId="153C5DB4" w14:textId="77777777" w:rsidR="00166085" w:rsidRPr="00306115" w:rsidRDefault="00166085">
      <w:pPr>
        <w:pStyle w:val="HeadingAwalDaftarIsiLampiran"/>
        <w:numPr>
          <w:ilvl w:val="0"/>
          <w:numId w:val="55"/>
        </w:numPr>
        <w:ind w:left="2835" w:hanging="567"/>
      </w:pPr>
      <w:r w:rsidRPr="00306115">
        <w:t>struktur organisasi yang secara jelas merumuskan peran dan tanggung jawab:</w:t>
      </w:r>
    </w:p>
    <w:p w14:paraId="7605538A" w14:textId="77777777" w:rsidR="00166085" w:rsidRPr="00306115" w:rsidRDefault="00166085">
      <w:pPr>
        <w:pStyle w:val="HeadingAwalDaftarIsiLampiran"/>
        <w:numPr>
          <w:ilvl w:val="7"/>
          <w:numId w:val="18"/>
        </w:numPr>
        <w:ind w:left="3402" w:hanging="567"/>
      </w:pPr>
      <w:r w:rsidRPr="00306115">
        <w:t>Direksi;</w:t>
      </w:r>
    </w:p>
    <w:p w14:paraId="769B606D" w14:textId="77777777" w:rsidR="00166085" w:rsidRPr="00306115" w:rsidRDefault="00166085">
      <w:pPr>
        <w:pStyle w:val="HeadingAwalDaftarIsiLampiran"/>
        <w:numPr>
          <w:ilvl w:val="7"/>
          <w:numId w:val="18"/>
        </w:numPr>
        <w:ind w:left="3402" w:hanging="567"/>
      </w:pPr>
      <w:r w:rsidRPr="00306115">
        <w:t>Dewan Komisaris;</w:t>
      </w:r>
    </w:p>
    <w:p w14:paraId="2A413F85" w14:textId="21024D73" w:rsidR="00CB0DB2" w:rsidRPr="00306115" w:rsidRDefault="00166085">
      <w:pPr>
        <w:pStyle w:val="HeadingAwalDaftarIsiLampiran"/>
        <w:numPr>
          <w:ilvl w:val="7"/>
          <w:numId w:val="18"/>
        </w:numPr>
        <w:ind w:left="3402" w:hanging="567"/>
      </w:pPr>
      <w:r w:rsidRPr="00306115">
        <w:t>unit kerja yang melaksanakan fungsi-fungsi Manajer Investasi</w:t>
      </w:r>
      <w:r w:rsidRPr="00306115">
        <w:rPr>
          <w:lang w:val="en-GB"/>
        </w:rPr>
        <w:t>,</w:t>
      </w:r>
      <w:r w:rsidRPr="00306115">
        <w:t xml:space="preserve"> termasuk fungsi </w:t>
      </w:r>
      <w:r w:rsidR="001008B5" w:rsidRPr="00306115">
        <w:t>M</w:t>
      </w:r>
      <w:r w:rsidRPr="00306115">
        <w:t xml:space="preserve">anajemen </w:t>
      </w:r>
      <w:r w:rsidR="001008B5" w:rsidRPr="00306115">
        <w:t>R</w:t>
      </w:r>
      <w:r w:rsidRPr="00306115">
        <w:t>isiko</w:t>
      </w:r>
      <w:r w:rsidR="00CB0DB2" w:rsidRPr="00306115">
        <w:rPr>
          <w:lang w:val="en-GB"/>
        </w:rPr>
        <w:t xml:space="preserve"> </w:t>
      </w:r>
      <w:r w:rsidRPr="00306115">
        <w:t>dan fungsi audit internal</w:t>
      </w:r>
      <w:r w:rsidR="00CB0DB2" w:rsidRPr="00306115">
        <w:rPr>
          <w:lang w:val="en-US"/>
        </w:rPr>
        <w:t>;</w:t>
      </w:r>
    </w:p>
    <w:p w14:paraId="313E932D" w14:textId="77777777" w:rsidR="00CB0DB2" w:rsidRPr="00306115" w:rsidRDefault="00166085">
      <w:pPr>
        <w:pStyle w:val="HeadingAwalDaftarIsiLampiran"/>
        <w:numPr>
          <w:ilvl w:val="7"/>
          <w:numId w:val="18"/>
        </w:numPr>
        <w:ind w:left="3402" w:hanging="567"/>
      </w:pPr>
      <w:r w:rsidRPr="00306115">
        <w:t>unit kerja operasional (</w:t>
      </w:r>
      <w:r w:rsidRPr="00306115">
        <w:rPr>
          <w:i/>
          <w:iCs/>
        </w:rPr>
        <w:t>risk-taking unit</w:t>
      </w:r>
      <w:r w:rsidRPr="00306115">
        <w:t>)</w:t>
      </w:r>
      <w:r w:rsidR="00CB0DB2" w:rsidRPr="00306115">
        <w:t xml:space="preserve">; </w:t>
      </w:r>
      <w:r w:rsidRPr="00306115">
        <w:t xml:space="preserve">dan </w:t>
      </w:r>
    </w:p>
    <w:p w14:paraId="0E5E514E" w14:textId="48A0E6C3" w:rsidR="00DF0398" w:rsidRPr="00306115" w:rsidRDefault="00166085">
      <w:pPr>
        <w:pStyle w:val="HeadingAwalDaftarIsiLampiran"/>
        <w:numPr>
          <w:ilvl w:val="7"/>
          <w:numId w:val="18"/>
        </w:numPr>
        <w:ind w:left="3402" w:hanging="567"/>
      </w:pPr>
      <w:r w:rsidRPr="00306115">
        <w:t>unit kerja pendukung lainnya</w:t>
      </w:r>
      <w:r w:rsidR="00CB0DB2" w:rsidRPr="00306115">
        <w:t>.</w:t>
      </w:r>
    </w:p>
    <w:p w14:paraId="23A1F89F" w14:textId="3322DCE3" w:rsidR="0078166B" w:rsidRPr="00306115" w:rsidRDefault="0022686C">
      <w:pPr>
        <w:pStyle w:val="HeadingAwalDaftarIsiLampiran"/>
        <w:numPr>
          <w:ilvl w:val="0"/>
          <w:numId w:val="55"/>
        </w:numPr>
        <w:ind w:left="2835" w:hanging="567"/>
      </w:pPr>
      <w:r w:rsidRPr="00306115">
        <w:lastRenderedPageBreak/>
        <w:t>penyusunan rencana kelangsungan usaha (</w:t>
      </w:r>
      <w:r w:rsidRPr="00306115">
        <w:rPr>
          <w:i/>
          <w:iCs/>
        </w:rPr>
        <w:t>business continuity plan</w:t>
      </w:r>
      <w:r w:rsidRPr="00306115">
        <w:t>) dalam kondisi terburuk (</w:t>
      </w:r>
      <w:r w:rsidRPr="00306115">
        <w:rPr>
          <w:i/>
        </w:rPr>
        <w:t>worst case scenario</w:t>
      </w:r>
      <w:r w:rsidRPr="00306115">
        <w:t>), sehingga kelangsungan usaha Manajer Investasi dapat dipertahankan termasuk rencana pemulihan bencana (</w:t>
      </w:r>
      <w:r w:rsidRPr="00306115">
        <w:rPr>
          <w:i/>
        </w:rPr>
        <w:t>disaster recovery plan</w:t>
      </w:r>
      <w:r w:rsidRPr="00306115">
        <w:t>) dan rencana kontijensi (</w:t>
      </w:r>
      <w:r w:rsidRPr="00306115">
        <w:rPr>
          <w:i/>
          <w:iCs/>
        </w:rPr>
        <w:t>contigency plan</w:t>
      </w:r>
      <w:r w:rsidRPr="00306115">
        <w:t>).</w:t>
      </w:r>
    </w:p>
    <w:p w14:paraId="475D6F1C" w14:textId="2EF80181" w:rsidR="00DB2436" w:rsidRPr="00306115" w:rsidRDefault="00DB2436" w:rsidP="00DB2436">
      <w:pPr>
        <w:pStyle w:val="HeadingAwalDaftarIsiLampiran"/>
        <w:numPr>
          <w:ilvl w:val="0"/>
          <w:numId w:val="0"/>
        </w:numPr>
        <w:ind w:left="2835"/>
      </w:pPr>
      <w:r w:rsidRPr="00306115">
        <w:t>Penyusunan rencana kelangsungan usaha (</w:t>
      </w:r>
      <w:r w:rsidRPr="00306115">
        <w:rPr>
          <w:i/>
          <w:iCs/>
        </w:rPr>
        <w:t>business continuity plan</w:t>
      </w:r>
      <w:r w:rsidRPr="00306115">
        <w:t>) antara lain memenuhi:</w:t>
      </w:r>
    </w:p>
    <w:p w14:paraId="73C679B5" w14:textId="21CA6D18" w:rsidR="00DB2436" w:rsidRPr="00306115" w:rsidRDefault="00AF79BC">
      <w:pPr>
        <w:pStyle w:val="HeadingAwalDaftarIsiLampiran"/>
        <w:numPr>
          <w:ilvl w:val="6"/>
          <w:numId w:val="19"/>
        </w:numPr>
        <w:ind w:left="3402" w:hanging="567"/>
      </w:pPr>
      <w:r w:rsidRPr="00306115">
        <w:rPr>
          <w:lang w:val="en-US"/>
        </w:rPr>
        <w:t>melibatkan</w:t>
      </w:r>
      <w:r w:rsidRPr="00306115">
        <w:t xml:space="preserve"> berbagai unit kerja terkait;</w:t>
      </w:r>
    </w:p>
    <w:p w14:paraId="2C31587D" w14:textId="3B6C6B23" w:rsidR="00AF79BC" w:rsidRPr="00306115" w:rsidRDefault="00D7734E">
      <w:pPr>
        <w:pStyle w:val="HeadingAwalDaftarIsiLampiran"/>
        <w:numPr>
          <w:ilvl w:val="6"/>
          <w:numId w:val="19"/>
        </w:numPr>
        <w:ind w:left="3402" w:hanging="567"/>
      </w:pPr>
      <w:r w:rsidRPr="00306115">
        <w:rPr>
          <w:lang w:val="en-US"/>
        </w:rPr>
        <w:t>bersifat</w:t>
      </w:r>
      <w:r w:rsidRPr="00306115">
        <w:t xml:space="preserve"> fleksibel untuk dapat merespon berbagai skenario gangguan yang sifatnya tidak terduga dan spesifik, yaitu gambaran kondisi tertentu dan tindakan</w:t>
      </w:r>
      <w:r w:rsidRPr="00306115">
        <w:rPr>
          <w:lang w:val="en-GB"/>
        </w:rPr>
        <w:t xml:space="preserve"> </w:t>
      </w:r>
      <w:r w:rsidRPr="00306115">
        <w:t xml:space="preserve"> yang dibutuhkan segera; dan</w:t>
      </w:r>
    </w:p>
    <w:p w14:paraId="295DE902" w14:textId="7EF48CD6" w:rsidR="00D7734E" w:rsidRPr="00306115" w:rsidRDefault="00142964">
      <w:pPr>
        <w:pStyle w:val="HeadingAwalDaftarIsiLampiran"/>
        <w:numPr>
          <w:ilvl w:val="6"/>
          <w:numId w:val="19"/>
        </w:numPr>
        <w:ind w:left="3402" w:hanging="567"/>
      </w:pPr>
      <w:r w:rsidRPr="00306115">
        <w:rPr>
          <w:lang w:val="en-US"/>
        </w:rPr>
        <w:t>pengujian</w:t>
      </w:r>
      <w:r w:rsidRPr="00306115">
        <w:rPr>
          <w:lang w:val="en-GB"/>
        </w:rPr>
        <w:t xml:space="preserve">, kaji ulang, </w:t>
      </w:r>
      <w:r w:rsidRPr="00306115">
        <w:t>evaluasi</w:t>
      </w:r>
      <w:r w:rsidRPr="00306115">
        <w:rPr>
          <w:lang w:val="en-GB"/>
        </w:rPr>
        <w:t>, dan pengkinian</w:t>
      </w:r>
      <w:r w:rsidRPr="00306115">
        <w:t xml:space="preserve"> rencana kelangsungan usaha secara berkala</w:t>
      </w:r>
      <w:r w:rsidRPr="00306115">
        <w:rPr>
          <w:lang w:val="en-GB"/>
        </w:rPr>
        <w:t xml:space="preserve"> paling sedikit 1 (satu) kali dalam 1 (satu) tahun </w:t>
      </w:r>
      <w:r w:rsidRPr="00306115">
        <w:t>untuk memastikan efektivitas rencana kelangsungan usaha yang telah disusun.</w:t>
      </w:r>
    </w:p>
    <w:p w14:paraId="7556F598" w14:textId="7CF200C0" w:rsidR="0022686C" w:rsidRPr="00306115" w:rsidRDefault="00CE6208">
      <w:pPr>
        <w:pStyle w:val="HeadingAwalDaftarIsiLampiran"/>
        <w:numPr>
          <w:ilvl w:val="0"/>
          <w:numId w:val="55"/>
        </w:numPr>
        <w:ind w:left="2835" w:hanging="567"/>
      </w:pPr>
      <w:r w:rsidRPr="00306115">
        <w:t xml:space="preserve">penetapan sistem pengendalian internal dalam penerapan Manajemen Risiko guna memastikan kepatuhan terhadap ketentuan eksternal dan internal yang berlaku, efektivitas dan efisiensi kegiatan operasional Manajer Investasi, efektivitas budaya risiko pada setiap jenjang organisasi Manajer Investasi, serta tersedianya informasi </w:t>
      </w:r>
      <w:r w:rsidRPr="00306115">
        <w:rPr>
          <w:lang w:val="en-GB"/>
        </w:rPr>
        <w:t>M</w:t>
      </w:r>
      <w:r w:rsidRPr="00306115">
        <w:t xml:space="preserve">anajemen </w:t>
      </w:r>
      <w:r w:rsidRPr="00306115">
        <w:rPr>
          <w:lang w:val="en-GB"/>
        </w:rPr>
        <w:t>R</w:t>
      </w:r>
      <w:r w:rsidRPr="00306115">
        <w:t>isiko dan keuangan</w:t>
      </w:r>
      <w:r w:rsidRPr="00306115">
        <w:rPr>
          <w:b/>
          <w:bCs/>
          <w:i/>
          <w:iCs/>
        </w:rPr>
        <w:t xml:space="preserve"> </w:t>
      </w:r>
      <w:r w:rsidRPr="00306115">
        <w:t>yang akurat, lengkap, tepat guna, dan tepat waktu.</w:t>
      </w:r>
    </w:p>
    <w:p w14:paraId="5AAF048C" w14:textId="26D9F59D" w:rsidR="00DB2D5D" w:rsidRPr="00306115" w:rsidRDefault="009A69CA">
      <w:pPr>
        <w:pStyle w:val="HeadingAwalDaftarIsiLampiran"/>
        <w:numPr>
          <w:ilvl w:val="0"/>
          <w:numId w:val="54"/>
        </w:numPr>
        <w:ind w:left="2268" w:hanging="567"/>
      </w:pPr>
      <w:r w:rsidRPr="00306115">
        <w:t>P</w:t>
      </w:r>
      <w:r w:rsidR="00E67CFA" w:rsidRPr="00306115">
        <w:t xml:space="preserve">rosedur </w:t>
      </w:r>
      <w:r w:rsidR="00E67CFA" w:rsidRPr="00306115">
        <w:rPr>
          <w:lang w:val="en-US"/>
        </w:rPr>
        <w:t>Manajemen Risiko paling sedikit memuat:</w:t>
      </w:r>
    </w:p>
    <w:p w14:paraId="4A621D60" w14:textId="7286D3F4" w:rsidR="00DB2D5D" w:rsidRPr="00306115" w:rsidRDefault="005E6604">
      <w:pPr>
        <w:pStyle w:val="HeadingAwalDaftarIsiLampiran"/>
        <w:numPr>
          <w:ilvl w:val="0"/>
          <w:numId w:val="56"/>
        </w:numPr>
        <w:ind w:left="2835" w:hanging="567"/>
      </w:pPr>
      <w:r w:rsidRPr="00306115">
        <w:t>akuntabilitas dan jenjang delegasi wewenang yang jelas;</w:t>
      </w:r>
    </w:p>
    <w:p w14:paraId="601F686A" w14:textId="2ADB2ABC" w:rsidR="005E6604" w:rsidRPr="00306115" w:rsidRDefault="008440D7">
      <w:pPr>
        <w:pStyle w:val="HeadingAwalDaftarIsiLampiran"/>
        <w:numPr>
          <w:ilvl w:val="0"/>
          <w:numId w:val="56"/>
        </w:numPr>
        <w:ind w:left="2835" w:hanging="567"/>
      </w:pPr>
      <w:r w:rsidRPr="00306115">
        <w:t xml:space="preserve">pelaksanaan kaji ulang terhadap prosedur Manajemen Risiko secara berkala paling sedikit </w:t>
      </w:r>
      <w:r w:rsidRPr="00306115">
        <w:rPr>
          <w:lang w:val="en-GB"/>
        </w:rPr>
        <w:t>1 (satu) kali dalam 1 (satu) tahun;</w:t>
      </w:r>
      <w:r w:rsidR="00F633C6" w:rsidRPr="00306115">
        <w:rPr>
          <w:lang w:val="en-GB"/>
        </w:rPr>
        <w:t xml:space="preserve"> dan</w:t>
      </w:r>
    </w:p>
    <w:p w14:paraId="34602FBC" w14:textId="3F005736" w:rsidR="008440D7" w:rsidRPr="00306115" w:rsidRDefault="00F633C6">
      <w:pPr>
        <w:pStyle w:val="HeadingAwalDaftarIsiLampiran"/>
        <w:numPr>
          <w:ilvl w:val="0"/>
          <w:numId w:val="56"/>
        </w:numPr>
        <w:ind w:left="2835" w:hanging="567"/>
      </w:pPr>
      <w:r w:rsidRPr="00306115">
        <w:t>dokumentasi</w:t>
      </w:r>
      <w:r w:rsidRPr="00306115">
        <w:rPr>
          <w:lang w:val="en-US"/>
        </w:rPr>
        <w:t xml:space="preserve"> prosedur Manajemen Risiko dan penetapan limit risiko secara memadai.</w:t>
      </w:r>
    </w:p>
    <w:p w14:paraId="741ED29F" w14:textId="3FBB7B32" w:rsidR="002A33BF" w:rsidRPr="00306115" w:rsidRDefault="005A6704">
      <w:pPr>
        <w:pStyle w:val="HeadingAwalDaftarIsiLampiran"/>
        <w:numPr>
          <w:ilvl w:val="0"/>
          <w:numId w:val="54"/>
        </w:numPr>
        <w:ind w:left="2268" w:hanging="567"/>
      </w:pPr>
      <w:r w:rsidRPr="00306115">
        <w:t>Kebijakan</w:t>
      </w:r>
      <w:r w:rsidRPr="00306115">
        <w:rPr>
          <w:lang w:val="en-US"/>
        </w:rPr>
        <w:t xml:space="preserve"> dan prosedur Manajemen Risiko termasuk perubahannya didokumentasikan dan dipelihara secara memadai serta dikomunikasikan kepada seluruh pegawai</w:t>
      </w:r>
      <w:r w:rsidR="006C11E9" w:rsidRPr="00306115">
        <w:rPr>
          <w:lang w:val="en-US"/>
        </w:rPr>
        <w:t>.</w:t>
      </w:r>
    </w:p>
    <w:p w14:paraId="67D3DA9F" w14:textId="63679CDB" w:rsidR="00E67CFA" w:rsidRPr="00306115" w:rsidRDefault="009D545D">
      <w:pPr>
        <w:pStyle w:val="HeadingAwalDaftarIsiLampiran"/>
        <w:numPr>
          <w:ilvl w:val="0"/>
          <w:numId w:val="53"/>
        </w:numPr>
        <w:ind w:left="1701" w:hanging="567"/>
      </w:pPr>
      <w:r w:rsidRPr="00306115">
        <w:t>Strategi Manajemen Risiko</w:t>
      </w:r>
    </w:p>
    <w:p w14:paraId="31752BE6" w14:textId="52452871" w:rsidR="009D545D" w:rsidRPr="00306115" w:rsidRDefault="006C11E9">
      <w:pPr>
        <w:pStyle w:val="HeadingAwalDaftarIsiLampiran"/>
        <w:numPr>
          <w:ilvl w:val="0"/>
          <w:numId w:val="57"/>
        </w:numPr>
        <w:ind w:left="2268" w:hanging="567"/>
      </w:pPr>
      <w:r w:rsidRPr="00306115">
        <w:t>Manajer Investasi merumuskan strategi Manajemen Risiko sesuai strategi bisnis secara keseluruhan dengan memperhatikan tingkat risiko yang akan diambil dan toleransi risiko.</w:t>
      </w:r>
    </w:p>
    <w:p w14:paraId="5DF29E9B" w14:textId="135FCEC9" w:rsidR="006C11E9" w:rsidRPr="00306115" w:rsidRDefault="009A69CA">
      <w:pPr>
        <w:pStyle w:val="HeadingAwalDaftarIsiLampiran"/>
        <w:numPr>
          <w:ilvl w:val="0"/>
          <w:numId w:val="57"/>
        </w:numPr>
        <w:ind w:left="2268" w:hanging="567"/>
      </w:pPr>
      <w:r w:rsidRPr="00306115">
        <w:t>S</w:t>
      </w:r>
      <w:r w:rsidR="000846A9" w:rsidRPr="00306115">
        <w:t>trategi Manajemen Risiko disusun untuk memastikan bahwa eksposur risiko Manajer Investasi dikelola secara terkendali sesuai dengan kebijakan dan prosedur internal Manajer Investasi serta peraturan perundang-undangan dan ketentuan yang berlaku.</w:t>
      </w:r>
    </w:p>
    <w:p w14:paraId="54F18FCC" w14:textId="003D1BF3" w:rsidR="000846A9" w:rsidRPr="00306115" w:rsidRDefault="009A69CA">
      <w:pPr>
        <w:pStyle w:val="HeadingAwalDaftarIsiLampiran"/>
        <w:numPr>
          <w:ilvl w:val="0"/>
          <w:numId w:val="57"/>
        </w:numPr>
        <w:ind w:left="2268" w:hanging="567"/>
      </w:pPr>
      <w:r w:rsidRPr="00306115">
        <w:t xml:space="preserve">Strategi </w:t>
      </w:r>
      <w:r w:rsidR="00FE4DCE" w:rsidRPr="00306115">
        <w:t>Manajemen Risiko paling sedikit memuat:</w:t>
      </w:r>
    </w:p>
    <w:p w14:paraId="053FA173" w14:textId="3D6EB43A" w:rsidR="006B52CA" w:rsidRPr="00306115" w:rsidRDefault="004F7B06">
      <w:pPr>
        <w:pStyle w:val="HeadingAwalDaftarIsiLampiran"/>
        <w:numPr>
          <w:ilvl w:val="0"/>
          <w:numId w:val="58"/>
        </w:numPr>
        <w:ind w:left="2835" w:hanging="567"/>
      </w:pPr>
      <w:r w:rsidRPr="00306115">
        <w:t xml:space="preserve">pengidentifikasian semua risiko yang mungkin timbul dalam </w:t>
      </w:r>
      <w:r w:rsidR="007C310E" w:rsidRPr="00306115">
        <w:t>P</w:t>
      </w:r>
      <w:r w:rsidRPr="00306115">
        <w:t>roduk</w:t>
      </w:r>
      <w:r w:rsidR="007C310E" w:rsidRPr="00306115">
        <w:t xml:space="preserve"> Investasi</w:t>
      </w:r>
      <w:r w:rsidRPr="00306115">
        <w:t xml:space="preserve"> dan kegiatan usaha Manajer Investasi serta penjelasan mengenai penyebab dari timbulnya risiko;</w:t>
      </w:r>
    </w:p>
    <w:p w14:paraId="3FF1B6B7" w14:textId="78B847BE" w:rsidR="004F7B06" w:rsidRPr="00306115" w:rsidRDefault="00965AB5">
      <w:pPr>
        <w:pStyle w:val="HeadingAwalDaftarIsiLampiran"/>
        <w:numPr>
          <w:ilvl w:val="0"/>
          <w:numId w:val="58"/>
        </w:numPr>
        <w:ind w:left="2835" w:hanging="567"/>
      </w:pPr>
      <w:r w:rsidRPr="00306115">
        <w:t>penjelasan tentang implikasi atas terjadinya risiko;</w:t>
      </w:r>
    </w:p>
    <w:p w14:paraId="6CECD132" w14:textId="49E7DAD7" w:rsidR="00965AB5" w:rsidRPr="00306115" w:rsidRDefault="00222B19">
      <w:pPr>
        <w:pStyle w:val="HeadingAwalDaftarIsiLampiran"/>
        <w:numPr>
          <w:ilvl w:val="0"/>
          <w:numId w:val="58"/>
        </w:numPr>
        <w:ind w:left="2835" w:hanging="567"/>
      </w:pPr>
      <w:r w:rsidRPr="00306115">
        <w:t>pengidentifikasian kemungkinan terjadinya risiko;</w:t>
      </w:r>
    </w:p>
    <w:p w14:paraId="04F58260" w14:textId="6FBD52E5" w:rsidR="00222B19" w:rsidRPr="00306115" w:rsidRDefault="000972B9">
      <w:pPr>
        <w:pStyle w:val="HeadingAwalDaftarIsiLampiran"/>
        <w:numPr>
          <w:ilvl w:val="0"/>
          <w:numId w:val="58"/>
        </w:numPr>
        <w:ind w:left="2835" w:hanging="567"/>
      </w:pPr>
      <w:r w:rsidRPr="00306115">
        <w:lastRenderedPageBreak/>
        <w:t>penetapan limit risiko;</w:t>
      </w:r>
    </w:p>
    <w:p w14:paraId="30034921" w14:textId="58B78421" w:rsidR="000972B9" w:rsidRPr="00306115" w:rsidRDefault="00FE1C3D">
      <w:pPr>
        <w:pStyle w:val="HeadingAwalDaftarIsiLampiran"/>
        <w:numPr>
          <w:ilvl w:val="0"/>
          <w:numId w:val="58"/>
        </w:numPr>
        <w:ind w:left="2835" w:hanging="567"/>
      </w:pPr>
      <w:r w:rsidRPr="00306115">
        <w:t>langkah-langkah yang wajib dilakukan jika risiko terjadi; dan</w:t>
      </w:r>
    </w:p>
    <w:p w14:paraId="36CB689E" w14:textId="0587F7BC" w:rsidR="00FE1C3D" w:rsidRPr="00306115" w:rsidRDefault="007C310E">
      <w:pPr>
        <w:pStyle w:val="HeadingAwalDaftarIsiLampiran"/>
        <w:numPr>
          <w:ilvl w:val="0"/>
          <w:numId w:val="58"/>
        </w:numPr>
        <w:ind w:left="2835" w:hanging="567"/>
      </w:pPr>
      <w:r w:rsidRPr="00306115">
        <w:t>pemantauan dan pengelolaan risiko.</w:t>
      </w:r>
    </w:p>
    <w:p w14:paraId="687924DD" w14:textId="5672C3F0" w:rsidR="007C310E" w:rsidRPr="00306115" w:rsidRDefault="009A69CA">
      <w:pPr>
        <w:pStyle w:val="HeadingAwalDaftarIsiLampiran"/>
        <w:numPr>
          <w:ilvl w:val="0"/>
          <w:numId w:val="57"/>
        </w:numPr>
        <w:ind w:left="2268" w:hanging="567"/>
      </w:pPr>
      <w:r w:rsidRPr="00306115">
        <w:t xml:space="preserve">Strategi </w:t>
      </w:r>
      <w:r w:rsidR="00227874" w:rsidRPr="00306115">
        <w:t>Manajemen Risiko disusun berdasarkan prinsip-prinsip umum sebagai berikut:</w:t>
      </w:r>
    </w:p>
    <w:p w14:paraId="21E139E9" w14:textId="5C5DA47E" w:rsidR="00227874" w:rsidRPr="00306115" w:rsidRDefault="009830F2">
      <w:pPr>
        <w:pStyle w:val="HeadingAwalDaftarIsiLampiran"/>
        <w:numPr>
          <w:ilvl w:val="0"/>
          <w:numId w:val="59"/>
        </w:numPr>
        <w:ind w:left="2835" w:hanging="567"/>
      </w:pPr>
      <w:r w:rsidRPr="00306115">
        <w:t>strategi Manajemen Risiko harus berorientasi jangka panjang untuk memastikan kelangsungan usaha Manajer Investasi dengan mempertimbangkan kondisi ekonomi; dan</w:t>
      </w:r>
    </w:p>
    <w:p w14:paraId="3031FE42" w14:textId="0DF49084" w:rsidR="009830F2" w:rsidRPr="00306115" w:rsidRDefault="009C2312">
      <w:pPr>
        <w:pStyle w:val="HeadingAwalDaftarIsiLampiran"/>
        <w:numPr>
          <w:ilvl w:val="0"/>
          <w:numId w:val="59"/>
        </w:numPr>
        <w:ind w:left="2835" w:hanging="567"/>
      </w:pPr>
      <w:r w:rsidRPr="00306115">
        <w:t>strategi Manajemen Risiko secara komprehensif dapat mengendalikan dan mengelola risiko Manajer Investasi.</w:t>
      </w:r>
    </w:p>
    <w:p w14:paraId="3C0546AF" w14:textId="330F68CE" w:rsidR="009C2312" w:rsidRPr="00306115" w:rsidRDefault="009A69CA">
      <w:pPr>
        <w:pStyle w:val="HeadingAwalDaftarIsiLampiran"/>
        <w:numPr>
          <w:ilvl w:val="0"/>
          <w:numId w:val="57"/>
        </w:numPr>
        <w:ind w:left="2268" w:hanging="567"/>
      </w:pPr>
      <w:r w:rsidRPr="00306115">
        <w:t xml:space="preserve">Strategi </w:t>
      </w:r>
      <w:r w:rsidR="000D3D91" w:rsidRPr="00306115">
        <w:t>Manajemen Risiko disusun dengan mempertimbangkan faktor antara lain:</w:t>
      </w:r>
    </w:p>
    <w:p w14:paraId="6D0596E6" w14:textId="13E5A4FE" w:rsidR="000D3D91" w:rsidRPr="00306115" w:rsidRDefault="00742FC3">
      <w:pPr>
        <w:pStyle w:val="HeadingAwalDaftarIsiLampiran"/>
        <w:numPr>
          <w:ilvl w:val="0"/>
          <w:numId w:val="60"/>
        </w:numPr>
        <w:ind w:left="2835" w:hanging="567"/>
      </w:pPr>
      <w:r w:rsidRPr="00306115">
        <w:t xml:space="preserve">perkembangan ekonomi dan industri </w:t>
      </w:r>
      <w:r w:rsidRPr="00306115">
        <w:rPr>
          <w:lang w:val="en-GB"/>
        </w:rPr>
        <w:t>serta</w:t>
      </w:r>
      <w:r w:rsidRPr="00306115">
        <w:t xml:space="preserve"> dampaknya terhadap risiko Manajer Investasi;</w:t>
      </w:r>
    </w:p>
    <w:p w14:paraId="0DD3D10F" w14:textId="713465B3" w:rsidR="00742FC3" w:rsidRPr="00306115" w:rsidRDefault="00677A63">
      <w:pPr>
        <w:pStyle w:val="HeadingAwalDaftarIsiLampiran"/>
        <w:numPr>
          <w:ilvl w:val="0"/>
          <w:numId w:val="60"/>
        </w:numPr>
        <w:ind w:left="2835" w:hanging="567"/>
      </w:pPr>
      <w:r w:rsidRPr="00306115">
        <w:t>struktur organisasi Manajer Investasi termasuk kecukupan sumber daya manusia dan infrastruktur pendukung;</w:t>
      </w:r>
    </w:p>
    <w:p w14:paraId="12F7068F" w14:textId="51276622" w:rsidR="00677A63" w:rsidRPr="00306115" w:rsidRDefault="004D2E6C">
      <w:pPr>
        <w:pStyle w:val="HeadingAwalDaftarIsiLampiran"/>
        <w:numPr>
          <w:ilvl w:val="0"/>
          <w:numId w:val="60"/>
        </w:numPr>
        <w:ind w:left="2835" w:hanging="567"/>
      </w:pPr>
      <w:r w:rsidRPr="00306115">
        <w:t>kondisi keuangan Manajer Investasi termasuk kemampuan untuk menghasilkan laba, dan kemampuan Manajer Investasi mengelola risiko yang timbul akibat perubahan faktor internal dan eksternal; dan</w:t>
      </w:r>
    </w:p>
    <w:p w14:paraId="02A56AC5" w14:textId="17598CFA" w:rsidR="004D2E6C" w:rsidRPr="00306115" w:rsidRDefault="00B274C8">
      <w:pPr>
        <w:pStyle w:val="HeadingAwalDaftarIsiLampiran"/>
        <w:numPr>
          <w:ilvl w:val="0"/>
          <w:numId w:val="60"/>
        </w:numPr>
        <w:ind w:left="2835" w:hanging="567"/>
      </w:pPr>
      <w:r w:rsidRPr="00306115">
        <w:t>diversifikasi produk kelolaan Manajer Investasi.</w:t>
      </w:r>
    </w:p>
    <w:p w14:paraId="589C50B7" w14:textId="022E6D15" w:rsidR="00B274C8" w:rsidRPr="00306115" w:rsidRDefault="0090137A">
      <w:pPr>
        <w:pStyle w:val="HeadingAwalDaftarIsiLampiran"/>
        <w:numPr>
          <w:ilvl w:val="0"/>
          <w:numId w:val="57"/>
        </w:numPr>
        <w:ind w:left="2268" w:hanging="567"/>
      </w:pPr>
      <w:r w:rsidRPr="00306115">
        <w:t xml:space="preserve">Direksi harus </w:t>
      </w:r>
      <w:r w:rsidRPr="00306115">
        <w:rPr>
          <w:lang w:val="en-GB"/>
        </w:rPr>
        <w:t xml:space="preserve">mengomunikasikan </w:t>
      </w:r>
      <w:r w:rsidRPr="00306115">
        <w:t>strategi Manajemen Risiko secara efektif kepada seluruh unit kerja dan pegawai agar dipahami secara jelas.</w:t>
      </w:r>
    </w:p>
    <w:p w14:paraId="5C1E476C" w14:textId="4A1B6537" w:rsidR="0090137A" w:rsidRPr="00306115" w:rsidRDefault="002162DE">
      <w:pPr>
        <w:pStyle w:val="HeadingAwalDaftarIsiLampiran"/>
        <w:numPr>
          <w:ilvl w:val="0"/>
          <w:numId w:val="57"/>
        </w:numPr>
        <w:ind w:left="2268" w:hanging="567"/>
      </w:pPr>
      <w:r w:rsidRPr="00306115">
        <w:t xml:space="preserve">Direksi harus melakukan kaji ulang strategi Manajemen Risiko secara berkala </w:t>
      </w:r>
      <w:r w:rsidRPr="00306115">
        <w:rPr>
          <w:lang w:val="en-GB"/>
        </w:rPr>
        <w:t>paling sedikit 1 (satu) kali dalam 1 (satu) tahun</w:t>
      </w:r>
      <w:r w:rsidRPr="00306115">
        <w:t xml:space="preserve"> termasuk dampaknya terhadap kinerja keuangan Manajer Investasi, untuk menentukan apakah perlu dilakukan perubahan terhadap strategi Manajemen Risiko Manajer Investasi.</w:t>
      </w:r>
    </w:p>
    <w:p w14:paraId="47C1CC97" w14:textId="11D3F602" w:rsidR="002162DE" w:rsidRPr="00306115" w:rsidRDefault="00B2609B">
      <w:pPr>
        <w:pStyle w:val="HeadingAwalDaftarIsiLampiran"/>
        <w:numPr>
          <w:ilvl w:val="0"/>
          <w:numId w:val="53"/>
        </w:numPr>
        <w:ind w:left="1701" w:hanging="567"/>
      </w:pPr>
      <w:r w:rsidRPr="00306115">
        <w:t>Tingkat Risiko yang Diambil (</w:t>
      </w:r>
      <w:r w:rsidRPr="00306115">
        <w:rPr>
          <w:i/>
        </w:rPr>
        <w:t>Risk Appetite</w:t>
      </w:r>
      <w:r w:rsidRPr="00306115">
        <w:t>) dan Toleransi Risiko (</w:t>
      </w:r>
      <w:r w:rsidRPr="00306115">
        <w:rPr>
          <w:i/>
        </w:rPr>
        <w:t>Risk Tolerance</w:t>
      </w:r>
      <w:r w:rsidR="005F5549" w:rsidRPr="00306115">
        <w:rPr>
          <w:iCs/>
        </w:rPr>
        <w:t>)</w:t>
      </w:r>
    </w:p>
    <w:p w14:paraId="02E93971" w14:textId="3B569F78" w:rsidR="00E221D4" w:rsidRPr="00306115" w:rsidRDefault="009A69CA">
      <w:pPr>
        <w:pStyle w:val="HeadingAwalDaftarIsiLampiran"/>
        <w:numPr>
          <w:ilvl w:val="0"/>
          <w:numId w:val="62"/>
        </w:numPr>
        <w:ind w:left="2268" w:hanging="567"/>
      </w:pPr>
      <w:r w:rsidRPr="00306115">
        <w:t>Tingkat</w:t>
      </w:r>
      <w:r w:rsidR="000C35CA" w:rsidRPr="00306115">
        <w:t xml:space="preserve"> risiko yang akan diambil merupakan tingkat </w:t>
      </w:r>
      <w:r w:rsidR="000C35CA" w:rsidRPr="00306115">
        <w:rPr>
          <w:lang w:val="en-GB"/>
        </w:rPr>
        <w:t xml:space="preserve">dari masing-masing </w:t>
      </w:r>
      <w:r w:rsidR="000C35CA" w:rsidRPr="00306115">
        <w:t>jenis risiko yang bersedia diambil oleh Manajer Investasi  dalam rangka mencapai tujuan Manajer Investasi. Tingkat risiko yang akan diambil tercermin dalam strategi dan tujuan bisnis Manajer Investasi.</w:t>
      </w:r>
    </w:p>
    <w:p w14:paraId="2D183B3D" w14:textId="34AAE81E" w:rsidR="000C35CA" w:rsidRPr="00306115" w:rsidRDefault="009A69CA">
      <w:pPr>
        <w:pStyle w:val="HeadingAwalDaftarIsiLampiran"/>
        <w:numPr>
          <w:ilvl w:val="0"/>
          <w:numId w:val="62"/>
        </w:numPr>
        <w:ind w:left="2268" w:hanging="567"/>
      </w:pPr>
      <w:r w:rsidRPr="00306115">
        <w:t>T</w:t>
      </w:r>
      <w:r w:rsidR="00F15067" w:rsidRPr="00306115">
        <w:t xml:space="preserve">oleransi risiko merupakan tingkat </w:t>
      </w:r>
      <w:r w:rsidR="00F15067" w:rsidRPr="00306115">
        <w:rPr>
          <w:lang w:val="en-GB"/>
        </w:rPr>
        <w:t xml:space="preserve">dari masing-masing </w:t>
      </w:r>
      <w:r w:rsidR="00F15067" w:rsidRPr="00306115">
        <w:t>jenis risiko yang secara maksimum ditetapkan oleh Manajer Investasi. Toleransi risiko merupakan penjabaran dari tingkat risiko yang akan diambil.</w:t>
      </w:r>
    </w:p>
    <w:p w14:paraId="53244B57" w14:textId="21A553DA" w:rsidR="00F15067" w:rsidRPr="00306115" w:rsidRDefault="009A69CA">
      <w:pPr>
        <w:pStyle w:val="HeadingAwalDaftarIsiLampiran"/>
        <w:numPr>
          <w:ilvl w:val="0"/>
          <w:numId w:val="62"/>
        </w:numPr>
        <w:ind w:left="2268" w:hanging="567"/>
      </w:pPr>
      <w:r w:rsidRPr="00306115">
        <w:t>D</w:t>
      </w:r>
      <w:r w:rsidR="009029A2" w:rsidRPr="00306115">
        <w:t xml:space="preserve">alam menyusun kebijakan Manajemen Risiko, Direksi harus memberikan arahan yang  jelas mengenai tingkat risiko yang akan diambil dan toleransi </w:t>
      </w:r>
      <w:r w:rsidR="009029A2" w:rsidRPr="00306115">
        <w:rPr>
          <w:lang w:val="en-GB"/>
        </w:rPr>
        <w:t>r</w:t>
      </w:r>
      <w:r w:rsidR="009029A2" w:rsidRPr="00306115">
        <w:t>isiko.</w:t>
      </w:r>
    </w:p>
    <w:p w14:paraId="062DF8C1" w14:textId="21B86EF6" w:rsidR="009029A2" w:rsidRPr="00306115" w:rsidRDefault="009A69CA">
      <w:pPr>
        <w:pStyle w:val="HeadingAwalDaftarIsiLampiran"/>
        <w:numPr>
          <w:ilvl w:val="0"/>
          <w:numId w:val="62"/>
        </w:numPr>
        <w:ind w:left="2268" w:hanging="567"/>
      </w:pPr>
      <w:r w:rsidRPr="00306115">
        <w:t>T</w:t>
      </w:r>
      <w:r w:rsidR="00F23208" w:rsidRPr="00306115">
        <w:t>ingkat risiko yang akan diambil dan toleransi risiko harus diperhatikan dalam penyusunan kebijakan Manajemen Risiko, termasuk dalam penetapan limit.</w:t>
      </w:r>
    </w:p>
    <w:p w14:paraId="25C5F5F9" w14:textId="5C21A123" w:rsidR="00F23208" w:rsidRPr="00306115" w:rsidRDefault="009A69CA">
      <w:pPr>
        <w:pStyle w:val="HeadingAwalDaftarIsiLampiran"/>
        <w:numPr>
          <w:ilvl w:val="0"/>
          <w:numId w:val="62"/>
        </w:numPr>
        <w:ind w:left="2268" w:hanging="567"/>
      </w:pPr>
      <w:r w:rsidRPr="00306115">
        <w:t>D</w:t>
      </w:r>
      <w:r w:rsidR="004440AD" w:rsidRPr="00306115">
        <w:t xml:space="preserve">alam menetapkan toleransi risiko, Manajer Investasi perlu mempertimbangkan strategi dan tujuan bisnis </w:t>
      </w:r>
      <w:r w:rsidR="004440AD" w:rsidRPr="00306115">
        <w:lastRenderedPageBreak/>
        <w:t>Manajer Investasi serta kemampuan Manajer Investasi dalam mengambil risiko (</w:t>
      </w:r>
      <w:r w:rsidR="004440AD" w:rsidRPr="00306115">
        <w:rPr>
          <w:i/>
        </w:rPr>
        <w:t>risk bearing capacity</w:t>
      </w:r>
      <w:r w:rsidR="004440AD" w:rsidRPr="00306115">
        <w:t>).</w:t>
      </w:r>
    </w:p>
    <w:p w14:paraId="1F17C78D" w14:textId="44F8C457" w:rsidR="00E221D4" w:rsidRPr="00306115" w:rsidRDefault="00E221D4">
      <w:pPr>
        <w:pStyle w:val="HeadingAwalDaftarIsiLampiran"/>
        <w:numPr>
          <w:ilvl w:val="0"/>
          <w:numId w:val="53"/>
        </w:numPr>
        <w:ind w:left="1701" w:hanging="567"/>
      </w:pPr>
      <w:r w:rsidRPr="00306115">
        <w:rPr>
          <w:iCs/>
        </w:rPr>
        <w:t>Limit</w:t>
      </w:r>
    </w:p>
    <w:p w14:paraId="5F705710" w14:textId="1806DDBB" w:rsidR="002C22AC" w:rsidRPr="00306115" w:rsidRDefault="0096285A">
      <w:pPr>
        <w:pStyle w:val="HeadingAwalDaftarIsiLampiran"/>
        <w:numPr>
          <w:ilvl w:val="0"/>
          <w:numId w:val="61"/>
        </w:numPr>
        <w:ind w:left="2268" w:hanging="567"/>
      </w:pPr>
      <w:r w:rsidRPr="00306115">
        <w:t xml:space="preserve">Manajer Investasi harus memiliki limit risiko yang sesuai dengan tingkat </w:t>
      </w:r>
      <w:r w:rsidRPr="00306115">
        <w:rPr>
          <w:lang w:val="en-GB"/>
        </w:rPr>
        <w:t>r</w:t>
      </w:r>
      <w:r w:rsidRPr="00306115">
        <w:t xml:space="preserve">isiko yang akan diambil, toleransi </w:t>
      </w:r>
      <w:r w:rsidRPr="00306115">
        <w:rPr>
          <w:lang w:val="en-GB"/>
        </w:rPr>
        <w:t>r</w:t>
      </w:r>
      <w:r w:rsidRPr="00306115">
        <w:t xml:space="preserve">isiko, dan strategi Manajer Investasi secara keseluruhan dengan memperhatikan kemampuan Manajer Investasi untuk dapat menyerap eksposur </w:t>
      </w:r>
      <w:r w:rsidRPr="00306115">
        <w:rPr>
          <w:lang w:val="en-GB"/>
        </w:rPr>
        <w:t>r</w:t>
      </w:r>
      <w:r w:rsidRPr="00306115">
        <w:t xml:space="preserve">isiko atau kerugian yang timbul, pengalaman kerugian di masa lalu, kemampuan </w:t>
      </w:r>
      <w:r w:rsidRPr="00306115">
        <w:rPr>
          <w:lang w:val="en-GB"/>
        </w:rPr>
        <w:t xml:space="preserve">sumber daya manusia, </w:t>
      </w:r>
      <w:r w:rsidRPr="00306115">
        <w:t>dan kepatuhan terhadap ketentuan yang berlaku.</w:t>
      </w:r>
    </w:p>
    <w:p w14:paraId="48EE118D" w14:textId="6A6F2FE9" w:rsidR="00E63F3D" w:rsidRPr="00306115" w:rsidRDefault="009A69CA">
      <w:pPr>
        <w:pStyle w:val="HeadingAwalDaftarIsiLampiran"/>
        <w:numPr>
          <w:ilvl w:val="0"/>
          <w:numId w:val="61"/>
        </w:numPr>
        <w:ind w:left="2268" w:hanging="567"/>
      </w:pPr>
      <w:r w:rsidRPr="00306115">
        <w:t>P</w:t>
      </w:r>
      <w:r w:rsidR="009A26BB" w:rsidRPr="00306115">
        <w:t xml:space="preserve">rosedur dan penetapan limit </w:t>
      </w:r>
      <w:r w:rsidR="009A26BB" w:rsidRPr="00306115">
        <w:rPr>
          <w:lang w:val="en-GB"/>
        </w:rPr>
        <w:t>r</w:t>
      </w:r>
      <w:r w:rsidR="009A26BB" w:rsidRPr="00306115">
        <w:t>isiko paling sedikit mencakup:</w:t>
      </w:r>
    </w:p>
    <w:p w14:paraId="32EFD05A" w14:textId="06835CFB" w:rsidR="00FE4DCE" w:rsidRPr="00306115" w:rsidRDefault="00634BB7">
      <w:pPr>
        <w:pStyle w:val="HeadingAwalDaftarIsiLampiran"/>
        <w:numPr>
          <w:ilvl w:val="0"/>
          <w:numId w:val="63"/>
        </w:numPr>
        <w:ind w:left="2835" w:hanging="567"/>
      </w:pPr>
      <w:r w:rsidRPr="00306115">
        <w:t>akuntabilitas dan jenjang delegasi wewenang yang jelas;</w:t>
      </w:r>
    </w:p>
    <w:p w14:paraId="2D9F10A0" w14:textId="32131894" w:rsidR="00634BB7" w:rsidRPr="00306115" w:rsidRDefault="006102B0">
      <w:pPr>
        <w:pStyle w:val="HeadingAwalDaftarIsiLampiran"/>
        <w:numPr>
          <w:ilvl w:val="0"/>
          <w:numId w:val="63"/>
        </w:numPr>
        <w:ind w:left="2835" w:hanging="567"/>
      </w:pPr>
      <w:r w:rsidRPr="00306115">
        <w:t>pelaksanaan kaji ulang terhadap prosedur dan penetapan limit secara berkala paling sedikit 1 (satu) kali dalam 1 (satu) tahun atau frekuensi yang lebih sering, sesuai dengan jenis risiko, kebutuhan, dan perkembangan dari kegiatan usaha Manajer Investasi;</w:t>
      </w:r>
    </w:p>
    <w:p w14:paraId="7C16298C" w14:textId="5A58D733" w:rsidR="006102B0" w:rsidRPr="00306115" w:rsidRDefault="00575235">
      <w:pPr>
        <w:pStyle w:val="HeadingAwalDaftarIsiLampiran"/>
        <w:numPr>
          <w:ilvl w:val="0"/>
          <w:numId w:val="63"/>
        </w:numPr>
        <w:ind w:left="2835" w:hanging="567"/>
      </w:pPr>
      <w:r w:rsidRPr="00306115">
        <w:t>dokumentasi prosedur dan penetapan limit secara memadai untuk memudahkan pelaksanaan kaji ulang dan jejak audit;</w:t>
      </w:r>
    </w:p>
    <w:p w14:paraId="6DB0A651" w14:textId="18B67DDE" w:rsidR="00575235" w:rsidRPr="00306115" w:rsidRDefault="00925854">
      <w:pPr>
        <w:pStyle w:val="HeadingAwalDaftarIsiLampiran"/>
        <w:numPr>
          <w:ilvl w:val="0"/>
          <w:numId w:val="63"/>
        </w:numPr>
        <w:ind w:left="2835" w:hanging="567"/>
      </w:pPr>
      <w:r w:rsidRPr="00306115">
        <w:t>besaran limit diusulkan oleh unit kerja operasional (</w:t>
      </w:r>
      <w:r w:rsidRPr="00306115">
        <w:rPr>
          <w:i/>
        </w:rPr>
        <w:t>risk-taking unit</w:t>
      </w:r>
      <w:r w:rsidRPr="00306115">
        <w:t xml:space="preserve">) terkait, yang selanjutnya direkomendasikan kepada fungsi </w:t>
      </w:r>
      <w:r w:rsidR="001008B5" w:rsidRPr="00306115">
        <w:t>M</w:t>
      </w:r>
      <w:r w:rsidRPr="00306115">
        <w:t xml:space="preserve">anajemen </w:t>
      </w:r>
      <w:r w:rsidR="001008B5" w:rsidRPr="00306115">
        <w:t>R</w:t>
      </w:r>
      <w:r w:rsidRPr="00306115">
        <w:t xml:space="preserve">isiko untuk mendapat persetujuan Direksi dan/atau Dewan Komisaris. Penetapan limit dilakukan secara komprehensif, yang mencakup limit secara keseluruhan, limit per </w:t>
      </w:r>
      <w:r w:rsidRPr="00306115">
        <w:rPr>
          <w:lang w:val="en-GB"/>
        </w:rPr>
        <w:t>r</w:t>
      </w:r>
      <w:r w:rsidRPr="00306115">
        <w:t xml:space="preserve">isiko, dan limit per aktivitas bisnis Manajer Investasi yang memiliki eksposur </w:t>
      </w:r>
      <w:r w:rsidRPr="00306115">
        <w:rPr>
          <w:lang w:val="en-GB"/>
        </w:rPr>
        <w:t>r</w:t>
      </w:r>
      <w:r w:rsidRPr="00306115">
        <w:t>isiko</w:t>
      </w:r>
      <w:r w:rsidR="007E16D6" w:rsidRPr="00306115">
        <w:t>.</w:t>
      </w:r>
    </w:p>
    <w:p w14:paraId="2F0CB96A" w14:textId="4CD52798" w:rsidR="007E16D6" w:rsidRPr="00306115" w:rsidRDefault="009A69CA">
      <w:pPr>
        <w:pStyle w:val="HeadingAwalDaftarIsiLampiran"/>
        <w:numPr>
          <w:ilvl w:val="0"/>
          <w:numId w:val="61"/>
        </w:numPr>
        <w:ind w:left="2268" w:hanging="567"/>
      </w:pPr>
      <w:r w:rsidRPr="00306115">
        <w:t>L</w:t>
      </w:r>
      <w:r w:rsidR="00354631" w:rsidRPr="00306115">
        <w:t>imit harus dipahami oleh setiap pihak yang terkait dan dikomunikasikan dengan baik termasuk apabila terjadi perubahan.</w:t>
      </w:r>
    </w:p>
    <w:p w14:paraId="2B404F1A" w14:textId="6BE44DE6" w:rsidR="00354631" w:rsidRPr="00306115" w:rsidRDefault="009A69CA">
      <w:pPr>
        <w:pStyle w:val="HeadingAwalDaftarIsiLampiran"/>
        <w:numPr>
          <w:ilvl w:val="0"/>
          <w:numId w:val="61"/>
        </w:numPr>
        <w:ind w:left="2268" w:hanging="567"/>
      </w:pPr>
      <w:r w:rsidRPr="00306115">
        <w:t>D</w:t>
      </w:r>
      <w:r w:rsidR="000F7463" w:rsidRPr="00306115">
        <w:t>alam rangka pengendalian risiko, limit digunakan sebagai ambang batas untuk menentukan tingkat intensitas mitigasi risiko yang akan dilaksanakan manajemen.</w:t>
      </w:r>
    </w:p>
    <w:p w14:paraId="35A654A3" w14:textId="5A7504E1" w:rsidR="000F7463" w:rsidRPr="00306115" w:rsidRDefault="00C42EEA">
      <w:pPr>
        <w:pStyle w:val="HeadingAwalDaftarIsiLampiran"/>
        <w:numPr>
          <w:ilvl w:val="0"/>
          <w:numId w:val="61"/>
        </w:numPr>
        <w:ind w:left="2268" w:hanging="567"/>
      </w:pPr>
      <w:r w:rsidRPr="00306115">
        <w:t>Manajer Investasi harus memiliki mekanisme persetujuan apabila terjadi pelampauan limit.</w:t>
      </w:r>
    </w:p>
    <w:p w14:paraId="2C6C954E" w14:textId="3D70911F" w:rsidR="00C42EEA" w:rsidRPr="00306115" w:rsidRDefault="009A69CA">
      <w:pPr>
        <w:pStyle w:val="HeadingAwalDaftarIsiLampiran"/>
        <w:numPr>
          <w:ilvl w:val="0"/>
          <w:numId w:val="61"/>
        </w:numPr>
        <w:ind w:left="2268" w:hanging="567"/>
      </w:pPr>
      <w:r w:rsidRPr="00306115">
        <w:t>L</w:t>
      </w:r>
      <w:r w:rsidR="00847F5F" w:rsidRPr="00306115">
        <w:t>imit tersebut harus dikaji ulang secara berkala</w:t>
      </w:r>
      <w:r w:rsidR="00847F5F" w:rsidRPr="00306115">
        <w:rPr>
          <w:lang w:val="en-GB"/>
        </w:rPr>
        <w:t xml:space="preserve"> paling sedikit 1 (satu) kali dalam 1 (satu) tahun</w:t>
      </w:r>
      <w:r w:rsidR="00847F5F" w:rsidRPr="00306115">
        <w:t xml:space="preserve"> oleh Direksi dan/atau fungsi </w:t>
      </w:r>
      <w:r w:rsidR="001008B5" w:rsidRPr="00306115">
        <w:t>M</w:t>
      </w:r>
      <w:r w:rsidR="00847F5F" w:rsidRPr="00306115">
        <w:t xml:space="preserve">anajemen </w:t>
      </w:r>
      <w:r w:rsidR="001008B5" w:rsidRPr="00306115">
        <w:t>R</w:t>
      </w:r>
      <w:r w:rsidR="00847F5F" w:rsidRPr="00306115">
        <w:t>isiko untuk menyesuaikan terhadap perubahan kondisi yang terjadi.</w:t>
      </w:r>
    </w:p>
    <w:p w14:paraId="76E0389B" w14:textId="5094DADE" w:rsidR="005F58E5" w:rsidRPr="00306115" w:rsidRDefault="005F58E5">
      <w:pPr>
        <w:pStyle w:val="HeadingAwalDaftarIsiLampiran"/>
        <w:numPr>
          <w:ilvl w:val="0"/>
          <w:numId w:val="43"/>
        </w:numPr>
        <w:ind w:left="1134" w:hanging="567"/>
      </w:pPr>
      <w:r w:rsidRPr="00306115">
        <w:t>Kecukupan Proses Identifikasi, Pengukuran, Pemantauan, Pengendalian Risiko</w:t>
      </w:r>
    </w:p>
    <w:p w14:paraId="2EEBA309" w14:textId="42CB7741" w:rsidR="000675E4" w:rsidRPr="00306115" w:rsidRDefault="000675E4" w:rsidP="00EF2404">
      <w:pPr>
        <w:pStyle w:val="HeadingAwalDaftarIsiLampiran"/>
        <w:numPr>
          <w:ilvl w:val="0"/>
          <w:numId w:val="0"/>
        </w:numPr>
        <w:ind w:left="1134" w:firstLine="567"/>
      </w:pPr>
      <w:r w:rsidRPr="00306115">
        <w:t>Identifikasi, pengukuran, pemantauan, dan pengendalian risiko merupakan bagian utama dari proses penerapan Manajemen Risiko. Identifikasi risiko bersifat proaktif, mencakup</w:t>
      </w:r>
      <w:r w:rsidRPr="00306115">
        <w:rPr>
          <w:lang w:val="en-GB"/>
        </w:rPr>
        <w:t xml:space="preserve"> identifikasi terhadap</w:t>
      </w:r>
      <w:r w:rsidRPr="00306115">
        <w:t xml:space="preserve"> seluruh aktivitas kegiatan usaha Manajer Investasi dan dilakukan dalam rangka menganalis</w:t>
      </w:r>
      <w:r w:rsidRPr="00306115">
        <w:rPr>
          <w:lang w:val="en-GB"/>
        </w:rPr>
        <w:t>is</w:t>
      </w:r>
      <w:r w:rsidRPr="00306115">
        <w:t xml:space="preserve"> sumber dan  kemungkinan timbulnya risiko serta dampaknya. Selanjutnya, Manajer Investasi perlu melakukan pengukuran risiko sesuai dengan ukuran, kompleksitas usaha, dan kemampuan Manajer Investasi. Dalam </w:t>
      </w:r>
      <w:r w:rsidRPr="00306115">
        <w:lastRenderedPageBreak/>
        <w:t>pemantauan terhadap hasil pengukuran risiko, Manajer Investasi perlu menetapkan unit yang independen dari unit kerja operasional (</w:t>
      </w:r>
      <w:r w:rsidRPr="00306115">
        <w:rPr>
          <w:i/>
          <w:iCs/>
        </w:rPr>
        <w:t>risk-taking unit</w:t>
      </w:r>
      <w:r w:rsidRPr="00306115">
        <w:t>) untuk memantau</w:t>
      </w:r>
      <w:r w:rsidRPr="00306115">
        <w:rPr>
          <w:lang w:val="en-GB"/>
        </w:rPr>
        <w:t xml:space="preserve"> serta menganalisis</w:t>
      </w:r>
      <w:r w:rsidRPr="00306115">
        <w:t xml:space="preserve"> tingkat dan</w:t>
      </w:r>
      <w:r w:rsidRPr="00306115">
        <w:rPr>
          <w:lang w:val="en-GB"/>
        </w:rPr>
        <w:t xml:space="preserve"> </w:t>
      </w:r>
      <w:r w:rsidRPr="00306115">
        <w:t xml:space="preserve">tren  risiko. Selain itu, efektivitas penerapan Manajemen Risiko perlu didukung oleh pengendalian risiko dengan mempertimbangkan hasil pengukuran dan pemantauan risiko. Dalam rangka pelaksanaan proses identifikasi, pengukuran, pemantauan, dan pengendalian risiko, Manajer Investasi perlu didukung oleh sistem informasi </w:t>
      </w:r>
      <w:r w:rsidRPr="00306115">
        <w:rPr>
          <w:lang w:val="en-GB"/>
        </w:rPr>
        <w:t>M</w:t>
      </w:r>
      <w:r w:rsidRPr="00306115">
        <w:t xml:space="preserve">anajemen </w:t>
      </w:r>
      <w:r w:rsidRPr="00306115">
        <w:rPr>
          <w:lang w:val="en-GB"/>
        </w:rPr>
        <w:t>R</w:t>
      </w:r>
      <w:r w:rsidRPr="00306115">
        <w:t>isiko yang memadai dan laporan yang akurat dan informatif mengenai kondisi keuangan, kinerja aktivitas fungsional, dan eksposur risiko Manajer Investasi.</w:t>
      </w:r>
    </w:p>
    <w:p w14:paraId="3E5E3D8E" w14:textId="2207C7D6" w:rsidR="000675E4" w:rsidRPr="00306115" w:rsidRDefault="00FA684A" w:rsidP="00EF2404">
      <w:pPr>
        <w:pStyle w:val="HeadingAwalDaftarIsiLampiran"/>
        <w:numPr>
          <w:ilvl w:val="0"/>
          <w:numId w:val="0"/>
        </w:numPr>
        <w:ind w:left="1134" w:firstLine="567"/>
      </w:pPr>
      <w:r w:rsidRPr="00306115">
        <w:t xml:space="preserve">Hal-hal yang perlu diperhatikan dalam pelaksanaan proses identifikasi, pengukuran, pemantauan, pengendalian, dan sistem informasi </w:t>
      </w:r>
      <w:r w:rsidRPr="00306115">
        <w:rPr>
          <w:lang w:val="en-GB"/>
        </w:rPr>
        <w:t>M</w:t>
      </w:r>
      <w:r w:rsidRPr="00306115">
        <w:t>anajemen</w:t>
      </w:r>
      <w:r w:rsidRPr="00306115">
        <w:rPr>
          <w:lang w:val="en-GB"/>
        </w:rPr>
        <w:t xml:space="preserve"> Risiko</w:t>
      </w:r>
      <w:r w:rsidRPr="00306115">
        <w:t xml:space="preserve"> antara lain</w:t>
      </w:r>
      <w:r w:rsidR="00B87815" w:rsidRPr="00306115">
        <w:t>:</w:t>
      </w:r>
    </w:p>
    <w:p w14:paraId="1109EA16" w14:textId="2FB5444B" w:rsidR="00B87815" w:rsidRPr="00306115" w:rsidRDefault="00C47C8F">
      <w:pPr>
        <w:pStyle w:val="HeadingAwalDaftarIsiLampiran"/>
        <w:numPr>
          <w:ilvl w:val="0"/>
          <w:numId w:val="64"/>
        </w:numPr>
        <w:ind w:left="1701" w:hanging="567"/>
      </w:pPr>
      <w:r w:rsidRPr="00306115">
        <w:t>Identifikasi Risiko</w:t>
      </w:r>
    </w:p>
    <w:p w14:paraId="09C3E80C" w14:textId="20EA2423" w:rsidR="00C47C8F" w:rsidRPr="00306115" w:rsidRDefault="009A69CA">
      <w:pPr>
        <w:pStyle w:val="HeadingAwalDaftarIsiLampiran"/>
        <w:numPr>
          <w:ilvl w:val="0"/>
          <w:numId w:val="65"/>
        </w:numPr>
        <w:ind w:left="2268" w:hanging="567"/>
      </w:pPr>
      <w:r w:rsidRPr="00306115">
        <w:t>P</w:t>
      </w:r>
      <w:r w:rsidR="002D6A68" w:rsidRPr="00306115">
        <w:t>elaksanaan identifikasi risiko dilakukan secara berkala baik terhadap risiko dari Produk Investasi maupun risiko yang melekat pada Manajer Investasi.</w:t>
      </w:r>
    </w:p>
    <w:p w14:paraId="09CFF991" w14:textId="652EEDBA" w:rsidR="002D6A68" w:rsidRPr="00306115" w:rsidRDefault="009A69CA">
      <w:pPr>
        <w:pStyle w:val="HeadingAwalDaftarIsiLampiran"/>
        <w:numPr>
          <w:ilvl w:val="0"/>
          <w:numId w:val="65"/>
        </w:numPr>
        <w:ind w:left="2268" w:hanging="567"/>
      </w:pPr>
      <w:r w:rsidRPr="00306115">
        <w:t>T</w:t>
      </w:r>
      <w:r w:rsidR="00EC5D41" w:rsidRPr="00306115">
        <w:t>ersedianya metode, sistem, atau prosedur untuk melakukan identifikasi risiko pada seluruh Produk Investasi dan aktivitas kegiatan usaha Manajer Investasi.</w:t>
      </w:r>
    </w:p>
    <w:p w14:paraId="20753537" w14:textId="72E6217F" w:rsidR="00EC5D41" w:rsidRPr="00306115" w:rsidRDefault="009A69CA">
      <w:pPr>
        <w:pStyle w:val="HeadingAwalDaftarIsiLampiran"/>
        <w:numPr>
          <w:ilvl w:val="0"/>
          <w:numId w:val="65"/>
        </w:numPr>
        <w:ind w:left="2268" w:hanging="567"/>
      </w:pPr>
      <w:r w:rsidRPr="00306115">
        <w:t>P</w:t>
      </w:r>
      <w:r w:rsidR="00E74ABB" w:rsidRPr="00306115">
        <w:t>roses identifikasi risiko dilakukan dengan menganalisis seluruh sumber risiko, yang paling sedikit dilakukan terhadap karakteristik risiko yang melekat pada Manajer Investasi dan risiko dari Produk Investasi yang dikelola, serta</w:t>
      </w:r>
      <w:r w:rsidR="00E74ABB" w:rsidRPr="00306115">
        <w:rPr>
          <w:b/>
          <w:bCs/>
          <w:i/>
          <w:iCs/>
        </w:rPr>
        <w:t xml:space="preserve"> </w:t>
      </w:r>
      <w:r w:rsidR="00E74ABB" w:rsidRPr="00306115">
        <w:t>memastikan bahwa risiko dari Produk Investasi bar</w:t>
      </w:r>
      <w:r w:rsidR="00E74ABB" w:rsidRPr="00306115">
        <w:rPr>
          <w:lang w:val="en-GB"/>
        </w:rPr>
        <w:t xml:space="preserve">u </w:t>
      </w:r>
      <w:r w:rsidR="00E74ABB" w:rsidRPr="00306115">
        <w:t>telah melalui proses Manajemen Risiko yang layak sebelum diperkenalkan.</w:t>
      </w:r>
    </w:p>
    <w:p w14:paraId="3C2C1064" w14:textId="32724A8E" w:rsidR="00E74ABB" w:rsidRPr="00306115" w:rsidRDefault="004F0494">
      <w:pPr>
        <w:pStyle w:val="HeadingAwalDaftarIsiLampiran"/>
        <w:numPr>
          <w:ilvl w:val="0"/>
          <w:numId w:val="64"/>
        </w:numPr>
        <w:ind w:left="1701" w:hanging="567"/>
      </w:pPr>
      <w:r w:rsidRPr="00306115">
        <w:t>Pengukuran Risiko</w:t>
      </w:r>
    </w:p>
    <w:p w14:paraId="37ECF39C" w14:textId="517928CF" w:rsidR="004F0494" w:rsidRPr="00306115" w:rsidRDefault="009A69CA">
      <w:pPr>
        <w:pStyle w:val="HeadingAwalDaftarIsiLampiran"/>
        <w:numPr>
          <w:ilvl w:val="0"/>
          <w:numId w:val="66"/>
        </w:numPr>
        <w:ind w:left="2268" w:hanging="567"/>
      </w:pPr>
      <w:r w:rsidRPr="00306115">
        <w:t>T</w:t>
      </w:r>
      <w:r w:rsidR="00BC1AC9" w:rsidRPr="00306115">
        <w:t>ersedianya metode</w:t>
      </w:r>
      <w:r w:rsidR="00BC1AC9" w:rsidRPr="00306115">
        <w:rPr>
          <w:lang w:val="en-GB"/>
        </w:rPr>
        <w:t xml:space="preserve"> atau</w:t>
      </w:r>
      <w:r w:rsidR="00BC1AC9" w:rsidRPr="00306115">
        <w:t xml:space="preserve"> sistem untuk melakukan pengukuran risiko secara berkala baik terhadap risiko dari Produk Investasi maupun risiko yang melekat pada </w:t>
      </w:r>
      <w:r w:rsidR="00BC1AC9" w:rsidRPr="00306115">
        <w:rPr>
          <w:lang w:val="en-GB"/>
        </w:rPr>
        <w:t>Manajer Investasi.</w:t>
      </w:r>
    </w:p>
    <w:p w14:paraId="7A67B7B0" w14:textId="71C81658" w:rsidR="00BC1AC9" w:rsidRPr="00306115" w:rsidRDefault="009A69CA">
      <w:pPr>
        <w:pStyle w:val="HeadingAwalDaftarIsiLampiran"/>
        <w:numPr>
          <w:ilvl w:val="0"/>
          <w:numId w:val="66"/>
        </w:numPr>
        <w:ind w:left="2268" w:hanging="567"/>
      </w:pPr>
      <w:r w:rsidRPr="00306115">
        <w:t>M</w:t>
      </w:r>
      <w:r w:rsidR="006576B3" w:rsidRPr="00306115">
        <w:t>etode atau sistem tersebut paling sedikit harus dapat mengukur:</w:t>
      </w:r>
    </w:p>
    <w:p w14:paraId="0631095B" w14:textId="51248D69" w:rsidR="00BB45D0" w:rsidRPr="00306115" w:rsidRDefault="00BB45D0">
      <w:pPr>
        <w:pStyle w:val="HeadingAwalDaftarIsiLampiran"/>
        <w:numPr>
          <w:ilvl w:val="0"/>
          <w:numId w:val="67"/>
        </w:numPr>
        <w:ind w:left="2835" w:hanging="567"/>
      </w:pPr>
      <w:r w:rsidRPr="00306115">
        <w:t xml:space="preserve">sensitivitas Produk Investasi dan/atau kegiatan usaha </w:t>
      </w:r>
      <w:r w:rsidRPr="00306115">
        <w:rPr>
          <w:lang w:val="en-GB"/>
        </w:rPr>
        <w:t>Manajer Investasi</w:t>
      </w:r>
      <w:r w:rsidRPr="00306115">
        <w:t xml:space="preserve"> terhadap perubahan faktor-faktor yang mempengaruhinya, baik dalam kondisi normal maupun tidak normal;</w:t>
      </w:r>
    </w:p>
    <w:p w14:paraId="7740512C" w14:textId="02576D59" w:rsidR="006576B3" w:rsidRPr="00306115" w:rsidRDefault="0066691C">
      <w:pPr>
        <w:pStyle w:val="HeadingAwalDaftarIsiLampiran"/>
        <w:numPr>
          <w:ilvl w:val="0"/>
          <w:numId w:val="67"/>
        </w:numPr>
        <w:ind w:left="2835" w:hanging="567"/>
      </w:pPr>
      <w:r w:rsidRPr="00306115">
        <w:t>kecenderungan perubahan faktor-faktor dimaksud berdasarkan fluktuasi yang terjadi pada masa lalu dan korelasinya;</w:t>
      </w:r>
    </w:p>
    <w:p w14:paraId="06DB07F4" w14:textId="0410A092" w:rsidR="0066691C" w:rsidRPr="00306115" w:rsidRDefault="004D5699">
      <w:pPr>
        <w:pStyle w:val="HeadingAwalDaftarIsiLampiran"/>
        <w:numPr>
          <w:ilvl w:val="0"/>
          <w:numId w:val="67"/>
        </w:numPr>
        <w:ind w:left="2835" w:hanging="567"/>
      </w:pPr>
      <w:r w:rsidRPr="00306115">
        <w:t>faktor risiko secara individu;</w:t>
      </w:r>
    </w:p>
    <w:p w14:paraId="70CD3280" w14:textId="1232B29E" w:rsidR="004D5699" w:rsidRPr="00306115" w:rsidRDefault="00E94CC7">
      <w:pPr>
        <w:pStyle w:val="HeadingAwalDaftarIsiLampiran"/>
        <w:numPr>
          <w:ilvl w:val="0"/>
          <w:numId w:val="67"/>
        </w:numPr>
        <w:ind w:left="2835" w:hanging="567"/>
      </w:pPr>
      <w:r w:rsidRPr="00306115">
        <w:t>eksposur risiko secara keseluruhan maupun per risiko, dengan mempertimbangkan keterkaitan antar risiko; dan</w:t>
      </w:r>
    </w:p>
    <w:p w14:paraId="616D1599" w14:textId="6FF8E3D3" w:rsidR="00E94CC7" w:rsidRPr="00306115" w:rsidRDefault="008E7A81">
      <w:pPr>
        <w:pStyle w:val="HeadingAwalDaftarIsiLampiran"/>
        <w:numPr>
          <w:ilvl w:val="0"/>
          <w:numId w:val="67"/>
        </w:numPr>
        <w:ind w:left="2835" w:hanging="567"/>
      </w:pPr>
      <w:r w:rsidRPr="00306115">
        <w:t xml:space="preserve">seluruh risiko yang melekat pada seluruh Produk Investasi dan/atau kegiatan usaha Manajer Investasi, termasuk Produk Investasi baru, </w:t>
      </w:r>
      <w:r w:rsidRPr="00306115">
        <w:rPr>
          <w:lang w:val="en-GB"/>
        </w:rPr>
        <w:t xml:space="preserve">yang </w:t>
      </w:r>
      <w:r w:rsidRPr="00306115">
        <w:t>dapat diintegrasikan dalam sistem informasi manajemen Manajer Investasi.</w:t>
      </w:r>
    </w:p>
    <w:p w14:paraId="1D7FAAD9" w14:textId="574C4017" w:rsidR="008E7A81" w:rsidRPr="00306115" w:rsidRDefault="00F21A18">
      <w:pPr>
        <w:pStyle w:val="HeadingAwalDaftarIsiLampiran"/>
        <w:numPr>
          <w:ilvl w:val="0"/>
          <w:numId w:val="66"/>
        </w:numPr>
        <w:ind w:left="2268" w:hanging="567"/>
      </w:pPr>
      <w:r w:rsidRPr="00306115">
        <w:t>M</w:t>
      </w:r>
      <w:r w:rsidR="007932C3" w:rsidRPr="00306115">
        <w:t xml:space="preserve">etode pengukuran risiko dapat dilakukan secara kuantitatif dan/atau kualitatif. Metode pengukuran tersebut paling sedikit menggunakan metode yang ditetapkan oleh Otoritas Jasa Keuangan dalam rangka </w:t>
      </w:r>
      <w:r w:rsidR="007932C3" w:rsidRPr="00306115">
        <w:lastRenderedPageBreak/>
        <w:t>penilaian risiko</w:t>
      </w:r>
      <w:r w:rsidR="007932C3" w:rsidRPr="00306115">
        <w:rPr>
          <w:lang w:val="en-GB"/>
        </w:rPr>
        <w:t xml:space="preserve">. </w:t>
      </w:r>
      <w:r w:rsidR="007932C3" w:rsidRPr="00306115">
        <w:t>Manajer Investasi juga dapat mengembangkan metode alternatif dalam pengukuran risiko.</w:t>
      </w:r>
    </w:p>
    <w:p w14:paraId="522727D1" w14:textId="72F899BA" w:rsidR="007932C3" w:rsidRPr="00306115" w:rsidRDefault="00F21A18">
      <w:pPr>
        <w:pStyle w:val="HeadingAwalDaftarIsiLampiran"/>
        <w:numPr>
          <w:ilvl w:val="0"/>
          <w:numId w:val="66"/>
        </w:numPr>
        <w:ind w:left="2268" w:hanging="567"/>
      </w:pPr>
      <w:r w:rsidRPr="00306115">
        <w:t>P</w:t>
      </w:r>
      <w:r w:rsidR="00181804" w:rsidRPr="00306115">
        <w:t xml:space="preserve">emilihan metode pengukuran disesuaikan dengan ukuran, kompleksitas usaha, dan kemampuan Manajer </w:t>
      </w:r>
      <w:r w:rsidR="00181804" w:rsidRPr="00306115">
        <w:rPr>
          <w:lang w:val="en-GB"/>
        </w:rPr>
        <w:t>Investasi.</w:t>
      </w:r>
    </w:p>
    <w:p w14:paraId="605C957A" w14:textId="7EF7E509" w:rsidR="00181804" w:rsidRPr="00306115" w:rsidRDefault="00F21A18">
      <w:pPr>
        <w:pStyle w:val="HeadingAwalDaftarIsiLampiran"/>
        <w:numPr>
          <w:ilvl w:val="0"/>
          <w:numId w:val="66"/>
        </w:numPr>
        <w:ind w:left="2268" w:hanging="567"/>
      </w:pPr>
      <w:r w:rsidRPr="00306115">
        <w:t>B</w:t>
      </w:r>
      <w:r w:rsidR="00D92E8C" w:rsidRPr="00306115">
        <w:t>agi Manajer Investasi yang menggunakan metode alternatif dalam pengukuran risiko, paling sedikit mempertimbangkan:</w:t>
      </w:r>
    </w:p>
    <w:p w14:paraId="1CFDFF2A" w14:textId="77777777" w:rsidR="007E473D" w:rsidRPr="00306115" w:rsidRDefault="007E473D">
      <w:pPr>
        <w:pStyle w:val="HeadingAwalDaftarIsiLampiran"/>
        <w:numPr>
          <w:ilvl w:val="0"/>
          <w:numId w:val="68"/>
        </w:numPr>
        <w:ind w:left="2835" w:hanging="567"/>
      </w:pPr>
      <w:r w:rsidRPr="00306115">
        <w:rPr>
          <w:lang w:val="en-ID"/>
        </w:rPr>
        <w:t>persyaratan</w:t>
      </w:r>
      <w:r w:rsidRPr="00306115">
        <w:t xml:space="preserve"> penggunaan metode alternatif, paling sedikit meliputi:</w:t>
      </w:r>
    </w:p>
    <w:p w14:paraId="5B841D5F" w14:textId="117406F1" w:rsidR="007E473D" w:rsidRPr="00306115" w:rsidRDefault="00D645A1">
      <w:pPr>
        <w:pStyle w:val="HeadingAwalDaftarIsiLampiran"/>
        <w:numPr>
          <w:ilvl w:val="0"/>
          <w:numId w:val="69"/>
        </w:numPr>
        <w:ind w:left="3402" w:hanging="567"/>
      </w:pPr>
      <w:r w:rsidRPr="00306115">
        <w:rPr>
          <w:lang w:val="en-ID"/>
        </w:rPr>
        <w:t>isi dan kualitas data dan informasi yang dibuat atau dikelola harus sesuai dengan standar umum yang berlaku sehingga memungkinkan hasil statistik yang andal</w:t>
      </w:r>
      <w:r w:rsidR="00D02FB6" w:rsidRPr="00306115">
        <w:t>:</w:t>
      </w:r>
      <w:r w:rsidR="00EA7068" w:rsidRPr="00306115">
        <w:t xml:space="preserve"> </w:t>
      </w:r>
    </w:p>
    <w:p w14:paraId="2A062778" w14:textId="78873EA0" w:rsidR="005C36E1" w:rsidRPr="00306115" w:rsidRDefault="00661161">
      <w:pPr>
        <w:pStyle w:val="HeadingAwalDaftarIsiLampiran"/>
        <w:numPr>
          <w:ilvl w:val="0"/>
          <w:numId w:val="69"/>
        </w:numPr>
        <w:ind w:left="3402" w:hanging="567"/>
        <w:rPr>
          <w:lang w:val="en-ID"/>
        </w:rPr>
      </w:pPr>
      <w:r w:rsidRPr="00306115">
        <w:rPr>
          <w:lang w:val="en-ID"/>
        </w:rPr>
        <w:t>metode pengambilan data dan informasi yang layak dan akurat pada saat yang tepat;</w:t>
      </w:r>
    </w:p>
    <w:p w14:paraId="321B425E" w14:textId="0C7AEA7B" w:rsidR="00661161" w:rsidRPr="00306115" w:rsidRDefault="00EE7E6E">
      <w:pPr>
        <w:pStyle w:val="HeadingAwalDaftarIsiLampiran"/>
        <w:numPr>
          <w:ilvl w:val="0"/>
          <w:numId w:val="69"/>
        </w:numPr>
        <w:ind w:left="3402" w:hanging="567"/>
        <w:rPr>
          <w:lang w:val="en-ID"/>
        </w:rPr>
      </w:pPr>
      <w:r w:rsidRPr="00306115">
        <w:rPr>
          <w:lang w:val="en-ID"/>
        </w:rPr>
        <w:t xml:space="preserve">metode yang dapat menghasilkan data risiko pada seluruh </w:t>
      </w:r>
      <w:r w:rsidR="007E744C" w:rsidRPr="00306115">
        <w:rPr>
          <w:lang w:val="en-ID"/>
        </w:rPr>
        <w:t xml:space="preserve">Produk Investasi </w:t>
      </w:r>
      <w:r w:rsidRPr="00306115">
        <w:rPr>
          <w:lang w:val="en-ID"/>
        </w:rPr>
        <w:t>dan kegiatan usaha Manajer Investasi;</w:t>
      </w:r>
    </w:p>
    <w:p w14:paraId="2F1C558C" w14:textId="704F19C9" w:rsidR="00EE7E6E" w:rsidRPr="00306115" w:rsidRDefault="00CF2B21">
      <w:pPr>
        <w:pStyle w:val="HeadingAwalDaftarIsiLampiran"/>
        <w:numPr>
          <w:ilvl w:val="0"/>
          <w:numId w:val="69"/>
        </w:numPr>
        <w:ind w:left="3402" w:hanging="567"/>
        <w:rPr>
          <w:lang w:val="en-ID"/>
        </w:rPr>
      </w:pPr>
      <w:r w:rsidRPr="00306115">
        <w:rPr>
          <w:lang w:val="en-ID"/>
        </w:rPr>
        <w:t>dokumentasi dari sumber data dan informasi yang digunakan untuk keperluan proses pengukuran risiko; dan</w:t>
      </w:r>
    </w:p>
    <w:p w14:paraId="192314E4" w14:textId="628225A8" w:rsidR="00CF2B21" w:rsidRPr="00306115" w:rsidRDefault="007E744C">
      <w:pPr>
        <w:pStyle w:val="HeadingAwalDaftarIsiLampiran"/>
        <w:numPr>
          <w:ilvl w:val="0"/>
          <w:numId w:val="69"/>
        </w:numPr>
        <w:ind w:left="3402" w:hanging="567"/>
      </w:pPr>
      <w:r w:rsidRPr="00306115">
        <w:rPr>
          <w:lang w:val="en-ID"/>
        </w:rPr>
        <w:t>basis data dan informasi serta proses penyimpanan data dan informasi yang merupakan bagian dari metode tersebut di atas guna mencegah terputusnya serangkaian data statistik.</w:t>
      </w:r>
    </w:p>
    <w:p w14:paraId="3E5600CD" w14:textId="35BD09EE" w:rsidR="00F547ED" w:rsidRPr="00306115" w:rsidRDefault="0078787E">
      <w:pPr>
        <w:pStyle w:val="HeadingAwalDaftarIsiLampiran"/>
        <w:numPr>
          <w:ilvl w:val="0"/>
          <w:numId w:val="68"/>
        </w:numPr>
        <w:ind w:left="2835" w:hanging="567"/>
      </w:pPr>
      <w:r w:rsidRPr="00306115">
        <w:rPr>
          <w:lang w:val="en-ID"/>
        </w:rPr>
        <w:t>dalam rangka mengatasi kelemahan yang dapat timbul atas penggunaan metode alternatif pengukuran risiko tertentu, Manajer Investasi harus melakukan validasi metode alternatif tersebut yang dilakukan oleh pihak internal yang independen terhadap unit kerja yang mengaplikasikan metode tersebut.</w:t>
      </w:r>
    </w:p>
    <w:p w14:paraId="252B1A20" w14:textId="205014AA" w:rsidR="0078787E" w:rsidRPr="00306115" w:rsidRDefault="00BD387F">
      <w:pPr>
        <w:pStyle w:val="HeadingAwalDaftarIsiLampiran"/>
        <w:numPr>
          <w:ilvl w:val="0"/>
          <w:numId w:val="68"/>
        </w:numPr>
        <w:ind w:left="2835" w:hanging="567"/>
      </w:pPr>
      <w:r w:rsidRPr="00306115">
        <w:rPr>
          <w:lang w:val="en-ID"/>
        </w:rPr>
        <w:t xml:space="preserve">validasi juga harus dilakukan terhadap </w:t>
      </w:r>
      <w:r w:rsidRPr="00306115">
        <w:t>metode</w:t>
      </w:r>
      <w:r w:rsidRPr="00306115">
        <w:rPr>
          <w:lang w:val="en-ID"/>
        </w:rPr>
        <w:t xml:space="preserve"> baru, baik yang dikembangkan sendiri oleh Manajer Investasi maupun yang diperoleh dari pihak ketiga. </w:t>
      </w:r>
      <w:r w:rsidRPr="00306115">
        <w:t>Metode</w:t>
      </w:r>
      <w:r w:rsidRPr="00306115">
        <w:rPr>
          <w:lang w:val="en-ID"/>
        </w:rPr>
        <w:t xml:space="preserve"> yang digunakan oleh  Manajer Investasi harus dievaluasi secara berkala </w:t>
      </w:r>
      <w:r w:rsidRPr="00306115">
        <w:rPr>
          <w:lang w:val="en-GB"/>
        </w:rPr>
        <w:t>paling sedikit 1 (satu) kali dalam 1 (satu) tahun</w:t>
      </w:r>
      <w:r w:rsidRPr="00306115">
        <w:rPr>
          <w:lang w:val="en-ID"/>
        </w:rPr>
        <w:t xml:space="preserve"> maupun sewaktu-waktu terutama dalam hal terjadi perubahan kondisi pasar yang signifikan.</w:t>
      </w:r>
    </w:p>
    <w:p w14:paraId="0C8AD95E" w14:textId="7C428ED0" w:rsidR="00BD387F" w:rsidRPr="00306115" w:rsidRDefault="00376AC1">
      <w:pPr>
        <w:pStyle w:val="HeadingAwalDaftarIsiLampiran"/>
        <w:numPr>
          <w:ilvl w:val="0"/>
          <w:numId w:val="68"/>
        </w:numPr>
        <w:ind w:left="2835" w:hanging="567"/>
      </w:pPr>
      <w:r w:rsidRPr="00306115">
        <w:rPr>
          <w:lang w:val="en-ID"/>
        </w:rPr>
        <w:t>proses pengukuran risiko harus secara jelas memuat proses validasi, frekuensi validasi, persyaratan dokumentasi data dan informasi, serta persyaratan evaluasi terhadap asumsi-asumsi yang digunakan, sebelum suatu</w:t>
      </w:r>
      <w:r w:rsidRPr="00306115">
        <w:t xml:space="preserve"> metode</w:t>
      </w:r>
      <w:r w:rsidRPr="00306115">
        <w:rPr>
          <w:lang w:val="en-ID"/>
        </w:rPr>
        <w:t xml:space="preserve"> diaplikasikan oleh Manajer Investasi.</w:t>
      </w:r>
    </w:p>
    <w:p w14:paraId="2FB4B6AC" w14:textId="61F2C7F4" w:rsidR="00376AC1" w:rsidRPr="00306115" w:rsidRDefault="00C25D12">
      <w:pPr>
        <w:pStyle w:val="HeadingAwalDaftarIsiLampiran"/>
        <w:numPr>
          <w:ilvl w:val="0"/>
          <w:numId w:val="68"/>
        </w:numPr>
        <w:ind w:left="2835" w:hanging="567"/>
      </w:pPr>
      <w:r w:rsidRPr="00306115">
        <w:rPr>
          <w:lang w:val="en-ID"/>
        </w:rPr>
        <w:t>metode pengukuran risiko harus dipahami secara jelas oleh pegawai yang terkait dalam pengendalian risiko.</w:t>
      </w:r>
    </w:p>
    <w:p w14:paraId="6ABAFB46" w14:textId="20087817" w:rsidR="00D02FB6" w:rsidRPr="00306115" w:rsidRDefault="00F21A18">
      <w:pPr>
        <w:pStyle w:val="HeadingAwalDaftarIsiLampiran"/>
        <w:numPr>
          <w:ilvl w:val="0"/>
          <w:numId w:val="66"/>
        </w:numPr>
        <w:ind w:left="2268" w:hanging="567"/>
      </w:pPr>
      <w:r w:rsidRPr="00306115">
        <w:t>T</w:t>
      </w:r>
      <w:r w:rsidR="006A3D18" w:rsidRPr="00306115">
        <w:t xml:space="preserve">erdapatnya evaluasi secara berkala </w:t>
      </w:r>
      <w:r w:rsidR="006A3D18" w:rsidRPr="00306115">
        <w:rPr>
          <w:lang w:val="en-GB"/>
        </w:rPr>
        <w:t>paling sedikit 1 (satu) kali dalam 1 (satu) tahun</w:t>
      </w:r>
      <w:r w:rsidR="006A3D18" w:rsidRPr="00306115">
        <w:t xml:space="preserve"> terhadap metode, sistem</w:t>
      </w:r>
      <w:r w:rsidR="006A3D18" w:rsidRPr="00306115">
        <w:rPr>
          <w:lang w:val="en-GB"/>
        </w:rPr>
        <w:t>,</w:t>
      </w:r>
      <w:r w:rsidR="006A3D18" w:rsidRPr="00306115">
        <w:t xml:space="preserve"> atau prosedur termasuk kesesuaian asumsi dan sumber data </w:t>
      </w:r>
      <w:r w:rsidR="006A3D18" w:rsidRPr="00306115">
        <w:lastRenderedPageBreak/>
        <w:t>yang digunakan untuk mengukur risiko Manajer Investasi.</w:t>
      </w:r>
    </w:p>
    <w:p w14:paraId="12636F2A" w14:textId="44F1841C" w:rsidR="006A3D18" w:rsidRPr="00306115" w:rsidRDefault="00F21A18">
      <w:pPr>
        <w:pStyle w:val="HeadingAwalDaftarIsiLampiran"/>
        <w:numPr>
          <w:ilvl w:val="0"/>
          <w:numId w:val="66"/>
        </w:numPr>
        <w:ind w:left="2268" w:hanging="567"/>
      </w:pPr>
      <w:r w:rsidRPr="00306115">
        <w:t>P</w:t>
      </w:r>
      <w:r w:rsidR="00907CAE" w:rsidRPr="00306115">
        <w:t>enyempurnaan terhadap sistem pengukuran risiko dalam hal terdapat perubahan ukuran dan kompleksitas usaha Manajer Investasi.</w:t>
      </w:r>
    </w:p>
    <w:p w14:paraId="3A84148D" w14:textId="0657851F" w:rsidR="00907CAE" w:rsidRPr="00306115" w:rsidRDefault="00907CAE">
      <w:pPr>
        <w:pStyle w:val="HeadingAwalDaftarIsiLampiran"/>
        <w:numPr>
          <w:ilvl w:val="0"/>
          <w:numId w:val="64"/>
        </w:numPr>
        <w:ind w:left="1701" w:hanging="567"/>
      </w:pPr>
      <w:r w:rsidRPr="00306115">
        <w:t>Pemantauan Risiko</w:t>
      </w:r>
    </w:p>
    <w:p w14:paraId="58D88D87" w14:textId="2D03B01E" w:rsidR="00907CAE" w:rsidRPr="00306115" w:rsidRDefault="00F21A18">
      <w:pPr>
        <w:pStyle w:val="HeadingAwalDaftarIsiLampiran"/>
        <w:numPr>
          <w:ilvl w:val="0"/>
          <w:numId w:val="70"/>
        </w:numPr>
        <w:ind w:left="2268" w:hanging="567"/>
      </w:pPr>
      <w:r w:rsidRPr="00306115">
        <w:t>T</w:t>
      </w:r>
      <w:r w:rsidR="004B0EC6" w:rsidRPr="00306115">
        <w:t>ersedianya metode, sistem</w:t>
      </w:r>
      <w:r w:rsidR="004B0EC6" w:rsidRPr="00306115">
        <w:rPr>
          <w:lang w:val="en-GB"/>
        </w:rPr>
        <w:t>,</w:t>
      </w:r>
      <w:r w:rsidR="004B0EC6" w:rsidRPr="00306115">
        <w:t xml:space="preserve"> atau prosedur untuk melakukan pemantauan </w:t>
      </w:r>
      <w:r w:rsidR="004B0EC6" w:rsidRPr="00306115">
        <w:rPr>
          <w:lang w:val="en-GB"/>
        </w:rPr>
        <w:t>r</w:t>
      </w:r>
      <w:r w:rsidR="004B0EC6" w:rsidRPr="00306115">
        <w:t xml:space="preserve">isiko secara berkala yang antara lain mencakup evaluasi terhadap besarnya eksposur </w:t>
      </w:r>
      <w:r w:rsidR="004B0EC6" w:rsidRPr="00306115">
        <w:rPr>
          <w:lang w:val="en-GB"/>
        </w:rPr>
        <w:t>r</w:t>
      </w:r>
      <w:r w:rsidR="004B0EC6" w:rsidRPr="00306115">
        <w:t xml:space="preserve">isiko, toleransi </w:t>
      </w:r>
      <w:r w:rsidR="004B0EC6" w:rsidRPr="00306115">
        <w:rPr>
          <w:lang w:val="en-GB"/>
        </w:rPr>
        <w:t>r</w:t>
      </w:r>
      <w:r w:rsidR="004B0EC6" w:rsidRPr="00306115">
        <w:t>isiko, kepatuhan limit</w:t>
      </w:r>
      <w:r w:rsidR="004B0EC6" w:rsidRPr="00306115">
        <w:rPr>
          <w:lang w:val="en-GB"/>
        </w:rPr>
        <w:t xml:space="preserve"> risiko yang ditetapkan secara</w:t>
      </w:r>
      <w:r w:rsidR="004B0EC6" w:rsidRPr="00306115">
        <w:t xml:space="preserve"> internal, maupun konsistensi pelaksanaan dengan kebijakan dan prosedur yang ditetapkan.</w:t>
      </w:r>
    </w:p>
    <w:p w14:paraId="183DB6DF" w14:textId="7B244AA3" w:rsidR="004B0EC6" w:rsidRPr="00306115" w:rsidRDefault="00F21A18">
      <w:pPr>
        <w:pStyle w:val="HeadingAwalDaftarIsiLampiran"/>
        <w:numPr>
          <w:ilvl w:val="0"/>
          <w:numId w:val="70"/>
        </w:numPr>
        <w:ind w:left="2268" w:hanging="567"/>
      </w:pPr>
      <w:r w:rsidRPr="00306115">
        <w:t>P</w:t>
      </w:r>
      <w:r w:rsidR="00557446" w:rsidRPr="00306115">
        <w:t>emantauan dilakukan baik oleh unit kerja operasional (</w:t>
      </w:r>
      <w:r w:rsidR="00557446" w:rsidRPr="00306115">
        <w:rPr>
          <w:i/>
        </w:rPr>
        <w:t>risk-taking unit</w:t>
      </w:r>
      <w:r w:rsidR="00557446" w:rsidRPr="00306115">
        <w:t xml:space="preserve">) maupun oleh fungsi </w:t>
      </w:r>
      <w:r w:rsidR="00557446" w:rsidRPr="00306115">
        <w:rPr>
          <w:lang w:val="en-GB"/>
        </w:rPr>
        <w:t>M</w:t>
      </w:r>
      <w:r w:rsidR="00557446" w:rsidRPr="00306115">
        <w:t xml:space="preserve">anajemen </w:t>
      </w:r>
      <w:r w:rsidR="00557446" w:rsidRPr="00306115">
        <w:rPr>
          <w:lang w:val="en-GB"/>
        </w:rPr>
        <w:t>R</w:t>
      </w:r>
      <w:r w:rsidR="00557446" w:rsidRPr="00306115">
        <w:t>isiko dimana hasil pemantauan disajikan dalam laporan berkala</w:t>
      </w:r>
      <w:r w:rsidR="00557446" w:rsidRPr="00306115">
        <w:rPr>
          <w:b/>
          <w:bCs/>
          <w:i/>
          <w:iCs/>
        </w:rPr>
        <w:t xml:space="preserve"> </w:t>
      </w:r>
      <w:r w:rsidR="00557446" w:rsidRPr="00306115">
        <w:t>dan disampaikan kepada Direksi dan/atau Dewan Komisaris</w:t>
      </w:r>
      <w:r w:rsidR="00557446" w:rsidRPr="00306115">
        <w:rPr>
          <w:b/>
          <w:bCs/>
          <w:i/>
          <w:iCs/>
        </w:rPr>
        <w:t xml:space="preserve"> </w:t>
      </w:r>
      <w:r w:rsidR="00557446" w:rsidRPr="00306115">
        <w:t>dalam rangka mitigasi risiko dan mengambil tindakan yang diperlukan</w:t>
      </w:r>
      <w:r w:rsidR="008945D5" w:rsidRPr="00306115">
        <w:t>.</w:t>
      </w:r>
    </w:p>
    <w:p w14:paraId="7A6FD840" w14:textId="54BAF4F4" w:rsidR="008945D5" w:rsidRPr="00306115" w:rsidRDefault="008945D5">
      <w:pPr>
        <w:pStyle w:val="HeadingAwalDaftarIsiLampiran"/>
        <w:numPr>
          <w:ilvl w:val="0"/>
          <w:numId w:val="70"/>
        </w:numPr>
        <w:ind w:left="2268" w:hanging="567"/>
      </w:pPr>
      <w:r w:rsidRPr="00306115">
        <w:t xml:space="preserve">Manajer Investasi harus menyiapkan suatu sistem </w:t>
      </w:r>
      <w:r w:rsidRPr="00306115">
        <w:rPr>
          <w:i/>
          <w:iCs/>
        </w:rPr>
        <w:t>back-up</w:t>
      </w:r>
      <w:r w:rsidRPr="00306115">
        <w:t xml:space="preserve"> dan prosedur yang efektif untuk mencegah terjadinya gangguan dalam proses pemantauan</w:t>
      </w:r>
      <w:r w:rsidRPr="00306115">
        <w:rPr>
          <w:lang w:val="en-GB"/>
        </w:rPr>
        <w:t xml:space="preserve"> r</w:t>
      </w:r>
      <w:r w:rsidRPr="00306115">
        <w:t xml:space="preserve">isiko dan melakukan pengecekan serta penilaian kembali secara berkala terhadap sistem </w:t>
      </w:r>
      <w:r w:rsidRPr="00306115">
        <w:rPr>
          <w:i/>
          <w:iCs/>
        </w:rPr>
        <w:t>back-up</w:t>
      </w:r>
      <w:r w:rsidRPr="00306115">
        <w:t xml:space="preserve"> tersebut.</w:t>
      </w:r>
    </w:p>
    <w:p w14:paraId="6E7F4B07" w14:textId="3351ACA8" w:rsidR="008945D5" w:rsidRPr="00306115" w:rsidRDefault="00F21A18">
      <w:pPr>
        <w:pStyle w:val="HeadingAwalDaftarIsiLampiran"/>
        <w:numPr>
          <w:ilvl w:val="0"/>
          <w:numId w:val="70"/>
        </w:numPr>
        <w:ind w:left="2268" w:hanging="567"/>
      </w:pPr>
      <w:r w:rsidRPr="00306115">
        <w:t>P</w:t>
      </w:r>
      <w:r w:rsidR="00204A73" w:rsidRPr="00306115">
        <w:t>enyempurnaan proses dan cakupan pelaporan dalam hal terdapat perubahan ukuran dan kompleksitas usaha Manajer Investasi.</w:t>
      </w:r>
    </w:p>
    <w:p w14:paraId="780E3B6B" w14:textId="3D123CCB" w:rsidR="00204A73" w:rsidRPr="00306115" w:rsidRDefault="00204A73">
      <w:pPr>
        <w:pStyle w:val="HeadingAwalDaftarIsiLampiran"/>
        <w:numPr>
          <w:ilvl w:val="0"/>
          <w:numId w:val="64"/>
        </w:numPr>
        <w:ind w:left="1701" w:hanging="567"/>
      </w:pPr>
      <w:r w:rsidRPr="00306115">
        <w:t>Pengendalian Risiko</w:t>
      </w:r>
    </w:p>
    <w:p w14:paraId="138B5B1B" w14:textId="19E88E6E" w:rsidR="00204A73" w:rsidRPr="00306115" w:rsidRDefault="00CB03DA">
      <w:pPr>
        <w:pStyle w:val="HeadingAwalDaftarIsiLampiran"/>
        <w:numPr>
          <w:ilvl w:val="0"/>
          <w:numId w:val="71"/>
        </w:numPr>
        <w:ind w:left="2268" w:hanging="567"/>
      </w:pPr>
      <w:r w:rsidRPr="00306115">
        <w:t xml:space="preserve">Manajer Investasi harus memiliki sistem pengendalian </w:t>
      </w:r>
      <w:r w:rsidRPr="00306115">
        <w:rPr>
          <w:lang w:val="en-GB"/>
        </w:rPr>
        <w:t>r</w:t>
      </w:r>
      <w:r w:rsidRPr="00306115">
        <w:t>isiko yang memadai dengan mengacu pada kebijakan dan prosedur yang telah ditetapkan.</w:t>
      </w:r>
    </w:p>
    <w:p w14:paraId="44026CA7" w14:textId="01883077" w:rsidR="00CB03DA" w:rsidRPr="00306115" w:rsidRDefault="0011207B">
      <w:pPr>
        <w:pStyle w:val="HeadingAwalDaftarIsiLampiran"/>
        <w:numPr>
          <w:ilvl w:val="0"/>
          <w:numId w:val="71"/>
        </w:numPr>
        <w:ind w:left="2268" w:hanging="567"/>
      </w:pPr>
      <w:r w:rsidRPr="00306115">
        <w:rPr>
          <w:lang w:val="en-ID"/>
        </w:rPr>
        <w:t xml:space="preserve">Manajer Investasi melaksanakan proses pengendalian risiko untuk mengelola risiko yang dapat membahayakan kelangsungan usaha dan </w:t>
      </w:r>
      <w:r w:rsidRPr="00306115">
        <w:t xml:space="preserve">pelaksanaannya harus disesuaikan dengan eksposur </w:t>
      </w:r>
      <w:r w:rsidRPr="00306115">
        <w:rPr>
          <w:lang w:val="en-GB"/>
        </w:rPr>
        <w:t>r</w:t>
      </w:r>
      <w:r w:rsidRPr="00306115">
        <w:t xml:space="preserve">isiko maupun tingkat </w:t>
      </w:r>
      <w:r w:rsidRPr="00306115">
        <w:rPr>
          <w:lang w:val="en-GB"/>
        </w:rPr>
        <w:t>r</w:t>
      </w:r>
      <w:r w:rsidRPr="00306115">
        <w:t xml:space="preserve">isiko yang akan diambil dan toleransi </w:t>
      </w:r>
      <w:r w:rsidRPr="00306115">
        <w:rPr>
          <w:lang w:val="en-GB"/>
        </w:rPr>
        <w:t>r</w:t>
      </w:r>
      <w:r w:rsidRPr="00306115">
        <w:t>isiko.</w:t>
      </w:r>
    </w:p>
    <w:p w14:paraId="3D5010AD" w14:textId="6613E5B9" w:rsidR="0011207B" w:rsidRPr="00306115" w:rsidRDefault="0011207B">
      <w:pPr>
        <w:pStyle w:val="HeadingAwalDaftarIsiLampiran"/>
        <w:numPr>
          <w:ilvl w:val="0"/>
          <w:numId w:val="64"/>
        </w:numPr>
        <w:ind w:left="1701" w:hanging="567"/>
      </w:pPr>
      <w:r w:rsidRPr="00306115">
        <w:t>Sistem Informasi Manajemen Risiko</w:t>
      </w:r>
    </w:p>
    <w:p w14:paraId="2F5F1142" w14:textId="4C8725CA" w:rsidR="0011207B" w:rsidRPr="00306115" w:rsidRDefault="0048056C">
      <w:pPr>
        <w:pStyle w:val="HeadingAwalDaftarIsiLampiran"/>
        <w:numPr>
          <w:ilvl w:val="0"/>
          <w:numId w:val="72"/>
        </w:numPr>
        <w:ind w:left="2268" w:hanging="567"/>
      </w:pPr>
      <w:r w:rsidRPr="00306115">
        <w:t>S</w:t>
      </w:r>
      <w:r w:rsidR="00BB72E6" w:rsidRPr="00306115">
        <w:t>istem informasi Manajemen Risiko merupakan bagian dari sistem informasi manajemen yang harus dikembangkan sesuai dengan kebutuhan Manajer Investasi dalam rangka penerapan Manajemen Risiko yang efektif.</w:t>
      </w:r>
    </w:p>
    <w:p w14:paraId="0DB66353" w14:textId="260660F0" w:rsidR="00BB72E6" w:rsidRPr="00306115" w:rsidRDefault="0048056C">
      <w:pPr>
        <w:pStyle w:val="HeadingAwalDaftarIsiLampiran"/>
        <w:numPr>
          <w:ilvl w:val="0"/>
          <w:numId w:val="72"/>
        </w:numPr>
        <w:ind w:left="2268" w:hanging="567"/>
      </w:pPr>
      <w:r w:rsidRPr="00306115">
        <w:t>S</w:t>
      </w:r>
      <w:r w:rsidR="00155A55" w:rsidRPr="00306115">
        <w:t>istem informasi Manajemen Risiko merupakan bagian dari proses Manajemen Risiko, yang digunakan untuk mendukung pelaksanaan proses identifikasi, pengukuran, pemantauan, dan pengendalian Risiko.</w:t>
      </w:r>
    </w:p>
    <w:p w14:paraId="43A761EB" w14:textId="63D30438" w:rsidR="00F67DBD" w:rsidRPr="00306115" w:rsidRDefault="0048056C">
      <w:pPr>
        <w:pStyle w:val="HeadingAwalDaftarIsiLampiran"/>
        <w:numPr>
          <w:ilvl w:val="0"/>
          <w:numId w:val="72"/>
        </w:numPr>
        <w:ind w:left="2268" w:hanging="567"/>
      </w:pPr>
      <w:r w:rsidRPr="00306115">
        <w:t xml:space="preserve">Sistem </w:t>
      </w:r>
      <w:r w:rsidR="003B3905" w:rsidRPr="00306115">
        <w:t>informasi Manajemen Risiko harus dapat memastikan:</w:t>
      </w:r>
    </w:p>
    <w:p w14:paraId="39123F4E" w14:textId="1F76FF5B" w:rsidR="003B3905" w:rsidRPr="00306115" w:rsidRDefault="00806BB5">
      <w:pPr>
        <w:pStyle w:val="HeadingAwalDaftarIsiLampiran"/>
        <w:numPr>
          <w:ilvl w:val="0"/>
          <w:numId w:val="73"/>
        </w:numPr>
        <w:ind w:left="2835" w:hanging="567"/>
      </w:pPr>
      <w:r w:rsidRPr="00306115">
        <w:rPr>
          <w:lang w:val="en-ID"/>
        </w:rPr>
        <w:t>tersedianya</w:t>
      </w:r>
      <w:r w:rsidRPr="00306115">
        <w:t xml:space="preserve"> informasi yang akurat, lengkap, informatif, tepat waktu, dan dapat diandalkan agar dapat digunakan Direksi, Dewan Komisaris, dan unit kerja yang terkait dalam penerapan Manajemen Risiko untuk menilai, memantau, dan memitigasi risiko yang dihadapi Manajer Investasi</w:t>
      </w:r>
      <w:r w:rsidRPr="00306115">
        <w:rPr>
          <w:lang w:val="en-GB"/>
        </w:rPr>
        <w:t xml:space="preserve">, </w:t>
      </w:r>
      <w:r w:rsidRPr="00306115">
        <w:t xml:space="preserve">baik risiko keseluruhan maupun per jenis risiko dan/atau </w:t>
      </w:r>
      <w:r w:rsidRPr="00306115">
        <w:lastRenderedPageBreak/>
        <w:t>dalam rangka proses pengambilan keputusan oleh Direksi;</w:t>
      </w:r>
    </w:p>
    <w:p w14:paraId="2FE50361" w14:textId="606F4508" w:rsidR="00806BB5" w:rsidRPr="00306115" w:rsidRDefault="00601473">
      <w:pPr>
        <w:pStyle w:val="HeadingAwalDaftarIsiLampiran"/>
        <w:numPr>
          <w:ilvl w:val="0"/>
          <w:numId w:val="73"/>
        </w:numPr>
        <w:ind w:left="2835" w:hanging="567"/>
      </w:pPr>
      <w:r w:rsidRPr="00306115">
        <w:rPr>
          <w:lang w:val="en-ID"/>
        </w:rPr>
        <w:t>efektivitas</w:t>
      </w:r>
      <w:r w:rsidRPr="00306115">
        <w:t xml:space="preserve"> penerapan Manajemen Risiko </w:t>
      </w:r>
      <w:r w:rsidRPr="00306115">
        <w:rPr>
          <w:lang w:val="en-GB"/>
        </w:rPr>
        <w:t xml:space="preserve">yang </w:t>
      </w:r>
      <w:r w:rsidRPr="00306115">
        <w:t>mencakup kebijakan dan prosedur Manajemen Risiko serta penetapan limit risiko; dan</w:t>
      </w:r>
    </w:p>
    <w:p w14:paraId="5F3FC433" w14:textId="4C3D6AB1" w:rsidR="00601473" w:rsidRPr="00306115" w:rsidRDefault="00B826FD">
      <w:pPr>
        <w:pStyle w:val="HeadingAwalDaftarIsiLampiran"/>
        <w:numPr>
          <w:ilvl w:val="0"/>
          <w:numId w:val="73"/>
        </w:numPr>
        <w:ind w:left="2835" w:hanging="567"/>
      </w:pPr>
      <w:r w:rsidRPr="00306115">
        <w:rPr>
          <w:lang w:val="en-ID"/>
        </w:rPr>
        <w:t>tersedianya</w:t>
      </w:r>
      <w:r w:rsidRPr="00306115">
        <w:t xml:space="preserve"> informasi tentang eksposur risiko, kepatuhan terhadap kebijakan</w:t>
      </w:r>
      <w:r w:rsidRPr="00306115">
        <w:rPr>
          <w:lang w:val="en-GB"/>
        </w:rPr>
        <w:t xml:space="preserve"> dan</w:t>
      </w:r>
      <w:r w:rsidRPr="00306115">
        <w:t xml:space="preserve"> prosedur Manajemen Risiko</w:t>
      </w:r>
      <w:r w:rsidRPr="00306115">
        <w:rPr>
          <w:lang w:val="en-GB"/>
        </w:rPr>
        <w:t xml:space="preserve">, </w:t>
      </w:r>
      <w:r w:rsidRPr="00306115">
        <w:t xml:space="preserve">penetapan limit </w:t>
      </w:r>
      <w:r w:rsidRPr="00306115">
        <w:rPr>
          <w:lang w:val="en-GB"/>
        </w:rPr>
        <w:t>r</w:t>
      </w:r>
      <w:r w:rsidRPr="00306115">
        <w:t xml:space="preserve">isiko, </w:t>
      </w:r>
      <w:r w:rsidRPr="00306115">
        <w:rPr>
          <w:lang w:val="en-GB"/>
        </w:rPr>
        <w:t xml:space="preserve">dan </w:t>
      </w:r>
      <w:r w:rsidRPr="00306115">
        <w:t>hasil atau realisasi penerapan Manajemen Risiko dibandingkan dengan target yang ditetapkan oleh Manajer Investasi sesuai dengan kebijakan dan strategi penerapan Manajemen Risiko.</w:t>
      </w:r>
    </w:p>
    <w:p w14:paraId="1D02CF42" w14:textId="41FA4BB8" w:rsidR="00B826FD" w:rsidRPr="00306115" w:rsidRDefault="0048056C">
      <w:pPr>
        <w:pStyle w:val="HeadingAwalDaftarIsiLampiran"/>
        <w:numPr>
          <w:ilvl w:val="0"/>
          <w:numId w:val="72"/>
        </w:numPr>
        <w:ind w:left="2268" w:hanging="567"/>
      </w:pPr>
      <w:r w:rsidRPr="00306115">
        <w:t xml:space="preserve">Sistem </w:t>
      </w:r>
      <w:r w:rsidR="005A2180" w:rsidRPr="00306115">
        <w:t>informasi Manajemen Risiko dan informasi yang dihasilkan harus disesuaikan dengan ukuran, kompleksitas usaha, dan kemampuan Manajer Investasi serta adaptif terhadap perubahan</w:t>
      </w:r>
      <w:r w:rsidR="00721CAE" w:rsidRPr="00306115">
        <w:t>.</w:t>
      </w:r>
    </w:p>
    <w:p w14:paraId="10EB55EA" w14:textId="0218E8E7" w:rsidR="00721CAE" w:rsidRPr="00306115" w:rsidRDefault="0048056C">
      <w:pPr>
        <w:pStyle w:val="HeadingAwalDaftarIsiLampiran"/>
        <w:numPr>
          <w:ilvl w:val="0"/>
          <w:numId w:val="72"/>
        </w:numPr>
        <w:ind w:left="2268" w:hanging="567"/>
      </w:pPr>
      <w:r w:rsidRPr="00306115">
        <w:t>K</w:t>
      </w:r>
      <w:r w:rsidR="00627B9D" w:rsidRPr="00306115">
        <w:t>ecukupan cakupan informasi yang dihasilkan dari sistem informasi Manajemen Risiko harus dikaji ulang secara berkala untuk memastikan bahwa cakupan tersebut telah memadai sesuai perkembangan tingkat kompleksitas kegiatan usaha Manajer Investasi.</w:t>
      </w:r>
    </w:p>
    <w:p w14:paraId="1A190FEC" w14:textId="1EFB0DF8" w:rsidR="00627B9D" w:rsidRPr="00306115" w:rsidRDefault="0048056C">
      <w:pPr>
        <w:pStyle w:val="HeadingAwalDaftarIsiLampiran"/>
        <w:numPr>
          <w:ilvl w:val="0"/>
          <w:numId w:val="72"/>
        </w:numPr>
        <w:ind w:left="2268" w:hanging="567"/>
      </w:pPr>
      <w:r w:rsidRPr="00306115">
        <w:t>S</w:t>
      </w:r>
      <w:r w:rsidR="004F15F3" w:rsidRPr="00306115">
        <w:t xml:space="preserve">ebagai bagian dari sistem informasi Manajemen Risiko, laporan profil risiko disusun secara berkala oleh fungsi </w:t>
      </w:r>
      <w:r w:rsidR="001008B5" w:rsidRPr="00306115">
        <w:t>Manajemen Risiko</w:t>
      </w:r>
      <w:r w:rsidR="001008B5" w:rsidRPr="00306115">
        <w:rPr>
          <w:lang w:val="en-GB"/>
        </w:rPr>
        <w:t xml:space="preserve"> </w:t>
      </w:r>
      <w:r w:rsidR="004F15F3" w:rsidRPr="00306115">
        <w:rPr>
          <w:lang w:val="en-GB"/>
        </w:rPr>
        <w:t xml:space="preserve">atau secara sewaktu-waktu terutama </w:t>
      </w:r>
      <w:r w:rsidR="004F15F3" w:rsidRPr="00306115">
        <w:t>dalam hal kondisi pasar berubah dengan cepat.</w:t>
      </w:r>
    </w:p>
    <w:p w14:paraId="66EE78A0" w14:textId="41B2F17D" w:rsidR="004F15F3" w:rsidRPr="00306115" w:rsidRDefault="0048056C">
      <w:pPr>
        <w:pStyle w:val="HeadingAwalDaftarIsiLampiran"/>
        <w:numPr>
          <w:ilvl w:val="0"/>
          <w:numId w:val="72"/>
        </w:numPr>
        <w:ind w:left="2268" w:hanging="567"/>
      </w:pPr>
      <w:r w:rsidRPr="00306115">
        <w:t xml:space="preserve">Sistem </w:t>
      </w:r>
      <w:r w:rsidR="001C6F8D" w:rsidRPr="00306115">
        <w:t>informasi Mana</w:t>
      </w:r>
      <w:r w:rsidR="001C6F8D" w:rsidRPr="00306115">
        <w:rPr>
          <w:lang w:val="en-GB"/>
        </w:rPr>
        <w:t>j</w:t>
      </w:r>
      <w:r w:rsidR="001C6F8D" w:rsidRPr="00306115">
        <w:t>emen Risiko harus mendukung pelaksanaan pelaporan kepada Otoritas Jasa Keuangan.</w:t>
      </w:r>
    </w:p>
    <w:p w14:paraId="0ED644B3" w14:textId="23FD5B3D" w:rsidR="00ED767C" w:rsidRPr="00306115" w:rsidRDefault="0048056C">
      <w:pPr>
        <w:pStyle w:val="HeadingAwalDaftarIsiLampiran"/>
        <w:numPr>
          <w:ilvl w:val="0"/>
          <w:numId w:val="72"/>
        </w:numPr>
        <w:ind w:left="2268" w:hanging="567"/>
      </w:pPr>
      <w:r w:rsidRPr="00306115">
        <w:t>D</w:t>
      </w:r>
      <w:r w:rsidR="0075201F" w:rsidRPr="00306115">
        <w:t>alam mengembangkan sistem informasi</w:t>
      </w:r>
      <w:r w:rsidR="00A35A78" w:rsidRPr="00306115">
        <w:t xml:space="preserve"> Manajemen Risiko</w:t>
      </w:r>
      <w:r w:rsidR="0075201F" w:rsidRPr="00306115">
        <w:t xml:space="preserve"> dan </w:t>
      </w:r>
      <w:r w:rsidR="0075201F" w:rsidRPr="00306115">
        <w:rPr>
          <w:lang w:val="en-GB"/>
        </w:rPr>
        <w:t>teknologi baru</w:t>
      </w:r>
      <w:r w:rsidR="0075201F" w:rsidRPr="00306115">
        <w:t xml:space="preserve">, Manajer Investasi harus memastikan bahwa penerapan sistem informasi </w:t>
      </w:r>
      <w:r w:rsidR="00A35A78" w:rsidRPr="00306115">
        <w:t xml:space="preserve">Manajemen Risiko </w:t>
      </w:r>
      <w:r w:rsidR="0075201F" w:rsidRPr="00306115">
        <w:t>dan teknologi baru tersebut tidak akan mengganggu kesinambungan sistem informasi Manajer Investasi.</w:t>
      </w:r>
    </w:p>
    <w:p w14:paraId="6C1DC1B6" w14:textId="3E3C439C" w:rsidR="0075201F" w:rsidRPr="00306115" w:rsidRDefault="0048056C">
      <w:pPr>
        <w:pStyle w:val="HeadingAwalDaftarIsiLampiran"/>
        <w:numPr>
          <w:ilvl w:val="0"/>
          <w:numId w:val="72"/>
        </w:numPr>
        <w:ind w:left="2268" w:hanging="567"/>
      </w:pPr>
      <w:r w:rsidRPr="00306115">
        <w:t xml:space="preserve">Dalam </w:t>
      </w:r>
      <w:r w:rsidR="00985698" w:rsidRPr="00306115">
        <w:t xml:space="preserve">hal Manajer Investasi memutuskan untuk menugaskan pihak ketiga dalam pengembangan sistem informasi </w:t>
      </w:r>
      <w:r w:rsidR="00ED767C" w:rsidRPr="00306115">
        <w:t xml:space="preserve">Manajemen Risiko </w:t>
      </w:r>
      <w:r w:rsidR="00985698" w:rsidRPr="00306115">
        <w:t xml:space="preserve">dan </w:t>
      </w:r>
      <w:r w:rsidR="00985698" w:rsidRPr="00306115">
        <w:rPr>
          <w:lang w:val="en-GB"/>
        </w:rPr>
        <w:t xml:space="preserve">teknologi baru, </w:t>
      </w:r>
      <w:r w:rsidR="00985698" w:rsidRPr="00306115">
        <w:t>Manajer Investasi harus memastikan bahwa keputusan penunjukan pihak ketiga tersebut dilakukan secara ob</w:t>
      </w:r>
      <w:r w:rsidR="00AF42FD" w:rsidRPr="00306115">
        <w:t>j</w:t>
      </w:r>
      <w:r w:rsidR="00985698" w:rsidRPr="00306115">
        <w:t>ektif dan independen. Dalam perjanjian atau kontrak</w:t>
      </w:r>
      <w:r w:rsidR="00985698" w:rsidRPr="00306115">
        <w:rPr>
          <w:lang w:val="en-GB"/>
        </w:rPr>
        <w:t xml:space="preserve"> dengan</w:t>
      </w:r>
      <w:r w:rsidR="00985698" w:rsidRPr="00306115">
        <w:t xml:space="preserve"> </w:t>
      </w:r>
      <w:r w:rsidR="00985698" w:rsidRPr="00306115">
        <w:rPr>
          <w:lang w:val="en-GB"/>
        </w:rPr>
        <w:t xml:space="preserve">pihak ketiga </w:t>
      </w:r>
      <w:r w:rsidR="00985698" w:rsidRPr="00306115">
        <w:t>harus dicantumkan klausul mengenai pemeliharaan dan pengkinian serta langkah antisipasi guna mencegah gangguan yang mungkin terjadi dalam pengoperasiannya.</w:t>
      </w:r>
    </w:p>
    <w:p w14:paraId="09524A2A" w14:textId="2CE16077" w:rsidR="00985698" w:rsidRPr="00306115" w:rsidRDefault="0048056C">
      <w:pPr>
        <w:pStyle w:val="HeadingAwalDaftarIsiLampiran"/>
        <w:numPr>
          <w:ilvl w:val="0"/>
          <w:numId w:val="72"/>
        </w:numPr>
        <w:ind w:left="2268" w:hanging="567"/>
      </w:pPr>
      <w:r w:rsidRPr="00306115">
        <w:t>S</w:t>
      </w:r>
      <w:r w:rsidR="005B09C1" w:rsidRPr="00306115">
        <w:t>ebelum menerapkan sistem informasi Manajemen Risiko yang baru, Manajer Investasi harus melakukan pengujian untuk memastikan bahwa proses dan keluaran (</w:t>
      </w:r>
      <w:r w:rsidR="005B09C1" w:rsidRPr="00306115">
        <w:rPr>
          <w:i/>
          <w:iCs/>
        </w:rPr>
        <w:t>output</w:t>
      </w:r>
      <w:r w:rsidR="005B09C1" w:rsidRPr="00306115">
        <w:t>) yang dihasilkan telah melalui proses pengembangan, pengujian, dan penilaian kembali secara efektif dan akurat.</w:t>
      </w:r>
    </w:p>
    <w:p w14:paraId="514D624B" w14:textId="66FBFD37" w:rsidR="00D00380" w:rsidRPr="00306115" w:rsidRDefault="008C05A3">
      <w:pPr>
        <w:pStyle w:val="HeadingAwalDaftarIsiLampiran"/>
        <w:numPr>
          <w:ilvl w:val="0"/>
          <w:numId w:val="72"/>
        </w:numPr>
        <w:ind w:left="2268" w:hanging="567"/>
      </w:pPr>
      <w:r w:rsidRPr="00306115">
        <w:t xml:space="preserve">Manajer Investasi harus menatausahakan dan mengkinikan dokumentasi sistem </w:t>
      </w:r>
      <w:r w:rsidR="003C2129" w:rsidRPr="00306115">
        <w:t xml:space="preserve">informasi Manajemen Risiko </w:t>
      </w:r>
      <w:r w:rsidRPr="00306115">
        <w:t>yang memuat perangkat keras, perangkat lunak, basis data (</w:t>
      </w:r>
      <w:r w:rsidRPr="00306115">
        <w:rPr>
          <w:i/>
          <w:iCs/>
        </w:rPr>
        <w:t>database</w:t>
      </w:r>
      <w:r w:rsidRPr="00306115">
        <w:t>), parameter, tahapan proses, asumsi yang digunakan, sumber data, dan keluaran yang dihasilkan</w:t>
      </w:r>
      <w:r w:rsidRPr="00306115">
        <w:rPr>
          <w:lang w:val="en-GB"/>
        </w:rPr>
        <w:t>,</w:t>
      </w:r>
      <w:r w:rsidRPr="00306115">
        <w:t xml:space="preserve"> sehingga memudahkan pengendalian </w:t>
      </w:r>
      <w:r w:rsidRPr="00306115">
        <w:rPr>
          <w:lang w:val="en-GB"/>
        </w:rPr>
        <w:t xml:space="preserve">internal </w:t>
      </w:r>
      <w:r w:rsidRPr="00306115">
        <w:t>dan pelaksanaan jejak audit</w:t>
      </w:r>
      <w:r w:rsidR="001E0153" w:rsidRPr="00306115">
        <w:t>.</w:t>
      </w:r>
    </w:p>
    <w:p w14:paraId="2627FA6D" w14:textId="533C2105" w:rsidR="005F58E5" w:rsidRPr="00306115" w:rsidRDefault="005F58E5">
      <w:pPr>
        <w:pStyle w:val="HeadingAwalDaftarIsiLampiran"/>
        <w:numPr>
          <w:ilvl w:val="0"/>
          <w:numId w:val="43"/>
        </w:numPr>
        <w:ind w:left="1134" w:hanging="567"/>
      </w:pPr>
      <w:r w:rsidRPr="00306115">
        <w:lastRenderedPageBreak/>
        <w:t>Sistem Pengendalian Internal yang Menyeluruh</w:t>
      </w:r>
    </w:p>
    <w:p w14:paraId="3F5A9CAC" w14:textId="28B0D210" w:rsidR="00DF2C33" w:rsidRPr="00306115" w:rsidRDefault="00DF2C33" w:rsidP="00571963">
      <w:pPr>
        <w:pStyle w:val="HeadingAwalDaftarIsiLampiran"/>
        <w:numPr>
          <w:ilvl w:val="0"/>
          <w:numId w:val="0"/>
        </w:numPr>
        <w:ind w:left="1134" w:firstLine="567"/>
      </w:pPr>
      <w:r w:rsidRPr="00306115">
        <w:t>Proses penerapan Manajemen Risiko yang efektif harus dilengkapi dengan sistem pengendalian internal yang andal</w:t>
      </w:r>
      <w:r w:rsidRPr="00306115">
        <w:rPr>
          <w:lang w:val="en-GB"/>
        </w:rPr>
        <w:t xml:space="preserve"> dan efektif</w:t>
      </w:r>
      <w:r w:rsidRPr="00306115">
        <w:t>. Penerapan sistem pengendalian internal secara efektif dapat membantu Manajer Investasi dalam menjaga dana kelolaan dan aset Manajer Investasi, menjamin tersedianya pelaporan keuangan dan manajerial yang dapat dipercaya, meningkatkan kepatuhan Manajer Investasi terhadap ketentuan dan peraturan perundang-undangan,</w:t>
      </w:r>
      <w:r w:rsidRPr="00306115">
        <w:rPr>
          <w:lang w:val="en-GB"/>
        </w:rPr>
        <w:t xml:space="preserve"> </w:t>
      </w:r>
      <w:r w:rsidRPr="00306115">
        <w:t xml:space="preserve">mengurangi </w:t>
      </w:r>
      <w:r w:rsidRPr="00306115">
        <w:rPr>
          <w:lang w:val="en-GB"/>
        </w:rPr>
        <w:t>r</w:t>
      </w:r>
      <w:r w:rsidRPr="00306115">
        <w:t>isiko terjadinya kerugian, serta mendeteksi kelemahan dan penyimpangan lainnya terhadap pelaksanaan kegiatan usaha dan operasional pada seluruh jenjang organisasi Manajer Investasi. Terselenggaranya sistem pengendalian internal Manajer Investasi yang andal dan efektif menjadi tanggung jawab dari seluruh unit kerja operasional (</w:t>
      </w:r>
      <w:r w:rsidRPr="00306115">
        <w:rPr>
          <w:i/>
          <w:iCs/>
        </w:rPr>
        <w:t>risk-taking unit</w:t>
      </w:r>
      <w:r w:rsidRPr="00306115">
        <w:t>) dan unit kerja pendukung serta fungsi audit internal</w:t>
      </w:r>
      <w:r w:rsidR="00B62CB0" w:rsidRPr="00306115">
        <w:t>.</w:t>
      </w:r>
    </w:p>
    <w:p w14:paraId="5CD1F565" w14:textId="00858283" w:rsidR="00B62CB0" w:rsidRPr="00306115" w:rsidRDefault="00C31EBA" w:rsidP="00571963">
      <w:pPr>
        <w:pStyle w:val="HeadingAwalDaftarIsiLampiran"/>
        <w:numPr>
          <w:ilvl w:val="0"/>
          <w:numId w:val="0"/>
        </w:numPr>
        <w:ind w:left="1134" w:firstLine="567"/>
      </w:pPr>
      <w:r w:rsidRPr="00306115">
        <w:t>Hal</w:t>
      </w:r>
      <w:r w:rsidR="00571963" w:rsidRPr="00306115">
        <w:t xml:space="preserve"> </w:t>
      </w:r>
      <w:r w:rsidRPr="00306115">
        <w:t>yang perlu diperhatikan dalam pelaksanaan sistem pengendalian internal antara lain:</w:t>
      </w:r>
    </w:p>
    <w:p w14:paraId="3E1E453D" w14:textId="1EE71035" w:rsidR="00C31EBA" w:rsidRPr="00306115" w:rsidRDefault="00487A70">
      <w:pPr>
        <w:pStyle w:val="HeadingAwalDaftarIsiLampiran"/>
        <w:numPr>
          <w:ilvl w:val="0"/>
          <w:numId w:val="74"/>
        </w:numPr>
        <w:ind w:left="1701" w:hanging="567"/>
      </w:pPr>
      <w:r w:rsidRPr="00306115">
        <w:t>pelaksanaan sistem pengendalian internal secara efektif dalam penerapan Manajemen Risiko Manajer Investasi mengacu pada kebijakan dan prosedur yang telah ditetapkan.</w:t>
      </w:r>
    </w:p>
    <w:p w14:paraId="52034942" w14:textId="1CEC833B" w:rsidR="00487A70" w:rsidRPr="00306115" w:rsidRDefault="00C14305">
      <w:pPr>
        <w:pStyle w:val="HeadingAwalDaftarIsiLampiran"/>
        <w:numPr>
          <w:ilvl w:val="0"/>
          <w:numId w:val="74"/>
        </w:numPr>
        <w:ind w:left="1701" w:hanging="567"/>
      </w:pPr>
      <w:r w:rsidRPr="00306115">
        <w:t>Manajer Investasi harus memastikan:</w:t>
      </w:r>
    </w:p>
    <w:p w14:paraId="5715B2A5" w14:textId="34DDE321" w:rsidR="00C14305" w:rsidRPr="00306115" w:rsidRDefault="00D34ABE">
      <w:pPr>
        <w:pStyle w:val="HeadingAwalDaftarIsiLampiran"/>
        <w:numPr>
          <w:ilvl w:val="0"/>
          <w:numId w:val="75"/>
        </w:numPr>
        <w:ind w:left="2268" w:hanging="567"/>
      </w:pPr>
      <w:r w:rsidRPr="00306115">
        <w:t>kepatuhan terhadap peraturan perundang-undangan serta kebijakan atau ketentuan internal Manajer Investasi;</w:t>
      </w:r>
    </w:p>
    <w:p w14:paraId="427CE8BE" w14:textId="1110786A" w:rsidR="00D34ABE" w:rsidRPr="00306115" w:rsidRDefault="00D77C81">
      <w:pPr>
        <w:pStyle w:val="HeadingAwalDaftarIsiLampiran"/>
        <w:numPr>
          <w:ilvl w:val="0"/>
          <w:numId w:val="75"/>
        </w:numPr>
        <w:ind w:left="2268" w:hanging="567"/>
      </w:pPr>
      <w:r w:rsidRPr="00306115">
        <w:t>efektivitas dan efisiensi dalam kegiatan operasional; dan</w:t>
      </w:r>
    </w:p>
    <w:p w14:paraId="49896A99" w14:textId="7D16E6DB" w:rsidR="00D77C81" w:rsidRPr="00306115" w:rsidRDefault="00EB4BF7">
      <w:pPr>
        <w:pStyle w:val="HeadingAwalDaftarIsiLampiran"/>
        <w:numPr>
          <w:ilvl w:val="0"/>
          <w:numId w:val="75"/>
        </w:numPr>
        <w:ind w:left="2268" w:hanging="567"/>
      </w:pPr>
      <w:r w:rsidRPr="00306115">
        <w:t>efektivitas budaya risiko pada organisasi Manajer Investasi secara menyeluruh.</w:t>
      </w:r>
    </w:p>
    <w:p w14:paraId="7F1F3EDC" w14:textId="4ECC33DC" w:rsidR="00EB4BF7" w:rsidRPr="00306115" w:rsidRDefault="0048056C">
      <w:pPr>
        <w:pStyle w:val="HeadingAwalDaftarIsiLampiran"/>
        <w:numPr>
          <w:ilvl w:val="0"/>
          <w:numId w:val="74"/>
        </w:numPr>
        <w:ind w:left="1701" w:hanging="567"/>
      </w:pPr>
      <w:r w:rsidRPr="00306115">
        <w:t>Sistem</w:t>
      </w:r>
      <w:r w:rsidR="00880B86" w:rsidRPr="00306115">
        <w:t xml:space="preserve"> pengendalian internal dalam penerapan Manajemen Risiko paling sedikit mencakup:</w:t>
      </w:r>
    </w:p>
    <w:p w14:paraId="77FEC5DB" w14:textId="30BF474B" w:rsidR="00880B86" w:rsidRPr="00306115" w:rsidRDefault="003D122F">
      <w:pPr>
        <w:pStyle w:val="HeadingAwalDaftarIsiLampiran"/>
        <w:numPr>
          <w:ilvl w:val="0"/>
          <w:numId w:val="76"/>
        </w:numPr>
        <w:ind w:left="2268" w:hanging="567"/>
      </w:pPr>
      <w:r w:rsidRPr="00306115">
        <w:t xml:space="preserve">kesesuaian antara sistem pengendalian internal dengan jenis dan tingkat </w:t>
      </w:r>
      <w:r w:rsidRPr="00306115">
        <w:rPr>
          <w:lang w:val="en-GB"/>
        </w:rPr>
        <w:t>r</w:t>
      </w:r>
      <w:r w:rsidRPr="00306115">
        <w:t>isiko yang melekat pada kegiatan usaha Manajer Investasi;</w:t>
      </w:r>
    </w:p>
    <w:p w14:paraId="7B7B472E" w14:textId="6DD749B5" w:rsidR="003D122F" w:rsidRPr="00306115" w:rsidRDefault="00A27981">
      <w:pPr>
        <w:pStyle w:val="HeadingAwalDaftarIsiLampiran"/>
        <w:numPr>
          <w:ilvl w:val="0"/>
          <w:numId w:val="76"/>
        </w:numPr>
        <w:ind w:left="2268" w:hanging="567"/>
      </w:pPr>
      <w:r w:rsidRPr="00306115">
        <w:t xml:space="preserve">penetapan wewenang dan tanggung jawab untuk pemantauan kepatuhan kebijakan dan prosedur Manajemen Risiko serta penetapan limit </w:t>
      </w:r>
      <w:r w:rsidRPr="00306115">
        <w:rPr>
          <w:lang w:val="en-GB"/>
        </w:rPr>
        <w:t>r</w:t>
      </w:r>
      <w:r w:rsidRPr="00306115">
        <w:t>isiko</w:t>
      </w:r>
      <w:r w:rsidR="000E5134" w:rsidRPr="00306115">
        <w:t>;</w:t>
      </w:r>
    </w:p>
    <w:p w14:paraId="0F300C16" w14:textId="4B5582AA" w:rsidR="000E5134" w:rsidRPr="00306115" w:rsidRDefault="00D64A5D">
      <w:pPr>
        <w:pStyle w:val="HeadingAwalDaftarIsiLampiran"/>
        <w:numPr>
          <w:ilvl w:val="0"/>
          <w:numId w:val="76"/>
        </w:numPr>
        <w:ind w:left="2268" w:hanging="567"/>
      </w:pPr>
      <w:r w:rsidRPr="00306115">
        <w:t>penetapan jalur pelaporan, mekanisme akses seluruh informasi risiko, dan pemisahan fungsi yang jelas antara pelaksanaan kegiatan operasional dengan pelaksanaan kegiatan pengendalian internal;</w:t>
      </w:r>
    </w:p>
    <w:p w14:paraId="6CEF3EB8" w14:textId="25A4388D" w:rsidR="00D64A5D" w:rsidRPr="00306115" w:rsidRDefault="003D302E">
      <w:pPr>
        <w:pStyle w:val="HeadingAwalDaftarIsiLampiran"/>
        <w:numPr>
          <w:ilvl w:val="0"/>
          <w:numId w:val="76"/>
        </w:numPr>
        <w:ind w:left="2268" w:hanging="567"/>
      </w:pPr>
      <w:r w:rsidRPr="00306115">
        <w:t>struktur organisasi yang menggambarkan secara jelas tugas dan tanggung jawab masing- masing unit dan individu dalam menjalankan kegiatan usaha Manajer Investasi;</w:t>
      </w:r>
    </w:p>
    <w:p w14:paraId="10E0CD4E" w14:textId="190D958F" w:rsidR="003D302E" w:rsidRPr="00306115" w:rsidRDefault="006A1DC1">
      <w:pPr>
        <w:pStyle w:val="HeadingAwalDaftarIsiLampiran"/>
        <w:numPr>
          <w:ilvl w:val="0"/>
          <w:numId w:val="76"/>
        </w:numPr>
        <w:ind w:left="2268" w:hanging="567"/>
      </w:pPr>
      <w:r w:rsidRPr="00306115">
        <w:t>pelaporan keuangan dan kegiatan operasional yang akurat dan tepat waktu;</w:t>
      </w:r>
    </w:p>
    <w:p w14:paraId="65591E2A" w14:textId="5DF2A6CD" w:rsidR="006A1DC1" w:rsidRPr="00306115" w:rsidRDefault="006E6D27">
      <w:pPr>
        <w:pStyle w:val="HeadingAwalDaftarIsiLampiran"/>
        <w:numPr>
          <w:ilvl w:val="0"/>
          <w:numId w:val="76"/>
        </w:numPr>
        <w:ind w:left="2268" w:hanging="567"/>
      </w:pPr>
      <w:r w:rsidRPr="00306115">
        <w:t>kecukupan prosedur untuk memastikan kepatuhan Manajer Investasi terhadap ketentuan dan peraturan perundang-undangan;</w:t>
      </w:r>
    </w:p>
    <w:p w14:paraId="358E1902" w14:textId="10A1BB6A" w:rsidR="006E6D27" w:rsidRPr="00306115" w:rsidRDefault="00AE356F">
      <w:pPr>
        <w:pStyle w:val="HeadingAwalDaftarIsiLampiran"/>
        <w:numPr>
          <w:ilvl w:val="0"/>
          <w:numId w:val="76"/>
        </w:numPr>
        <w:ind w:left="2268" w:hanging="567"/>
      </w:pPr>
      <w:r w:rsidRPr="00306115">
        <w:t>kaji ulang yang efektif, independen, dan obyektif terhadap prosedur penilaian kegiatan operasional  Manajer Investasi;</w:t>
      </w:r>
    </w:p>
    <w:p w14:paraId="312D21A5" w14:textId="1773766A" w:rsidR="00AE356F" w:rsidRPr="00306115" w:rsidRDefault="00EB15BC">
      <w:pPr>
        <w:pStyle w:val="HeadingAwalDaftarIsiLampiran"/>
        <w:numPr>
          <w:ilvl w:val="0"/>
          <w:numId w:val="76"/>
        </w:numPr>
        <w:ind w:left="2268" w:hanging="567"/>
      </w:pPr>
      <w:r w:rsidRPr="00306115">
        <w:t>dokumentasi secara lengkap dan memadai terhadap prosedur operasional, cakupan, dan temuan audit, serta tanggapan Direksi dan Dewan Komisaris Manajer Investasi berdasarkan hasil audit;</w:t>
      </w:r>
      <w:r w:rsidR="001065AA" w:rsidRPr="00306115">
        <w:t xml:space="preserve"> dan</w:t>
      </w:r>
    </w:p>
    <w:p w14:paraId="47917A34" w14:textId="43928B10" w:rsidR="00EB15BC" w:rsidRPr="00306115" w:rsidRDefault="001065AA">
      <w:pPr>
        <w:pStyle w:val="HeadingAwalDaftarIsiLampiran"/>
        <w:numPr>
          <w:ilvl w:val="0"/>
          <w:numId w:val="76"/>
        </w:numPr>
        <w:ind w:left="2268" w:hanging="567"/>
      </w:pPr>
      <w:r w:rsidRPr="00306115">
        <w:lastRenderedPageBreak/>
        <w:t xml:space="preserve">verifikasi dan kaji ulang secara berkala dan berkesinambungan terhadap penanganan kelemahan Manajer Investasi yang bersifat material </w:t>
      </w:r>
      <w:r w:rsidRPr="00306115">
        <w:rPr>
          <w:lang w:val="en-GB"/>
        </w:rPr>
        <w:t xml:space="preserve">serta </w:t>
      </w:r>
      <w:r w:rsidRPr="00306115">
        <w:t>tindakan Direksi dan Dewan Komisaris Manajer Investasi untuk memperbaiki penyimpangan yang terjadi.</w:t>
      </w:r>
    </w:p>
    <w:p w14:paraId="252E100F" w14:textId="75993975" w:rsidR="001065AA" w:rsidRPr="00306115" w:rsidRDefault="0048056C">
      <w:pPr>
        <w:pStyle w:val="HeadingAwalDaftarIsiLampiran"/>
        <w:numPr>
          <w:ilvl w:val="0"/>
          <w:numId w:val="74"/>
        </w:numPr>
        <w:ind w:left="1701" w:hanging="567"/>
      </w:pPr>
      <w:r w:rsidRPr="00306115">
        <w:t>P</w:t>
      </w:r>
      <w:r w:rsidR="00EE5B4F" w:rsidRPr="00306115">
        <w:t>engendalian</w:t>
      </w:r>
      <w:r w:rsidR="00EE5B4F" w:rsidRPr="00306115">
        <w:rPr>
          <w:lang w:val="en-GB"/>
        </w:rPr>
        <w:t xml:space="preserve"> internal dapat dilaksanakan melalui p</w:t>
      </w:r>
      <w:r w:rsidR="00EE5B4F" w:rsidRPr="00306115">
        <w:t>elaksanaan kaji ulang terhadap penerapan Manajemen Risiko</w:t>
      </w:r>
      <w:r w:rsidR="00EE5B4F" w:rsidRPr="00306115">
        <w:rPr>
          <w:lang w:val="en-GB"/>
        </w:rPr>
        <w:t xml:space="preserve"> yang</w:t>
      </w:r>
      <w:r w:rsidR="00EE5B4F" w:rsidRPr="00306115">
        <w:t xml:space="preserve"> paling sedikit </w:t>
      </w:r>
      <w:r w:rsidR="00EE5B4F" w:rsidRPr="00306115">
        <w:rPr>
          <w:lang w:val="en-GB"/>
        </w:rPr>
        <w:t>meliputi:</w:t>
      </w:r>
    </w:p>
    <w:p w14:paraId="20F61AAA" w14:textId="0F69CDC0" w:rsidR="00EE5B4F" w:rsidRPr="00306115" w:rsidRDefault="005916AC">
      <w:pPr>
        <w:pStyle w:val="HeadingAwalDaftarIsiLampiran"/>
        <w:numPr>
          <w:ilvl w:val="0"/>
          <w:numId w:val="77"/>
        </w:numPr>
        <w:ind w:left="2268" w:hanging="567"/>
      </w:pPr>
      <w:r w:rsidRPr="00306115">
        <w:t xml:space="preserve">kaji ulang dan evaluasi secara berkala, </w:t>
      </w:r>
      <w:r w:rsidRPr="00306115">
        <w:rPr>
          <w:lang w:val="en-GB"/>
        </w:rPr>
        <w:t>paling sedikit 1 (satu) kali dalam 1 (satu) tahun</w:t>
      </w:r>
      <w:r w:rsidRPr="00306115">
        <w:t xml:space="preserve"> oleh fungsi </w:t>
      </w:r>
      <w:r w:rsidR="001008B5" w:rsidRPr="00306115">
        <w:t xml:space="preserve">Manajemen Risiko </w:t>
      </w:r>
      <w:r w:rsidRPr="00306115">
        <w:t>dan fungsi audit internal</w:t>
      </w:r>
      <w:r w:rsidRPr="00306115">
        <w:rPr>
          <w:lang w:val="en-GB"/>
        </w:rPr>
        <w:t xml:space="preserve">, atau secara sewaktu-waktu </w:t>
      </w:r>
      <w:r w:rsidRPr="00306115">
        <w:t xml:space="preserve">berdasarkan perkembangan eksposur </w:t>
      </w:r>
      <w:r w:rsidRPr="00306115">
        <w:rPr>
          <w:lang w:val="en-GB"/>
        </w:rPr>
        <w:t>r</w:t>
      </w:r>
      <w:r w:rsidRPr="00306115">
        <w:t xml:space="preserve">isiko, perubahan pasar, metode pengukuran, dan pengelolaan </w:t>
      </w:r>
      <w:r w:rsidRPr="00306115">
        <w:rPr>
          <w:lang w:val="en-GB"/>
        </w:rPr>
        <w:t>r</w:t>
      </w:r>
      <w:r w:rsidRPr="00306115">
        <w:t>isiko;</w:t>
      </w:r>
    </w:p>
    <w:p w14:paraId="78A5D5EB" w14:textId="4ACC69A3" w:rsidR="005916AC" w:rsidRPr="00306115" w:rsidRDefault="00277C77">
      <w:pPr>
        <w:pStyle w:val="HeadingAwalDaftarIsiLampiran"/>
        <w:numPr>
          <w:ilvl w:val="0"/>
          <w:numId w:val="77"/>
        </w:numPr>
        <w:ind w:left="2268" w:hanging="567"/>
      </w:pPr>
      <w:r w:rsidRPr="00306115">
        <w:t xml:space="preserve">kaji ulang dan evaluasi terhadap pengukuran </w:t>
      </w:r>
      <w:r w:rsidRPr="00306115">
        <w:rPr>
          <w:lang w:val="en-GB"/>
        </w:rPr>
        <w:t>r</w:t>
      </w:r>
      <w:r w:rsidRPr="00306115">
        <w:t xml:space="preserve">isiko oleh fungsi </w:t>
      </w:r>
      <w:r w:rsidR="001008B5" w:rsidRPr="00306115">
        <w:t>Manajemen Risiko</w:t>
      </w:r>
      <w:r w:rsidRPr="00306115">
        <w:t xml:space="preserve">, </w:t>
      </w:r>
      <w:r w:rsidRPr="00306115">
        <w:rPr>
          <w:lang w:val="en-GB"/>
        </w:rPr>
        <w:t xml:space="preserve">yang </w:t>
      </w:r>
      <w:r w:rsidRPr="00306115">
        <w:t>paling sedikit mencakup</w:t>
      </w:r>
      <w:r w:rsidR="00E56A1C" w:rsidRPr="00306115">
        <w:t>;</w:t>
      </w:r>
    </w:p>
    <w:p w14:paraId="7D22737F" w14:textId="7572B611" w:rsidR="00E56A1C" w:rsidRPr="00306115" w:rsidRDefault="00D80614">
      <w:pPr>
        <w:pStyle w:val="HeadingAwalDaftarIsiLampiran"/>
        <w:numPr>
          <w:ilvl w:val="0"/>
          <w:numId w:val="78"/>
        </w:numPr>
        <w:ind w:left="2835" w:hanging="567"/>
      </w:pPr>
      <w:r w:rsidRPr="00306115">
        <w:rPr>
          <w:lang w:val="en-ID"/>
        </w:rPr>
        <w:t>kesesuaian</w:t>
      </w:r>
      <w:r w:rsidRPr="00306115">
        <w:t xml:space="preserve"> kebijakan dan prosedur Manajemen Risiko, struktur organisasi, alokasi sumber daya, sistem informasi, dan pelaporan risiko</w:t>
      </w:r>
      <w:r w:rsidRPr="00306115">
        <w:rPr>
          <w:lang w:val="en-GB"/>
        </w:rPr>
        <w:t xml:space="preserve"> sesuai</w:t>
      </w:r>
      <w:r w:rsidRPr="00306115">
        <w:t xml:space="preserve"> dengan kebutuhan bisnis Manajer Investasi, serta perkembangan peraturan</w:t>
      </w:r>
      <w:r w:rsidRPr="00306115">
        <w:rPr>
          <w:lang w:val="en-GB"/>
        </w:rPr>
        <w:t xml:space="preserve"> perundang-undangan</w:t>
      </w:r>
      <w:r w:rsidRPr="00306115">
        <w:t xml:space="preserve"> dan praktik terbaik (</w:t>
      </w:r>
      <w:r w:rsidRPr="00306115">
        <w:rPr>
          <w:i/>
          <w:iCs/>
        </w:rPr>
        <w:t>best practice</w:t>
      </w:r>
      <w:r w:rsidRPr="00306115">
        <w:t>) terkait Manajemen Risiko;</w:t>
      </w:r>
    </w:p>
    <w:p w14:paraId="6E62CF4B" w14:textId="0C2DCA58" w:rsidR="00D80614" w:rsidRPr="00306115" w:rsidRDefault="00971DA8">
      <w:pPr>
        <w:pStyle w:val="HeadingAwalDaftarIsiLampiran"/>
        <w:numPr>
          <w:ilvl w:val="0"/>
          <w:numId w:val="78"/>
        </w:numPr>
        <w:ind w:left="2835" w:hanging="567"/>
      </w:pPr>
      <w:r w:rsidRPr="00306115">
        <w:rPr>
          <w:lang w:val="en-ID"/>
        </w:rPr>
        <w:t>metode</w:t>
      </w:r>
      <w:r w:rsidRPr="00306115">
        <w:t xml:space="preserve">, asumsi, dan variabel yang digunakan untuk mengukur </w:t>
      </w:r>
      <w:r w:rsidRPr="00306115">
        <w:rPr>
          <w:lang w:val="en-GB"/>
        </w:rPr>
        <w:t>r</w:t>
      </w:r>
      <w:r w:rsidRPr="00306115">
        <w:t>isiko dan menetapkan limit eksposur</w:t>
      </w:r>
      <w:r w:rsidRPr="00306115">
        <w:rPr>
          <w:lang w:val="en-GB"/>
        </w:rPr>
        <w:t xml:space="preserve"> r</w:t>
      </w:r>
      <w:r w:rsidRPr="00306115">
        <w:t>isiko;</w:t>
      </w:r>
    </w:p>
    <w:p w14:paraId="5DEE47DD" w14:textId="47AB89EB" w:rsidR="00971DA8" w:rsidRPr="00306115" w:rsidRDefault="000C5E96">
      <w:pPr>
        <w:pStyle w:val="HeadingAwalDaftarIsiLampiran"/>
        <w:numPr>
          <w:ilvl w:val="0"/>
          <w:numId w:val="78"/>
        </w:numPr>
        <w:ind w:left="2835" w:hanging="567"/>
      </w:pPr>
      <w:r w:rsidRPr="00306115">
        <w:rPr>
          <w:lang w:val="en-ID"/>
        </w:rPr>
        <w:t>perbandingan</w:t>
      </w:r>
      <w:r w:rsidRPr="00306115">
        <w:t xml:space="preserve"> antara hasil dari metode pengukuran </w:t>
      </w:r>
      <w:r w:rsidRPr="00306115">
        <w:rPr>
          <w:lang w:val="en-GB"/>
        </w:rPr>
        <w:t>r</w:t>
      </w:r>
      <w:r w:rsidRPr="00306115">
        <w:t>isiko yang menggunakan simulasi atau proyeksi pada masa datang dengan hasil aktual;</w:t>
      </w:r>
    </w:p>
    <w:p w14:paraId="3C5544C7" w14:textId="35FFFDF4" w:rsidR="000C5E96" w:rsidRPr="00306115" w:rsidRDefault="005F5858">
      <w:pPr>
        <w:pStyle w:val="HeadingAwalDaftarIsiLampiran"/>
        <w:numPr>
          <w:ilvl w:val="0"/>
          <w:numId w:val="78"/>
        </w:numPr>
        <w:ind w:left="2835" w:hanging="567"/>
      </w:pPr>
      <w:r w:rsidRPr="00306115">
        <w:rPr>
          <w:lang w:val="en-ID"/>
        </w:rPr>
        <w:t>perbandingan</w:t>
      </w:r>
      <w:r w:rsidRPr="00306115">
        <w:t xml:space="preserve"> antara asumsi yang digunakan dalam metode dimaksud dengan kondisi yang sebenarnya atau aktual; dan</w:t>
      </w:r>
    </w:p>
    <w:p w14:paraId="760EA473" w14:textId="17188A65" w:rsidR="005F5858" w:rsidRPr="00306115" w:rsidRDefault="00116A43">
      <w:pPr>
        <w:pStyle w:val="HeadingAwalDaftarIsiLampiran"/>
        <w:numPr>
          <w:ilvl w:val="0"/>
          <w:numId w:val="78"/>
        </w:numPr>
        <w:ind w:left="2835" w:hanging="567"/>
      </w:pPr>
      <w:r w:rsidRPr="00306115">
        <w:rPr>
          <w:lang w:val="en-ID"/>
        </w:rPr>
        <w:t>perbandingan</w:t>
      </w:r>
      <w:r w:rsidRPr="00306115">
        <w:t xml:space="preserve"> antara limit yang ditetapkan dengan eksposur yang sebenarnya atau aktual.</w:t>
      </w:r>
    </w:p>
    <w:p w14:paraId="4FA6B26D" w14:textId="17E56929" w:rsidR="00116A43" w:rsidRPr="00306115" w:rsidRDefault="00411B89">
      <w:pPr>
        <w:pStyle w:val="HeadingAwalDaftarIsiLampiran"/>
        <w:numPr>
          <w:ilvl w:val="0"/>
          <w:numId w:val="77"/>
        </w:numPr>
        <w:ind w:left="2268" w:hanging="567"/>
      </w:pPr>
      <w:r w:rsidRPr="00306115">
        <w:t xml:space="preserve">kaji ulang oleh fungsi audit internal </w:t>
      </w:r>
      <w:r w:rsidRPr="00306115">
        <w:rPr>
          <w:lang w:val="en-GB"/>
        </w:rPr>
        <w:t xml:space="preserve">yang </w:t>
      </w:r>
      <w:r w:rsidRPr="00306115">
        <w:t>antara lain mencakup:</w:t>
      </w:r>
    </w:p>
    <w:p w14:paraId="3A2A1343" w14:textId="5777EA50" w:rsidR="00411B89" w:rsidRPr="00306115" w:rsidRDefault="001B0FEB">
      <w:pPr>
        <w:pStyle w:val="HeadingAwalDaftarIsiLampiran"/>
        <w:numPr>
          <w:ilvl w:val="0"/>
          <w:numId w:val="79"/>
        </w:numPr>
        <w:ind w:left="2835" w:hanging="567"/>
      </w:pPr>
      <w:r w:rsidRPr="00306115">
        <w:rPr>
          <w:lang w:val="en-ID"/>
        </w:rPr>
        <w:t>keandalan</w:t>
      </w:r>
      <w:r w:rsidRPr="00306115">
        <w:t xml:space="preserve"> kebijakan dan prosedur Manajemen Risiko, struktur organisasi, alokasi sumber daya, sistem informasi, dan pelaporan risiko; dan</w:t>
      </w:r>
    </w:p>
    <w:p w14:paraId="70296D56" w14:textId="7D82CB99" w:rsidR="001B0FEB" w:rsidRPr="00306115" w:rsidRDefault="00105316">
      <w:pPr>
        <w:pStyle w:val="HeadingAwalDaftarIsiLampiran"/>
        <w:numPr>
          <w:ilvl w:val="0"/>
          <w:numId w:val="79"/>
        </w:numPr>
        <w:ind w:left="2835" w:hanging="567"/>
      </w:pPr>
      <w:r w:rsidRPr="00306115">
        <w:rPr>
          <w:lang w:val="en-ID"/>
        </w:rPr>
        <w:t>penerapan</w:t>
      </w:r>
      <w:r w:rsidRPr="00306115">
        <w:t xml:space="preserve"> Manajemen Risiko oleh unit bisnis atau aktivitas pendukung, termasuk kaji ulang terhadap pelaksanaan pemantauan oleh</w:t>
      </w:r>
      <w:r w:rsidRPr="00306115">
        <w:rPr>
          <w:lang w:val="en-GB"/>
        </w:rPr>
        <w:t xml:space="preserve"> </w:t>
      </w:r>
      <w:r w:rsidRPr="00306115">
        <w:t xml:space="preserve">fungsi </w:t>
      </w:r>
      <w:r w:rsidR="001008B5" w:rsidRPr="00306115">
        <w:t>Manajemen Risiko</w:t>
      </w:r>
      <w:r w:rsidRPr="00306115">
        <w:t>.</w:t>
      </w:r>
    </w:p>
    <w:p w14:paraId="4AD56CDE" w14:textId="4570963B" w:rsidR="00105316" w:rsidRPr="00306115" w:rsidRDefault="00D2265C">
      <w:pPr>
        <w:pStyle w:val="HeadingAwalDaftarIsiLampiran"/>
        <w:numPr>
          <w:ilvl w:val="0"/>
          <w:numId w:val="77"/>
        </w:numPr>
        <w:ind w:left="2268" w:hanging="567"/>
      </w:pPr>
      <w:r w:rsidRPr="00306115">
        <w:t>penyampaian hasil pelaksanaan kaji ulang.</w:t>
      </w:r>
    </w:p>
    <w:p w14:paraId="388D802A" w14:textId="75C43DAD" w:rsidR="00D2265C" w:rsidRPr="00306115" w:rsidRDefault="0048056C">
      <w:pPr>
        <w:pStyle w:val="HeadingAwalDaftarIsiLampiran"/>
        <w:numPr>
          <w:ilvl w:val="0"/>
          <w:numId w:val="74"/>
        </w:numPr>
        <w:ind w:left="1701" w:hanging="567"/>
      </w:pPr>
      <w:r w:rsidRPr="00306115">
        <w:t>P</w:t>
      </w:r>
      <w:r w:rsidR="002D1F5C" w:rsidRPr="00306115">
        <w:t>enilaian terhadap sistem pengendalian internal dalam penerapan Manajemen Risiko wajib dilakukan oleh fungsi audit internal.</w:t>
      </w:r>
    </w:p>
    <w:p w14:paraId="54836396" w14:textId="16FA0B07" w:rsidR="002D1F5C" w:rsidRPr="00306115" w:rsidRDefault="0048056C">
      <w:pPr>
        <w:pStyle w:val="HeadingAwalDaftarIsiLampiran"/>
        <w:numPr>
          <w:ilvl w:val="0"/>
          <w:numId w:val="74"/>
        </w:numPr>
        <w:ind w:left="1701" w:hanging="567"/>
      </w:pPr>
      <w:r w:rsidRPr="00306115">
        <w:t>P</w:t>
      </w:r>
      <w:r w:rsidR="007A5BEE" w:rsidRPr="00306115">
        <w:t>elaksanaan tindak lanjut dan/atau perbaikan terhadap kelemahan dan/atau penyimpangan yang terjadi berdasarkan hasil penilaian yang dilakukan oleh fungsi audit internal.</w:t>
      </w:r>
    </w:p>
    <w:p w14:paraId="50C48A43" w14:textId="52D8962B" w:rsidR="007A5BEE" w:rsidRPr="00306115" w:rsidRDefault="0048056C">
      <w:pPr>
        <w:pStyle w:val="HeadingAwalDaftarIsiLampiran"/>
        <w:numPr>
          <w:ilvl w:val="0"/>
          <w:numId w:val="74"/>
        </w:numPr>
        <w:ind w:left="1701" w:hanging="567"/>
      </w:pPr>
      <w:r w:rsidRPr="00306115">
        <w:t>T</w:t>
      </w:r>
      <w:r w:rsidR="0023244E" w:rsidRPr="00306115">
        <w:t>ingkat responsif Manajer Investasi terhadap kelemahan dan/atau penyimpangan yang terjadi terhadap ketentuan internal dan eksternal yang berlaku</w:t>
      </w:r>
      <w:r w:rsidR="00DA0C61" w:rsidRPr="00306115">
        <w:t>.</w:t>
      </w:r>
    </w:p>
    <w:p w14:paraId="79E0C764" w14:textId="77777777" w:rsidR="00F00BB0" w:rsidRPr="00306115" w:rsidRDefault="00F00BB0" w:rsidP="00F00BB0">
      <w:pPr>
        <w:pStyle w:val="HeadingAwalDaftarIsiLampiran"/>
        <w:numPr>
          <w:ilvl w:val="0"/>
          <w:numId w:val="0"/>
        </w:numPr>
        <w:ind w:left="1701"/>
      </w:pPr>
    </w:p>
    <w:p w14:paraId="02BC783D" w14:textId="33754EA3" w:rsidR="004C7586" w:rsidRPr="00306115" w:rsidRDefault="004C7586">
      <w:pPr>
        <w:pStyle w:val="HeadingAwalDaftarIsiLampiran"/>
        <w:numPr>
          <w:ilvl w:val="0"/>
          <w:numId w:val="42"/>
        </w:numPr>
        <w:ind w:left="567" w:hanging="567"/>
      </w:pPr>
      <w:r w:rsidRPr="00306115">
        <w:t>PEDOMAN PENERAPAN MANAJEMEN RISIKO UNTUK MASING-MASING RISIKO</w:t>
      </w:r>
    </w:p>
    <w:p w14:paraId="512E9EE7" w14:textId="1859C332" w:rsidR="005F58E5" w:rsidRPr="00306115" w:rsidRDefault="005F58E5">
      <w:pPr>
        <w:pStyle w:val="HeadingAwalDaftarIsiLampiran"/>
        <w:numPr>
          <w:ilvl w:val="0"/>
          <w:numId w:val="80"/>
        </w:numPr>
        <w:ind w:left="1134" w:hanging="567"/>
      </w:pPr>
      <w:r w:rsidRPr="00306115">
        <w:lastRenderedPageBreak/>
        <w:t>Risiko pada Produk Investasi</w:t>
      </w:r>
    </w:p>
    <w:p w14:paraId="75EC79A2" w14:textId="0D365389" w:rsidR="00FE02EF" w:rsidRPr="00306115" w:rsidRDefault="001C3A6C">
      <w:pPr>
        <w:pStyle w:val="HeadingAwalDaftarIsiLampiran"/>
        <w:numPr>
          <w:ilvl w:val="0"/>
          <w:numId w:val="81"/>
        </w:numPr>
        <w:ind w:left="1701" w:hanging="567"/>
      </w:pPr>
      <w:r w:rsidRPr="00306115">
        <w:t>Risiko Pasar</w:t>
      </w:r>
    </w:p>
    <w:p w14:paraId="5687EA9C" w14:textId="4CA6ADD5" w:rsidR="001E1985" w:rsidRPr="00306115" w:rsidRDefault="001E1985">
      <w:pPr>
        <w:pStyle w:val="HeadingAwalDaftarIsiLampiran"/>
        <w:numPr>
          <w:ilvl w:val="0"/>
          <w:numId w:val="83"/>
        </w:numPr>
        <w:ind w:left="2268" w:hanging="567"/>
      </w:pPr>
      <w:r w:rsidRPr="00306115">
        <w:t>Tujuan</w:t>
      </w:r>
    </w:p>
    <w:p w14:paraId="7E64C2CF" w14:textId="66055C10" w:rsidR="00530CC4" w:rsidRPr="00306115" w:rsidRDefault="00711E44" w:rsidP="00530CC4">
      <w:pPr>
        <w:pStyle w:val="HeadingAwalDaftarIsiLampiran"/>
        <w:numPr>
          <w:ilvl w:val="0"/>
          <w:numId w:val="0"/>
        </w:numPr>
        <w:ind w:left="2268"/>
      </w:pPr>
      <w:r w:rsidRPr="00306115">
        <w:t>Tujuan utama Manajemen Risiko untuk Risiko Pasar adalah untuk meminimalkan kemungkinan dampak negatif akibat perubahan kondisi pasar terhadap portofolio Produk Investasi.</w:t>
      </w:r>
    </w:p>
    <w:p w14:paraId="6F169D0C" w14:textId="60097FA6" w:rsidR="001E1985" w:rsidRPr="00306115" w:rsidRDefault="001E1985">
      <w:pPr>
        <w:pStyle w:val="HeadingAwalDaftarIsiLampiran"/>
        <w:numPr>
          <w:ilvl w:val="0"/>
          <w:numId w:val="83"/>
        </w:numPr>
        <w:ind w:left="2268" w:hanging="567"/>
      </w:pPr>
      <w:r w:rsidRPr="00306115">
        <w:t>Penerapan Manajemen Risiko</w:t>
      </w:r>
    </w:p>
    <w:p w14:paraId="51D23178" w14:textId="53D952B3" w:rsidR="00D13190" w:rsidRPr="00306115" w:rsidRDefault="00FA2BEA" w:rsidP="00C478C0">
      <w:pPr>
        <w:pStyle w:val="HeadingAwalDaftarIsiLampiran"/>
        <w:numPr>
          <w:ilvl w:val="0"/>
          <w:numId w:val="0"/>
        </w:numPr>
        <w:ind w:left="2268"/>
      </w:pPr>
      <w:r w:rsidRPr="00306115">
        <w:t xml:space="preserve">Penerapan Manajemen Risiko untuk Risiko Pasar disesuaikan dengan ukuran,  kompleksitas usaha, dan kemampuan Manajer Investasi. </w:t>
      </w:r>
      <w:r w:rsidR="00C01A4C" w:rsidRPr="00306115">
        <w:t>Secara umum dalam prinsip penerapan Manajemen Risiko untuk Risiko Pasar paling sedikit mencakup:</w:t>
      </w:r>
    </w:p>
    <w:p w14:paraId="6BDC55C5" w14:textId="5474923E" w:rsidR="00711E44" w:rsidRPr="00306115" w:rsidRDefault="00602AF7">
      <w:pPr>
        <w:pStyle w:val="HeadingAwalDaftarIsiLampiran"/>
        <w:numPr>
          <w:ilvl w:val="0"/>
          <w:numId w:val="93"/>
        </w:numPr>
        <w:ind w:left="2835" w:hanging="567"/>
      </w:pPr>
      <w:r w:rsidRPr="00306115">
        <w:t>Pengawasan Aktif Direksi dan Dewan Komisaris</w:t>
      </w:r>
    </w:p>
    <w:p w14:paraId="432A87AA" w14:textId="6F0FECB1" w:rsidR="00FA2BEA" w:rsidRPr="00306115" w:rsidRDefault="00FD271D" w:rsidP="00FA2BEA">
      <w:pPr>
        <w:pStyle w:val="HeadingAwalDaftarIsiLampiran"/>
        <w:numPr>
          <w:ilvl w:val="0"/>
          <w:numId w:val="0"/>
        </w:numPr>
        <w:ind w:left="2835"/>
      </w:pPr>
      <w:r w:rsidRPr="00306115">
        <w:t>Dalam melakukan penerapan Manajemen Risiko melalui pengawasan aktif Direksi dan Dewan Komisaris untuk Risiko Pasar, selain melaksanakan pengawasan aktif sebagaimana</w:t>
      </w:r>
      <w:r w:rsidR="00437948" w:rsidRPr="00306115">
        <w:t xml:space="preserve"> dimaksud</w:t>
      </w:r>
      <w:r w:rsidRPr="00306115">
        <w:t xml:space="preserve"> pada </w:t>
      </w:r>
      <w:r w:rsidR="006B0995" w:rsidRPr="00306115">
        <w:t xml:space="preserve">Romawi </w:t>
      </w:r>
      <w:r w:rsidRPr="00306115">
        <w:t>I</w:t>
      </w:r>
      <w:r w:rsidR="006B0995" w:rsidRPr="00306115">
        <w:t xml:space="preserve"> huruf </w:t>
      </w:r>
      <w:r w:rsidRPr="00306115">
        <w:t>A, Manajer Investasi harus menambahkan penerapan:</w:t>
      </w:r>
    </w:p>
    <w:p w14:paraId="74D3A77F" w14:textId="4DDCEC2C" w:rsidR="00FD271D" w:rsidRPr="00306115" w:rsidRDefault="00FD271D">
      <w:pPr>
        <w:pStyle w:val="HeadingAwalDaftarIsiLampiran"/>
        <w:numPr>
          <w:ilvl w:val="0"/>
          <w:numId w:val="95"/>
        </w:numPr>
        <w:ind w:left="3402" w:hanging="567"/>
      </w:pPr>
      <w:r w:rsidRPr="00306115">
        <w:t>Kewenangan dan Tanggung Jawab Direksi dan Dewan Komisaris</w:t>
      </w:r>
    </w:p>
    <w:p w14:paraId="75EE035B" w14:textId="77E321BF" w:rsidR="009F7DA2" w:rsidRPr="00306115" w:rsidRDefault="00A050F0">
      <w:pPr>
        <w:pStyle w:val="HeadingAwalDaftarIsiLampiran"/>
        <w:numPr>
          <w:ilvl w:val="0"/>
          <w:numId w:val="96"/>
        </w:numPr>
        <w:ind w:left="3969" w:hanging="567"/>
      </w:pPr>
      <w:r w:rsidRPr="00306115">
        <w:t>memastikan bahwa dalam kebijakan dan prosedur mengenai Manajemen Risiko untuk Risiko Pasar telah mencakup aktivitas transaksi dan perdagangan, baik harian, jangka menengah maupun jangka panjang, dan pengelolaan efek atau aset</w:t>
      </w:r>
      <w:r w:rsidR="00291AE5" w:rsidRPr="00306115">
        <w:t>.</w:t>
      </w:r>
    </w:p>
    <w:p w14:paraId="1626A343" w14:textId="30F1D467" w:rsidR="00291AE5" w:rsidRPr="00306115" w:rsidRDefault="00BD2DBC">
      <w:pPr>
        <w:pStyle w:val="HeadingAwalDaftarIsiLampiran"/>
        <w:numPr>
          <w:ilvl w:val="0"/>
          <w:numId w:val="96"/>
        </w:numPr>
        <w:ind w:left="3969" w:hanging="567"/>
      </w:pPr>
      <w:r w:rsidRPr="00306115">
        <w:t xml:space="preserve">memastikan kejelasan wewenang dan tanggung jawab pengelolaan Risiko Pasar, struktur limit yang memadai untuk mengambil risiko, pengendalian internal yang efektif </w:t>
      </w:r>
      <w:r w:rsidRPr="00306115">
        <w:rPr>
          <w:lang w:val="en-GB"/>
        </w:rPr>
        <w:t>serta</w:t>
      </w:r>
      <w:r w:rsidRPr="00306115">
        <w:t xml:space="preserve"> sistem pelaporan yang komprehensif, berkala</w:t>
      </w:r>
      <w:r w:rsidRPr="00306115">
        <w:rPr>
          <w:lang w:val="en-GB"/>
        </w:rPr>
        <w:t>,</w:t>
      </w:r>
      <w:r w:rsidRPr="00306115">
        <w:t xml:space="preserve"> dan tepat waktu.</w:t>
      </w:r>
    </w:p>
    <w:p w14:paraId="489145ED" w14:textId="6980C490" w:rsidR="00BD2DBC" w:rsidRPr="00306115" w:rsidRDefault="00BD2DBC">
      <w:pPr>
        <w:pStyle w:val="HeadingAwalDaftarIsiLampiran"/>
        <w:numPr>
          <w:ilvl w:val="0"/>
          <w:numId w:val="95"/>
        </w:numPr>
        <w:ind w:left="3402" w:hanging="567"/>
      </w:pPr>
      <w:r w:rsidRPr="00306115">
        <w:t>Sumber Daya Manusia</w:t>
      </w:r>
    </w:p>
    <w:p w14:paraId="679DC42C" w14:textId="1290BDD3" w:rsidR="008B5318" w:rsidRPr="00306115" w:rsidRDefault="00E126CD">
      <w:pPr>
        <w:pStyle w:val="HeadingAwalDaftarIsiLampiran"/>
        <w:numPr>
          <w:ilvl w:val="0"/>
          <w:numId w:val="97"/>
        </w:numPr>
        <w:ind w:left="3969" w:hanging="567"/>
      </w:pPr>
      <w:r w:rsidRPr="00306115">
        <w:t>kualitas sumber daya manusia yang melaksanakan aktivitas yang terkait dengan Risiko Pasar, seperti tim pengelola investasi dan komite investasi harus memadai, dan paling sedikit memiliki pemahaman mengenai</w:t>
      </w:r>
      <w:r w:rsidR="008B5318" w:rsidRPr="00306115">
        <w:t xml:space="preserve">: </w:t>
      </w:r>
    </w:p>
    <w:p w14:paraId="63D0A55A" w14:textId="10387295" w:rsidR="008B5318" w:rsidRPr="00306115" w:rsidRDefault="00B52518">
      <w:pPr>
        <w:pStyle w:val="HeadingAwalDaftarIsiLampiran"/>
        <w:numPr>
          <w:ilvl w:val="0"/>
          <w:numId w:val="98"/>
        </w:numPr>
        <w:ind w:left="4536" w:hanging="567"/>
      </w:pPr>
      <w:r w:rsidRPr="00306115">
        <w:t>filosofi dalam pengambilan risiko; dan</w:t>
      </w:r>
    </w:p>
    <w:p w14:paraId="1F63447E" w14:textId="5B993593" w:rsidR="00B52518" w:rsidRPr="00306115" w:rsidRDefault="00F51E74">
      <w:pPr>
        <w:pStyle w:val="HeadingAwalDaftarIsiLampiran"/>
        <w:numPr>
          <w:ilvl w:val="0"/>
          <w:numId w:val="98"/>
        </w:numPr>
        <w:ind w:left="4536" w:hanging="567"/>
      </w:pPr>
      <w:r w:rsidRPr="00306115">
        <w:t>faktor-faktor yang mempengaruhi Risiko Pasar.</w:t>
      </w:r>
    </w:p>
    <w:p w14:paraId="37AA49A7" w14:textId="2C66B37D" w:rsidR="00F51E74" w:rsidRPr="00306115" w:rsidRDefault="00130C5F">
      <w:pPr>
        <w:pStyle w:val="HeadingAwalDaftarIsiLampiran"/>
        <w:numPr>
          <w:ilvl w:val="0"/>
          <w:numId w:val="97"/>
        </w:numPr>
        <w:ind w:left="3969" w:hanging="567"/>
      </w:pPr>
      <w:r w:rsidRPr="00306115">
        <w:t xml:space="preserve">kualitas </w:t>
      </w:r>
      <w:r w:rsidRPr="00306115">
        <w:rPr>
          <w:lang w:val="en-GB"/>
        </w:rPr>
        <w:t>pegawai</w:t>
      </w:r>
      <w:r w:rsidRPr="00306115">
        <w:t xml:space="preserve"> pelaksana fungsi </w:t>
      </w:r>
      <w:r w:rsidR="001008B5" w:rsidRPr="00306115">
        <w:t xml:space="preserve">Manajemen Risiko </w:t>
      </w:r>
      <w:r w:rsidRPr="00306115">
        <w:t>yang terkait dengan Risiko Pasar harus memadai dari segi spesialisasi dan pengalaman, serta pemahaman metode pengukuran Risiko Pasar yang dibutuhkan.</w:t>
      </w:r>
    </w:p>
    <w:p w14:paraId="43070313" w14:textId="55CF1234" w:rsidR="001123E1" w:rsidRPr="00306115" w:rsidRDefault="00130C5F">
      <w:pPr>
        <w:pStyle w:val="HeadingAwalDaftarIsiLampiran"/>
        <w:numPr>
          <w:ilvl w:val="0"/>
          <w:numId w:val="95"/>
        </w:numPr>
        <w:ind w:left="3402" w:hanging="567"/>
      </w:pPr>
      <w:r w:rsidRPr="00306115">
        <w:t xml:space="preserve">Organisasi Manajemen Risiko </w:t>
      </w:r>
    </w:p>
    <w:p w14:paraId="233A184E" w14:textId="168D5F8C" w:rsidR="0059135E" w:rsidRPr="00306115" w:rsidRDefault="004A6C88" w:rsidP="001123E1">
      <w:pPr>
        <w:pStyle w:val="HeadingAwalDaftarIsiLampiran"/>
        <w:numPr>
          <w:ilvl w:val="0"/>
          <w:numId w:val="0"/>
        </w:numPr>
        <w:ind w:left="3402"/>
      </w:pPr>
      <w:r w:rsidRPr="00306115">
        <w:t>Penetapan struktur organisasi, perangkat</w:t>
      </w:r>
      <w:r w:rsidRPr="00306115">
        <w:rPr>
          <w:lang w:val="en-GB"/>
        </w:rPr>
        <w:t>,</w:t>
      </w:r>
      <w:r w:rsidRPr="00306115">
        <w:t xml:space="preserve"> dan kelengkapan unit atau fungsi yang terkait dengan penerapan Manajemen Risiko untuk Risiko Pasar harus disesuaikan dengan ukuran, kompleksitas usaha, dan kemampuan Manajer </w:t>
      </w:r>
      <w:r w:rsidRPr="00306115">
        <w:lastRenderedPageBreak/>
        <w:t>Investasi termasuk Produk Investasi yang dikelola.</w:t>
      </w:r>
    </w:p>
    <w:p w14:paraId="0C18B191" w14:textId="6F39579C" w:rsidR="00602AF7" w:rsidRPr="00306115" w:rsidRDefault="00602AF7">
      <w:pPr>
        <w:pStyle w:val="HeadingAwalDaftarIsiLampiran"/>
        <w:numPr>
          <w:ilvl w:val="0"/>
          <w:numId w:val="93"/>
        </w:numPr>
        <w:ind w:left="2835" w:hanging="567"/>
      </w:pPr>
      <w:r w:rsidRPr="00306115">
        <w:t>Kecukupan Kebi</w:t>
      </w:r>
      <w:r w:rsidR="00560CB3" w:rsidRPr="00306115">
        <w:t>jakan dan Prosedur Manajemen Risiko</w:t>
      </w:r>
    </w:p>
    <w:p w14:paraId="5C31E06E" w14:textId="6C2F9FDA" w:rsidR="00F516C7" w:rsidRPr="00306115" w:rsidRDefault="00F516C7" w:rsidP="00F516C7">
      <w:pPr>
        <w:pStyle w:val="HeadingAwalDaftarIsiLampiran"/>
        <w:numPr>
          <w:ilvl w:val="0"/>
          <w:numId w:val="0"/>
        </w:numPr>
        <w:ind w:left="2835"/>
      </w:pPr>
      <w:r w:rsidRPr="00306115">
        <w:t xml:space="preserve">Dalam melaksanakan kebijakan dan prosedur Manajemen Risiko </w:t>
      </w:r>
      <w:r w:rsidR="00D242B6" w:rsidRPr="00306115">
        <w:t xml:space="preserve">serta penetapan limit risiko </w:t>
      </w:r>
      <w:r w:rsidRPr="00306115">
        <w:t xml:space="preserve">untuk Risiko Pasar, selain melaksanakan kebijakan dan prosedur Manajemen Risiko </w:t>
      </w:r>
      <w:r w:rsidR="00D242B6" w:rsidRPr="00306115">
        <w:t xml:space="preserve">serta penetapan limit risiko </w:t>
      </w:r>
      <w:r w:rsidRPr="00306115">
        <w:t xml:space="preserve">sebagaimana dimaksud pada </w:t>
      </w:r>
      <w:r w:rsidR="00F02E48" w:rsidRPr="00306115">
        <w:t>Romawi I huruf B</w:t>
      </w:r>
      <w:r w:rsidRPr="00306115">
        <w:t>,</w:t>
      </w:r>
      <w:r w:rsidR="004142B6" w:rsidRPr="00306115">
        <w:t xml:space="preserve"> </w:t>
      </w:r>
      <w:r w:rsidRPr="00306115">
        <w:t xml:space="preserve">Manajer Investasi </w:t>
      </w:r>
      <w:r w:rsidR="0086305C" w:rsidRPr="00306115">
        <w:t xml:space="preserve">harus </w:t>
      </w:r>
      <w:r w:rsidRPr="00306115">
        <w:t>menambahkan penerapan</w:t>
      </w:r>
      <w:r w:rsidR="00C42B71" w:rsidRPr="00306115">
        <w:t>:</w:t>
      </w:r>
    </w:p>
    <w:p w14:paraId="28F8D71E" w14:textId="7016939E" w:rsidR="00C42B71" w:rsidRPr="00306115" w:rsidRDefault="000918D7">
      <w:pPr>
        <w:pStyle w:val="HeadingAwalDaftarIsiLampiran"/>
        <w:numPr>
          <w:ilvl w:val="0"/>
          <w:numId w:val="99"/>
        </w:numPr>
        <w:ind w:left="3402" w:hanging="567"/>
      </w:pPr>
      <w:r w:rsidRPr="00306115">
        <w:t>Kebijakan dan Prosedur</w:t>
      </w:r>
    </w:p>
    <w:p w14:paraId="4151361C" w14:textId="632699AC" w:rsidR="000918D7" w:rsidRPr="00306115" w:rsidRDefault="00013FA3" w:rsidP="000918D7">
      <w:pPr>
        <w:pStyle w:val="HeadingAwalDaftarIsiLampiran"/>
        <w:numPr>
          <w:ilvl w:val="0"/>
          <w:numId w:val="0"/>
        </w:numPr>
        <w:ind w:left="3402"/>
      </w:pPr>
      <w:r w:rsidRPr="00306115">
        <w:t>Kebijakan tersebut harus memuat dengan jelas:</w:t>
      </w:r>
    </w:p>
    <w:p w14:paraId="36A55A7A" w14:textId="262CE2FF" w:rsidR="00013FA3" w:rsidRPr="00306115" w:rsidRDefault="007112AD">
      <w:pPr>
        <w:pStyle w:val="HeadingAwalDaftarIsiLampiran"/>
        <w:numPr>
          <w:ilvl w:val="0"/>
          <w:numId w:val="100"/>
        </w:numPr>
        <w:ind w:left="3969" w:hanging="567"/>
      </w:pPr>
      <w:r w:rsidRPr="00306115">
        <w:t>kriteria atas instrumen atau efek yang dapat ditransaksikan serta mekanisme untuk memastikan bahwa kriteria tersebut diterapkan secara konsisten;</w:t>
      </w:r>
    </w:p>
    <w:p w14:paraId="4757C7B4" w14:textId="6F03440C" w:rsidR="007112AD" w:rsidRPr="00306115" w:rsidRDefault="00E557F5">
      <w:pPr>
        <w:pStyle w:val="HeadingAwalDaftarIsiLampiran"/>
        <w:numPr>
          <w:ilvl w:val="0"/>
          <w:numId w:val="100"/>
        </w:numPr>
        <w:ind w:left="3969" w:hanging="567"/>
      </w:pPr>
      <w:r w:rsidRPr="00306115">
        <w:t>penetapan metodologi valuasi atas instrumen atau efek yang dimiliki, mempertimbangkan strategi Manajemen Risiko dan strategi investasi yang diterapkan oleh Manajer Investasi;</w:t>
      </w:r>
    </w:p>
    <w:p w14:paraId="70C2A3BB" w14:textId="4AA4919D" w:rsidR="00E557F5" w:rsidRPr="00306115" w:rsidRDefault="00D018AC">
      <w:pPr>
        <w:pStyle w:val="HeadingAwalDaftarIsiLampiran"/>
        <w:numPr>
          <w:ilvl w:val="0"/>
          <w:numId w:val="100"/>
        </w:numPr>
        <w:ind w:left="3969" w:hanging="567"/>
      </w:pPr>
      <w:r w:rsidRPr="00306115">
        <w:t xml:space="preserve">metode pengukuran Risiko Pasar yang digunakan untuk keperluan pemantauan </w:t>
      </w:r>
      <w:r w:rsidRPr="00306115">
        <w:rPr>
          <w:lang w:val="en-GB"/>
        </w:rPr>
        <w:t>r</w:t>
      </w:r>
      <w:r w:rsidRPr="00306115">
        <w:t xml:space="preserve">isiko secara periodik ataupun kepentingan lainnya paling sedikit mengacu pada indikator sebagaimana diatur oleh Otoritas Jasa Keuangan. Manajer Investasi juga dapat menggunakan metode lain seperti </w:t>
      </w:r>
      <w:r w:rsidRPr="00306115">
        <w:rPr>
          <w:i/>
          <w:iCs/>
        </w:rPr>
        <w:t>value-at-risk</w:t>
      </w:r>
      <w:r w:rsidRPr="00306115">
        <w:t xml:space="preserve"> (VAR), analisis sensitivitas, dan/atau </w:t>
      </w:r>
      <w:r w:rsidRPr="00306115">
        <w:rPr>
          <w:i/>
          <w:iCs/>
        </w:rPr>
        <w:t>stress testing</w:t>
      </w:r>
      <w:r w:rsidRPr="00306115">
        <w:t xml:space="preserve"> sebagai metode tambahan untuk dijadikan informasi penunjang</w:t>
      </w:r>
      <w:r w:rsidR="00286F36" w:rsidRPr="00306115">
        <w:t>;</w:t>
      </w:r>
    </w:p>
    <w:p w14:paraId="28ED84C5" w14:textId="4534397C" w:rsidR="00286F36" w:rsidRPr="00306115" w:rsidRDefault="00147EE9">
      <w:pPr>
        <w:pStyle w:val="HeadingAwalDaftarIsiLampiran"/>
        <w:numPr>
          <w:ilvl w:val="0"/>
          <w:numId w:val="100"/>
        </w:numPr>
        <w:ind w:left="3969" w:hanging="567"/>
      </w:pPr>
      <w:r w:rsidRPr="00306115">
        <w:t>penetapan pihak yang independen untuk melakukan pengujian dan validasi metode pengukuran risiko secara berkala;</w:t>
      </w:r>
    </w:p>
    <w:p w14:paraId="09DB7A76" w14:textId="78A9AC02" w:rsidR="00147EE9" w:rsidRPr="00306115" w:rsidRDefault="008A5B84">
      <w:pPr>
        <w:pStyle w:val="HeadingAwalDaftarIsiLampiran"/>
        <w:numPr>
          <w:ilvl w:val="0"/>
          <w:numId w:val="100"/>
        </w:numPr>
        <w:ind w:left="3969" w:hanging="567"/>
      </w:pPr>
      <w:r w:rsidRPr="00306115">
        <w:t>mekanisme penetapan setiap strategi investasi dan transaksi perdagangan dengan memerhatikan Risiko Pasar; dan</w:t>
      </w:r>
    </w:p>
    <w:p w14:paraId="3C3F32B1" w14:textId="201363F0" w:rsidR="008A5B84" w:rsidRPr="00306115" w:rsidRDefault="00737F2F">
      <w:pPr>
        <w:pStyle w:val="HeadingAwalDaftarIsiLampiran"/>
        <w:numPr>
          <w:ilvl w:val="0"/>
          <w:numId w:val="100"/>
        </w:numPr>
        <w:ind w:left="3969" w:hanging="567"/>
      </w:pPr>
      <w:r w:rsidRPr="00306115">
        <w:t>mekanisme pendokumentasian setiap strategi investasi dan transaksi perdagangan.</w:t>
      </w:r>
    </w:p>
    <w:p w14:paraId="1131CA81" w14:textId="24A29AC3" w:rsidR="00737F2F" w:rsidRPr="00306115" w:rsidRDefault="00737F2F">
      <w:pPr>
        <w:pStyle w:val="HeadingAwalDaftarIsiLampiran"/>
        <w:numPr>
          <w:ilvl w:val="0"/>
          <w:numId w:val="99"/>
        </w:numPr>
        <w:ind w:left="3402" w:hanging="567"/>
      </w:pPr>
      <w:r w:rsidRPr="00306115">
        <w:t>Strategi Manajemen Risiko</w:t>
      </w:r>
    </w:p>
    <w:p w14:paraId="4C26725C" w14:textId="7AAADAE5" w:rsidR="000F263E" w:rsidRPr="00306115" w:rsidRDefault="000F263E" w:rsidP="000F263E">
      <w:pPr>
        <w:pStyle w:val="HeadingAwalDaftarIsiLampiran"/>
        <w:numPr>
          <w:ilvl w:val="0"/>
          <w:numId w:val="0"/>
        </w:numPr>
        <w:ind w:left="3402"/>
      </w:pPr>
      <w:r w:rsidRPr="00306115">
        <w:t>Dalam menetapkan strategi Manajemen Risiko untuk Risiko Pasar juga harus mempertimbangkan strategi investasi, komposisi instrumen dalam Produk Investasi, dan kategori nasabah Manajer Investasi.</w:t>
      </w:r>
    </w:p>
    <w:p w14:paraId="6CCBE0A4" w14:textId="0A981686" w:rsidR="00737F2F" w:rsidRPr="00306115" w:rsidRDefault="000E777C">
      <w:pPr>
        <w:pStyle w:val="HeadingAwalDaftarIsiLampiran"/>
        <w:numPr>
          <w:ilvl w:val="0"/>
          <w:numId w:val="99"/>
        </w:numPr>
        <w:ind w:left="3402" w:hanging="567"/>
      </w:pPr>
      <w:r w:rsidRPr="00306115">
        <w:t>Tingkat Risiko yang akan Diambil (</w:t>
      </w:r>
      <w:r w:rsidRPr="00306115">
        <w:rPr>
          <w:i/>
          <w:iCs/>
        </w:rPr>
        <w:t>Risk Appetite</w:t>
      </w:r>
      <w:r w:rsidRPr="00306115">
        <w:t>) dan Toleransi Risiko (</w:t>
      </w:r>
      <w:r w:rsidRPr="00306115">
        <w:rPr>
          <w:i/>
          <w:iCs/>
        </w:rPr>
        <w:t>Risk Tolerance</w:t>
      </w:r>
      <w:r w:rsidRPr="00306115">
        <w:t>)</w:t>
      </w:r>
    </w:p>
    <w:p w14:paraId="6BDF3D9B" w14:textId="7A145FA2" w:rsidR="000F263E" w:rsidRPr="00306115" w:rsidRDefault="00496381" w:rsidP="000F263E">
      <w:pPr>
        <w:pStyle w:val="HeadingAwalDaftarIsiLampiran"/>
        <w:numPr>
          <w:ilvl w:val="0"/>
          <w:numId w:val="0"/>
        </w:numPr>
        <w:ind w:left="3402"/>
      </w:pPr>
      <w:r w:rsidRPr="00306115">
        <w:t xml:space="preserve">Penetapan tingkat risiko yang akan diambil dan toleransi risiko untuk Risiko Pasar mengacu pada cakupan penerapan secara umum sebagaimana </w:t>
      </w:r>
      <w:r w:rsidR="00DE64CE" w:rsidRPr="00306115">
        <w:t xml:space="preserve">dimaksud </w:t>
      </w:r>
      <w:r w:rsidRPr="00306115">
        <w:t xml:space="preserve">pada </w:t>
      </w:r>
      <w:r w:rsidR="00DE64CE" w:rsidRPr="00306115">
        <w:t xml:space="preserve">Romawi </w:t>
      </w:r>
      <w:r w:rsidRPr="00306115">
        <w:t>I</w:t>
      </w:r>
      <w:r w:rsidR="00DE64CE" w:rsidRPr="00306115">
        <w:t xml:space="preserve"> huruf </w:t>
      </w:r>
      <w:r w:rsidRPr="00306115">
        <w:t>B</w:t>
      </w:r>
      <w:r w:rsidR="00DE64CE" w:rsidRPr="00306115">
        <w:t xml:space="preserve"> angka </w:t>
      </w:r>
      <w:r w:rsidRPr="00306115">
        <w:t xml:space="preserve">3,  termasuk penetapan rentang nilai </w:t>
      </w:r>
      <w:r w:rsidRPr="00306115">
        <w:lastRenderedPageBreak/>
        <w:t xml:space="preserve">pengukuran sebagai bentuk penentuan </w:t>
      </w:r>
      <w:r w:rsidRPr="00306115">
        <w:rPr>
          <w:i/>
          <w:iCs/>
        </w:rPr>
        <w:t>risk appetite</w:t>
      </w:r>
      <w:r w:rsidRPr="00306115">
        <w:t xml:space="preserve"> dan </w:t>
      </w:r>
      <w:r w:rsidRPr="00306115">
        <w:rPr>
          <w:i/>
          <w:iCs/>
        </w:rPr>
        <w:t xml:space="preserve">risk tolerance </w:t>
      </w:r>
      <w:r w:rsidRPr="00306115">
        <w:t>tersebut</w:t>
      </w:r>
      <w:r w:rsidR="00DE64CE" w:rsidRPr="00306115">
        <w:t>.</w:t>
      </w:r>
    </w:p>
    <w:p w14:paraId="59B142EA" w14:textId="31AF8FD5" w:rsidR="000E777C" w:rsidRPr="00306115" w:rsidRDefault="000F263E">
      <w:pPr>
        <w:pStyle w:val="HeadingAwalDaftarIsiLampiran"/>
        <w:numPr>
          <w:ilvl w:val="0"/>
          <w:numId w:val="99"/>
        </w:numPr>
        <w:ind w:left="3402" w:hanging="567"/>
      </w:pPr>
      <w:r w:rsidRPr="00306115">
        <w:t>Limit</w:t>
      </w:r>
    </w:p>
    <w:p w14:paraId="5D931955" w14:textId="664C4E25" w:rsidR="00DE64CE" w:rsidRPr="00306115" w:rsidRDefault="008A50BF">
      <w:pPr>
        <w:pStyle w:val="HeadingAwalDaftarIsiLampiran"/>
        <w:numPr>
          <w:ilvl w:val="0"/>
          <w:numId w:val="101"/>
        </w:numPr>
        <w:ind w:left="3969" w:hanging="567"/>
      </w:pPr>
      <w:r w:rsidRPr="00306115">
        <w:t xml:space="preserve">Manajer Investasi menetapkan limit paling sedikit </w:t>
      </w:r>
      <w:r w:rsidRPr="00306115">
        <w:rPr>
          <w:lang w:val="en-GB"/>
        </w:rPr>
        <w:t xml:space="preserve">untuk masing-masing </w:t>
      </w:r>
      <w:r w:rsidRPr="00306115">
        <w:t xml:space="preserve">indikator </w:t>
      </w:r>
      <w:r w:rsidR="0018211E" w:rsidRPr="00306115">
        <w:t xml:space="preserve">Risiko Pasar </w:t>
      </w:r>
      <w:r w:rsidR="007C53B2" w:rsidRPr="00306115">
        <w:t xml:space="preserve">sebagaimana dimaksud </w:t>
      </w:r>
      <w:r w:rsidR="00DF0FAA" w:rsidRPr="00306115">
        <w:t xml:space="preserve">pada Lampiran IV </w:t>
      </w:r>
      <w:r w:rsidR="00025308" w:rsidRPr="00306115">
        <w:t>yang merupakan bagian tidak terpisahkan dari Peraturan Anggota Dewan Komisioner Otoritas Jasa Keuangan ini.</w:t>
      </w:r>
    </w:p>
    <w:p w14:paraId="74F30CA3" w14:textId="0D9FB513" w:rsidR="008A50BF" w:rsidRPr="00306115" w:rsidRDefault="00CD14C7">
      <w:pPr>
        <w:pStyle w:val="HeadingAwalDaftarIsiLampiran"/>
        <w:numPr>
          <w:ilvl w:val="0"/>
          <w:numId w:val="101"/>
        </w:numPr>
        <w:ind w:left="3969" w:hanging="567"/>
      </w:pPr>
      <w:r w:rsidRPr="00306115">
        <w:t>Manajer Investasi harus memastikan konsistensi dan keselarasan antar berbagai jenis limit Risiko Pasar yang berbeda, untuk menjaga efektivitas pengelolaan Risiko Pasar.</w:t>
      </w:r>
    </w:p>
    <w:p w14:paraId="64DA108C" w14:textId="078588E2" w:rsidR="00E6759A" w:rsidRPr="00306115" w:rsidRDefault="00374367">
      <w:pPr>
        <w:pStyle w:val="HeadingAwalDaftarIsiLampiran"/>
        <w:numPr>
          <w:ilvl w:val="0"/>
          <w:numId w:val="101"/>
        </w:numPr>
        <w:ind w:left="3969" w:hanging="567"/>
      </w:pPr>
      <w:r w:rsidRPr="00306115">
        <w:t>penetapan limit dilakukan secara berjenjang pada setiap tingkat organisasi Manajer Investasi, mulai dari limit pada portofolio hingga limit Produk Investasi secara keseluruhan.</w:t>
      </w:r>
    </w:p>
    <w:p w14:paraId="2B0B5F5E" w14:textId="44007BC4" w:rsidR="00CD14C7" w:rsidRPr="00306115" w:rsidRDefault="00835EB0">
      <w:pPr>
        <w:pStyle w:val="HeadingAwalDaftarIsiLampiran"/>
        <w:numPr>
          <w:ilvl w:val="0"/>
          <w:numId w:val="101"/>
        </w:numPr>
        <w:ind w:left="3969" w:hanging="567"/>
      </w:pPr>
      <w:r w:rsidRPr="00306115">
        <w:t>Manajer Investasi dapat menerapkan beberapa tingkatan limit untuk mengantisipasi pencapaian limit dalam rangka mencegah terjadinya pelampauan limit.</w:t>
      </w:r>
    </w:p>
    <w:p w14:paraId="6EAF2016" w14:textId="185EDCDA" w:rsidR="00560CB3" w:rsidRPr="00306115" w:rsidRDefault="0095662F">
      <w:pPr>
        <w:pStyle w:val="HeadingAwalDaftarIsiLampiran"/>
        <w:numPr>
          <w:ilvl w:val="0"/>
          <w:numId w:val="93"/>
        </w:numPr>
        <w:ind w:left="2835" w:hanging="567"/>
      </w:pPr>
      <w:r w:rsidRPr="00306115">
        <w:t xml:space="preserve">Kecukupan Proses </w:t>
      </w:r>
      <w:r w:rsidR="00FC0618" w:rsidRPr="00306115">
        <w:t xml:space="preserve">Identifikasi, Pengukuran, Pemantauan, dan Pengendalian Risiko </w:t>
      </w:r>
    </w:p>
    <w:p w14:paraId="75792D2B" w14:textId="1E505BD1" w:rsidR="006B513F" w:rsidRPr="00306115" w:rsidRDefault="002356EC" w:rsidP="00855706">
      <w:pPr>
        <w:pStyle w:val="HeadingAwalDaftarIsiLampiran"/>
        <w:numPr>
          <w:ilvl w:val="0"/>
          <w:numId w:val="0"/>
        </w:numPr>
        <w:ind w:left="2835"/>
      </w:pPr>
      <w:r w:rsidRPr="00306115">
        <w:t>Dalam melakukan penerapan Manajemen Risiko melalui proses identifikasi, pengukuran, pemantauan, dan pengendalian risiko, serta sistem informasi Manajemen Risiko untuk Risiko Pasar, selain melaksanakan proses sebagaimana</w:t>
      </w:r>
      <w:r w:rsidR="003229A2" w:rsidRPr="00306115">
        <w:t xml:space="preserve"> dimaksud</w:t>
      </w:r>
      <w:r w:rsidRPr="00306115">
        <w:t xml:space="preserve"> pada Romawi I huruf C, pada setiap proses Manajer Investasi harus menambahkan penerapan:</w:t>
      </w:r>
    </w:p>
    <w:p w14:paraId="34036E47" w14:textId="15F6177A" w:rsidR="007F512F" w:rsidRPr="00306115" w:rsidRDefault="007F512F">
      <w:pPr>
        <w:pStyle w:val="HeadingAwalDaftarIsiLampiran"/>
        <w:numPr>
          <w:ilvl w:val="0"/>
          <w:numId w:val="102"/>
        </w:numPr>
        <w:ind w:left="3402" w:hanging="567"/>
      </w:pPr>
      <w:r w:rsidRPr="00306115">
        <w:t>Identifikasi Risiko</w:t>
      </w:r>
    </w:p>
    <w:p w14:paraId="46B73DD6" w14:textId="07EFAC74" w:rsidR="00FD160B" w:rsidRPr="00306115" w:rsidRDefault="000D08F0" w:rsidP="00FD160B">
      <w:pPr>
        <w:pStyle w:val="HeadingAwalDaftarIsiLampiran"/>
        <w:numPr>
          <w:ilvl w:val="0"/>
          <w:numId w:val="0"/>
        </w:numPr>
        <w:ind w:left="3402"/>
      </w:pPr>
      <w:r w:rsidRPr="00306115">
        <w:t>Manajer Investasi harus memiliki proses identifikasi risiko yang disesuaikan dengan Risiko Pasar yang melekat pada setiap Produk Investasi</w:t>
      </w:r>
      <w:r w:rsidRPr="00306115">
        <w:rPr>
          <w:lang w:val="en-GB"/>
        </w:rPr>
        <w:t xml:space="preserve">, </w:t>
      </w:r>
      <w:r w:rsidRPr="00306115">
        <w:t>yang meliputi risiko perubahan harga, suku bunga</w:t>
      </w:r>
      <w:r w:rsidRPr="00306115">
        <w:rPr>
          <w:lang w:val="en-GB"/>
        </w:rPr>
        <w:t xml:space="preserve">, </w:t>
      </w:r>
      <w:r w:rsidRPr="00306115">
        <w:t xml:space="preserve">dan/atau indikator lainnya yang relevan yang disesuaikan dengan jenis instrumen dalam setiap </w:t>
      </w:r>
      <w:r w:rsidRPr="00306115">
        <w:rPr>
          <w:lang w:val="en-GB"/>
        </w:rPr>
        <w:t>P</w:t>
      </w:r>
      <w:r w:rsidRPr="00306115">
        <w:t xml:space="preserve">roduk </w:t>
      </w:r>
      <w:r w:rsidRPr="00306115">
        <w:rPr>
          <w:lang w:val="en-GB"/>
        </w:rPr>
        <w:t>I</w:t>
      </w:r>
      <w:r w:rsidRPr="00306115">
        <w:t>nvestasi.</w:t>
      </w:r>
    </w:p>
    <w:p w14:paraId="0C071AB3" w14:textId="263D7222" w:rsidR="00E85483" w:rsidRPr="00306115" w:rsidRDefault="00E85483">
      <w:pPr>
        <w:pStyle w:val="HeadingAwalDaftarIsiLampiran"/>
        <w:numPr>
          <w:ilvl w:val="0"/>
          <w:numId w:val="102"/>
        </w:numPr>
        <w:ind w:left="3402" w:hanging="567"/>
      </w:pPr>
      <w:r w:rsidRPr="00306115">
        <w:t>Pengukuran Risiko</w:t>
      </w:r>
    </w:p>
    <w:p w14:paraId="1D796052" w14:textId="17E569D7" w:rsidR="00F735CC" w:rsidRPr="00306115" w:rsidRDefault="007B0851">
      <w:pPr>
        <w:pStyle w:val="HeadingAwalDaftarIsiLampiran"/>
        <w:numPr>
          <w:ilvl w:val="0"/>
          <w:numId w:val="103"/>
        </w:numPr>
        <w:ind w:left="3969" w:hanging="567"/>
      </w:pPr>
      <w:r w:rsidRPr="00306115">
        <w:t xml:space="preserve">Manajer Investasi harus memiliki sistem atau metode pengukuran Risiko Pasar untuk mengukur posisi dan sensitivitas yang terkait Risiko Pasar baik pada kondisi normal maupun kondisi </w:t>
      </w:r>
      <w:r w:rsidRPr="00306115">
        <w:rPr>
          <w:i/>
          <w:iCs/>
        </w:rPr>
        <w:t>stress</w:t>
      </w:r>
      <w:r w:rsidRPr="00306115">
        <w:t>.</w:t>
      </w:r>
    </w:p>
    <w:p w14:paraId="204DFB08" w14:textId="76745F02" w:rsidR="007B0851" w:rsidRPr="00306115" w:rsidRDefault="00D53F2C">
      <w:pPr>
        <w:pStyle w:val="HeadingAwalDaftarIsiLampiran"/>
        <w:numPr>
          <w:ilvl w:val="0"/>
          <w:numId w:val="103"/>
        </w:numPr>
        <w:ind w:left="3969" w:hanging="567"/>
      </w:pPr>
      <w:r w:rsidRPr="00306115">
        <w:t>S</w:t>
      </w:r>
      <w:r w:rsidR="008C3F14" w:rsidRPr="00306115">
        <w:t>istem pengukuran Risiko Pasar antara lain harus:</w:t>
      </w:r>
    </w:p>
    <w:p w14:paraId="1E993280" w14:textId="2A7255D2" w:rsidR="008C3F14" w:rsidRPr="00306115" w:rsidRDefault="00777569">
      <w:pPr>
        <w:pStyle w:val="HeadingAwalDaftarIsiLampiran"/>
        <w:numPr>
          <w:ilvl w:val="0"/>
          <w:numId w:val="104"/>
        </w:numPr>
        <w:ind w:left="4536" w:hanging="567"/>
      </w:pPr>
      <w:r w:rsidRPr="00306115">
        <w:t xml:space="preserve">menyediakan informasi mengenai posisi </w:t>
      </w:r>
      <w:r w:rsidR="00E80638" w:rsidRPr="00306115">
        <w:t>R</w:t>
      </w:r>
      <w:r w:rsidRPr="00306115">
        <w:t xml:space="preserve">isiko </w:t>
      </w:r>
      <w:r w:rsidR="00E80638" w:rsidRPr="00306115">
        <w:t>P</w:t>
      </w:r>
      <w:r w:rsidRPr="00306115">
        <w:t>asar secara periodik;</w:t>
      </w:r>
    </w:p>
    <w:p w14:paraId="613CD259" w14:textId="0865CDD2" w:rsidR="00777569" w:rsidRPr="00306115" w:rsidRDefault="00E80638">
      <w:pPr>
        <w:pStyle w:val="HeadingAwalDaftarIsiLampiran"/>
        <w:numPr>
          <w:ilvl w:val="0"/>
          <w:numId w:val="104"/>
        </w:numPr>
        <w:ind w:left="4536" w:hanging="567"/>
      </w:pPr>
      <w:r w:rsidRPr="00306115">
        <w:t xml:space="preserve">mencakup seluruh eksposur Risiko Pasar baik per </w:t>
      </w:r>
      <w:r w:rsidR="00E332F6" w:rsidRPr="00306115">
        <w:t>P</w:t>
      </w:r>
      <w:r w:rsidRPr="00306115">
        <w:t>roduk</w:t>
      </w:r>
      <w:r w:rsidR="00E332F6" w:rsidRPr="00306115">
        <w:t xml:space="preserve"> Investasi</w:t>
      </w:r>
      <w:r w:rsidRPr="00306115">
        <w:t xml:space="preserve"> ataupun secara akumulatif semua </w:t>
      </w:r>
      <w:r w:rsidR="00E332F6" w:rsidRPr="00306115">
        <w:t xml:space="preserve">Produk Investasi </w:t>
      </w:r>
      <w:r w:rsidRPr="00306115">
        <w:t xml:space="preserve">dalam rangka </w:t>
      </w:r>
      <w:r w:rsidRPr="00306115">
        <w:lastRenderedPageBreak/>
        <w:t xml:space="preserve">pelaksanaan penilaian profil risiko dan tingkat kesehatan </w:t>
      </w:r>
      <w:r w:rsidRPr="00306115">
        <w:rPr>
          <w:lang w:val="en-GB"/>
        </w:rPr>
        <w:t>M</w:t>
      </w:r>
      <w:r w:rsidRPr="00306115">
        <w:t xml:space="preserve">anajer </w:t>
      </w:r>
      <w:r w:rsidRPr="00306115">
        <w:rPr>
          <w:lang w:val="en-GB"/>
        </w:rPr>
        <w:t>I</w:t>
      </w:r>
      <w:r w:rsidRPr="00306115">
        <w:t>nvestasi</w:t>
      </w:r>
      <w:r w:rsidR="00E332F6" w:rsidRPr="00306115">
        <w:t>;</w:t>
      </w:r>
    </w:p>
    <w:p w14:paraId="395DC1B7" w14:textId="1C745977" w:rsidR="00E332F6" w:rsidRPr="00306115" w:rsidRDefault="00B453B5">
      <w:pPr>
        <w:pStyle w:val="HeadingAwalDaftarIsiLampiran"/>
        <w:numPr>
          <w:ilvl w:val="0"/>
          <w:numId w:val="104"/>
        </w:numPr>
        <w:ind w:left="4536" w:hanging="567"/>
      </w:pPr>
      <w:r w:rsidRPr="00306115">
        <w:t>memiliki asumsi dan parameter yang jelas dan terdokumentasi serta dievaluasi secara berkala;</w:t>
      </w:r>
    </w:p>
    <w:p w14:paraId="211F5EB2" w14:textId="46990685" w:rsidR="00B453B5" w:rsidRPr="00306115" w:rsidRDefault="00841F2F">
      <w:pPr>
        <w:pStyle w:val="HeadingAwalDaftarIsiLampiran"/>
        <w:numPr>
          <w:ilvl w:val="0"/>
          <w:numId w:val="104"/>
        </w:numPr>
        <w:ind w:left="4536" w:hanging="567"/>
      </w:pPr>
      <w:r w:rsidRPr="00306115">
        <w:t>didukung oleh sistem pengumpulan data yang memadai dalam memastikan keakuratan dan kelengkapannya;</w:t>
      </w:r>
    </w:p>
    <w:p w14:paraId="34F47191" w14:textId="7CD09C03" w:rsidR="00841F2F" w:rsidRPr="00306115" w:rsidRDefault="00D20B7E">
      <w:pPr>
        <w:pStyle w:val="HeadingAwalDaftarIsiLampiran"/>
        <w:numPr>
          <w:ilvl w:val="0"/>
          <w:numId w:val="104"/>
        </w:numPr>
        <w:ind w:left="4536" w:hanging="567"/>
      </w:pPr>
      <w:r w:rsidRPr="00306115">
        <w:t xml:space="preserve">sedapat mungkin dilengkapi dengan analis skenario dan </w:t>
      </w:r>
      <w:r w:rsidRPr="00306115">
        <w:rPr>
          <w:i/>
          <w:iCs/>
        </w:rPr>
        <w:t>stress testing</w:t>
      </w:r>
      <w:r w:rsidRPr="00306115">
        <w:t>, seperti menggunakan analisis data historis, asumsi hipotesis</w:t>
      </w:r>
      <w:r w:rsidRPr="00306115">
        <w:rPr>
          <w:lang w:val="en-GB"/>
        </w:rPr>
        <w:t>,</w:t>
      </w:r>
      <w:r w:rsidRPr="00306115">
        <w:t xml:space="preserve"> atau menggunakan skenario tertentu</w:t>
      </w:r>
      <w:r w:rsidRPr="00306115">
        <w:rPr>
          <w:lang w:val="en-GB"/>
        </w:rPr>
        <w:t xml:space="preserve">, </w:t>
      </w:r>
      <w:r w:rsidRPr="00306115">
        <w:t xml:space="preserve">atau jika ditetapkan Otoritas Jasa Keuangan </w:t>
      </w:r>
      <w:r w:rsidR="00195523" w:rsidRPr="00306115">
        <w:t xml:space="preserve">contohnya </w:t>
      </w:r>
      <w:r w:rsidRPr="00306115">
        <w:t>dalam kondisi pandemi covid-19</w:t>
      </w:r>
      <w:r w:rsidR="00195523" w:rsidRPr="00306115">
        <w:t>;</w:t>
      </w:r>
      <w:r w:rsidR="0075714A" w:rsidRPr="00306115">
        <w:t xml:space="preserve"> </w:t>
      </w:r>
      <w:r w:rsidR="00857DC3" w:rsidRPr="00306115">
        <w:t>dan</w:t>
      </w:r>
    </w:p>
    <w:p w14:paraId="4503A10E" w14:textId="74854C28" w:rsidR="00195523" w:rsidRPr="00306115" w:rsidRDefault="00857DC3">
      <w:pPr>
        <w:pStyle w:val="HeadingAwalDaftarIsiLampiran"/>
        <w:numPr>
          <w:ilvl w:val="0"/>
          <w:numId w:val="104"/>
        </w:numPr>
        <w:ind w:left="4536" w:hanging="567"/>
      </w:pPr>
      <w:r w:rsidRPr="00306115">
        <w:t>terintegrasi dengan proses Manajemen Risiko yang dilakukan secara rutin.</w:t>
      </w:r>
    </w:p>
    <w:p w14:paraId="58DEDA34" w14:textId="4AA4192C" w:rsidR="00857DC3" w:rsidRPr="00306115" w:rsidRDefault="00D53F2C">
      <w:pPr>
        <w:pStyle w:val="HeadingAwalDaftarIsiLampiran"/>
        <w:numPr>
          <w:ilvl w:val="0"/>
          <w:numId w:val="103"/>
        </w:numPr>
        <w:ind w:left="3969" w:hanging="567"/>
      </w:pPr>
      <w:r w:rsidRPr="00306115">
        <w:t>D</w:t>
      </w:r>
      <w:r w:rsidR="008D6E98" w:rsidRPr="00306115">
        <w:t>ata yang digunakan dalam pengukuran Risiko Pasar harus sesuai dengan tujuan pengukuran dan dapat merefleksikan Risiko Pasar dari Produk Investasi secara akurat dan lengkap.</w:t>
      </w:r>
    </w:p>
    <w:p w14:paraId="1EBB0493" w14:textId="19561964" w:rsidR="008D6E98" w:rsidRPr="00306115" w:rsidRDefault="00D53F2C">
      <w:pPr>
        <w:pStyle w:val="HeadingAwalDaftarIsiLampiran"/>
        <w:numPr>
          <w:ilvl w:val="0"/>
          <w:numId w:val="103"/>
        </w:numPr>
        <w:ind w:left="3969" w:hanging="567"/>
      </w:pPr>
      <w:r w:rsidRPr="00306115">
        <w:t>D</w:t>
      </w:r>
      <w:r w:rsidR="00DB72A2" w:rsidRPr="00306115">
        <w:t>alam proses pengukuran Risiko Pasar, dalam hal terdapat instrumen yang sulit diperoleh nilai pasar atau nilai pembandingnya, Manajer Investasi harus menggunakan metode penilaian yang telah divalidasi dan disetujui oleh manajemen.</w:t>
      </w:r>
    </w:p>
    <w:p w14:paraId="1B744A0F" w14:textId="07B0AA43" w:rsidR="00DB72A2" w:rsidRPr="00306115" w:rsidRDefault="00CE16FC">
      <w:pPr>
        <w:pStyle w:val="HeadingAwalDaftarIsiLampiran"/>
        <w:numPr>
          <w:ilvl w:val="0"/>
          <w:numId w:val="103"/>
        </w:numPr>
        <w:ind w:left="3969" w:hanging="567"/>
      </w:pPr>
      <w:r w:rsidRPr="00306115">
        <w:t>Manajer Investasi melakukan kaji ulang atau validasi atas data dan metode pengukuran Risiko Pasar yang digunakan, termasuk melakukan penyempurnaan dalam hal diperlukan.</w:t>
      </w:r>
    </w:p>
    <w:p w14:paraId="1EEB0FA7" w14:textId="30731445" w:rsidR="00CE16FC" w:rsidRPr="00306115" w:rsidRDefault="00D53F2C">
      <w:pPr>
        <w:pStyle w:val="HeadingAwalDaftarIsiLampiran"/>
        <w:numPr>
          <w:ilvl w:val="0"/>
          <w:numId w:val="103"/>
        </w:numPr>
        <w:ind w:left="3969" w:hanging="567"/>
      </w:pPr>
      <w:r w:rsidRPr="00306115">
        <w:t>D</w:t>
      </w:r>
      <w:r w:rsidR="00F449A5" w:rsidRPr="00306115">
        <w:t>alam pengukuran risiko pada tingkat portofolio, Manajer Investasi memperhitungkan korelasi antar pasar dan antar jenis risiko pada saat mengevaluasi posisi Risiko Pasar secara komprehensif.</w:t>
      </w:r>
    </w:p>
    <w:p w14:paraId="3D2F6651" w14:textId="56312456" w:rsidR="00097B6B" w:rsidRPr="00306115" w:rsidRDefault="00097B6B">
      <w:pPr>
        <w:pStyle w:val="HeadingAwalDaftarIsiLampiran"/>
        <w:numPr>
          <w:ilvl w:val="0"/>
          <w:numId w:val="102"/>
        </w:numPr>
        <w:ind w:left="3402" w:hanging="567"/>
      </w:pPr>
      <w:r w:rsidRPr="00306115">
        <w:t>Pemantauan Risiko</w:t>
      </w:r>
    </w:p>
    <w:p w14:paraId="7FD7B7FE" w14:textId="5670A9F6" w:rsidR="000035C8" w:rsidRPr="00306115" w:rsidRDefault="000035C8" w:rsidP="000035C8">
      <w:pPr>
        <w:pStyle w:val="HeadingAwalDaftarIsiLampiran"/>
        <w:numPr>
          <w:ilvl w:val="0"/>
          <w:numId w:val="0"/>
        </w:numPr>
        <w:ind w:left="3402"/>
      </w:pPr>
      <w:r w:rsidRPr="00306115">
        <w:t>Manajer Investasi harus melakukan pemantauan terhadap kepatuhan limit terkait Risiko Pasar secara berkala sesuai kebijakan dan/atau strategi Manajemen Risiko.</w:t>
      </w:r>
    </w:p>
    <w:p w14:paraId="2248328C" w14:textId="734BC0E3" w:rsidR="00097B6B" w:rsidRPr="00306115" w:rsidRDefault="00097B6B">
      <w:pPr>
        <w:pStyle w:val="HeadingAwalDaftarIsiLampiran"/>
        <w:numPr>
          <w:ilvl w:val="0"/>
          <w:numId w:val="102"/>
        </w:numPr>
        <w:ind w:left="3402" w:hanging="567"/>
      </w:pPr>
      <w:r w:rsidRPr="00306115">
        <w:t>Pengendalian Risiko</w:t>
      </w:r>
    </w:p>
    <w:p w14:paraId="7F6B3037" w14:textId="42B44059" w:rsidR="000035C8" w:rsidRPr="00306115" w:rsidRDefault="00D53F2C">
      <w:pPr>
        <w:pStyle w:val="HeadingAwalDaftarIsiLampiran"/>
        <w:numPr>
          <w:ilvl w:val="0"/>
          <w:numId w:val="105"/>
        </w:numPr>
        <w:ind w:left="3969" w:hanging="567"/>
      </w:pPr>
      <w:r w:rsidRPr="00306115">
        <w:t>M</w:t>
      </w:r>
      <w:r w:rsidR="00450633" w:rsidRPr="00306115">
        <w:t>anajemen, komite, fungsi dan/atau unit kerja terkait harus mengambil langkah-langkah dalam rangka pengendalian Risiko Pasar termasuk pencegahan terjadinya kerugian atau potensi kerugian yang lebih besar.</w:t>
      </w:r>
    </w:p>
    <w:p w14:paraId="1BC1503E" w14:textId="0B548473" w:rsidR="00450633" w:rsidRPr="00306115" w:rsidRDefault="00D53F2C">
      <w:pPr>
        <w:pStyle w:val="HeadingAwalDaftarIsiLampiran"/>
        <w:numPr>
          <w:ilvl w:val="0"/>
          <w:numId w:val="105"/>
        </w:numPr>
        <w:ind w:left="3969" w:hanging="567"/>
      </w:pPr>
      <w:r w:rsidRPr="00306115">
        <w:t>B</w:t>
      </w:r>
      <w:r w:rsidR="001862F7" w:rsidRPr="00306115">
        <w:t xml:space="preserve">eberapa pelaksanaan pengendalian yang dilakukan antara lain dengan melakukan penyesuaian terhadap portofolionya seperti pembatasan saham-saham yang bergerak </w:t>
      </w:r>
      <w:r w:rsidR="001862F7" w:rsidRPr="00306115">
        <w:lastRenderedPageBreak/>
        <w:t>secara agresif/</w:t>
      </w:r>
      <w:r w:rsidR="001862F7" w:rsidRPr="00306115">
        <w:rPr>
          <w:i/>
          <w:iCs/>
        </w:rPr>
        <w:t>volatile</w:t>
      </w:r>
      <w:r w:rsidR="001862F7" w:rsidRPr="00306115">
        <w:t>, penyesuaian durasi efek bersifat utang sesuai dengan strategi investasi dan profil risiko portofolio investasi</w:t>
      </w:r>
      <w:r w:rsidR="001862F7" w:rsidRPr="00306115">
        <w:rPr>
          <w:lang w:val="en-GB"/>
        </w:rPr>
        <w:t>,</w:t>
      </w:r>
      <w:r w:rsidR="001862F7" w:rsidRPr="00306115">
        <w:t xml:space="preserve"> dan </w:t>
      </w:r>
      <w:r w:rsidR="001862F7" w:rsidRPr="00306115">
        <w:rPr>
          <w:lang w:val="en-GB"/>
        </w:rPr>
        <w:t xml:space="preserve">pelaksanaan pengendalian </w:t>
      </w:r>
      <w:r w:rsidR="001862F7" w:rsidRPr="00306115">
        <w:t>lainnya.</w:t>
      </w:r>
    </w:p>
    <w:p w14:paraId="33466985" w14:textId="27DBF394" w:rsidR="00097B6B" w:rsidRPr="00306115" w:rsidRDefault="00097B6B">
      <w:pPr>
        <w:pStyle w:val="HeadingAwalDaftarIsiLampiran"/>
        <w:numPr>
          <w:ilvl w:val="0"/>
          <w:numId w:val="102"/>
        </w:numPr>
        <w:ind w:left="3402" w:hanging="567"/>
      </w:pPr>
      <w:r w:rsidRPr="00306115">
        <w:t>Sistem Informasi Manajemen Risiko</w:t>
      </w:r>
    </w:p>
    <w:p w14:paraId="3C8C2F41" w14:textId="2F622DB7" w:rsidR="001862F7" w:rsidRPr="00306115" w:rsidRDefault="00D53F2C">
      <w:pPr>
        <w:pStyle w:val="HeadingAwalDaftarIsiLampiran"/>
        <w:numPr>
          <w:ilvl w:val="0"/>
          <w:numId w:val="106"/>
        </w:numPr>
        <w:ind w:left="3969" w:hanging="567"/>
      </w:pPr>
      <w:r w:rsidRPr="00306115">
        <w:t>S</w:t>
      </w:r>
      <w:r w:rsidR="00B63CE5" w:rsidRPr="00306115">
        <w:t>istem informasi Manajemen Risiko untuk Risiko Pasar paling sedikit harus dapat menyediakan data terkait Risiko Pasar beserta eksposurnya secara akurat, lengkap, informatif, dan tepat waktu, dengan memantau perubahan faktor pasar (antara lain harga dan suku bunga) dalam periode yang dibutuhkan, dan dapat digunakan untuk memperkirakan potensi kerugian pada masa depan</w:t>
      </w:r>
      <w:r w:rsidR="005F7AD1" w:rsidRPr="00306115">
        <w:t>.</w:t>
      </w:r>
    </w:p>
    <w:p w14:paraId="4229B1BB" w14:textId="32FFFA65" w:rsidR="005F7AD1" w:rsidRPr="00306115" w:rsidRDefault="00D53F2C">
      <w:pPr>
        <w:pStyle w:val="HeadingAwalDaftarIsiLampiran"/>
        <w:numPr>
          <w:ilvl w:val="0"/>
          <w:numId w:val="106"/>
        </w:numPr>
        <w:ind w:left="3969" w:hanging="567"/>
      </w:pPr>
      <w:r w:rsidRPr="00306115">
        <w:t>S</w:t>
      </w:r>
      <w:r w:rsidR="00A670A2" w:rsidRPr="00306115">
        <w:t xml:space="preserve">istem informasi Manajemen Risiko Pasar dapat memfasilitasi </w:t>
      </w:r>
      <w:r w:rsidR="00A670A2" w:rsidRPr="00306115">
        <w:rPr>
          <w:i/>
          <w:iCs/>
        </w:rPr>
        <w:t>stress testing</w:t>
      </w:r>
      <w:r w:rsidR="00A670A2" w:rsidRPr="00306115">
        <w:t xml:space="preserve"> terutama untuk mengindentifikasi secara cepat sehingga dapat segera melakukan tindakan perbaikan</w:t>
      </w:r>
      <w:r w:rsidR="00A670A2" w:rsidRPr="00306115">
        <w:rPr>
          <w:lang w:val="en-GB"/>
        </w:rPr>
        <w:t>,</w:t>
      </w:r>
      <w:r w:rsidR="00A670A2" w:rsidRPr="00306115">
        <w:t xml:space="preserve"> termasuk sebagai respon perubahan faktor pasar yang dapat berdampak negatif pada kinerja Produk Investasi.</w:t>
      </w:r>
    </w:p>
    <w:p w14:paraId="0B75297E" w14:textId="7219879B" w:rsidR="00FC0618" w:rsidRPr="00306115" w:rsidRDefault="00FC0618">
      <w:pPr>
        <w:pStyle w:val="HeadingAwalDaftarIsiLampiran"/>
        <w:numPr>
          <w:ilvl w:val="0"/>
          <w:numId w:val="93"/>
        </w:numPr>
        <w:ind w:left="2835" w:hanging="567"/>
      </w:pPr>
      <w:r w:rsidRPr="00306115">
        <w:t>Sistem Pengendalian Internal yang Menyeluruh</w:t>
      </w:r>
    </w:p>
    <w:p w14:paraId="1F3F98F4" w14:textId="3C1C3D99" w:rsidR="00A670A2" w:rsidRPr="00306115" w:rsidRDefault="000C5391" w:rsidP="00A670A2">
      <w:pPr>
        <w:pStyle w:val="HeadingAwalDaftarIsiLampiran"/>
        <w:numPr>
          <w:ilvl w:val="0"/>
          <w:numId w:val="0"/>
        </w:numPr>
        <w:ind w:left="2835"/>
      </w:pPr>
      <w:r w:rsidRPr="00306115">
        <w:t>Dalam melakukan penerapan Manajemen Risiko melalui pelaksanaan sistem pengendalian internal untuk Risiko Pasar, selain melaksanakan pengendalian internal sebagaimana dimaksud pada Romawi I huruf D, Manajer Investasi juga harus memiliki:</w:t>
      </w:r>
    </w:p>
    <w:p w14:paraId="3E36838A" w14:textId="1B8D907A" w:rsidR="000C5391" w:rsidRPr="00306115" w:rsidRDefault="00D240D6">
      <w:pPr>
        <w:pStyle w:val="HeadingAwalDaftarIsiLampiran"/>
        <w:numPr>
          <w:ilvl w:val="0"/>
          <w:numId w:val="107"/>
        </w:numPr>
        <w:ind w:left="3402" w:hanging="567"/>
      </w:pPr>
      <w:r w:rsidRPr="00306115">
        <w:t xml:space="preserve">sistem pengendalian internal yang memadai untuk memastikan transaksi dan proses terkait dengan </w:t>
      </w:r>
      <w:r w:rsidRPr="00306115">
        <w:rPr>
          <w:i/>
          <w:iCs/>
        </w:rPr>
        <w:t>market risk taking</w:t>
      </w:r>
      <w:r w:rsidRPr="00306115">
        <w:t xml:space="preserve"> dilakukan dengan mengacu pada kebijakan, prosedur, dan limit yang telah ditetapkan; dan</w:t>
      </w:r>
    </w:p>
    <w:p w14:paraId="72E6F56C" w14:textId="0F51F4BC" w:rsidR="00D240D6" w:rsidRPr="00306115" w:rsidRDefault="008F0D86">
      <w:pPr>
        <w:pStyle w:val="HeadingAwalDaftarIsiLampiran"/>
        <w:numPr>
          <w:ilvl w:val="0"/>
          <w:numId w:val="107"/>
        </w:numPr>
        <w:ind w:left="3402" w:hanging="567"/>
      </w:pPr>
      <w:r w:rsidRPr="00306115">
        <w:t>fungsi atau unit yang melakukan validasi terhadap metode pengukuran Risiko Pasar harus independen terhadap fungsi atau unit yang melakukan pengembangan metode pengukuran Risiko Pasar.</w:t>
      </w:r>
    </w:p>
    <w:p w14:paraId="4D79D551" w14:textId="68CBB7D6" w:rsidR="001C3A6C" w:rsidRPr="00306115" w:rsidRDefault="001C3A6C">
      <w:pPr>
        <w:pStyle w:val="HeadingAwalDaftarIsiLampiran"/>
        <w:numPr>
          <w:ilvl w:val="0"/>
          <w:numId w:val="81"/>
        </w:numPr>
        <w:ind w:left="1701" w:hanging="567"/>
      </w:pPr>
      <w:r w:rsidRPr="00306115">
        <w:t>Risiko Likuiditas Produk Investasi</w:t>
      </w:r>
    </w:p>
    <w:p w14:paraId="74230557" w14:textId="5F08A0B0" w:rsidR="00A778DC" w:rsidRPr="00306115" w:rsidRDefault="00A778DC">
      <w:pPr>
        <w:pStyle w:val="HeadingAwalDaftarIsiLampiran"/>
        <w:numPr>
          <w:ilvl w:val="0"/>
          <w:numId w:val="84"/>
        </w:numPr>
        <w:ind w:left="2268" w:hanging="567"/>
      </w:pPr>
      <w:r w:rsidRPr="00306115">
        <w:t>Tujuan</w:t>
      </w:r>
    </w:p>
    <w:p w14:paraId="261AAA75" w14:textId="141396EF" w:rsidR="003F53E0" w:rsidRPr="00306115" w:rsidRDefault="003F53E0" w:rsidP="003F53E0">
      <w:pPr>
        <w:pStyle w:val="HeadingAwalDaftarIsiLampiran"/>
        <w:numPr>
          <w:ilvl w:val="0"/>
          <w:numId w:val="0"/>
        </w:numPr>
        <w:ind w:left="2268"/>
      </w:pPr>
      <w:r w:rsidRPr="00306115">
        <w:t>Tujuan utama Manajemen Risiko untuk Risiko Likuiditas Produk Investasi adalah untuk meminimalkan kemungkinan ketidakmampuan Produk Investasi yang dikelola Manajer Investasi dalam memenuhi kewajiban jangka pendeknya.</w:t>
      </w:r>
    </w:p>
    <w:p w14:paraId="67BE68CA" w14:textId="77777777" w:rsidR="00AB5918" w:rsidRPr="00306115" w:rsidRDefault="00A778DC">
      <w:pPr>
        <w:pStyle w:val="HeadingAwalDaftarIsiLampiran"/>
        <w:numPr>
          <w:ilvl w:val="0"/>
          <w:numId w:val="84"/>
        </w:numPr>
        <w:ind w:left="2268" w:hanging="567"/>
      </w:pPr>
      <w:r w:rsidRPr="00306115">
        <w:t>Penerapan Manajemen Risiko</w:t>
      </w:r>
    </w:p>
    <w:p w14:paraId="0B960DBE" w14:textId="37A1B8DE" w:rsidR="00D65765" w:rsidRPr="00306115" w:rsidRDefault="00742253" w:rsidP="00D65765">
      <w:pPr>
        <w:pStyle w:val="HeadingAwalDaftarIsiLampiran"/>
        <w:numPr>
          <w:ilvl w:val="0"/>
          <w:numId w:val="0"/>
        </w:numPr>
        <w:ind w:left="2268"/>
      </w:pPr>
      <w:r w:rsidRPr="00306115">
        <w:t>Penerapan Manajemen Risiko untuk Risiko Likuiditas Produk Investasi disesuaikan dengan karakteristik dari setiap Produk Investasi yang mencakup sifat, profil likuiditas, dan manajemen aset dan kewajiban.</w:t>
      </w:r>
    </w:p>
    <w:p w14:paraId="2B0C8EC7" w14:textId="47752DCE" w:rsidR="00742253" w:rsidRPr="00306115" w:rsidRDefault="00E92054" w:rsidP="00D65765">
      <w:pPr>
        <w:pStyle w:val="HeadingAwalDaftarIsiLampiran"/>
        <w:numPr>
          <w:ilvl w:val="0"/>
          <w:numId w:val="0"/>
        </w:numPr>
        <w:ind w:left="2268"/>
      </w:pPr>
      <w:r w:rsidRPr="00306115">
        <w:t xml:space="preserve">Penerapan Manajemen Risiko untuk Risiko Likuiditas Produk Investasi oleh Manajer Investasi wajib didasarkan atas pertimbangan yang rasional dan dapat dijustifikasi, </w:t>
      </w:r>
      <w:r w:rsidRPr="00306115">
        <w:lastRenderedPageBreak/>
        <w:t>memperhatikan prinsip kehati-hatian, serta tata kelola yang baik.</w:t>
      </w:r>
    </w:p>
    <w:p w14:paraId="2974D5CB" w14:textId="07C0AF79" w:rsidR="00E92054" w:rsidRPr="00306115" w:rsidRDefault="00D13190" w:rsidP="00D65765">
      <w:pPr>
        <w:pStyle w:val="HeadingAwalDaftarIsiLampiran"/>
        <w:numPr>
          <w:ilvl w:val="0"/>
          <w:numId w:val="0"/>
        </w:numPr>
        <w:ind w:left="2268"/>
      </w:pPr>
      <w:r w:rsidRPr="00306115">
        <w:t>Secara umum dalam prinsip penerapan Manajemen Risiko untuk Risiko Likuiditas Produk Investasi paling sedikit mencakup:</w:t>
      </w:r>
    </w:p>
    <w:p w14:paraId="6149C8DE" w14:textId="3019F5EE" w:rsidR="00AB5918" w:rsidRPr="00306115" w:rsidRDefault="00AB5918">
      <w:pPr>
        <w:pStyle w:val="HeadingAwalDaftarIsiLampiran"/>
        <w:numPr>
          <w:ilvl w:val="0"/>
          <w:numId w:val="94"/>
        </w:numPr>
        <w:ind w:left="2835" w:hanging="567"/>
      </w:pPr>
      <w:r w:rsidRPr="00306115">
        <w:t>Pengawasan Aktif Direksi dan Dewan Komisaris</w:t>
      </w:r>
    </w:p>
    <w:p w14:paraId="403CA62E" w14:textId="6649ADAB" w:rsidR="00437948" w:rsidRPr="00306115" w:rsidRDefault="00437948" w:rsidP="00437948">
      <w:pPr>
        <w:pStyle w:val="HeadingAwalDaftarIsiLampiran"/>
        <w:numPr>
          <w:ilvl w:val="0"/>
          <w:numId w:val="0"/>
        </w:numPr>
        <w:ind w:left="2835"/>
      </w:pPr>
      <w:r w:rsidRPr="00306115">
        <w:t>Dalam melakukan penerapan Manajemen Risiko melalui pengawasan aktif Direksi dan Dewan Komisaris untuk Risiko Likuiditas Produk Investasi, selain melaksanakan pengawasan aktif sebagaimana dimaksud pada Romawi I huruf A, Manajer Investasi harus menambahkan penerapan</w:t>
      </w:r>
      <w:r w:rsidR="00F12D7B" w:rsidRPr="00306115">
        <w:t>:</w:t>
      </w:r>
    </w:p>
    <w:p w14:paraId="41745569" w14:textId="26DA2520" w:rsidR="00F12D7B" w:rsidRPr="00306115" w:rsidRDefault="00F12D7B">
      <w:pPr>
        <w:pStyle w:val="HeadingAwalDaftarIsiLampiran"/>
        <w:numPr>
          <w:ilvl w:val="0"/>
          <w:numId w:val="108"/>
        </w:numPr>
        <w:ind w:left="3402" w:hanging="567"/>
      </w:pPr>
      <w:r w:rsidRPr="00306115">
        <w:t>Kewenangan dan Tanggung Jawab Direksi dan Dewan Komisaris</w:t>
      </w:r>
    </w:p>
    <w:p w14:paraId="37F12CAA" w14:textId="47C1CE22" w:rsidR="00F12D7B" w:rsidRPr="00306115" w:rsidRDefault="00CD44EE">
      <w:pPr>
        <w:pStyle w:val="HeadingAwalDaftarIsiLampiran"/>
        <w:numPr>
          <w:ilvl w:val="0"/>
          <w:numId w:val="109"/>
        </w:numPr>
        <w:ind w:left="3969" w:hanging="567"/>
      </w:pPr>
      <w:r w:rsidRPr="00306115">
        <w:t>Direksi dan Dewan Komisaris bertanggung jawab untuk memastikan bahwa penerapan Manajemen Risiko untuk Risiko Likuiditas Produk Investasi telah sesuai dengan tujuan investasi, karakteristik dan profil risiko masing-masing Produk Investasi, termasuk memastikan pengelolaan Risiko Likuiditas Produk Investasi terintegrasi dengan pengelolaan risiko lainnya yang dapat berdampak pada posisi likuiditas Produk Investasi</w:t>
      </w:r>
      <w:r w:rsidR="000E707A" w:rsidRPr="00306115">
        <w:t>.</w:t>
      </w:r>
    </w:p>
    <w:p w14:paraId="6E28D337" w14:textId="6FBD5D09" w:rsidR="006E0F73" w:rsidRPr="00306115" w:rsidRDefault="00B56617">
      <w:pPr>
        <w:pStyle w:val="HeadingAwalDaftarIsiLampiran"/>
        <w:numPr>
          <w:ilvl w:val="0"/>
          <w:numId w:val="109"/>
        </w:numPr>
        <w:ind w:left="3969" w:hanging="567"/>
      </w:pPr>
      <w:r w:rsidRPr="00306115">
        <w:t>W</w:t>
      </w:r>
      <w:r w:rsidR="006E0F73" w:rsidRPr="00306115">
        <w:t>ewenang dan tanggung jawab Direksi paling sedikit meliputi:</w:t>
      </w:r>
    </w:p>
    <w:p w14:paraId="379ADEEC" w14:textId="538D6F20" w:rsidR="000E707A" w:rsidRPr="00306115" w:rsidRDefault="00E97FF0">
      <w:pPr>
        <w:pStyle w:val="HeadingAwalDaftarIsiLampiran"/>
        <w:numPr>
          <w:ilvl w:val="0"/>
          <w:numId w:val="110"/>
        </w:numPr>
        <w:ind w:left="4536" w:hanging="567"/>
      </w:pPr>
      <w:r w:rsidRPr="00306115">
        <w:t xml:space="preserve">memantau posisi dan Risiko Likuiditas Produk Investasi secara berkala baik dalam kondisi normal maupun kondisi </w:t>
      </w:r>
      <w:r w:rsidRPr="00306115">
        <w:rPr>
          <w:i/>
          <w:iCs/>
        </w:rPr>
        <w:t>stress</w:t>
      </w:r>
      <w:r w:rsidRPr="00306115">
        <w:t>;</w:t>
      </w:r>
    </w:p>
    <w:p w14:paraId="689C9584" w14:textId="3CBE072D" w:rsidR="00E97FF0" w:rsidRPr="00306115" w:rsidRDefault="00307C1A">
      <w:pPr>
        <w:pStyle w:val="HeadingAwalDaftarIsiLampiran"/>
        <w:numPr>
          <w:ilvl w:val="0"/>
          <w:numId w:val="110"/>
        </w:numPr>
        <w:ind w:left="4536" w:hanging="567"/>
      </w:pPr>
      <w:r w:rsidRPr="00306115">
        <w:t>melakukan evaluasi terhadap posisi dan Risiko Likuiditas Produk Investasi paling sedikit 1 (satu) kali dalam 1 (satu) bulan;</w:t>
      </w:r>
    </w:p>
    <w:p w14:paraId="0EDE9D16" w14:textId="7BA53CF7" w:rsidR="00307C1A" w:rsidRPr="00306115" w:rsidRDefault="00906FCC">
      <w:pPr>
        <w:pStyle w:val="HeadingAwalDaftarIsiLampiran"/>
        <w:numPr>
          <w:ilvl w:val="0"/>
          <w:numId w:val="110"/>
        </w:numPr>
        <w:ind w:left="4536" w:hanging="567"/>
      </w:pPr>
      <w:r w:rsidRPr="00306115">
        <w:t xml:space="preserve">melakukan evaluasi segera terhadap posisi likuiditas dan profil Risiko Likuiditas Produk Investasi dalam hal terjadi perubahan yang signifikan antara lain peningkatan </w:t>
      </w:r>
      <w:r w:rsidRPr="00306115">
        <w:rPr>
          <w:i/>
          <w:iCs/>
        </w:rPr>
        <w:t xml:space="preserve">net </w:t>
      </w:r>
      <w:r w:rsidR="00A33C3B" w:rsidRPr="00306115">
        <w:rPr>
          <w:i/>
          <w:iCs/>
        </w:rPr>
        <w:t>redemption</w:t>
      </w:r>
      <w:r w:rsidRPr="00306115">
        <w:t>, penurunan likuiditas pasar atas Efek dalam portofolio, dan lain sebagainya;</w:t>
      </w:r>
    </w:p>
    <w:p w14:paraId="036F3443" w14:textId="69972BAB" w:rsidR="00906FCC" w:rsidRPr="00306115" w:rsidRDefault="00625A26">
      <w:pPr>
        <w:pStyle w:val="HeadingAwalDaftarIsiLampiran"/>
        <w:numPr>
          <w:ilvl w:val="0"/>
          <w:numId w:val="110"/>
        </w:numPr>
        <w:ind w:left="4536" w:hanging="567"/>
      </w:pPr>
      <w:r w:rsidRPr="00306115">
        <w:t>melakukan penyesuaian kebijakan dan strategi Manajemen Risiko untuk Risiko Likuiditas Produk Investasi yang diperlukan berdasarkan hasil evaluasi terhadap posisi dan Risiko Likuiditas Produk Investasi; dan</w:t>
      </w:r>
    </w:p>
    <w:p w14:paraId="4A656F6E" w14:textId="30118E26" w:rsidR="00625A26" w:rsidRPr="00306115" w:rsidRDefault="00A166FA">
      <w:pPr>
        <w:pStyle w:val="HeadingAwalDaftarIsiLampiran"/>
        <w:numPr>
          <w:ilvl w:val="0"/>
          <w:numId w:val="110"/>
        </w:numPr>
        <w:ind w:left="4536" w:hanging="567"/>
      </w:pPr>
      <w:r w:rsidRPr="00306115">
        <w:t xml:space="preserve">menyampaikan laporan kepada Dewan Komisaris mengenai posisi dan profil Risiko Likuiditas Produk Investasi serta penerapan kebijakan dan prosedur Manajemen Risiko untuk Risiko Likuiditas Produk Investasi, yang antara lain mencakup evaluasi </w:t>
      </w:r>
      <w:r w:rsidRPr="00306115">
        <w:lastRenderedPageBreak/>
        <w:t>atas kebijakan, strategi, prosedur, dan kondisi likuiditas Produk Investasi secara berkala maupun pada saat terjadi perubahan yang signifikan.</w:t>
      </w:r>
    </w:p>
    <w:p w14:paraId="2924CA8C" w14:textId="7B0DC2B5" w:rsidR="006E0F73" w:rsidRPr="00306115" w:rsidRDefault="00B56617">
      <w:pPr>
        <w:pStyle w:val="HeadingAwalDaftarIsiLampiran"/>
        <w:numPr>
          <w:ilvl w:val="0"/>
          <w:numId w:val="109"/>
        </w:numPr>
        <w:ind w:left="3969" w:hanging="567"/>
      </w:pPr>
      <w:r w:rsidRPr="00306115">
        <w:t>W</w:t>
      </w:r>
      <w:r w:rsidR="00914AE6" w:rsidRPr="00306115">
        <w:t>ewenang dan tanggung jawab Dewan Komisaris dalam penerapan Manajemen Risiko untuk Risiko Likuiditas Produk Investasi antara lain memberikan persetujuan dan evaluasi berkala atas kebijakan dan strategi Manajemen Risiko untuk Risiko Likuiditas Produk Investasi.</w:t>
      </w:r>
    </w:p>
    <w:p w14:paraId="517B9C13" w14:textId="058FF656" w:rsidR="00914AE6" w:rsidRPr="00306115" w:rsidRDefault="00914AE6">
      <w:pPr>
        <w:pStyle w:val="HeadingAwalDaftarIsiLampiran"/>
        <w:numPr>
          <w:ilvl w:val="0"/>
          <w:numId w:val="108"/>
        </w:numPr>
        <w:ind w:left="3402" w:hanging="567"/>
      </w:pPr>
      <w:r w:rsidRPr="00306115">
        <w:t>Sumber Daya Manusia</w:t>
      </w:r>
    </w:p>
    <w:p w14:paraId="727D628C" w14:textId="7EEA04D3" w:rsidR="00914AE6" w:rsidRPr="00306115" w:rsidRDefault="00DC10BC">
      <w:pPr>
        <w:pStyle w:val="HeadingAwalDaftarIsiLampiran"/>
        <w:numPr>
          <w:ilvl w:val="0"/>
          <w:numId w:val="111"/>
        </w:numPr>
        <w:ind w:left="3969" w:hanging="567"/>
      </w:pPr>
      <w:r w:rsidRPr="00306115">
        <w:t xml:space="preserve">Direksi harus memastikan bahwa setiap fungsi atau unit yang bertanggung jawab dalam pengelolaan Risiko Likuiditas Produk Investasi memiliki </w:t>
      </w:r>
      <w:r w:rsidR="00583B3E" w:rsidRPr="00306115">
        <w:t xml:space="preserve">sumber daya manusia </w:t>
      </w:r>
      <w:r w:rsidRPr="00306115">
        <w:t>dengan kompetensi yang memadai.</w:t>
      </w:r>
    </w:p>
    <w:p w14:paraId="35492ADD" w14:textId="72C80CB5" w:rsidR="00DC10BC" w:rsidRPr="00306115" w:rsidRDefault="00583B3E">
      <w:pPr>
        <w:pStyle w:val="HeadingAwalDaftarIsiLampiran"/>
        <w:numPr>
          <w:ilvl w:val="0"/>
          <w:numId w:val="111"/>
        </w:numPr>
        <w:ind w:left="3969" w:hanging="567"/>
      </w:pPr>
      <w:r w:rsidRPr="00306115">
        <w:t>Manajer Investasi harus memastikan ketersediaan sumber daya manusia yang memadai, baik dari segi jumlah maupun kompetensi, serta memiliki pengetahuan, keahlian, dan pengalaman yang memadai mengenai karakteristik Produk Investasi, profil likuiditas masing-masing instrumen, serta praktik manajemen Risiko Likuiditas Produk Investasi.</w:t>
      </w:r>
    </w:p>
    <w:p w14:paraId="72F9A961" w14:textId="30B0FEBC" w:rsidR="00583B3E" w:rsidRPr="00306115" w:rsidRDefault="00583B3E">
      <w:pPr>
        <w:pStyle w:val="HeadingAwalDaftarIsiLampiran"/>
        <w:numPr>
          <w:ilvl w:val="0"/>
          <w:numId w:val="108"/>
        </w:numPr>
        <w:ind w:left="3402" w:hanging="567"/>
      </w:pPr>
      <w:r w:rsidRPr="00306115">
        <w:t xml:space="preserve">Organisasi </w:t>
      </w:r>
      <w:r w:rsidR="00342FBC" w:rsidRPr="00306115">
        <w:t>Manajemen Risiko</w:t>
      </w:r>
    </w:p>
    <w:p w14:paraId="1701558A" w14:textId="4D2B70A9" w:rsidR="00342FBC" w:rsidRPr="00306115" w:rsidRDefault="00980B2D">
      <w:pPr>
        <w:pStyle w:val="HeadingAwalDaftarIsiLampiran"/>
        <w:numPr>
          <w:ilvl w:val="0"/>
          <w:numId w:val="112"/>
        </w:numPr>
        <w:ind w:left="3969" w:hanging="567"/>
      </w:pPr>
      <w:r w:rsidRPr="00306115">
        <w:t>Manajer Investasi memiliki anggota Direksi dan fungsi yang secara independen dan terpisah dari kegiatan fungsi investasi untuk melakukan pengawasan dan pemantauan berkelanjutan atas pelaksanaan Manajemen Risiko Likuiditas Produk Investasi.</w:t>
      </w:r>
    </w:p>
    <w:p w14:paraId="593F718F" w14:textId="6536A15B" w:rsidR="00980B2D" w:rsidRPr="00306115" w:rsidRDefault="00FB4FB2">
      <w:pPr>
        <w:pStyle w:val="HeadingAwalDaftarIsiLampiran"/>
        <w:numPr>
          <w:ilvl w:val="0"/>
          <w:numId w:val="112"/>
        </w:numPr>
        <w:ind w:left="3969" w:hanging="567"/>
      </w:pPr>
      <w:r w:rsidRPr="00306115">
        <w:t>Manajer Investasi wajib memperhatikan Manajemen Risiko Likuiditas Produk Investasi dalam setiap pengambilan keputusan investasi untuk kepentingan Produk Investasi.</w:t>
      </w:r>
    </w:p>
    <w:p w14:paraId="66ABDFA9" w14:textId="77777777" w:rsidR="00AB5918" w:rsidRPr="00306115" w:rsidRDefault="00AB5918">
      <w:pPr>
        <w:pStyle w:val="HeadingAwalDaftarIsiLampiran"/>
        <w:numPr>
          <w:ilvl w:val="0"/>
          <w:numId w:val="94"/>
        </w:numPr>
        <w:ind w:left="2835" w:hanging="567"/>
      </w:pPr>
      <w:r w:rsidRPr="00306115">
        <w:t>Kecukupan Kebijakan dan Prosedur Manajemen Risiko</w:t>
      </w:r>
    </w:p>
    <w:p w14:paraId="6230BB2A" w14:textId="41C4A4FA" w:rsidR="00BD2B5D" w:rsidRPr="00306115" w:rsidRDefault="00BD2B5D" w:rsidP="00BD2B5D">
      <w:pPr>
        <w:pStyle w:val="HeadingAwalDaftarIsiLampiran"/>
        <w:numPr>
          <w:ilvl w:val="0"/>
          <w:numId w:val="0"/>
        </w:numPr>
        <w:ind w:left="2835"/>
      </w:pPr>
      <w:r w:rsidRPr="00306115">
        <w:t xml:space="preserve">Dalam melaksanakan kebijakan dan prosedur Manajemen Risiko serta penetapan limit risiko untuk Risiko Likuiditas Produk Investasi, selain melaksanakan kebijakan dan prosedur Manajemen Risiko serta penetapan limit risiko </w:t>
      </w:r>
      <w:r w:rsidR="00D242B6" w:rsidRPr="00306115">
        <w:t>sebagaimana dimaksud pada Romawi I huruf B</w:t>
      </w:r>
      <w:r w:rsidRPr="00306115">
        <w:t>,</w:t>
      </w:r>
      <w:r w:rsidR="0075714A" w:rsidRPr="00306115">
        <w:t xml:space="preserve"> </w:t>
      </w:r>
      <w:r w:rsidRPr="00306115">
        <w:t xml:space="preserve">Manajer Investasi </w:t>
      </w:r>
      <w:r w:rsidR="00D242B6" w:rsidRPr="00306115">
        <w:t xml:space="preserve">harus </w:t>
      </w:r>
      <w:r w:rsidRPr="00306115">
        <w:t>menambahkan penerapan</w:t>
      </w:r>
      <w:r w:rsidR="00022BA7" w:rsidRPr="00306115">
        <w:t>:</w:t>
      </w:r>
    </w:p>
    <w:p w14:paraId="2872B7B4" w14:textId="59A277F9" w:rsidR="00022BA7" w:rsidRPr="00306115" w:rsidRDefault="00F05040">
      <w:pPr>
        <w:pStyle w:val="HeadingAwalDaftarIsiLampiran"/>
        <w:numPr>
          <w:ilvl w:val="0"/>
          <w:numId w:val="114"/>
        </w:numPr>
        <w:ind w:left="3402" w:hanging="567"/>
      </w:pPr>
      <w:r w:rsidRPr="00306115">
        <w:t>Kebijakan dan Prosedur</w:t>
      </w:r>
    </w:p>
    <w:p w14:paraId="0E983101" w14:textId="444DDB44" w:rsidR="00F05040" w:rsidRPr="00306115" w:rsidRDefault="00AC4EC4">
      <w:pPr>
        <w:pStyle w:val="HeadingAwalDaftarIsiLampiran"/>
        <w:numPr>
          <w:ilvl w:val="0"/>
          <w:numId w:val="115"/>
        </w:numPr>
        <w:ind w:left="3969" w:hanging="567"/>
      </w:pPr>
      <w:r w:rsidRPr="00306115">
        <w:t>K</w:t>
      </w:r>
      <w:r w:rsidR="007C0167" w:rsidRPr="00306115">
        <w:t xml:space="preserve">ebijakan mengenai Manajemen Risiko untuk Risiko Likuiditas Produk Investasi, termasuk penetapan strategi dan limit Risiko Likuiditas Produk Investasi, harus sejalan dengan tujuan dan strategi investasi, karakteristik masing-masing </w:t>
      </w:r>
      <w:r w:rsidR="007C0167" w:rsidRPr="00306115">
        <w:lastRenderedPageBreak/>
        <w:t xml:space="preserve">Produk Investasi, serta tingkat risiko yang akan diambil, dan didukung oleh kecukupan permodalan, kemampuan </w:t>
      </w:r>
      <w:r w:rsidR="00C34B9B" w:rsidRPr="00306115">
        <w:t>sumber daya manusia</w:t>
      </w:r>
      <w:r w:rsidR="007C0167" w:rsidRPr="00306115">
        <w:t>, infrastruktur, dan sistem informasi Manajer Investasi</w:t>
      </w:r>
      <w:r w:rsidR="00C34B9B" w:rsidRPr="00306115">
        <w:t>.</w:t>
      </w:r>
    </w:p>
    <w:p w14:paraId="4D3E2749" w14:textId="63B6857A" w:rsidR="00C34B9B" w:rsidRPr="00306115" w:rsidRDefault="00321DAF">
      <w:pPr>
        <w:pStyle w:val="HeadingAwalDaftarIsiLampiran"/>
        <w:numPr>
          <w:ilvl w:val="0"/>
          <w:numId w:val="115"/>
        </w:numPr>
        <w:ind w:left="3969" w:hanging="567"/>
      </w:pPr>
      <w:r w:rsidRPr="00306115">
        <w:t>Manajer Investasi wajib menetapkan, menerapkan, dan memelihara kebijakan dan prosedur Manajemen Risiko untuk Risiko Likuiditas Produk Investasi yang tepat dan efektif guna:</w:t>
      </w:r>
    </w:p>
    <w:p w14:paraId="59E23E15" w14:textId="2AAD9ACE" w:rsidR="00321DAF" w:rsidRPr="00306115" w:rsidRDefault="00AE4097">
      <w:pPr>
        <w:pStyle w:val="HeadingAwalDaftarIsiLampiran"/>
        <w:numPr>
          <w:ilvl w:val="0"/>
          <w:numId w:val="116"/>
        </w:numPr>
        <w:ind w:left="4536" w:hanging="567"/>
      </w:pPr>
      <w:r w:rsidRPr="00306115">
        <w:rPr>
          <w:lang w:val="en-ID"/>
        </w:rPr>
        <w:t>memantau Risiko Likuiditas Produk Investasi;</w:t>
      </w:r>
    </w:p>
    <w:p w14:paraId="084D580F" w14:textId="3BC518F4" w:rsidR="00AE4097" w:rsidRPr="00306115" w:rsidRDefault="00202505">
      <w:pPr>
        <w:pStyle w:val="HeadingAwalDaftarIsiLampiran"/>
        <w:numPr>
          <w:ilvl w:val="0"/>
          <w:numId w:val="116"/>
        </w:numPr>
        <w:ind w:left="4536" w:hanging="567"/>
      </w:pPr>
      <w:r w:rsidRPr="00306115">
        <w:rPr>
          <w:lang w:val="en-ID"/>
        </w:rPr>
        <w:t xml:space="preserve">memitigasi risiko ketidaksesuaian likuiditas aset dalam portofolio Produk Investasi dengan kebutuhan pemenuhan pembelian kembali Produk Investasi termasuk kebutuhan pemenuhan </w:t>
      </w:r>
      <w:r w:rsidR="00A33C3B" w:rsidRPr="00306115">
        <w:rPr>
          <w:i/>
          <w:iCs/>
          <w:lang w:val="en-ID"/>
        </w:rPr>
        <w:t>redemption</w:t>
      </w:r>
      <w:r w:rsidRPr="00306115">
        <w:rPr>
          <w:lang w:val="en-ID"/>
        </w:rPr>
        <w:t xml:space="preserve"> oleh pemegang </w:t>
      </w:r>
      <w:r w:rsidR="00176270" w:rsidRPr="00306115">
        <w:rPr>
          <w:lang w:val="en-ID"/>
        </w:rPr>
        <w:t>u</w:t>
      </w:r>
      <w:r w:rsidRPr="00306115">
        <w:rPr>
          <w:lang w:val="en-ID"/>
        </w:rPr>
        <w:t xml:space="preserve">nit </w:t>
      </w:r>
      <w:r w:rsidR="00176270" w:rsidRPr="00306115">
        <w:rPr>
          <w:lang w:val="en-ID"/>
        </w:rPr>
        <w:t>p</w:t>
      </w:r>
      <w:r w:rsidRPr="00306115">
        <w:rPr>
          <w:lang w:val="en-ID"/>
        </w:rPr>
        <w:t>enyertaan; dan</w:t>
      </w:r>
    </w:p>
    <w:p w14:paraId="4425DA93" w14:textId="237F03E0" w:rsidR="00202505" w:rsidRPr="00306115" w:rsidRDefault="00176270">
      <w:pPr>
        <w:pStyle w:val="HeadingAwalDaftarIsiLampiran"/>
        <w:numPr>
          <w:ilvl w:val="0"/>
          <w:numId w:val="116"/>
        </w:numPr>
        <w:ind w:left="4536" w:hanging="567"/>
      </w:pPr>
      <w:r w:rsidRPr="00306115">
        <w:t>memastikan perlakuan yang adil dan wajar kepada seluruh nasabah.</w:t>
      </w:r>
    </w:p>
    <w:p w14:paraId="6B6FD3E5" w14:textId="3067BEF2" w:rsidR="00E00A60" w:rsidRPr="00306115" w:rsidRDefault="00AC4EC4">
      <w:pPr>
        <w:pStyle w:val="HeadingAwalDaftarIsiLampiran"/>
        <w:numPr>
          <w:ilvl w:val="0"/>
          <w:numId w:val="115"/>
        </w:numPr>
        <w:ind w:left="3969" w:hanging="567"/>
      </w:pPr>
      <w:r w:rsidRPr="00306115">
        <w:t>K</w:t>
      </w:r>
      <w:r w:rsidR="00E00A60" w:rsidRPr="00306115">
        <w:t>ebijakan dan prosedur Manajemen Risiko untuk Risiko Likuiditas Produk Investasi mempertimbangkan paling sedikit:</w:t>
      </w:r>
    </w:p>
    <w:p w14:paraId="3B26DECE" w14:textId="4DE0652E" w:rsidR="00176270" w:rsidRPr="00306115" w:rsidRDefault="008138AB">
      <w:pPr>
        <w:pStyle w:val="HeadingAwalDaftarIsiLampiran"/>
        <w:numPr>
          <w:ilvl w:val="0"/>
          <w:numId w:val="117"/>
        </w:numPr>
        <w:ind w:left="4536" w:hanging="567"/>
      </w:pPr>
      <w:r w:rsidRPr="00306115">
        <w:t>jenis</w:t>
      </w:r>
      <w:r w:rsidRPr="00306115">
        <w:rPr>
          <w:lang w:val="en-ID"/>
        </w:rPr>
        <w:t xml:space="preserve"> Produk Investasi;</w:t>
      </w:r>
    </w:p>
    <w:p w14:paraId="09BE0BD9" w14:textId="03F3E8CC" w:rsidR="008138AB" w:rsidRPr="00306115" w:rsidRDefault="001B0AEB">
      <w:pPr>
        <w:pStyle w:val="HeadingAwalDaftarIsiLampiran"/>
        <w:numPr>
          <w:ilvl w:val="0"/>
          <w:numId w:val="117"/>
        </w:numPr>
        <w:ind w:left="4536" w:hanging="567"/>
      </w:pPr>
      <w:r w:rsidRPr="00306115">
        <w:t>kebijakan dan strategi investasi;</w:t>
      </w:r>
    </w:p>
    <w:p w14:paraId="2BABBC1D" w14:textId="294ABAB0" w:rsidR="001B0AEB" w:rsidRPr="00306115" w:rsidRDefault="002B2D93">
      <w:pPr>
        <w:pStyle w:val="HeadingAwalDaftarIsiLampiran"/>
        <w:numPr>
          <w:ilvl w:val="0"/>
          <w:numId w:val="117"/>
        </w:numPr>
        <w:ind w:left="4536" w:hanging="567"/>
      </w:pPr>
      <w:r w:rsidRPr="00306115">
        <w:t>profil likuiditas aset dalam portofolio Produk Investasi;</w:t>
      </w:r>
    </w:p>
    <w:p w14:paraId="236096B2" w14:textId="55EAF8C2" w:rsidR="002B2D93" w:rsidRPr="00306115" w:rsidRDefault="00CE1DEA">
      <w:pPr>
        <w:pStyle w:val="HeadingAwalDaftarIsiLampiran"/>
        <w:numPr>
          <w:ilvl w:val="0"/>
          <w:numId w:val="117"/>
        </w:numPr>
        <w:ind w:left="4536" w:hanging="567"/>
      </w:pPr>
      <w:r w:rsidRPr="00306115">
        <w:t>profil saluran distribusi;</w:t>
      </w:r>
    </w:p>
    <w:p w14:paraId="290D27CE" w14:textId="6709D9E9" w:rsidR="00CE1DEA" w:rsidRPr="00306115" w:rsidRDefault="00D372FB">
      <w:pPr>
        <w:pStyle w:val="HeadingAwalDaftarIsiLampiran"/>
        <w:numPr>
          <w:ilvl w:val="0"/>
          <w:numId w:val="117"/>
        </w:numPr>
        <w:ind w:left="4536" w:hanging="567"/>
      </w:pPr>
      <w:r w:rsidRPr="00306115">
        <w:t>profil target pasar dan/atau nasabah; dan</w:t>
      </w:r>
    </w:p>
    <w:p w14:paraId="28F47404" w14:textId="79BE3FEA" w:rsidR="00D372FB" w:rsidRPr="00306115" w:rsidRDefault="00DE0717">
      <w:pPr>
        <w:pStyle w:val="HeadingAwalDaftarIsiLampiran"/>
        <w:numPr>
          <w:ilvl w:val="0"/>
          <w:numId w:val="117"/>
        </w:numPr>
        <w:ind w:left="4536" w:hanging="567"/>
      </w:pPr>
      <w:r w:rsidRPr="00306115">
        <w:t>kebijakan pembelian kembali oleh P</w:t>
      </w:r>
      <w:r w:rsidRPr="00306115">
        <w:rPr>
          <w:lang w:val="en-ID"/>
        </w:rPr>
        <w:t>roduk Investasi.</w:t>
      </w:r>
    </w:p>
    <w:p w14:paraId="26E89057" w14:textId="36DB4B7F" w:rsidR="00DE0717" w:rsidRPr="00306115" w:rsidRDefault="00ED0989">
      <w:pPr>
        <w:pStyle w:val="HeadingAwalDaftarIsiLampiran"/>
        <w:numPr>
          <w:ilvl w:val="0"/>
          <w:numId w:val="115"/>
        </w:numPr>
        <w:ind w:left="3969" w:hanging="567"/>
      </w:pPr>
      <w:r w:rsidRPr="00306115">
        <w:t>Manajer Investasi menerapkan kebijakan dan prosedur Manajemen Risiko untuk Risiko Likuiditas Produk Investasi sejak awal pembentukan Produk Investasi hingga sepanjang siklus hidup Produk Investasi.</w:t>
      </w:r>
    </w:p>
    <w:p w14:paraId="400BDAE1" w14:textId="79E18D07" w:rsidR="002908B1" w:rsidRPr="00306115" w:rsidRDefault="00AC4EC4">
      <w:pPr>
        <w:pStyle w:val="HeadingAwalDaftarIsiLampiran"/>
        <w:numPr>
          <w:ilvl w:val="0"/>
          <w:numId w:val="115"/>
        </w:numPr>
        <w:ind w:left="3969" w:hanging="567"/>
      </w:pPr>
      <w:r w:rsidRPr="00306115">
        <w:t>K</w:t>
      </w:r>
      <w:r w:rsidR="00877C5D" w:rsidRPr="00306115">
        <w:t xml:space="preserve">ebijakan dan prosedur Manajemen Risiko untuk Risiko Likuiditas Produk Investasi selain memuat hal-hal </w:t>
      </w:r>
      <w:r w:rsidR="00877C5D" w:rsidRPr="00306115">
        <w:rPr>
          <w:lang w:val="en-ID"/>
        </w:rPr>
        <w:t>sebagaimana dimaksud pada Romawi I huruf B</w:t>
      </w:r>
      <w:r w:rsidR="00AA59FC" w:rsidRPr="00306115">
        <w:rPr>
          <w:lang w:val="en-ID"/>
        </w:rPr>
        <w:t xml:space="preserve"> angka </w:t>
      </w:r>
      <w:r w:rsidR="00877C5D" w:rsidRPr="00306115">
        <w:rPr>
          <w:lang w:val="en-ID"/>
        </w:rPr>
        <w:t>1</w:t>
      </w:r>
      <w:r w:rsidR="00AA59FC" w:rsidRPr="00306115">
        <w:rPr>
          <w:lang w:val="en-ID"/>
        </w:rPr>
        <w:t xml:space="preserve"> huruf </w:t>
      </w:r>
      <w:r w:rsidR="00877C5D" w:rsidRPr="00306115">
        <w:rPr>
          <w:lang w:val="en-ID"/>
        </w:rPr>
        <w:t>d, juga antara lain memuat</w:t>
      </w:r>
      <w:r w:rsidR="002908B1" w:rsidRPr="00306115">
        <w:rPr>
          <w:lang w:val="en-ID"/>
        </w:rPr>
        <w:t>:</w:t>
      </w:r>
    </w:p>
    <w:p w14:paraId="1C8C4195" w14:textId="2E05141F" w:rsidR="00ED0989" w:rsidRPr="00306115" w:rsidRDefault="004B1801">
      <w:pPr>
        <w:pStyle w:val="HeadingAwalDaftarIsiLampiran"/>
        <w:numPr>
          <w:ilvl w:val="0"/>
          <w:numId w:val="118"/>
        </w:numPr>
        <w:ind w:left="4536" w:hanging="567"/>
      </w:pPr>
      <w:r w:rsidRPr="00306115">
        <w:t>penetapan indikator peringatan dini (</w:t>
      </w:r>
      <w:r w:rsidRPr="00306115">
        <w:rPr>
          <w:i/>
          <w:iCs/>
        </w:rPr>
        <w:t xml:space="preserve">early warning indicator), </w:t>
      </w:r>
      <w:r w:rsidRPr="00306115">
        <w:t>baik indikator internal maupun indikator eksternal, untuk Risiko Likuiditas Produk Investasi sebagai alat identifikasi permasalahan dan penentuan mitigasi Risiko Likuiditas Produk Investasi</w:t>
      </w:r>
      <w:r w:rsidR="00301021" w:rsidRPr="00306115">
        <w:t>.</w:t>
      </w:r>
    </w:p>
    <w:p w14:paraId="2685581D" w14:textId="746BD860" w:rsidR="000C46EB" w:rsidRPr="00306115" w:rsidRDefault="000C46EB" w:rsidP="00BE5D73">
      <w:pPr>
        <w:pStyle w:val="HeadingAwalDaftarIsiLampiran"/>
        <w:numPr>
          <w:ilvl w:val="0"/>
          <w:numId w:val="0"/>
        </w:numPr>
        <w:ind w:left="4536"/>
      </w:pPr>
      <w:r w:rsidRPr="00306115">
        <w:t>Indikator internal antara lain meliputi kualitas aset/portofolio yang memburuk, peningkatan konsentrasi pada beberapa aset/portofolio, dan sebagainya.</w:t>
      </w:r>
    </w:p>
    <w:p w14:paraId="32CE0C1E" w14:textId="55E43B2E" w:rsidR="000C46EB" w:rsidRPr="00306115" w:rsidRDefault="002A749D" w:rsidP="00BE5D73">
      <w:pPr>
        <w:pStyle w:val="HeadingAwalDaftarIsiLampiran"/>
        <w:numPr>
          <w:ilvl w:val="0"/>
          <w:numId w:val="0"/>
        </w:numPr>
        <w:ind w:left="4536"/>
      </w:pPr>
      <w:r w:rsidRPr="00306115">
        <w:lastRenderedPageBreak/>
        <w:t>Indikator eksternal antara lain meliputi informasi publik yang negatif terhadap Produk Investasi Manajer Investasi dan penurunan hasil peringkat oleh lembaga pemeringkat</w:t>
      </w:r>
      <w:r w:rsidR="00301021" w:rsidRPr="00306115">
        <w:t>;</w:t>
      </w:r>
    </w:p>
    <w:p w14:paraId="76D4739B" w14:textId="407DDB2D" w:rsidR="004B1801" w:rsidRPr="00306115" w:rsidRDefault="001346A6">
      <w:pPr>
        <w:pStyle w:val="HeadingAwalDaftarIsiLampiran"/>
        <w:numPr>
          <w:ilvl w:val="0"/>
          <w:numId w:val="118"/>
        </w:numPr>
        <w:ind w:left="4536" w:hanging="567"/>
      </w:pPr>
      <w:r w:rsidRPr="00306115">
        <w:t xml:space="preserve">metode pengukuran Risiko Likuiditas Produk Investasi dan </w:t>
      </w:r>
      <w:r w:rsidRPr="00306115">
        <w:rPr>
          <w:i/>
          <w:iCs/>
        </w:rPr>
        <w:t>stress testing</w:t>
      </w:r>
      <w:r w:rsidRPr="00306115">
        <w:t xml:space="preserve"> likuiditas harus disesuaikan dengan strategi pengelolaan investasi sehingga dapat menggambarkan dengan baik profil Risiko Likuiditas Produk Investasi</w:t>
      </w:r>
      <w:r w:rsidR="00301021" w:rsidRPr="00306115">
        <w:t>; dan</w:t>
      </w:r>
    </w:p>
    <w:p w14:paraId="4946FD4F" w14:textId="45B14040" w:rsidR="006E16D4" w:rsidRPr="00306115" w:rsidRDefault="004A5EA0">
      <w:pPr>
        <w:pStyle w:val="HeadingAwalDaftarIsiLampiran"/>
        <w:numPr>
          <w:ilvl w:val="0"/>
          <w:numId w:val="118"/>
        </w:numPr>
        <w:ind w:left="4536" w:hanging="567"/>
      </w:pPr>
      <w:r w:rsidRPr="00306115">
        <w:t>sistem informasi Manajemen Risiko dan sistem lain yang secara memadai diperlukan untuk identifikasi, pengukuran, pemantauan, dan pengendalian Risiko Likuiditas Produk Investasi termasuk pelaporan likuiditas Produk Investasi.</w:t>
      </w:r>
    </w:p>
    <w:p w14:paraId="0A3EB94A" w14:textId="63BB80FD" w:rsidR="002908B1" w:rsidRPr="00306115" w:rsidRDefault="00301021">
      <w:pPr>
        <w:pStyle w:val="HeadingAwalDaftarIsiLampiran"/>
        <w:numPr>
          <w:ilvl w:val="0"/>
          <w:numId w:val="115"/>
        </w:numPr>
        <w:ind w:left="3969" w:hanging="567"/>
      </w:pPr>
      <w:r w:rsidRPr="00306115">
        <w:t xml:space="preserve">Manajer Investasi menyusun, menerapkan, dan secara berkala menguji rencana kontijensi </w:t>
      </w:r>
      <w:r w:rsidRPr="00306115">
        <w:rPr>
          <w:i/>
          <w:iCs/>
        </w:rPr>
        <w:t xml:space="preserve">(contigency plan) </w:t>
      </w:r>
      <w:r w:rsidRPr="00306115">
        <w:t>dengan tujuan:</w:t>
      </w:r>
    </w:p>
    <w:p w14:paraId="4603D7B8" w14:textId="6D8FD74F" w:rsidR="00301021" w:rsidRPr="00306115" w:rsidRDefault="00520554">
      <w:pPr>
        <w:pStyle w:val="HeadingAwalDaftarIsiLampiran"/>
        <w:numPr>
          <w:ilvl w:val="0"/>
          <w:numId w:val="119"/>
        </w:numPr>
        <w:ind w:left="4536" w:hanging="567"/>
      </w:pPr>
      <w:r w:rsidRPr="00306115">
        <w:t>untuk memastikan bahwa setiap mekanisme dalam menjaga manajemen likuiditas dapat digunakan pada saat diperlukan</w:t>
      </w:r>
      <w:r w:rsidR="00AA7F8B" w:rsidRPr="00306115">
        <w:t>; dan</w:t>
      </w:r>
    </w:p>
    <w:p w14:paraId="43EEB94D" w14:textId="54680332" w:rsidR="00AA7F8B" w:rsidRPr="00306115" w:rsidRDefault="001B56D4">
      <w:pPr>
        <w:pStyle w:val="HeadingAwalDaftarIsiLampiran"/>
        <w:numPr>
          <w:ilvl w:val="0"/>
          <w:numId w:val="119"/>
        </w:numPr>
        <w:ind w:left="4536" w:hanging="567"/>
      </w:pPr>
      <w:r w:rsidRPr="00306115">
        <w:t>dapat dilaksanakan dengan cepat, teratur, dan sesuai dengan ketentuan peraturan perundang-undangan.</w:t>
      </w:r>
    </w:p>
    <w:p w14:paraId="327CC378" w14:textId="284F84E1" w:rsidR="00C945B0" w:rsidRPr="00306115" w:rsidRDefault="00AC4EC4">
      <w:pPr>
        <w:pStyle w:val="HeadingAwalDaftarIsiLampiran"/>
        <w:numPr>
          <w:ilvl w:val="0"/>
          <w:numId w:val="115"/>
        </w:numPr>
        <w:ind w:left="3969" w:hanging="567"/>
      </w:pPr>
      <w:r w:rsidRPr="00306115">
        <w:t>P</w:t>
      </w:r>
      <w:r w:rsidR="00C945B0" w:rsidRPr="00306115">
        <w:t xml:space="preserve">enerapan rencana kontijensi </w:t>
      </w:r>
      <w:r w:rsidR="00C945B0" w:rsidRPr="00306115">
        <w:rPr>
          <w:i/>
          <w:iCs/>
        </w:rPr>
        <w:t xml:space="preserve">(contigency plan) </w:t>
      </w:r>
      <w:r w:rsidR="00C945B0" w:rsidRPr="00306115">
        <w:t>harus memperhatikan:</w:t>
      </w:r>
    </w:p>
    <w:p w14:paraId="42DE10FC" w14:textId="12648B40" w:rsidR="001B56D4" w:rsidRPr="00306115" w:rsidRDefault="00AF70DE">
      <w:pPr>
        <w:pStyle w:val="HeadingAwalDaftarIsiLampiran"/>
        <w:numPr>
          <w:ilvl w:val="0"/>
          <w:numId w:val="120"/>
        </w:numPr>
        <w:ind w:left="4536" w:hanging="567"/>
      </w:pPr>
      <w:r w:rsidRPr="00306115">
        <w:t>kapasitas operasional untuk menerapkan dan mengaktifkan mekanisme Manajemen Risiko Likuiditas Produk Investasi tersebut secara transparan, adil, dan teratur demi kepentingan terbaik investor;</w:t>
      </w:r>
    </w:p>
    <w:p w14:paraId="219CD871" w14:textId="7B983212" w:rsidR="00AF70DE" w:rsidRPr="00306115" w:rsidRDefault="00EF7442">
      <w:pPr>
        <w:pStyle w:val="HeadingAwalDaftarIsiLampiran"/>
        <w:numPr>
          <w:ilvl w:val="0"/>
          <w:numId w:val="120"/>
        </w:numPr>
        <w:ind w:left="4536" w:hanging="567"/>
      </w:pPr>
      <w:r w:rsidRPr="00306115">
        <w:t>kapasitas operasional untuk menerapkan dan mengaktifkan mekanisme Manajemen Risiko Likuiditas Produk Investasi dalam waktu singkat untuk sementara waktu berdasarkan perintah Otoritas Jasa Keuangan;</w:t>
      </w:r>
    </w:p>
    <w:p w14:paraId="76429E57" w14:textId="0489BD1C" w:rsidR="00EF7442" w:rsidRPr="00306115" w:rsidRDefault="00B731FF">
      <w:pPr>
        <w:pStyle w:val="HeadingAwalDaftarIsiLampiran"/>
        <w:numPr>
          <w:ilvl w:val="0"/>
          <w:numId w:val="120"/>
        </w:numPr>
        <w:ind w:left="4536" w:hanging="567"/>
      </w:pPr>
      <w:r w:rsidRPr="00306115">
        <w:t>dasar hukum dan pelaksanaan setiap mekanisme Manajemen Risiko Likuiditas Produk Investasi telah diungkapkan dalam dokumen keterbukaan informasi Produk Investasi;</w:t>
      </w:r>
    </w:p>
    <w:p w14:paraId="382B8E80" w14:textId="4F96706C" w:rsidR="00B731FF" w:rsidRPr="00306115" w:rsidRDefault="003E47CF">
      <w:pPr>
        <w:pStyle w:val="HeadingAwalDaftarIsiLampiran"/>
        <w:numPr>
          <w:ilvl w:val="0"/>
          <w:numId w:val="120"/>
        </w:numPr>
        <w:ind w:left="4536" w:hanging="567"/>
      </w:pPr>
      <w:r w:rsidRPr="00306115">
        <w:t xml:space="preserve">terdapat prosedur internal berkaitan dengan kapan kebijakan akan diambil, eskalasi kondisi, mekanisme pengambilan keputusan, tanggung jawab serta eksekusi mengenai penerapan dan pengaktifan </w:t>
      </w:r>
      <w:r w:rsidRPr="00306115">
        <w:lastRenderedPageBreak/>
        <w:t>mekanisme Manajemen Risiko Likuiditas Produk Investasi, yang disertai dengan kondisi dan pertimbangan sebelum dilakukan pengambilan keputusan;</w:t>
      </w:r>
    </w:p>
    <w:p w14:paraId="61B46017" w14:textId="0BE708D7" w:rsidR="003E47CF" w:rsidRPr="00306115" w:rsidRDefault="002F1E63">
      <w:pPr>
        <w:pStyle w:val="HeadingAwalDaftarIsiLampiran"/>
        <w:numPr>
          <w:ilvl w:val="0"/>
          <w:numId w:val="120"/>
        </w:numPr>
        <w:ind w:left="4536" w:hanging="567"/>
      </w:pPr>
      <w:r w:rsidRPr="00306115">
        <w:t>adanya kertas kerja dan dokumentasi atas setiap keputusan yang dilakukan dalam penerapan dan pengaktifan mekanisme Manajemen Risiko Likuiditas Produk Investasi;</w:t>
      </w:r>
    </w:p>
    <w:p w14:paraId="06648FA6" w14:textId="35CDA625" w:rsidR="002F1E63" w:rsidRPr="00306115" w:rsidRDefault="00B9578D">
      <w:pPr>
        <w:pStyle w:val="HeadingAwalDaftarIsiLampiran"/>
        <w:numPr>
          <w:ilvl w:val="0"/>
          <w:numId w:val="120"/>
        </w:numPr>
        <w:ind w:left="4536" w:hanging="567"/>
      </w:pPr>
      <w:r w:rsidRPr="00306115">
        <w:t>adanya pengkinian secara berkala atas mekanisme Manajemen Risiko Likuiditas Produk Investasi dengan memperhatikan karakteristik Produk Investasi; dan</w:t>
      </w:r>
    </w:p>
    <w:p w14:paraId="173FA90A" w14:textId="7EFF6142" w:rsidR="00B9578D" w:rsidRPr="00306115" w:rsidRDefault="007B1865">
      <w:pPr>
        <w:pStyle w:val="HeadingAwalDaftarIsiLampiran"/>
        <w:numPr>
          <w:ilvl w:val="0"/>
          <w:numId w:val="120"/>
        </w:numPr>
        <w:ind w:left="4536" w:hanging="567"/>
      </w:pPr>
      <w:r w:rsidRPr="00306115">
        <w:t>mekanisme penyampaian informasi kepada investor Produk Investasi dan/atau Otoritas Jasa Keuangan dalam jangka waktu singkat terkait penerapan dan pengaktifan mekanisme Manajemen Risiko Likuiditas Produk Investasi yang disertai dengan kondisi dan pertimbangan sebelum dilakukan pengambilan keputusan.</w:t>
      </w:r>
    </w:p>
    <w:p w14:paraId="5AD5002B" w14:textId="37575FE7" w:rsidR="00C945B0" w:rsidRPr="00306115" w:rsidRDefault="00AC4EC4">
      <w:pPr>
        <w:pStyle w:val="HeadingAwalDaftarIsiLampiran"/>
        <w:numPr>
          <w:ilvl w:val="0"/>
          <w:numId w:val="115"/>
        </w:numPr>
        <w:ind w:left="3969" w:hanging="567"/>
      </w:pPr>
      <w:r w:rsidRPr="00306115">
        <w:t>P</w:t>
      </w:r>
      <w:r w:rsidR="005318A8" w:rsidRPr="00306115">
        <w:t>engujian rencana kontijensi meliputi pengujian atas kapasitas operasional dengan dasar yang wajar untuk memastikan bahwa mekanisme manajemen likuiditas yang tersedia dapat dipergunakan, termasuk dalam kondisi pasar yang tertekan, sehingga dapat memungkinkan pengelolaan Produk Investasi yang teratur secara berkelanjutan dan menjaga kepercayaan investor.</w:t>
      </w:r>
    </w:p>
    <w:p w14:paraId="025C04DD" w14:textId="6998ACB2" w:rsidR="00E00A60" w:rsidRPr="00306115" w:rsidRDefault="005318A8">
      <w:pPr>
        <w:pStyle w:val="HeadingAwalDaftarIsiLampiran"/>
        <w:numPr>
          <w:ilvl w:val="0"/>
          <w:numId w:val="114"/>
        </w:numPr>
        <w:ind w:left="3402" w:hanging="567"/>
      </w:pPr>
      <w:r w:rsidRPr="00306115">
        <w:t>Strategi Manajemen Risiko</w:t>
      </w:r>
    </w:p>
    <w:p w14:paraId="59502883" w14:textId="236D74D7" w:rsidR="00B747DF" w:rsidRPr="00306115" w:rsidRDefault="00F26CEA" w:rsidP="00B747DF">
      <w:pPr>
        <w:pStyle w:val="HeadingAwalDaftarIsiLampiran"/>
        <w:numPr>
          <w:ilvl w:val="0"/>
          <w:numId w:val="0"/>
        </w:numPr>
        <w:ind w:left="3447"/>
      </w:pPr>
      <w:r w:rsidRPr="00306115">
        <w:t xml:space="preserve">Penyusunan strategi untuk Risiko Likuiditas Produk Investasi mengacu pada cakupan sebagaimana dimaksud pada </w:t>
      </w:r>
      <w:r w:rsidR="00A074F4" w:rsidRPr="00306115">
        <w:t xml:space="preserve">Romawi </w:t>
      </w:r>
      <w:r w:rsidRPr="00306115">
        <w:t>I</w:t>
      </w:r>
      <w:r w:rsidR="00A074F4" w:rsidRPr="00306115">
        <w:t xml:space="preserve"> huruf </w:t>
      </w:r>
      <w:r w:rsidRPr="00306115">
        <w:t>B</w:t>
      </w:r>
      <w:r w:rsidR="00A074F4" w:rsidRPr="00306115">
        <w:t xml:space="preserve"> angka </w:t>
      </w:r>
      <w:r w:rsidRPr="00306115">
        <w:t>2</w:t>
      </w:r>
      <w:r w:rsidR="0019164A" w:rsidRPr="00306115">
        <w:t>.</w:t>
      </w:r>
    </w:p>
    <w:p w14:paraId="4C826648" w14:textId="7011241D" w:rsidR="005318A8" w:rsidRPr="00306115" w:rsidRDefault="00B747DF">
      <w:pPr>
        <w:pStyle w:val="HeadingAwalDaftarIsiLampiran"/>
        <w:numPr>
          <w:ilvl w:val="0"/>
          <w:numId w:val="114"/>
        </w:numPr>
        <w:ind w:left="3402" w:hanging="567"/>
      </w:pPr>
      <w:r w:rsidRPr="00306115">
        <w:t>Tingkat Risiko yang akan Diambil (</w:t>
      </w:r>
      <w:r w:rsidRPr="00306115">
        <w:rPr>
          <w:i/>
          <w:iCs/>
        </w:rPr>
        <w:t>Risk Appetite</w:t>
      </w:r>
      <w:r w:rsidRPr="00306115">
        <w:t>) dan Toleransi Risiko (</w:t>
      </w:r>
      <w:r w:rsidRPr="00306115">
        <w:rPr>
          <w:i/>
          <w:iCs/>
        </w:rPr>
        <w:t>Risk Tolerance</w:t>
      </w:r>
      <w:r w:rsidRPr="00306115">
        <w:t>)</w:t>
      </w:r>
    </w:p>
    <w:p w14:paraId="4C5EE8AD" w14:textId="596D7D13" w:rsidR="007118B8" w:rsidRPr="00306115" w:rsidRDefault="00AC4EC4">
      <w:pPr>
        <w:pStyle w:val="HeadingAwalDaftarIsiLampiran"/>
        <w:numPr>
          <w:ilvl w:val="0"/>
          <w:numId w:val="121"/>
        </w:numPr>
        <w:ind w:left="3969" w:hanging="567"/>
      </w:pPr>
      <w:r w:rsidRPr="00306115">
        <w:t>T</w:t>
      </w:r>
      <w:r w:rsidR="000E37C4" w:rsidRPr="00306115">
        <w:t>ingkat risiko untuk Risiko Likuiditas Produk Investasi paling sedikit harus menggambarkan sejauh mana Manajer Investasi bersedia menerima potensi ketidakmampuan Produk Investasi dalam memenuhi kewajiban jangka pendeknya, dengan tetap mengoptimalkan kinerja dari Produk Investasi yang dikelola</w:t>
      </w:r>
      <w:r w:rsidR="00272F45" w:rsidRPr="00306115">
        <w:t>.</w:t>
      </w:r>
    </w:p>
    <w:p w14:paraId="5EEA8A60" w14:textId="286C4FB2" w:rsidR="00272F45" w:rsidRPr="00306115" w:rsidRDefault="00AC4EC4">
      <w:pPr>
        <w:pStyle w:val="HeadingAwalDaftarIsiLampiran"/>
        <w:numPr>
          <w:ilvl w:val="0"/>
          <w:numId w:val="121"/>
        </w:numPr>
        <w:ind w:left="3969" w:hanging="567"/>
      </w:pPr>
      <w:r w:rsidRPr="00306115">
        <w:t>T</w:t>
      </w:r>
      <w:r w:rsidR="0027740D" w:rsidRPr="00306115">
        <w:t xml:space="preserve">oleransi risiko untuk Risiko Likuiditas Produk Investasi dituangkan dalam parameter yang terukur, antara lain dapat berupa limit Risiko Likuiditas Produk Investasi, seperti persentase aset likuid minimum, batas maksimum </w:t>
      </w:r>
      <w:r w:rsidR="0027740D" w:rsidRPr="00306115">
        <w:rPr>
          <w:i/>
          <w:iCs/>
        </w:rPr>
        <w:t xml:space="preserve">net </w:t>
      </w:r>
      <w:r w:rsidR="00A33C3B" w:rsidRPr="00306115">
        <w:rPr>
          <w:i/>
          <w:iCs/>
        </w:rPr>
        <w:t>redemption</w:t>
      </w:r>
      <w:r w:rsidR="0027740D" w:rsidRPr="00306115">
        <w:t xml:space="preserve"> </w:t>
      </w:r>
      <w:r w:rsidR="0027740D" w:rsidRPr="00306115">
        <w:lastRenderedPageBreak/>
        <w:t>yang dapat ditanggung tanpa mengganggu pengelolaan portofolio, dan indikator lainnya.</w:t>
      </w:r>
    </w:p>
    <w:p w14:paraId="2F881884" w14:textId="7CD82197" w:rsidR="0027740D" w:rsidRPr="00306115" w:rsidRDefault="0027740D">
      <w:pPr>
        <w:pStyle w:val="HeadingAwalDaftarIsiLampiran"/>
        <w:numPr>
          <w:ilvl w:val="0"/>
          <w:numId w:val="114"/>
        </w:numPr>
        <w:ind w:left="3402" w:hanging="567"/>
      </w:pPr>
      <w:r w:rsidRPr="00306115">
        <w:t>Limit</w:t>
      </w:r>
    </w:p>
    <w:p w14:paraId="7726297C" w14:textId="564482E5" w:rsidR="0027740D" w:rsidRPr="00306115" w:rsidRDefault="00CD083C">
      <w:pPr>
        <w:pStyle w:val="HeadingAwalDaftarIsiLampiran"/>
        <w:numPr>
          <w:ilvl w:val="0"/>
          <w:numId w:val="122"/>
        </w:numPr>
        <w:ind w:left="3969" w:hanging="567"/>
      </w:pPr>
      <w:r w:rsidRPr="00306115">
        <w:t>Manajer Investasi harus menetapkan limit Risiko Likuiditas Produk Investasi secara tertulis, baik pada tingkat masing-masing Produk Investasi maupun, apabila relevan, secara agregat untuk seluruh Produk Investasi yang dikelola.</w:t>
      </w:r>
    </w:p>
    <w:p w14:paraId="49A17237" w14:textId="79764B76" w:rsidR="00CD083C" w:rsidRPr="00306115" w:rsidRDefault="00AC4EC4">
      <w:pPr>
        <w:pStyle w:val="HeadingAwalDaftarIsiLampiran"/>
        <w:numPr>
          <w:ilvl w:val="0"/>
          <w:numId w:val="122"/>
        </w:numPr>
        <w:ind w:left="3969" w:hanging="567"/>
      </w:pPr>
      <w:r w:rsidRPr="00306115">
        <w:t>L</w:t>
      </w:r>
      <w:r w:rsidR="002B3D0D" w:rsidRPr="00306115">
        <w:t>imit Risiko Likuiditas Produk Investasi harus konsisten dan relevan dengan tujuan dan kebijakan investasi, karakteristik Produk Investasi, profil likuiditas nasabah, kondisi pasar, data historis, tingkat profitabilitas, dan modal yang tersedia.</w:t>
      </w:r>
    </w:p>
    <w:p w14:paraId="679A8759" w14:textId="02513231" w:rsidR="00AB5918" w:rsidRPr="00306115" w:rsidRDefault="00AB5918">
      <w:pPr>
        <w:pStyle w:val="HeadingAwalDaftarIsiLampiran"/>
        <w:numPr>
          <w:ilvl w:val="0"/>
          <w:numId w:val="94"/>
        </w:numPr>
        <w:ind w:left="2835" w:hanging="567"/>
      </w:pPr>
      <w:r w:rsidRPr="00306115">
        <w:t>Kecukupan Proses Identifikasi, Pengukuran, Pemantauan, dan Pengendalian Risiko</w:t>
      </w:r>
    </w:p>
    <w:p w14:paraId="51131896" w14:textId="7FFF44EF" w:rsidR="002E229D" w:rsidRPr="00306115" w:rsidRDefault="002E229D" w:rsidP="002E229D">
      <w:pPr>
        <w:pStyle w:val="HeadingAwalDaftarIsiLampiran"/>
        <w:numPr>
          <w:ilvl w:val="0"/>
          <w:numId w:val="0"/>
        </w:numPr>
        <w:ind w:left="2835"/>
      </w:pPr>
      <w:r w:rsidRPr="00306115">
        <w:t xml:space="preserve">Dalam melakukan penerapan Manajemen Risiko melalui proses identifikasi, pengukuran, pemantauan, dan pengendalian risiko, serta sistem informasi Manajemen Risiko untuk Risiko Likuiditas Produk Investasi, selain melaksanakan proses sebagaimana </w:t>
      </w:r>
      <w:r w:rsidR="00B71B80" w:rsidRPr="00306115">
        <w:t>dimaksud Romawi I huruf C</w:t>
      </w:r>
      <w:r w:rsidRPr="00306115">
        <w:t>, pada setiap proses Manajer Investasi harus menambahkan penerapan</w:t>
      </w:r>
      <w:r w:rsidR="00B71B80" w:rsidRPr="00306115">
        <w:t>:</w:t>
      </w:r>
    </w:p>
    <w:p w14:paraId="3726C855" w14:textId="6A0056C5" w:rsidR="00B71B80" w:rsidRPr="00306115" w:rsidRDefault="00B71B80">
      <w:pPr>
        <w:pStyle w:val="HeadingAwalDaftarIsiLampiran"/>
        <w:numPr>
          <w:ilvl w:val="0"/>
          <w:numId w:val="123"/>
        </w:numPr>
        <w:ind w:left="3402" w:hanging="567"/>
      </w:pPr>
      <w:r w:rsidRPr="00306115">
        <w:t>Identifikasi Risiko</w:t>
      </w:r>
    </w:p>
    <w:p w14:paraId="626DF5B3" w14:textId="295ABC68" w:rsidR="00F7145A" w:rsidRPr="00306115" w:rsidRDefault="00D53F2C">
      <w:pPr>
        <w:pStyle w:val="HeadingAwalDaftarIsiLampiran"/>
        <w:numPr>
          <w:ilvl w:val="0"/>
          <w:numId w:val="124"/>
        </w:numPr>
        <w:ind w:left="3969" w:hanging="567"/>
      </w:pPr>
      <w:r w:rsidRPr="00306115">
        <w:t>D</w:t>
      </w:r>
      <w:r w:rsidR="00792699" w:rsidRPr="00306115">
        <w:t>alam rangka melakukan identifikasi Risiko Likuiditas Produk Investasi, Manajer Investasi harus melakukan analisis terhadap seluruh sumber Risiko Likuiditas Produk Investasi</w:t>
      </w:r>
      <w:r w:rsidR="00F7145A" w:rsidRPr="00306115">
        <w:t>. Sumber Risiko Likuiditas Produk Investasi antara lain meliputi:</w:t>
      </w:r>
    </w:p>
    <w:p w14:paraId="762CEE71" w14:textId="1D22AAE1" w:rsidR="00792699" w:rsidRPr="00306115" w:rsidRDefault="00862322">
      <w:pPr>
        <w:pStyle w:val="HeadingAwalDaftarIsiLampiran"/>
        <w:numPr>
          <w:ilvl w:val="0"/>
          <w:numId w:val="125"/>
        </w:numPr>
        <w:ind w:left="4536" w:hanging="567"/>
      </w:pPr>
      <w:r w:rsidRPr="00306115">
        <w:t xml:space="preserve">komposisi aset dalam portofolio yang tidak likuid, antara lain seperti terdapat aset dengan volume perdagangan kecil atau memiliki </w:t>
      </w:r>
      <w:r w:rsidRPr="00306115">
        <w:rPr>
          <w:i/>
          <w:iCs/>
        </w:rPr>
        <w:t>bid-ask spread</w:t>
      </w:r>
      <w:r w:rsidRPr="00306115">
        <w:t xml:space="preserve"> yang lebar, surat utang jangka panjang dari emiten dengan </w:t>
      </w:r>
      <w:r w:rsidRPr="00306115">
        <w:rPr>
          <w:i/>
          <w:iCs/>
        </w:rPr>
        <w:t>rating</w:t>
      </w:r>
      <w:r w:rsidRPr="00306115">
        <w:t xml:space="preserve"> rendah, dan lain sebagainya;</w:t>
      </w:r>
    </w:p>
    <w:p w14:paraId="2EA9D057" w14:textId="748A97B4" w:rsidR="00862322" w:rsidRPr="00306115" w:rsidRDefault="0099514E">
      <w:pPr>
        <w:pStyle w:val="HeadingAwalDaftarIsiLampiran"/>
        <w:numPr>
          <w:ilvl w:val="0"/>
          <w:numId w:val="125"/>
        </w:numPr>
        <w:ind w:left="4536" w:hanging="567"/>
      </w:pPr>
      <w:r w:rsidRPr="00306115">
        <w:t>ketidaksesuaian jatuh tempo dan arus kas (</w:t>
      </w:r>
      <w:r w:rsidRPr="00306115">
        <w:rPr>
          <w:i/>
          <w:iCs/>
        </w:rPr>
        <w:t>maturity dan cash flow mismatch</w:t>
      </w:r>
      <w:r w:rsidRPr="00306115">
        <w:t>) antara jatuh tempo aset dalam portofolio dengan kewajiban jangka pendek Produk Investasi;</w:t>
      </w:r>
    </w:p>
    <w:p w14:paraId="5EE2AB51" w14:textId="1C45F5ED" w:rsidR="0099514E" w:rsidRPr="00306115" w:rsidRDefault="00B9551C">
      <w:pPr>
        <w:pStyle w:val="HeadingAwalDaftarIsiLampiran"/>
        <w:numPr>
          <w:ilvl w:val="0"/>
          <w:numId w:val="125"/>
        </w:numPr>
        <w:ind w:left="4536" w:hanging="567"/>
      </w:pPr>
      <w:r w:rsidRPr="00306115">
        <w:t>konsentrasi pada satu jenis aset yang diterbikan entitas tertentu yang relatif kurang likuid, sehingga penjualan sebagian besar portofolio dalam waktu singkat berpotensi menimbulkan koreksi harga yang signifikan; dan</w:t>
      </w:r>
    </w:p>
    <w:p w14:paraId="4B53C665" w14:textId="3AE86031" w:rsidR="00B9551C" w:rsidRPr="00306115" w:rsidRDefault="00D51120">
      <w:pPr>
        <w:pStyle w:val="HeadingAwalDaftarIsiLampiran"/>
        <w:numPr>
          <w:ilvl w:val="0"/>
          <w:numId w:val="125"/>
        </w:numPr>
        <w:ind w:left="4536" w:hanging="567"/>
      </w:pPr>
      <w:r w:rsidRPr="00306115">
        <w:t xml:space="preserve">kondisi eksternal, antara lain penurunan likuiditas pasar untuk jenis aset tertentu, gangguan pada infrastruktur pasar, serta perubahan regulasi atau kondisi makroekonomi </w:t>
      </w:r>
      <w:r w:rsidRPr="00306115">
        <w:lastRenderedPageBreak/>
        <w:t>yang berdampak pada kemampuan melikuidasi aset.</w:t>
      </w:r>
    </w:p>
    <w:p w14:paraId="51E9A7B5" w14:textId="79164E8B" w:rsidR="00F7145A" w:rsidRPr="00306115" w:rsidRDefault="00D53F2C">
      <w:pPr>
        <w:pStyle w:val="HeadingAwalDaftarIsiLampiran"/>
        <w:numPr>
          <w:ilvl w:val="0"/>
          <w:numId w:val="124"/>
        </w:numPr>
        <w:ind w:left="3969" w:hanging="567"/>
      </w:pPr>
      <w:r w:rsidRPr="00306115">
        <w:t>A</w:t>
      </w:r>
      <w:r w:rsidR="0074280E" w:rsidRPr="00306115">
        <w:t xml:space="preserve">nalisis dilakukan untuk mengetahui besaran dan tren kebutuhan likuiditas Produk Investasi, antara lain kebutuhan pemenuhan </w:t>
      </w:r>
      <w:r w:rsidR="00A33C3B" w:rsidRPr="00306115">
        <w:rPr>
          <w:i/>
          <w:iCs/>
        </w:rPr>
        <w:t>redemption</w:t>
      </w:r>
      <w:r w:rsidR="0074280E" w:rsidRPr="00306115">
        <w:t xml:space="preserve"> dan kewajiban jangka pendek lainnya, serta sumber likuiditas yang tersedia untuk memenuhi kebutuhan tersebut.</w:t>
      </w:r>
    </w:p>
    <w:p w14:paraId="52AE8862" w14:textId="6A420F16" w:rsidR="00895B6B" w:rsidRPr="00306115" w:rsidRDefault="00895B6B">
      <w:pPr>
        <w:pStyle w:val="HeadingAwalDaftarIsiLampiran"/>
        <w:numPr>
          <w:ilvl w:val="0"/>
          <w:numId w:val="123"/>
        </w:numPr>
        <w:ind w:left="3402" w:hanging="567"/>
      </w:pPr>
      <w:r w:rsidRPr="00306115">
        <w:t>Pengukuran Risiko</w:t>
      </w:r>
    </w:p>
    <w:p w14:paraId="29549AA2" w14:textId="5EABB8AD" w:rsidR="0074280E" w:rsidRPr="00306115" w:rsidRDefault="00B26715">
      <w:pPr>
        <w:pStyle w:val="HeadingAwalDaftarIsiLampiran"/>
        <w:numPr>
          <w:ilvl w:val="0"/>
          <w:numId w:val="126"/>
        </w:numPr>
        <w:ind w:left="3969" w:hanging="567"/>
      </w:pPr>
      <w:r w:rsidRPr="00306115">
        <w:t>Manajer Investasi harus memiliki alat pengukuran yang dapat mengkuantifikasi Risiko Likuiditas Produk Investasi secara tepat waktu dan komprehensif terutama untuk setiap Produk Investasi yang bersifat terbuka.</w:t>
      </w:r>
    </w:p>
    <w:p w14:paraId="1DAE5337" w14:textId="3F6DA5BE" w:rsidR="00331453" w:rsidRPr="00306115" w:rsidRDefault="00D53F2C" w:rsidP="00331453">
      <w:pPr>
        <w:pStyle w:val="HeadingAwalDaftarIsiLampiran"/>
        <w:numPr>
          <w:ilvl w:val="0"/>
          <w:numId w:val="126"/>
        </w:numPr>
        <w:ind w:left="3969" w:hanging="567"/>
      </w:pPr>
      <w:r w:rsidRPr="00306115">
        <w:t>M</w:t>
      </w:r>
      <w:r w:rsidR="00C05EB5" w:rsidRPr="00306115">
        <w:t xml:space="preserve">etode dan/atau alat pengukuran sebagaimana dimaksud pada angka (1) harus dapat digunakan untuk mengukur dan menilai profil likuiditas aset dan kewajiban Produk Investasi, dalam merespons berbagai skenario kondisi pasar, termasuk melalui pelaksanaan </w:t>
      </w:r>
      <w:r w:rsidR="00C05EB5" w:rsidRPr="00306115">
        <w:rPr>
          <w:i/>
          <w:iCs/>
        </w:rPr>
        <w:t>stress testing</w:t>
      </w:r>
      <w:r w:rsidR="00C05EB5" w:rsidRPr="00306115">
        <w:t xml:space="preserve"> Risiko Likuiditas Produk Investasi</w:t>
      </w:r>
      <w:r w:rsidR="00331453" w:rsidRPr="00306115">
        <w:t>.</w:t>
      </w:r>
    </w:p>
    <w:p w14:paraId="5A2F0136" w14:textId="171FFC59" w:rsidR="00D7731A" w:rsidRPr="00306115" w:rsidRDefault="00D53F2C">
      <w:pPr>
        <w:pStyle w:val="HeadingAwalDaftarIsiLampiran"/>
        <w:numPr>
          <w:ilvl w:val="0"/>
          <w:numId w:val="126"/>
        </w:numPr>
        <w:ind w:left="3969" w:hanging="567"/>
      </w:pPr>
      <w:r w:rsidRPr="00306115">
        <w:t>M</w:t>
      </w:r>
      <w:r w:rsidR="00D7731A" w:rsidRPr="00306115">
        <w:t>etode dan/atau alat pengukuran Risiko Likuiditas Produk Investasi paling sedikit meliputi:</w:t>
      </w:r>
    </w:p>
    <w:p w14:paraId="4A0EAF93" w14:textId="7C0055F6" w:rsidR="00D7731A" w:rsidRPr="00306115" w:rsidRDefault="000909C3">
      <w:pPr>
        <w:pStyle w:val="HeadingAwalDaftarIsiLampiran"/>
        <w:numPr>
          <w:ilvl w:val="0"/>
          <w:numId w:val="127"/>
        </w:numPr>
        <w:ind w:left="4536" w:hanging="567"/>
      </w:pPr>
      <w:r w:rsidRPr="00306115">
        <w:t xml:space="preserve">rasio likuiditas Produk Investasi, termasuk rasio yang menggambarkan kemampuan aset likuid untuk menutup kebutuhan </w:t>
      </w:r>
      <w:r w:rsidR="00A33C3B" w:rsidRPr="00306115">
        <w:rPr>
          <w:i/>
          <w:iCs/>
        </w:rPr>
        <w:t>redemption</w:t>
      </w:r>
      <w:r w:rsidRPr="00306115">
        <w:t xml:space="preserve"> (</w:t>
      </w:r>
      <w:r w:rsidR="00A33C3B" w:rsidRPr="00306115">
        <w:rPr>
          <w:i/>
          <w:iCs/>
        </w:rPr>
        <w:t>redemption</w:t>
      </w:r>
      <w:r w:rsidRPr="00306115">
        <w:rPr>
          <w:i/>
          <w:iCs/>
        </w:rPr>
        <w:t xml:space="preserve"> coverage ratio</w:t>
      </w:r>
      <w:r w:rsidRPr="00306115">
        <w:t>);</w:t>
      </w:r>
    </w:p>
    <w:p w14:paraId="09441C9A" w14:textId="62AF2003" w:rsidR="000909C3" w:rsidRPr="00306115" w:rsidRDefault="006250FE">
      <w:pPr>
        <w:pStyle w:val="HeadingAwalDaftarIsiLampiran"/>
        <w:numPr>
          <w:ilvl w:val="0"/>
          <w:numId w:val="127"/>
        </w:numPr>
        <w:ind w:left="4536" w:hanging="567"/>
      </w:pPr>
      <w:r w:rsidRPr="00306115">
        <w:t xml:space="preserve">profil maturitas, yaitu pemetaan posisi aset dan kewajiban Produk Investasi, dalam skala waktu tertentu untuk mengidentifikasi </w:t>
      </w:r>
      <w:r w:rsidRPr="00306115">
        <w:rPr>
          <w:i/>
          <w:iCs/>
        </w:rPr>
        <w:t>liquidity gap</w:t>
      </w:r>
      <w:r w:rsidR="002A39B4" w:rsidRPr="00306115">
        <w:t>;</w:t>
      </w:r>
    </w:p>
    <w:p w14:paraId="11DFB06F" w14:textId="05CFB096" w:rsidR="002A39B4" w:rsidRPr="00306115" w:rsidRDefault="006815D8">
      <w:pPr>
        <w:pStyle w:val="HeadingAwalDaftarIsiLampiran"/>
        <w:numPr>
          <w:ilvl w:val="0"/>
          <w:numId w:val="127"/>
        </w:numPr>
        <w:ind w:left="4536" w:hanging="567"/>
      </w:pPr>
      <w:r w:rsidRPr="00306115">
        <w:t>proyeksi arus kas, yaitu proyeksi arus kas masuk dan arus kas keluar Produk Investasi;</w:t>
      </w:r>
    </w:p>
    <w:p w14:paraId="6657B15D" w14:textId="0FCB056A" w:rsidR="006815D8" w:rsidRPr="00306115" w:rsidRDefault="00717A87">
      <w:pPr>
        <w:pStyle w:val="HeadingAwalDaftarIsiLampiran"/>
        <w:numPr>
          <w:ilvl w:val="0"/>
          <w:numId w:val="127"/>
        </w:numPr>
        <w:ind w:left="4536" w:hanging="567"/>
      </w:pPr>
      <w:r w:rsidRPr="00306115">
        <w:rPr>
          <w:i/>
          <w:iCs/>
        </w:rPr>
        <w:t>stress testing</w:t>
      </w:r>
      <w:r w:rsidRPr="00306115">
        <w:t xml:space="preserve">, yaitu pengujian terhadap kemampuan Produk Investasi untuk memenuhi kebutuhan likuiditas Produk Investasi pada kondisi krisis dengan menggunakan skenario </w:t>
      </w:r>
      <w:r w:rsidRPr="00306115">
        <w:rPr>
          <w:i/>
          <w:iCs/>
        </w:rPr>
        <w:t>stress</w:t>
      </w:r>
      <w:r w:rsidRPr="00306115">
        <w:t xml:space="preserve"> secara spesifik pada Produk Investasi maupun </w:t>
      </w:r>
      <w:r w:rsidRPr="00306115">
        <w:rPr>
          <w:i/>
          <w:iCs/>
        </w:rPr>
        <w:t>stress</w:t>
      </w:r>
      <w:r w:rsidRPr="00306115">
        <w:t xml:space="preserve"> pada pasar; dan</w:t>
      </w:r>
    </w:p>
    <w:p w14:paraId="3A4B7ADF" w14:textId="3C7259DD" w:rsidR="00717A87" w:rsidRPr="00306115" w:rsidRDefault="00905DD0">
      <w:pPr>
        <w:pStyle w:val="HeadingAwalDaftarIsiLampiran"/>
        <w:numPr>
          <w:ilvl w:val="0"/>
          <w:numId w:val="127"/>
        </w:numPr>
        <w:ind w:left="4536" w:hanging="567"/>
      </w:pPr>
      <w:r w:rsidRPr="00306115">
        <w:t xml:space="preserve">asumsi dan parameter yang digunakan dalam pengukuran dan </w:t>
      </w:r>
      <w:r w:rsidRPr="00306115">
        <w:rPr>
          <w:i/>
          <w:iCs/>
        </w:rPr>
        <w:t>stress testing</w:t>
      </w:r>
      <w:r w:rsidRPr="00306115">
        <w:t xml:space="preserve"> Risiko Likuiditas Produk Investasi harus wajar, konsisten, didokumentasikan dengan baik, dan dikaji ulang secara berkala.</w:t>
      </w:r>
    </w:p>
    <w:p w14:paraId="2ED49567" w14:textId="2AD8CCD9" w:rsidR="00155579" w:rsidRPr="00306115" w:rsidRDefault="00D53F2C" w:rsidP="00155579">
      <w:pPr>
        <w:pStyle w:val="HeadingAwalDaftarIsiLampiran"/>
        <w:numPr>
          <w:ilvl w:val="0"/>
          <w:numId w:val="126"/>
        </w:numPr>
        <w:ind w:left="3969" w:hanging="567"/>
      </w:pPr>
      <w:r w:rsidRPr="00306115">
        <w:t>P</w:t>
      </w:r>
      <w:r w:rsidR="003065A2" w:rsidRPr="00306115">
        <w:t xml:space="preserve">enilaian atas profil likuiditas aset dalam portofolio Produk Investasi yang dikelola </w:t>
      </w:r>
      <w:r w:rsidR="003065A2" w:rsidRPr="00306115">
        <w:lastRenderedPageBreak/>
        <w:t>untuk kepentingan likuiditas Produk Investasi, profil likuiditas dari kewajiban Produk Investasi, dan profil likuiditas aset atau tingkat kewajiban Produk Investasi dalam merespon</w:t>
      </w:r>
      <w:r w:rsidR="00AD1C04" w:rsidRPr="00306115">
        <w:t>s</w:t>
      </w:r>
      <w:r w:rsidR="003065A2" w:rsidRPr="00306115">
        <w:t xml:space="preserve"> berbagai skenario situasi pasar termasuk </w:t>
      </w:r>
      <w:r w:rsidR="003065A2" w:rsidRPr="00306115">
        <w:rPr>
          <w:i/>
          <w:iCs/>
        </w:rPr>
        <w:t>stress testing</w:t>
      </w:r>
      <w:r w:rsidR="003065A2" w:rsidRPr="00306115">
        <w:t xml:space="preserve"> dilakukan secara bulanan atas setiap Produk Investasi yang bersifat terbuka dan didasarkan pada informasi yang handal dan terkin</w:t>
      </w:r>
      <w:r w:rsidR="00155579" w:rsidRPr="00306115">
        <w:t xml:space="preserve">, yang mengacu pada pedoman pelaksanaan penilaian profil likuiditas aset dan </w:t>
      </w:r>
      <w:r w:rsidR="00155579" w:rsidRPr="00306115">
        <w:rPr>
          <w:i/>
          <w:iCs/>
        </w:rPr>
        <w:t xml:space="preserve">stress testing </w:t>
      </w:r>
      <w:r w:rsidR="00155579" w:rsidRPr="00306115">
        <w:t>Produk</w:t>
      </w:r>
      <w:r w:rsidR="00497F9A" w:rsidRPr="00306115">
        <w:t xml:space="preserve"> </w:t>
      </w:r>
      <w:r w:rsidR="00155579" w:rsidRPr="00306115">
        <w:t xml:space="preserve">Investasi sebagaimana dimaksud pada Lampiran III </w:t>
      </w:r>
      <w:r w:rsidR="003C3D4B" w:rsidRPr="00306115">
        <w:t>yang merupakan bagian</w:t>
      </w:r>
      <w:r w:rsidR="00497F9A" w:rsidRPr="00306115">
        <w:t xml:space="preserve"> tidak terpisahkan dari </w:t>
      </w:r>
      <w:r w:rsidR="00155579" w:rsidRPr="00306115">
        <w:t>Peraturan Anggota Dewan Komisioner Otoritas Jasa Keuangan ini.</w:t>
      </w:r>
    </w:p>
    <w:p w14:paraId="095689A9" w14:textId="02790517" w:rsidR="00AD1C04" w:rsidRPr="00306115" w:rsidRDefault="00D53F2C">
      <w:pPr>
        <w:pStyle w:val="HeadingAwalDaftarIsiLampiran"/>
        <w:numPr>
          <w:ilvl w:val="0"/>
          <w:numId w:val="126"/>
        </w:numPr>
        <w:ind w:left="3969" w:hanging="567"/>
      </w:pPr>
      <w:r w:rsidRPr="00306115">
        <w:t>K</w:t>
      </w:r>
      <w:r w:rsidR="0099384E" w:rsidRPr="00306115">
        <w:t>ompleksitas pendekatan pengukuran Risiko Likuiditas Produk Investasi yang digunakan Manajer Investasi harus disesuaikan dengan komposisi aset dan kewajiban, karakteristik, serta kompleksitas masing-masing Produk Investasi. Dalam hal Manajer Investasi mengelola Produk Investasi dengan karakteristik atau aktivitas yang lebih kompleks, Manajer Investasi harus menggunakan pendekatan pengukuran yang lebih rinci dan mendalam, antara lain pendekatan yang bersifat simulatif dan lebih dinamis serta didukung oleh asumsi-asumsi yang relevan</w:t>
      </w:r>
      <w:r w:rsidR="009E276C" w:rsidRPr="00306115">
        <w:t>.</w:t>
      </w:r>
    </w:p>
    <w:p w14:paraId="3D3B70AE" w14:textId="6AC14DB5" w:rsidR="009E276C" w:rsidRPr="00306115" w:rsidRDefault="00D53F2C">
      <w:pPr>
        <w:pStyle w:val="HeadingAwalDaftarIsiLampiran"/>
        <w:numPr>
          <w:ilvl w:val="0"/>
          <w:numId w:val="126"/>
        </w:numPr>
        <w:ind w:left="3969" w:hanging="567"/>
      </w:pPr>
      <w:r w:rsidRPr="00306115">
        <w:t>R</w:t>
      </w:r>
      <w:r w:rsidR="009E276C" w:rsidRPr="00306115">
        <w:t>asio likuiditas Produk Investasi yang digunakan dalam pengukuran Risiko Likuiditas Produk Investasi harus disesuaikan dengan strategi investasi, toleransi risiko, dan kinerja historis Produk Investasi. Hasil pengukuran juga perlu memperhatikan informasi kualitatif yang relevan</w:t>
      </w:r>
      <w:r w:rsidR="0010134C" w:rsidRPr="00306115">
        <w:t>.</w:t>
      </w:r>
    </w:p>
    <w:p w14:paraId="31C3CEA0" w14:textId="65C6FA27" w:rsidR="0010134C" w:rsidRPr="00306115" w:rsidRDefault="00D53F2C">
      <w:pPr>
        <w:pStyle w:val="HeadingAwalDaftarIsiLampiran"/>
        <w:numPr>
          <w:ilvl w:val="0"/>
          <w:numId w:val="126"/>
        </w:numPr>
        <w:ind w:left="3969" w:hanging="567"/>
      </w:pPr>
      <w:r w:rsidRPr="00306115">
        <w:t>P</w:t>
      </w:r>
      <w:r w:rsidR="00096208" w:rsidRPr="00306115">
        <w:t xml:space="preserve">rofil maturitas menyajikan aset dan kewajiban Produk Investasi yang dipetakan dalam skala waktu berdasarkan sisa waktu sampai dengan jatuh tempo sesuai kontrak dan/atau berdasarkan asumsi yang wajar, khususnya untuk posisi aset atau kewajiban yang tidak memiliki jatuh tempo kontraktual. Penyusunan profil maturitas bertujuan untuk mengidentifikasi terjadinya </w:t>
      </w:r>
      <w:r w:rsidR="00096208" w:rsidRPr="00306115">
        <w:rPr>
          <w:i/>
          <w:iCs/>
        </w:rPr>
        <w:t>gap</w:t>
      </w:r>
      <w:r w:rsidR="00096208" w:rsidRPr="00306115">
        <w:t xml:space="preserve"> likuiditas dalam skala waktu tertentu. Profil maturitas harus disusun paling sedikit setiap bulan. Dalam hal Produk Investasi memiliki eksposur dalam berbagai valuta dengan jumlah yang signifikan, Manajer Investasi dapat menyusun profil maturitas per valuta untuk keperluan internal.</w:t>
      </w:r>
    </w:p>
    <w:p w14:paraId="1F8436C7" w14:textId="0DED6872" w:rsidR="00C75A78" w:rsidRPr="00306115" w:rsidRDefault="00D53F2C">
      <w:pPr>
        <w:pStyle w:val="HeadingAwalDaftarIsiLampiran"/>
        <w:numPr>
          <w:ilvl w:val="0"/>
          <w:numId w:val="126"/>
        </w:numPr>
        <w:ind w:left="3969" w:hanging="567"/>
      </w:pPr>
      <w:r w:rsidRPr="00306115">
        <w:lastRenderedPageBreak/>
        <w:t>P</w:t>
      </w:r>
      <w:r w:rsidR="00B1743E" w:rsidRPr="00306115">
        <w:t xml:space="preserve">engukuran dengan menggunakan </w:t>
      </w:r>
      <w:r w:rsidR="00B1743E" w:rsidRPr="00306115">
        <w:rPr>
          <w:i/>
          <w:iCs/>
        </w:rPr>
        <w:t xml:space="preserve">stress testing </w:t>
      </w:r>
      <w:r w:rsidR="00B1743E" w:rsidRPr="00306115">
        <w:t>Risiko</w:t>
      </w:r>
      <w:r w:rsidR="00B1743E" w:rsidRPr="00306115">
        <w:rPr>
          <w:i/>
          <w:iCs/>
        </w:rPr>
        <w:t xml:space="preserve"> </w:t>
      </w:r>
      <w:r w:rsidR="00B1743E" w:rsidRPr="00306115">
        <w:t>Likuiditas Produk Investasi sebagaimana dimaksud pada angka (4) dilakukan dengan ketentuan</w:t>
      </w:r>
      <w:r w:rsidR="00C75A78" w:rsidRPr="00306115">
        <w:t>:</w:t>
      </w:r>
    </w:p>
    <w:p w14:paraId="7DFCFAC4" w14:textId="15134876" w:rsidR="00096208" w:rsidRPr="00306115" w:rsidRDefault="004F51F3">
      <w:pPr>
        <w:pStyle w:val="HeadingAwalDaftarIsiLampiran"/>
        <w:numPr>
          <w:ilvl w:val="0"/>
          <w:numId w:val="128"/>
        </w:numPr>
        <w:ind w:left="4536" w:hanging="567"/>
      </w:pPr>
      <w:r w:rsidRPr="00306115">
        <w:rPr>
          <w:i/>
          <w:iCs/>
        </w:rPr>
        <w:t>stress testing</w:t>
      </w:r>
      <w:r w:rsidRPr="00306115">
        <w:t xml:space="preserve"> harus dapat menggambarkan kemampuan Produk Investasi untuk memenuhi kebutuhan likuiditas dalam kondisi tekanan atau krisis, dengan menggunakan berbagai skenario yang relevan;</w:t>
      </w:r>
    </w:p>
    <w:p w14:paraId="78E9B8E7" w14:textId="6787F5AA" w:rsidR="004F51F3" w:rsidRPr="00306115" w:rsidRDefault="002212D9">
      <w:pPr>
        <w:pStyle w:val="HeadingAwalDaftarIsiLampiran"/>
        <w:numPr>
          <w:ilvl w:val="0"/>
          <w:numId w:val="128"/>
        </w:numPr>
        <w:ind w:left="4536" w:hanging="567"/>
      </w:pPr>
      <w:r w:rsidRPr="00306115">
        <w:rPr>
          <w:i/>
          <w:iCs/>
        </w:rPr>
        <w:t xml:space="preserve">stress testing </w:t>
      </w:r>
      <w:r w:rsidRPr="00306115">
        <w:t>disesuaikan dengan memperhatikan ukuran Produk Investasi, strategi dan kebijakan investasi Produk Investasi, karakteristik aset dasar, profil investor, dan faktor lain yang relevan;</w:t>
      </w:r>
    </w:p>
    <w:p w14:paraId="22B6818F" w14:textId="4A302BC2" w:rsidR="002212D9" w:rsidRPr="00306115" w:rsidRDefault="0098321D">
      <w:pPr>
        <w:pStyle w:val="HeadingAwalDaftarIsiLampiran"/>
        <w:numPr>
          <w:ilvl w:val="0"/>
          <w:numId w:val="128"/>
        </w:numPr>
        <w:ind w:left="4536" w:hanging="567"/>
      </w:pPr>
      <w:r w:rsidRPr="00306115">
        <w:t xml:space="preserve">skenario </w:t>
      </w:r>
      <w:r w:rsidRPr="00306115">
        <w:rPr>
          <w:i/>
          <w:iCs/>
        </w:rPr>
        <w:t xml:space="preserve">stress testing </w:t>
      </w:r>
      <w:r w:rsidRPr="00306115">
        <w:t>likuiditas dilakukan dengan pertimbangan paling sedikit:</w:t>
      </w:r>
    </w:p>
    <w:p w14:paraId="19FD30CB" w14:textId="4DB1114A" w:rsidR="0098321D" w:rsidRPr="00306115" w:rsidRDefault="00C621C7">
      <w:pPr>
        <w:pStyle w:val="HeadingAwalDaftarIsiLampiran"/>
        <w:numPr>
          <w:ilvl w:val="0"/>
          <w:numId w:val="129"/>
        </w:numPr>
        <w:ind w:left="5103" w:hanging="425"/>
      </w:pPr>
      <w:r w:rsidRPr="00306115">
        <w:t>kondisi historis aset dan pasar;</w:t>
      </w:r>
    </w:p>
    <w:p w14:paraId="6BA8F5DF" w14:textId="49001C2A" w:rsidR="00C621C7" w:rsidRPr="00306115" w:rsidRDefault="001034D5">
      <w:pPr>
        <w:pStyle w:val="HeadingAwalDaftarIsiLampiran"/>
        <w:numPr>
          <w:ilvl w:val="0"/>
          <w:numId w:val="129"/>
        </w:numPr>
        <w:ind w:left="5103" w:hanging="425"/>
      </w:pPr>
      <w:r w:rsidRPr="00306115">
        <w:t>skenario dana proyeksi hipotesis di masa depan;</w:t>
      </w:r>
    </w:p>
    <w:p w14:paraId="13561179" w14:textId="375B8EE7" w:rsidR="001034D5" w:rsidRPr="00306115" w:rsidRDefault="0097105C">
      <w:pPr>
        <w:pStyle w:val="HeadingAwalDaftarIsiLampiran"/>
        <w:numPr>
          <w:ilvl w:val="0"/>
          <w:numId w:val="129"/>
        </w:numPr>
        <w:ind w:left="5103" w:hanging="425"/>
      </w:pPr>
      <w:r w:rsidRPr="00306115">
        <w:t>skenario memburuknya kondisi likuiditas aset;</w:t>
      </w:r>
    </w:p>
    <w:p w14:paraId="064C4E5A" w14:textId="75F03C8B" w:rsidR="0097105C" w:rsidRPr="00306115" w:rsidRDefault="005F77A7">
      <w:pPr>
        <w:pStyle w:val="HeadingAwalDaftarIsiLampiran"/>
        <w:numPr>
          <w:ilvl w:val="0"/>
          <w:numId w:val="129"/>
        </w:numPr>
        <w:ind w:left="5103" w:hanging="425"/>
      </w:pPr>
      <w:r w:rsidRPr="00306115">
        <w:t>sejumlah skenario berbeda yang dapat mencakup tingkat tekanan dari Produk Investasi; dan</w:t>
      </w:r>
    </w:p>
    <w:p w14:paraId="33176455" w14:textId="6D420C00" w:rsidR="005F77A7" w:rsidRPr="00306115" w:rsidRDefault="00D27D9D">
      <w:pPr>
        <w:pStyle w:val="HeadingAwalDaftarIsiLampiran"/>
        <w:numPr>
          <w:ilvl w:val="0"/>
          <w:numId w:val="129"/>
        </w:numPr>
        <w:ind w:left="5103" w:hanging="425"/>
      </w:pPr>
      <w:r w:rsidRPr="00306115">
        <w:t>kombinasi sejumlah faktor yang dapat meningkatkan tekanan likuiditas.</w:t>
      </w:r>
    </w:p>
    <w:p w14:paraId="40156B91" w14:textId="2FBF0B5F" w:rsidR="00C75A78" w:rsidRPr="00306115" w:rsidRDefault="005F3757">
      <w:pPr>
        <w:pStyle w:val="HeadingAwalDaftarIsiLampiran"/>
        <w:numPr>
          <w:ilvl w:val="0"/>
          <w:numId w:val="128"/>
        </w:numPr>
        <w:ind w:left="4536" w:hanging="567"/>
      </w:pPr>
      <w:r w:rsidRPr="00306115">
        <w:t xml:space="preserve">Manajer Investasi harus mengembangkan asumsi-asumsi </w:t>
      </w:r>
      <w:r w:rsidRPr="00306115">
        <w:rPr>
          <w:i/>
          <w:iCs/>
        </w:rPr>
        <w:t>stress testing</w:t>
      </w:r>
      <w:r w:rsidRPr="00306115">
        <w:t xml:space="preserve"> yang wajar dan konsisten, antara lain mengenai perilaku investor dalam kondisi tekanan, perilaku pihak lawan transaksi, serta respons pelaku pasar lain terhadap kondisi krisis, dan mengkinikan asumsi tersebut secara berkala sesuai dengan karakteristik Produk Investasi dan kondisi pasar;</w:t>
      </w:r>
    </w:p>
    <w:p w14:paraId="36652E98" w14:textId="1B45EE8B" w:rsidR="005F3757" w:rsidRPr="00306115" w:rsidRDefault="00AF5077">
      <w:pPr>
        <w:pStyle w:val="HeadingAwalDaftarIsiLampiran"/>
        <w:numPr>
          <w:ilvl w:val="0"/>
          <w:numId w:val="128"/>
        </w:numPr>
        <w:ind w:left="4536" w:hanging="567"/>
      </w:pPr>
      <w:r w:rsidRPr="00306115">
        <w:t xml:space="preserve">dalam melakukan </w:t>
      </w:r>
      <w:r w:rsidRPr="00306115">
        <w:rPr>
          <w:i/>
          <w:iCs/>
        </w:rPr>
        <w:t>stress testing</w:t>
      </w:r>
      <w:r w:rsidRPr="00306115">
        <w:t xml:space="preserve"> untuk Risiko Likuiditas Produk Investasi, Manajer Investasi harus mempertimbangkan hasil penilaian yang dilakukan terhadap jenis risiko lainnya antara lain Risiko Pasar, Risiko Kredit, dan Risiko Reputasi serta menganalisis kemungkinan interaksi dengan berbagai jenis risiko tersebut;</w:t>
      </w:r>
    </w:p>
    <w:p w14:paraId="0F5B105D" w14:textId="528F85BA" w:rsidR="00AF5077" w:rsidRPr="00306115" w:rsidRDefault="00836969">
      <w:pPr>
        <w:pStyle w:val="HeadingAwalDaftarIsiLampiran"/>
        <w:numPr>
          <w:ilvl w:val="0"/>
          <w:numId w:val="128"/>
        </w:numPr>
        <w:ind w:left="4536" w:hanging="567"/>
      </w:pPr>
      <w:r w:rsidRPr="00306115">
        <w:t xml:space="preserve">Manajer Investasi harus melakukan tindak lanjut atas hasil </w:t>
      </w:r>
      <w:r w:rsidRPr="00306115">
        <w:rPr>
          <w:i/>
          <w:iCs/>
        </w:rPr>
        <w:t>stress testing</w:t>
      </w:r>
      <w:r w:rsidRPr="00306115">
        <w:t>, antara lain dengan:</w:t>
      </w:r>
    </w:p>
    <w:p w14:paraId="07694DE1" w14:textId="036D7E12" w:rsidR="00836969" w:rsidRPr="00306115" w:rsidRDefault="009E02C5">
      <w:pPr>
        <w:pStyle w:val="HeadingAwalDaftarIsiLampiran"/>
        <w:numPr>
          <w:ilvl w:val="0"/>
          <w:numId w:val="130"/>
        </w:numPr>
        <w:ind w:left="5103" w:hanging="425"/>
      </w:pPr>
      <w:r w:rsidRPr="00306115">
        <w:t xml:space="preserve">menyesuaikan kebijakan dan strategi Manajemen Risiko untuk </w:t>
      </w:r>
      <w:r w:rsidRPr="00306115">
        <w:lastRenderedPageBreak/>
        <w:t>Risiko Likuiditas Produk Investasi;</w:t>
      </w:r>
    </w:p>
    <w:p w14:paraId="432EB6F6" w14:textId="023E9AB5" w:rsidR="009E02C5" w:rsidRPr="00306115" w:rsidRDefault="00E95CC2">
      <w:pPr>
        <w:pStyle w:val="HeadingAwalDaftarIsiLampiran"/>
        <w:numPr>
          <w:ilvl w:val="0"/>
          <w:numId w:val="130"/>
        </w:numPr>
        <w:ind w:left="5103" w:hanging="425"/>
      </w:pPr>
      <w:r w:rsidRPr="00306115">
        <w:t>menyesuaikan komposisi aset likuid dan profil kewajiban Produk Investasi; dan</w:t>
      </w:r>
    </w:p>
    <w:p w14:paraId="44C92250" w14:textId="43B0F175" w:rsidR="00E95CC2" w:rsidRPr="00306115" w:rsidRDefault="001918F3">
      <w:pPr>
        <w:pStyle w:val="HeadingAwalDaftarIsiLampiran"/>
        <w:numPr>
          <w:ilvl w:val="0"/>
          <w:numId w:val="130"/>
        </w:numPr>
        <w:ind w:left="5103" w:hanging="425"/>
      </w:pPr>
      <w:r w:rsidRPr="00306115">
        <w:t>meninjau dan, apabila diperlukan, mengubah limit Risiko Likuiditas Produk Investasi; dan</w:t>
      </w:r>
    </w:p>
    <w:p w14:paraId="0BEEF2A6" w14:textId="6807B3B3" w:rsidR="001918F3" w:rsidRPr="00306115" w:rsidRDefault="004E0157">
      <w:pPr>
        <w:pStyle w:val="HeadingAwalDaftarIsiLampiran"/>
        <w:numPr>
          <w:ilvl w:val="0"/>
          <w:numId w:val="128"/>
        </w:numPr>
        <w:ind w:left="4536" w:hanging="567"/>
      </w:pPr>
      <w:r w:rsidRPr="00306115">
        <w:t xml:space="preserve">hasil </w:t>
      </w:r>
      <w:r w:rsidRPr="00306115">
        <w:rPr>
          <w:i/>
          <w:iCs/>
        </w:rPr>
        <w:t>stress testing</w:t>
      </w:r>
      <w:r w:rsidRPr="00306115">
        <w:t xml:space="preserve"> dan tindak lanjutnya harus dilaporkan kepada Direksi dan dievaluasi oleh Direksi.</w:t>
      </w:r>
    </w:p>
    <w:p w14:paraId="2D2EDB19" w14:textId="4B263B3E" w:rsidR="00895B6B" w:rsidRPr="00306115" w:rsidRDefault="00895B6B">
      <w:pPr>
        <w:pStyle w:val="HeadingAwalDaftarIsiLampiran"/>
        <w:numPr>
          <w:ilvl w:val="0"/>
          <w:numId w:val="123"/>
        </w:numPr>
        <w:ind w:left="3402" w:hanging="567"/>
      </w:pPr>
      <w:r w:rsidRPr="00306115">
        <w:t>Pemantauan Risiko</w:t>
      </w:r>
    </w:p>
    <w:p w14:paraId="49B07686" w14:textId="2A6ACD58" w:rsidR="004E0157" w:rsidRPr="00306115" w:rsidRDefault="00FF1AF1">
      <w:pPr>
        <w:pStyle w:val="HeadingAwalDaftarIsiLampiran"/>
        <w:numPr>
          <w:ilvl w:val="0"/>
          <w:numId w:val="131"/>
        </w:numPr>
        <w:ind w:left="3969" w:hanging="567"/>
      </w:pPr>
      <w:r w:rsidRPr="00306115">
        <w:t>Manajer Investasi harus melakukan pemantauan Risiko Likuiditas Produk Investasi secara berkala dan sistematis dengan memperhatikan indikator peringatan dini untuk mengetahui potensi peningkatan Risiko Likuiditas Produk Investasi pada setiap Produk Investasi yang dikelola.</w:t>
      </w:r>
    </w:p>
    <w:p w14:paraId="66850669" w14:textId="06E87C25" w:rsidR="00FF1AF1" w:rsidRPr="00306115" w:rsidRDefault="002E5479">
      <w:pPr>
        <w:pStyle w:val="HeadingAwalDaftarIsiLampiran"/>
        <w:numPr>
          <w:ilvl w:val="0"/>
          <w:numId w:val="131"/>
        </w:numPr>
        <w:ind w:left="3969" w:hanging="567"/>
      </w:pPr>
      <w:r w:rsidRPr="00306115">
        <w:t xml:space="preserve">Manajer Investasi dapat memantau likuiditas kepemilikan dalam portofolio menggunakan </w:t>
      </w:r>
      <w:r w:rsidRPr="00306115">
        <w:rPr>
          <w:i/>
          <w:iCs/>
        </w:rPr>
        <w:t>independent liquidity engine</w:t>
      </w:r>
      <w:r w:rsidRPr="00306115">
        <w:t xml:space="preserve"> (yaitu, </w:t>
      </w:r>
      <w:r w:rsidRPr="00306115">
        <w:rPr>
          <w:i/>
          <w:iCs/>
        </w:rPr>
        <w:t>software</w:t>
      </w:r>
      <w:r w:rsidRPr="00306115">
        <w:t xml:space="preserve"> yang dikembangkan oleh penyedia pihak ketiga atau alat pelaporan likuiditas lainnya).</w:t>
      </w:r>
    </w:p>
    <w:p w14:paraId="42413586" w14:textId="7B56255A" w:rsidR="00895B6B" w:rsidRPr="00306115" w:rsidRDefault="00895B6B">
      <w:pPr>
        <w:pStyle w:val="HeadingAwalDaftarIsiLampiran"/>
        <w:numPr>
          <w:ilvl w:val="0"/>
          <w:numId w:val="123"/>
        </w:numPr>
        <w:ind w:left="3402" w:hanging="567"/>
      </w:pPr>
      <w:r w:rsidRPr="00306115">
        <w:t>Pengendalian Risiko</w:t>
      </w:r>
    </w:p>
    <w:p w14:paraId="66BC90B5" w14:textId="12BF03FE" w:rsidR="00CE5CA6" w:rsidRPr="00306115" w:rsidRDefault="00C76F9C">
      <w:pPr>
        <w:pStyle w:val="HeadingAwalDaftarIsiLampiran"/>
        <w:numPr>
          <w:ilvl w:val="0"/>
          <w:numId w:val="132"/>
        </w:numPr>
        <w:ind w:left="3969" w:hanging="567"/>
      </w:pPr>
      <w:r w:rsidRPr="00306115">
        <w:t>Manajer Investasi menetapkan langkah mitigasi risiko untuk mengantisipasi atau mengidentifikasi keterbatasan aset dalam mencukupi kebutuhan likuiditas Produk Investasi.</w:t>
      </w:r>
    </w:p>
    <w:p w14:paraId="7E415A7D" w14:textId="47BCFE03" w:rsidR="00C76F9C" w:rsidRPr="00306115" w:rsidRDefault="00BB55DE">
      <w:pPr>
        <w:pStyle w:val="HeadingAwalDaftarIsiLampiran"/>
        <w:numPr>
          <w:ilvl w:val="0"/>
          <w:numId w:val="132"/>
        </w:numPr>
        <w:ind w:left="3969" w:hanging="567"/>
      </w:pPr>
      <w:r w:rsidRPr="00306115">
        <w:t>Manajer Investasi yang mengelola Produk Investasi bersifat terbuka melakukan penilaian secara bulanan yang didasarkan pada informasi yang handal dan terkini atas:</w:t>
      </w:r>
    </w:p>
    <w:p w14:paraId="462DBB03" w14:textId="2FB06163" w:rsidR="00BB55DE" w:rsidRPr="00306115" w:rsidRDefault="005177D8">
      <w:pPr>
        <w:pStyle w:val="HeadingAwalDaftarIsiLampiran"/>
        <w:numPr>
          <w:ilvl w:val="0"/>
          <w:numId w:val="133"/>
        </w:numPr>
        <w:ind w:left="4536" w:hanging="567"/>
      </w:pPr>
      <w:r w:rsidRPr="00306115">
        <w:t>profil likuiditas aset dalam portofolio Produk Investasi yang dikelola untuk kepentingan Produk Investasi;</w:t>
      </w:r>
    </w:p>
    <w:p w14:paraId="18C62714" w14:textId="1D80E83C" w:rsidR="005177D8" w:rsidRPr="00306115" w:rsidRDefault="00D0575E">
      <w:pPr>
        <w:pStyle w:val="HeadingAwalDaftarIsiLampiran"/>
        <w:numPr>
          <w:ilvl w:val="0"/>
          <w:numId w:val="133"/>
        </w:numPr>
        <w:ind w:left="4536" w:hanging="567"/>
      </w:pPr>
      <w:r w:rsidRPr="00306115">
        <w:t>profil likuiditas dari kewajiban Produk Investasi; dan</w:t>
      </w:r>
    </w:p>
    <w:p w14:paraId="1C9C4BFA" w14:textId="472DE308" w:rsidR="00D0575E" w:rsidRPr="00306115" w:rsidRDefault="00C63A86">
      <w:pPr>
        <w:pStyle w:val="HeadingAwalDaftarIsiLampiran"/>
        <w:numPr>
          <w:ilvl w:val="0"/>
          <w:numId w:val="133"/>
        </w:numPr>
        <w:ind w:left="4536" w:hanging="567"/>
      </w:pPr>
      <w:r w:rsidRPr="00306115">
        <w:t xml:space="preserve">profil likuiditas aset atau tingkat kewajiban Produk Investasi dalam merespon berbagai skenario situasi pasar termasuk </w:t>
      </w:r>
      <w:r w:rsidRPr="00306115">
        <w:rPr>
          <w:i/>
          <w:iCs/>
        </w:rPr>
        <w:t>stress testing</w:t>
      </w:r>
      <w:r w:rsidRPr="00306115">
        <w:t>.</w:t>
      </w:r>
    </w:p>
    <w:p w14:paraId="23096653" w14:textId="4537611C" w:rsidR="00C63A86" w:rsidRPr="00306115" w:rsidRDefault="00FB1218">
      <w:pPr>
        <w:pStyle w:val="HeadingAwalDaftarIsiLampiran"/>
        <w:numPr>
          <w:ilvl w:val="0"/>
          <w:numId w:val="132"/>
        </w:numPr>
        <w:ind w:left="3969" w:hanging="567"/>
      </w:pPr>
      <w:r w:rsidRPr="00306115">
        <w:t>Manajer Investasi melakukan melakukan pengungkapan Risiko Likuiditas Produk Investasi dalam portofolio Produk Investasi, kebijakan dan prosedur Manajemen Risiko Likuiditas Produk Investasi yang diterapkan, dan penjelasannya dalam dokumen keterbukaan informasi Produk Investasi</w:t>
      </w:r>
      <w:r w:rsidR="003C178E" w:rsidRPr="00306115">
        <w:t>.</w:t>
      </w:r>
    </w:p>
    <w:p w14:paraId="32D4084B" w14:textId="45B37EC0" w:rsidR="007063BE" w:rsidRPr="00306115" w:rsidRDefault="00CD7F8B">
      <w:pPr>
        <w:pStyle w:val="HeadingAwalDaftarIsiLampiran"/>
        <w:numPr>
          <w:ilvl w:val="0"/>
          <w:numId w:val="132"/>
        </w:numPr>
        <w:ind w:left="3969" w:hanging="567"/>
      </w:pPr>
      <w:r w:rsidRPr="00306115">
        <w:lastRenderedPageBreak/>
        <w:t>P</w:t>
      </w:r>
      <w:r w:rsidR="007063BE" w:rsidRPr="00306115">
        <w:t>engendalian Risiko Likuiditas Produk Investasi dilakukan antara lain melalui:</w:t>
      </w:r>
    </w:p>
    <w:p w14:paraId="11D12D42" w14:textId="46F4FE78" w:rsidR="003C178E" w:rsidRPr="00306115" w:rsidRDefault="003F7EF5">
      <w:pPr>
        <w:pStyle w:val="HeadingAwalDaftarIsiLampiran"/>
        <w:numPr>
          <w:ilvl w:val="0"/>
          <w:numId w:val="134"/>
        </w:numPr>
        <w:ind w:left="4536" w:hanging="567"/>
      </w:pPr>
      <w:r w:rsidRPr="00306115">
        <w:t>pengelolaan komposisi aset likuid dalam portofolio dan struktur jatuh tempo aset;</w:t>
      </w:r>
    </w:p>
    <w:p w14:paraId="233A4731" w14:textId="1DA14BA7" w:rsidR="003F7EF5" w:rsidRPr="00306115" w:rsidRDefault="007D4E10">
      <w:pPr>
        <w:pStyle w:val="HeadingAwalDaftarIsiLampiran"/>
        <w:numPr>
          <w:ilvl w:val="0"/>
          <w:numId w:val="134"/>
        </w:numPr>
        <w:ind w:left="4536" w:hanging="567"/>
      </w:pPr>
      <w:r w:rsidRPr="00306115">
        <w:t xml:space="preserve">pengelolaan posisi likuiditas dan Risiko Likuiditas Produk Investasi secara berkala (harian untuk Produk Investasi dengan </w:t>
      </w:r>
      <w:r w:rsidRPr="00306115">
        <w:rPr>
          <w:i/>
          <w:iCs/>
        </w:rPr>
        <w:t>daily dealing</w:t>
      </w:r>
      <w:r w:rsidRPr="00306115">
        <w:t>), termasuk pemantauan pelaksanaan proyeksi arus kas;</w:t>
      </w:r>
    </w:p>
    <w:p w14:paraId="5DD058D6" w14:textId="1E4B1D44" w:rsidR="007D4E10" w:rsidRPr="00306115" w:rsidRDefault="001D2B80">
      <w:pPr>
        <w:pStyle w:val="HeadingAwalDaftarIsiLampiran"/>
        <w:numPr>
          <w:ilvl w:val="0"/>
          <w:numId w:val="134"/>
        </w:numPr>
        <w:ind w:left="4536" w:hanging="567"/>
      </w:pPr>
      <w:r w:rsidRPr="00306115">
        <w:t>penetapan dan pemantauan limit Risiko Likuiditas Produk Investasi; dan</w:t>
      </w:r>
    </w:p>
    <w:p w14:paraId="68008FE0" w14:textId="1D656FD9" w:rsidR="001D2B80" w:rsidRPr="00306115" w:rsidRDefault="00E769A6">
      <w:pPr>
        <w:pStyle w:val="HeadingAwalDaftarIsiLampiran"/>
        <w:numPr>
          <w:ilvl w:val="0"/>
          <w:numId w:val="134"/>
        </w:numPr>
        <w:ind w:left="4536" w:hanging="567"/>
      </w:pPr>
      <w:r w:rsidRPr="00306115">
        <w:t>penyusunan dan penerapan rencana kontinjensi likuiditas (</w:t>
      </w:r>
      <w:r w:rsidRPr="00306115">
        <w:rPr>
          <w:i/>
          <w:iCs/>
        </w:rPr>
        <w:t>liquidity contingency plan</w:t>
      </w:r>
      <w:r w:rsidRPr="00306115">
        <w:t>) untuk menghadapi kondisi tekanan atau krisis likuiditas.</w:t>
      </w:r>
    </w:p>
    <w:p w14:paraId="4A724F0D" w14:textId="64D35A6B" w:rsidR="007063BE" w:rsidRPr="00306115" w:rsidRDefault="00CD7F8B">
      <w:pPr>
        <w:pStyle w:val="HeadingAwalDaftarIsiLampiran"/>
        <w:numPr>
          <w:ilvl w:val="0"/>
          <w:numId w:val="132"/>
        </w:numPr>
        <w:ind w:left="3969" w:hanging="567"/>
      </w:pPr>
      <w:r w:rsidRPr="00306115">
        <w:t>P</w:t>
      </w:r>
      <w:r w:rsidR="004F0EBA" w:rsidRPr="00306115">
        <w:t xml:space="preserve">engelolaan </w:t>
      </w:r>
      <w:r w:rsidR="00580A17" w:rsidRPr="00306115">
        <w:t>p</w:t>
      </w:r>
      <w:r w:rsidR="004F0EBA" w:rsidRPr="00306115">
        <w:t xml:space="preserve">osisi </w:t>
      </w:r>
      <w:r w:rsidR="00580A17" w:rsidRPr="00306115">
        <w:t>l</w:t>
      </w:r>
      <w:r w:rsidR="004F0EBA" w:rsidRPr="00306115">
        <w:t>ikuiditas dan R</w:t>
      </w:r>
      <w:r w:rsidR="00580A17" w:rsidRPr="00306115">
        <w:t>isiko Likuiditas</w:t>
      </w:r>
      <w:r w:rsidR="002D5E3A" w:rsidRPr="00306115">
        <w:t xml:space="preserve"> Produk Investasi harian:</w:t>
      </w:r>
    </w:p>
    <w:p w14:paraId="4130EABD" w14:textId="26FEDC21" w:rsidR="002D5E3A" w:rsidRPr="00306115" w:rsidRDefault="00512283">
      <w:pPr>
        <w:pStyle w:val="HeadingAwalDaftarIsiLampiran"/>
        <w:numPr>
          <w:ilvl w:val="0"/>
          <w:numId w:val="135"/>
        </w:numPr>
        <w:ind w:left="4536" w:hanging="567"/>
      </w:pPr>
      <w:r w:rsidRPr="00306115">
        <w:t>pengelolaan secara aktif atas posisi likuiditas dan Risiko Likuiditas Produk Investasi bertujuan untuk memastikan pemenuhan kewajiban jangka pendek secara tepat waktu baik pada kondisi normal maupun pada kondisi tekanan likuiditas; dan</w:t>
      </w:r>
    </w:p>
    <w:p w14:paraId="7DFEA0B0" w14:textId="76565DB2" w:rsidR="00512283" w:rsidRPr="00306115" w:rsidRDefault="00D75E04">
      <w:pPr>
        <w:pStyle w:val="HeadingAwalDaftarIsiLampiran"/>
        <w:numPr>
          <w:ilvl w:val="0"/>
          <w:numId w:val="135"/>
        </w:numPr>
        <w:ind w:left="4536" w:hanging="567"/>
      </w:pPr>
      <w:r w:rsidRPr="00306115">
        <w:t>Manajer Investasi melakukan analisis perubahan posisi likuiditas Produk Investasi yang terjadi akibat penerimaan dan/atau pembayaran dana, antara lain berdasarkan proyeksi arus kas yang disusun secara berkala (harian dan/atau mingguan) dengan mempertimbangkan kebutuhan masing-masing Produk Investasi.</w:t>
      </w:r>
    </w:p>
    <w:p w14:paraId="69F6CA38" w14:textId="528F5294" w:rsidR="00D75E04" w:rsidRPr="00306115" w:rsidRDefault="00735FBC">
      <w:pPr>
        <w:pStyle w:val="HeadingAwalDaftarIsiLampiran"/>
        <w:numPr>
          <w:ilvl w:val="0"/>
          <w:numId w:val="132"/>
        </w:numPr>
        <w:ind w:left="3969" w:hanging="567"/>
      </w:pPr>
      <w:r w:rsidRPr="00306115">
        <w:t>Manajer Investasi harus memastikan bahwa setiap Produk Investasi memiliki aset likuid dalam jumlah dan komposisi yang memadai sesuai dengan karakteristik dan profil Risiko Likuiditas Produk Investasi untuk memenuhi kebutuhan likuiditas jangka pendek, serta melakukan evaluasi dan pemantauan secara berkala terhadap posisi aset likuid dimaksud, termasuk dengan mempertimbangkan ketersediaan pasar aktif, volume transaksi, dan waktu yang dibutuhkan untuk melikuidasi aset tanpa menimbulkan koreksi harga yang berlebihan</w:t>
      </w:r>
      <w:r w:rsidR="00256224" w:rsidRPr="00306115">
        <w:t>.</w:t>
      </w:r>
    </w:p>
    <w:p w14:paraId="574678D1" w14:textId="1798BBAA" w:rsidR="00375714" w:rsidRPr="00306115" w:rsidRDefault="00CD7F8B">
      <w:pPr>
        <w:pStyle w:val="HeadingAwalDaftarIsiLampiran"/>
        <w:numPr>
          <w:ilvl w:val="0"/>
          <w:numId w:val="132"/>
        </w:numPr>
        <w:ind w:left="3969" w:hanging="567"/>
      </w:pPr>
      <w:r w:rsidRPr="00306115">
        <w:t>R</w:t>
      </w:r>
      <w:r w:rsidR="00375714" w:rsidRPr="00306115">
        <w:t>encana kontinjensi likuiditas Produk Investasi:</w:t>
      </w:r>
    </w:p>
    <w:p w14:paraId="7A5214F8" w14:textId="0DF2774F" w:rsidR="00256224" w:rsidRPr="00306115" w:rsidRDefault="008448DF">
      <w:pPr>
        <w:pStyle w:val="HeadingAwalDaftarIsiLampiran"/>
        <w:numPr>
          <w:ilvl w:val="0"/>
          <w:numId w:val="136"/>
        </w:numPr>
        <w:ind w:left="4536" w:hanging="567"/>
      </w:pPr>
      <w:r w:rsidRPr="00306115">
        <w:rPr>
          <w:lang w:val="en-ID"/>
        </w:rPr>
        <w:t xml:space="preserve">Manajer Investasi harus memiliki rencana kontinjensi likuiditas untuk menangani permasalahan likuiditas </w:t>
      </w:r>
      <w:r w:rsidRPr="00306115">
        <w:rPr>
          <w:lang w:val="en-ID"/>
        </w:rPr>
        <w:lastRenderedPageBreak/>
        <w:t xml:space="preserve">Produk Investasi dalam berbagai kondisi tekanan atau krisis, yang disesuaikan dengan profil risiko, hasil </w:t>
      </w:r>
      <w:r w:rsidRPr="00306115">
        <w:rPr>
          <w:i/>
          <w:iCs/>
          <w:lang w:val="en-ID"/>
        </w:rPr>
        <w:t>stress testing</w:t>
      </w:r>
      <w:r w:rsidRPr="00306115">
        <w:rPr>
          <w:lang w:val="en-ID"/>
        </w:rPr>
        <w:t>, kompleksitas kegiatan usaha, dan karakteristik Produk Investasi;</w:t>
      </w:r>
    </w:p>
    <w:p w14:paraId="54DC8AB8" w14:textId="54AC530E" w:rsidR="008448DF" w:rsidRPr="00306115" w:rsidRDefault="001A4672">
      <w:pPr>
        <w:pStyle w:val="HeadingAwalDaftarIsiLampiran"/>
        <w:numPr>
          <w:ilvl w:val="0"/>
          <w:numId w:val="136"/>
        </w:numPr>
        <w:ind w:left="4536" w:hanging="567"/>
      </w:pPr>
      <w:r w:rsidRPr="00306115">
        <w:t>rencana</w:t>
      </w:r>
      <w:r w:rsidRPr="00306115">
        <w:rPr>
          <w:lang w:val="en-ID"/>
        </w:rPr>
        <w:t xml:space="preserve"> kontinjensi likuiditas paling sedikit memuat kebijakan, strategi, prosedur, dan rencana tindak untuk:</w:t>
      </w:r>
    </w:p>
    <w:p w14:paraId="4AB69868" w14:textId="69460625" w:rsidR="001A4672" w:rsidRPr="00306115" w:rsidRDefault="009E4C91">
      <w:pPr>
        <w:pStyle w:val="HeadingAwalDaftarIsiLampiran"/>
        <w:numPr>
          <w:ilvl w:val="0"/>
          <w:numId w:val="137"/>
        </w:numPr>
        <w:ind w:left="5103" w:hanging="425"/>
      </w:pPr>
      <w:r w:rsidRPr="00306115">
        <w:t>penetapan</w:t>
      </w:r>
      <w:r w:rsidRPr="00306115">
        <w:rPr>
          <w:lang w:val="en-ID"/>
        </w:rPr>
        <w:t xml:space="preserve"> indikator dan/atau peristiwa yang digunakan untuk mengidentifikasi terjadinya kondisi tekanan atau krisis likuiditas;</w:t>
      </w:r>
    </w:p>
    <w:p w14:paraId="05A203FB" w14:textId="67EE5603" w:rsidR="009E4C91" w:rsidRPr="00306115" w:rsidRDefault="00AD380C">
      <w:pPr>
        <w:pStyle w:val="HeadingAwalDaftarIsiLampiran"/>
        <w:numPr>
          <w:ilvl w:val="0"/>
          <w:numId w:val="137"/>
        </w:numPr>
        <w:ind w:left="5103" w:hanging="425"/>
      </w:pPr>
      <w:r w:rsidRPr="00306115">
        <w:rPr>
          <w:lang w:val="en-ID"/>
        </w:rPr>
        <w:t>mekanisme pemantauan dan pelaporan internal atas indikator tersebut;</w:t>
      </w:r>
    </w:p>
    <w:p w14:paraId="231D506D" w14:textId="14AE071D" w:rsidR="00AD380C" w:rsidRPr="00306115" w:rsidRDefault="00FD50CF">
      <w:pPr>
        <w:pStyle w:val="HeadingAwalDaftarIsiLampiran"/>
        <w:numPr>
          <w:ilvl w:val="0"/>
          <w:numId w:val="137"/>
        </w:numPr>
        <w:ind w:left="5103" w:hanging="425"/>
      </w:pPr>
      <w:r w:rsidRPr="00306115">
        <w:t>strategi</w:t>
      </w:r>
      <w:r w:rsidRPr="00306115">
        <w:rPr>
          <w:lang w:val="en-ID"/>
        </w:rPr>
        <w:t xml:space="preserve"> dan prosedur pengambilan keputusan dalam menghadapi perubahan perilaku yang menyebabkan defisit likuiditas;</w:t>
      </w:r>
    </w:p>
    <w:p w14:paraId="680BE8D0" w14:textId="2F933451" w:rsidR="00FD50CF" w:rsidRPr="00306115" w:rsidRDefault="00176084">
      <w:pPr>
        <w:pStyle w:val="HeadingAwalDaftarIsiLampiran"/>
        <w:numPr>
          <w:ilvl w:val="0"/>
          <w:numId w:val="137"/>
        </w:numPr>
        <w:ind w:left="5103" w:hanging="425"/>
      </w:pPr>
      <w:r w:rsidRPr="00306115">
        <w:t>penggunaan</w:t>
      </w:r>
      <w:r w:rsidRPr="00306115">
        <w:rPr>
          <w:lang w:val="en-ID"/>
        </w:rPr>
        <w:t xml:space="preserve"> mekanisme pengelolaan likuiditas yang tersedia sesuai ketentuan, seperti penyesuaian komposisi aset, pembatasan sementara pembelian kembali sesuai ketentuan, atau mekanisme lain yang diatur dalam ketentuan peraturan perundang-undangan dan dokumen Produk Investasi;</w:t>
      </w:r>
      <w:r w:rsidR="000A75BB" w:rsidRPr="00306115">
        <w:rPr>
          <w:lang w:val="en-ID"/>
        </w:rPr>
        <w:t xml:space="preserve"> dan</w:t>
      </w:r>
    </w:p>
    <w:p w14:paraId="15CF65E8" w14:textId="2A209290" w:rsidR="00176084" w:rsidRPr="00306115" w:rsidRDefault="000A75BB">
      <w:pPr>
        <w:pStyle w:val="HeadingAwalDaftarIsiLampiran"/>
        <w:numPr>
          <w:ilvl w:val="0"/>
          <w:numId w:val="137"/>
        </w:numPr>
        <w:ind w:left="5103" w:hanging="425"/>
      </w:pPr>
      <w:r w:rsidRPr="00306115">
        <w:t>koordinasi</w:t>
      </w:r>
      <w:r w:rsidRPr="00306115">
        <w:rPr>
          <w:lang w:val="en-ID"/>
        </w:rPr>
        <w:t xml:space="preserve"> dan komunikasi manajerial, termasuk penetapan pihak yang berwenang dan bertanggung jawab atas pelaksanaan rencana kontinjensi likuiditas, serta mekanisme pelaporan internal dan kepada Otoritas Jasa Keuangan sesuai ketentuan; dan</w:t>
      </w:r>
    </w:p>
    <w:p w14:paraId="1DAD3FB7" w14:textId="7A8BF2C8" w:rsidR="000A75BB" w:rsidRPr="00306115" w:rsidRDefault="00F71EF0">
      <w:pPr>
        <w:pStyle w:val="HeadingAwalDaftarIsiLampiran"/>
        <w:numPr>
          <w:ilvl w:val="0"/>
          <w:numId w:val="136"/>
        </w:numPr>
        <w:ind w:left="4536" w:hanging="567"/>
      </w:pPr>
      <w:r w:rsidRPr="00306115">
        <w:t>rencana</w:t>
      </w:r>
      <w:r w:rsidRPr="00306115">
        <w:rPr>
          <w:lang w:val="en-ID"/>
        </w:rPr>
        <w:t xml:space="preserve"> kontinjensi likuiditas harus didokumentasikan, dievaluasi, diperbarui, dan diuji secara berkala untuk memastikan efektivitasnya dalam menghadapi kondisi tekanan atau krisis likuiditas Produk Investasi.</w:t>
      </w:r>
    </w:p>
    <w:p w14:paraId="02ECE98C" w14:textId="06E607E5" w:rsidR="00895B6B" w:rsidRPr="00306115" w:rsidRDefault="00895B6B">
      <w:pPr>
        <w:pStyle w:val="HeadingAwalDaftarIsiLampiran"/>
        <w:numPr>
          <w:ilvl w:val="0"/>
          <w:numId w:val="123"/>
        </w:numPr>
        <w:ind w:left="3402" w:hanging="567"/>
      </w:pPr>
      <w:r w:rsidRPr="00306115">
        <w:t>Sistem Informasi Manajemen Risiko</w:t>
      </w:r>
    </w:p>
    <w:p w14:paraId="4EC751F2" w14:textId="5820716C" w:rsidR="00F71EF0" w:rsidRPr="00306115" w:rsidRDefault="00560330">
      <w:pPr>
        <w:pStyle w:val="HeadingAwalDaftarIsiLampiran"/>
        <w:numPr>
          <w:ilvl w:val="0"/>
          <w:numId w:val="138"/>
        </w:numPr>
        <w:ind w:left="3969" w:hanging="567"/>
      </w:pPr>
      <w:r w:rsidRPr="00306115">
        <w:t xml:space="preserve">Manajer Investasi harus memiliki sistem informasi Manajemen Risiko yang memadai dan andal untuk mendukung pelaksanaan proses identifikasi, pengukuran, pemantauan, pengendalian, serta pelaporan Risiko Likuiditas Produk Investasi, baik pada kondisi normal </w:t>
      </w:r>
      <w:r w:rsidRPr="00306115">
        <w:lastRenderedPageBreak/>
        <w:t>maupun kondisi tekanan/krisis, secara lengkap, akurat, terkini, utuh, dan berkesinambungan.</w:t>
      </w:r>
    </w:p>
    <w:p w14:paraId="058B7F0C" w14:textId="6FECA35B" w:rsidR="00ED70C7" w:rsidRPr="00306115" w:rsidRDefault="00CD7F8B">
      <w:pPr>
        <w:pStyle w:val="HeadingAwalDaftarIsiLampiran"/>
        <w:numPr>
          <w:ilvl w:val="0"/>
          <w:numId w:val="138"/>
        </w:numPr>
        <w:ind w:left="3969" w:hanging="567"/>
      </w:pPr>
      <w:r w:rsidRPr="00306115">
        <w:t>S</w:t>
      </w:r>
      <w:r w:rsidR="00ED70C7" w:rsidRPr="00306115">
        <w:t>istem informasi Manajemen Risiko harus dapat menyediakan informasi paling sedikit mengenai:</w:t>
      </w:r>
    </w:p>
    <w:p w14:paraId="3B304209" w14:textId="70763A4F" w:rsidR="00560330" w:rsidRPr="00306115" w:rsidRDefault="00B7083B">
      <w:pPr>
        <w:pStyle w:val="HeadingAwalDaftarIsiLampiran"/>
        <w:numPr>
          <w:ilvl w:val="0"/>
          <w:numId w:val="139"/>
        </w:numPr>
        <w:ind w:left="4536" w:hanging="567"/>
      </w:pPr>
      <w:r w:rsidRPr="00306115">
        <w:rPr>
          <w:lang w:val="en-ID"/>
        </w:rPr>
        <w:t>arus kas dan profil maturitas dari aset dan kewajiban Produk Investasi;</w:t>
      </w:r>
    </w:p>
    <w:p w14:paraId="7D6845A1" w14:textId="6D904BF1" w:rsidR="00B7083B" w:rsidRPr="00306115" w:rsidRDefault="00700C03">
      <w:pPr>
        <w:pStyle w:val="HeadingAwalDaftarIsiLampiran"/>
        <w:numPr>
          <w:ilvl w:val="0"/>
          <w:numId w:val="139"/>
        </w:numPr>
        <w:ind w:left="4536" w:hanging="567"/>
      </w:pPr>
      <w:r w:rsidRPr="00306115">
        <w:rPr>
          <w:lang w:val="en-ID"/>
        </w:rPr>
        <w:t>kepatuhan terhadap kebijakan, strategi, dan prosedur Manajemen Risiko untuk Risiko Likuiditas Produk Investasi termasuk limit dan rasio likuiditas masing-masing Produk Investasi;</w:t>
      </w:r>
    </w:p>
    <w:p w14:paraId="45785236" w14:textId="1F45B2FF" w:rsidR="00700C03" w:rsidRPr="00306115" w:rsidRDefault="002366DD">
      <w:pPr>
        <w:pStyle w:val="HeadingAwalDaftarIsiLampiran"/>
        <w:numPr>
          <w:ilvl w:val="0"/>
          <w:numId w:val="139"/>
        </w:numPr>
        <w:ind w:left="4536" w:hanging="567"/>
      </w:pPr>
      <w:r w:rsidRPr="00306115">
        <w:rPr>
          <w:lang w:val="en-ID"/>
        </w:rPr>
        <w:t xml:space="preserve">informasi yang dibutuhkan untuk keperluan </w:t>
      </w:r>
      <w:r w:rsidRPr="00306115">
        <w:rPr>
          <w:i/>
          <w:iCs/>
          <w:lang w:val="en-ID"/>
        </w:rPr>
        <w:t>stress testing</w:t>
      </w:r>
      <w:r w:rsidRPr="00306115">
        <w:rPr>
          <w:lang w:val="en-ID"/>
        </w:rPr>
        <w:t>; dan</w:t>
      </w:r>
    </w:p>
    <w:p w14:paraId="602083A6" w14:textId="127D8D57" w:rsidR="002366DD" w:rsidRPr="00306115" w:rsidRDefault="00662A7E">
      <w:pPr>
        <w:pStyle w:val="HeadingAwalDaftarIsiLampiran"/>
        <w:numPr>
          <w:ilvl w:val="0"/>
          <w:numId w:val="139"/>
        </w:numPr>
        <w:ind w:left="4536" w:hanging="567"/>
      </w:pPr>
      <w:r w:rsidRPr="00306115">
        <w:rPr>
          <w:lang w:val="en-ID"/>
        </w:rPr>
        <w:t>informasi lain yang terkait dengan Risiko Likuiditas Produk Investasi.</w:t>
      </w:r>
    </w:p>
    <w:p w14:paraId="7644A128" w14:textId="45F399FD" w:rsidR="00AB5918" w:rsidRPr="00306115" w:rsidRDefault="00AB5918">
      <w:pPr>
        <w:pStyle w:val="HeadingAwalDaftarIsiLampiran"/>
        <w:numPr>
          <w:ilvl w:val="0"/>
          <w:numId w:val="94"/>
        </w:numPr>
        <w:ind w:left="2835" w:hanging="567"/>
      </w:pPr>
      <w:r w:rsidRPr="00306115">
        <w:t>Sistem Pengendalian Internal yang Menyeluruh</w:t>
      </w:r>
    </w:p>
    <w:p w14:paraId="6CBC5F2B" w14:textId="380EA1A6" w:rsidR="00662A7E" w:rsidRPr="00306115" w:rsidRDefault="00B57184" w:rsidP="00662A7E">
      <w:pPr>
        <w:pStyle w:val="HeadingAwalDaftarIsiLampiran"/>
        <w:numPr>
          <w:ilvl w:val="0"/>
          <w:numId w:val="0"/>
        </w:numPr>
        <w:ind w:left="2835"/>
      </w:pPr>
      <w:r w:rsidRPr="00306115">
        <w:t xml:space="preserve">Dalam melakukan penerapan Manajemen Risiko melalui pelaksanaan sistem pengendalian internal untuk Risiko Likuiditas Produk Investasi, selain melaksanakan pengendalian internal dimaksud pada Romawi I huruf D, Manajer Investasi harus </w:t>
      </w:r>
      <w:r w:rsidR="00695AF5" w:rsidRPr="00306115">
        <w:t>menerapkan</w:t>
      </w:r>
      <w:r w:rsidR="009959C1" w:rsidRPr="00306115">
        <w:t>:</w:t>
      </w:r>
    </w:p>
    <w:p w14:paraId="52107870" w14:textId="245C3EB7" w:rsidR="004223FD" w:rsidRPr="00306115" w:rsidRDefault="00B857DA">
      <w:pPr>
        <w:pStyle w:val="HeadingAwalDaftarIsiLampiran"/>
        <w:numPr>
          <w:ilvl w:val="0"/>
          <w:numId w:val="140"/>
        </w:numPr>
        <w:ind w:left="3402" w:hanging="567"/>
      </w:pPr>
      <w:r w:rsidRPr="00306115">
        <w:t xml:space="preserve">pengendalian internal dan kaji ulang independen yang memadai terhadap penerapan Manajemen Risiko untuk Risiko Likuiditas Produk Investasi yang dilaksanakan oleh fungsi audit internal atau fungsi </w:t>
      </w:r>
      <w:r w:rsidR="001008B5" w:rsidRPr="00306115">
        <w:t>Manajemen Risiko</w:t>
      </w:r>
      <w:r w:rsidR="006A2D1A" w:rsidRPr="00306115">
        <w:t>;</w:t>
      </w:r>
    </w:p>
    <w:p w14:paraId="3DA61D3B" w14:textId="77777777" w:rsidR="00712C11" w:rsidRPr="00306115" w:rsidRDefault="003E39C1">
      <w:pPr>
        <w:pStyle w:val="HeadingAwalDaftarIsiLampiran"/>
        <w:numPr>
          <w:ilvl w:val="0"/>
          <w:numId w:val="140"/>
        </w:numPr>
        <w:ind w:left="3402" w:hanging="567"/>
      </w:pPr>
      <w:r w:rsidRPr="00306115">
        <w:t>p</w:t>
      </w:r>
      <w:r w:rsidR="00695AF5" w:rsidRPr="00306115">
        <w:t>engendalian internal terhadap proses penerapan Manajemen Risiko untuk Risiko Likuiditas Produk Investasi yang dilakukan oleh fungsi audit internal antara lain mencakup</w:t>
      </w:r>
      <w:r w:rsidRPr="00306115">
        <w:t>:</w:t>
      </w:r>
    </w:p>
    <w:p w14:paraId="177DF633" w14:textId="5CA76F19" w:rsidR="006A2D1A" w:rsidRPr="00306115" w:rsidRDefault="006D63C8">
      <w:pPr>
        <w:pStyle w:val="HeadingAwalDaftarIsiLampiran"/>
        <w:numPr>
          <w:ilvl w:val="0"/>
          <w:numId w:val="141"/>
        </w:numPr>
        <w:ind w:left="3969" w:hanging="567"/>
      </w:pPr>
      <w:r w:rsidRPr="00306115">
        <w:t>kecukupan tata kelola Risiko Likuiditas Produk Investasi, termasuk pengawasan aktif Direksi dan Dewan Komisaris;</w:t>
      </w:r>
    </w:p>
    <w:p w14:paraId="136A3755" w14:textId="7D1A63E5" w:rsidR="006D63C8" w:rsidRPr="00306115" w:rsidRDefault="007239DA">
      <w:pPr>
        <w:pStyle w:val="HeadingAwalDaftarIsiLampiran"/>
        <w:numPr>
          <w:ilvl w:val="0"/>
          <w:numId w:val="141"/>
        </w:numPr>
        <w:ind w:left="3969" w:hanging="567"/>
      </w:pPr>
      <w:r w:rsidRPr="00306115">
        <w:t>kecukupan kerangka Manajemen Risiko untuk Risiko Likuiditas Produk Investasi;</w:t>
      </w:r>
    </w:p>
    <w:p w14:paraId="12E4BF3B" w14:textId="15EA940E" w:rsidR="007239DA" w:rsidRPr="00306115" w:rsidRDefault="003228AC">
      <w:pPr>
        <w:pStyle w:val="HeadingAwalDaftarIsiLampiran"/>
        <w:numPr>
          <w:ilvl w:val="0"/>
          <w:numId w:val="141"/>
        </w:numPr>
        <w:ind w:left="3969" w:hanging="567"/>
      </w:pPr>
      <w:r w:rsidRPr="00306115">
        <w:t>kecukupan limit Risiko Likuiditas Produk Investasi; dan</w:t>
      </w:r>
    </w:p>
    <w:p w14:paraId="71B59C0F" w14:textId="01DEAB0E" w:rsidR="003228AC" w:rsidRPr="00306115" w:rsidRDefault="009136D6">
      <w:pPr>
        <w:pStyle w:val="HeadingAwalDaftarIsiLampiran"/>
        <w:numPr>
          <w:ilvl w:val="0"/>
          <w:numId w:val="141"/>
        </w:numPr>
        <w:ind w:left="3969" w:hanging="567"/>
      </w:pPr>
      <w:r w:rsidRPr="00306115">
        <w:t>kecukupan proses dan sistem Manajemen Risiko serta sumber daya manusia pada fungsi atau unit yang menerapkan Manajemen Risiko untuk Risiko Likuiditas Produk Investasi.</w:t>
      </w:r>
    </w:p>
    <w:p w14:paraId="7F9C52DD" w14:textId="7A80E3A6" w:rsidR="00B34EA5" w:rsidRPr="00306115" w:rsidRDefault="00B34EA5">
      <w:pPr>
        <w:pStyle w:val="HeadingAwalDaftarIsiLampiran"/>
        <w:numPr>
          <w:ilvl w:val="0"/>
          <w:numId w:val="140"/>
        </w:numPr>
        <w:ind w:left="3402" w:hanging="567"/>
      </w:pPr>
      <w:r w:rsidRPr="00306115">
        <w:t xml:space="preserve">kaji ulang independen yang dilakukan oleh fungsi </w:t>
      </w:r>
      <w:r w:rsidR="001008B5" w:rsidRPr="00306115">
        <w:t xml:space="preserve">Manajemen Risiko </w:t>
      </w:r>
      <w:r w:rsidRPr="00306115">
        <w:t>antara lain mencakup:</w:t>
      </w:r>
    </w:p>
    <w:p w14:paraId="7F4333FC" w14:textId="02EC4F94" w:rsidR="009136D6" w:rsidRPr="00306115" w:rsidRDefault="00730FB3">
      <w:pPr>
        <w:pStyle w:val="HeadingAwalDaftarIsiLampiran"/>
        <w:numPr>
          <w:ilvl w:val="0"/>
          <w:numId w:val="142"/>
        </w:numPr>
        <w:ind w:left="3969" w:hanging="567"/>
      </w:pPr>
      <w:r w:rsidRPr="00306115">
        <w:t>kepatuhan pada kebijakan dan prosedur Manajemen Risiko untuk Risiko Likuiditas Produk Investasi termasuk dalam pengelolaan posisi likuiditas dan Risiko Likuiditas Produk Investasi, komposisi aset dan kewajiban, aset likuid berkualitas tinggi, dan kepatuhan pada limit Risiko Likuiditas Produk Investasi;</w:t>
      </w:r>
    </w:p>
    <w:p w14:paraId="5555B398" w14:textId="29EE7572" w:rsidR="00730FB3" w:rsidRPr="00306115" w:rsidRDefault="00E478E4">
      <w:pPr>
        <w:pStyle w:val="HeadingAwalDaftarIsiLampiran"/>
        <w:numPr>
          <w:ilvl w:val="0"/>
          <w:numId w:val="142"/>
        </w:numPr>
        <w:ind w:left="3969" w:hanging="567"/>
      </w:pPr>
      <w:r w:rsidRPr="00306115">
        <w:lastRenderedPageBreak/>
        <w:t xml:space="preserve">kecukupan metode, asumsi, dan indikator pengukuran Risiko Likuiditas Produk Investasi termasuk </w:t>
      </w:r>
      <w:r w:rsidRPr="00306115">
        <w:rPr>
          <w:i/>
          <w:iCs/>
        </w:rPr>
        <w:t>stress testing</w:t>
      </w:r>
      <w:r w:rsidRPr="00306115">
        <w:t>; dan</w:t>
      </w:r>
    </w:p>
    <w:p w14:paraId="2A58DBCC" w14:textId="04D49822" w:rsidR="00E478E4" w:rsidRPr="00306115" w:rsidRDefault="009E17D5">
      <w:pPr>
        <w:pStyle w:val="HeadingAwalDaftarIsiLampiran"/>
        <w:numPr>
          <w:ilvl w:val="0"/>
          <w:numId w:val="142"/>
        </w:numPr>
        <w:ind w:left="3969" w:hanging="567"/>
      </w:pPr>
      <w:r w:rsidRPr="00306115">
        <w:t>kinerja model atau alat pengukuran Risiko Likuiditas Produk Investasi, antara lain melalui perbandingan antara hasil pengukuran dengan realisasi kondisi likuiditas Produk Investasi</w:t>
      </w:r>
      <w:r w:rsidR="004E018B" w:rsidRPr="00306115">
        <w:t>.</w:t>
      </w:r>
    </w:p>
    <w:p w14:paraId="426CB19B" w14:textId="02972724" w:rsidR="00B34EA5" w:rsidRPr="00306115" w:rsidRDefault="004E018B">
      <w:pPr>
        <w:pStyle w:val="HeadingAwalDaftarIsiLampiran"/>
        <w:numPr>
          <w:ilvl w:val="0"/>
          <w:numId w:val="140"/>
        </w:numPr>
        <w:ind w:left="3402" w:hanging="567"/>
      </w:pPr>
      <w:r w:rsidRPr="00306115">
        <w:t>kelemahan yang teridentifikasi dalam pengendalian internal dan kaji ulang independen terhadap penerapan Manajemen Risiko untuk Risiko Likuiditas Produk Investasi harus dilaporkan kepada pihak yang memiliki kewenangan sesuai struktur organisasi Manajer Investasi untuk ditindaklanjuti, termasuk penetapan dan pelaksanaan rencana perbaikan.</w:t>
      </w:r>
    </w:p>
    <w:p w14:paraId="61AE16E3" w14:textId="2BC38BC8" w:rsidR="001C3A6C" w:rsidRPr="00306115" w:rsidRDefault="001C3A6C">
      <w:pPr>
        <w:pStyle w:val="HeadingAwalDaftarIsiLampiran"/>
        <w:numPr>
          <w:ilvl w:val="0"/>
          <w:numId w:val="81"/>
        </w:numPr>
        <w:ind w:left="1701" w:hanging="567"/>
      </w:pPr>
      <w:r w:rsidRPr="00306115">
        <w:t>Risiko Kredit</w:t>
      </w:r>
    </w:p>
    <w:p w14:paraId="6BC5BBF7" w14:textId="0CBB4357" w:rsidR="00A778DC" w:rsidRPr="00306115" w:rsidRDefault="00A778DC">
      <w:pPr>
        <w:pStyle w:val="HeadingAwalDaftarIsiLampiran"/>
        <w:numPr>
          <w:ilvl w:val="0"/>
          <w:numId w:val="85"/>
        </w:numPr>
        <w:ind w:left="2268" w:hanging="567"/>
      </w:pPr>
      <w:r w:rsidRPr="00306115">
        <w:t>Tujuan</w:t>
      </w:r>
    </w:p>
    <w:p w14:paraId="50B04710" w14:textId="168ABC08" w:rsidR="00211842" w:rsidRPr="00306115" w:rsidRDefault="00211842" w:rsidP="00211842">
      <w:pPr>
        <w:pStyle w:val="HeadingAwalDaftarIsiLampiran"/>
        <w:numPr>
          <w:ilvl w:val="0"/>
          <w:numId w:val="0"/>
        </w:numPr>
        <w:ind w:left="2268"/>
      </w:pPr>
      <w:r w:rsidRPr="00306115">
        <w:t xml:space="preserve">Tujuan utama Manajemen Risiko untuk Risiko Kredit adalah untuk meminimalkan potensi kerugian pada Produk Investasi yang memiliki </w:t>
      </w:r>
      <w:r w:rsidRPr="00306115">
        <w:rPr>
          <w:i/>
          <w:iCs/>
        </w:rPr>
        <w:t>underlying</w:t>
      </w:r>
      <w:r w:rsidRPr="00306115">
        <w:t xml:space="preserve"> efek bersifat utang.</w:t>
      </w:r>
    </w:p>
    <w:p w14:paraId="3E5ECFEC" w14:textId="6FB394E4" w:rsidR="00A778DC" w:rsidRPr="00306115" w:rsidRDefault="00A778DC">
      <w:pPr>
        <w:pStyle w:val="HeadingAwalDaftarIsiLampiran"/>
        <w:numPr>
          <w:ilvl w:val="0"/>
          <w:numId w:val="85"/>
        </w:numPr>
        <w:ind w:left="2268" w:hanging="567"/>
      </w:pPr>
      <w:r w:rsidRPr="00306115">
        <w:t>Penerapan Manajemen Risiko</w:t>
      </w:r>
    </w:p>
    <w:p w14:paraId="78368E45" w14:textId="060AADFC" w:rsidR="00C01A4C" w:rsidRPr="00306115" w:rsidRDefault="00C01A4C" w:rsidP="00C01A4C">
      <w:pPr>
        <w:pStyle w:val="HeadingAwalDaftarIsiLampiran"/>
        <w:numPr>
          <w:ilvl w:val="0"/>
          <w:numId w:val="0"/>
        </w:numPr>
        <w:ind w:left="2268"/>
      </w:pPr>
      <w:r w:rsidRPr="00306115">
        <w:t>Penerapan Manajemen Risiko untuk Risiko Kredit disesuaikan dengan ukuran,  kompleksitas usaha, dan kemampuan</w:t>
      </w:r>
      <w:r w:rsidRPr="00306115">
        <w:rPr>
          <w:b/>
          <w:bCs/>
          <w:i/>
          <w:iCs/>
        </w:rPr>
        <w:t xml:space="preserve"> </w:t>
      </w:r>
      <w:r w:rsidRPr="00306115">
        <w:t>Manajer Investasi. Secara umum dalam prinsip penerapan Manajemen Risiko untuk Risiko Kredit paling sedikit mencakup</w:t>
      </w:r>
      <w:r w:rsidR="001E55B0" w:rsidRPr="00306115">
        <w:t>:</w:t>
      </w:r>
    </w:p>
    <w:p w14:paraId="2E9A972B" w14:textId="43B884F8" w:rsidR="001E55B0" w:rsidRPr="00306115" w:rsidRDefault="001E55B0">
      <w:pPr>
        <w:pStyle w:val="HeadingAwalDaftarIsiLampiran"/>
        <w:numPr>
          <w:ilvl w:val="0"/>
          <w:numId w:val="143"/>
        </w:numPr>
        <w:ind w:left="2835" w:hanging="567"/>
      </w:pPr>
      <w:r w:rsidRPr="00306115">
        <w:t>Pengawasan Aktif Direksi dan Dewan Komisaris</w:t>
      </w:r>
    </w:p>
    <w:p w14:paraId="53C5C1F8" w14:textId="1E2C43CB" w:rsidR="004F22FF" w:rsidRPr="00306115" w:rsidRDefault="004F22FF" w:rsidP="004F22FF">
      <w:pPr>
        <w:pStyle w:val="HeadingAwalDaftarIsiLampiran"/>
        <w:numPr>
          <w:ilvl w:val="0"/>
          <w:numId w:val="0"/>
        </w:numPr>
        <w:ind w:left="2835"/>
      </w:pPr>
      <w:r w:rsidRPr="00306115">
        <w:t>Dalam melakukan penerapan Manajemen Risiko melalui pengawasan aktif Direksi dan Dewan Komisaris untuk Risiko Kredit, selain melaksanakan pengawasan aktif sebagaimana dimaksud pada pada Romawi I huruf A, Manajer Investasi harus menambahkan penerapan:</w:t>
      </w:r>
    </w:p>
    <w:p w14:paraId="39DCBE5A" w14:textId="705C2264" w:rsidR="00600905" w:rsidRPr="00306115" w:rsidRDefault="003F31E3">
      <w:pPr>
        <w:pStyle w:val="HeadingAwalDaftarIsiLampiran"/>
        <w:numPr>
          <w:ilvl w:val="0"/>
          <w:numId w:val="144"/>
        </w:numPr>
        <w:ind w:left="3402" w:hanging="567"/>
      </w:pPr>
      <w:r w:rsidRPr="00306115">
        <w:t>Kewenangan dan Tanggung Jawab Direksi dan Dewan Komisaris</w:t>
      </w:r>
    </w:p>
    <w:p w14:paraId="33F9D5A0" w14:textId="68901315" w:rsidR="003F31E3" w:rsidRPr="00306115" w:rsidRDefault="009C471D">
      <w:pPr>
        <w:pStyle w:val="HeadingAwalDaftarIsiLampiran"/>
        <w:numPr>
          <w:ilvl w:val="0"/>
          <w:numId w:val="145"/>
        </w:numPr>
        <w:ind w:left="3969" w:hanging="567"/>
      </w:pPr>
      <w:r w:rsidRPr="00306115">
        <w:t>Direksi bertanggung jawab agar seluruh aktivitas kegiatan usaha dilakukan sesuai dengan kebijakan dan strategi Risiko Kredit yang disetujui oleh Dewan Komisaris.</w:t>
      </w:r>
    </w:p>
    <w:p w14:paraId="79A29991" w14:textId="736928FE" w:rsidR="009C471D" w:rsidRPr="00306115" w:rsidRDefault="002273D6">
      <w:pPr>
        <w:pStyle w:val="HeadingAwalDaftarIsiLampiran"/>
        <w:numPr>
          <w:ilvl w:val="0"/>
          <w:numId w:val="145"/>
        </w:numPr>
        <w:ind w:left="3969" w:hanging="567"/>
      </w:pPr>
      <w:r w:rsidRPr="00306115">
        <w:t>Direksi dan Dewan Komisaris harus memastikan bahwa penerapan Manajemen Risiko untuk Risiko Kredit dilakukan secara efektif dan terintegrasi dengan Manajemen Risiko lainnya yang dapat berdampak pada pengelolaan Produk Investasi</w:t>
      </w:r>
      <w:r w:rsidR="007B69D6" w:rsidRPr="00306115">
        <w:t>.</w:t>
      </w:r>
    </w:p>
    <w:p w14:paraId="28F37458" w14:textId="3B605C94" w:rsidR="007B69D6" w:rsidRPr="00306115" w:rsidRDefault="008710F3">
      <w:pPr>
        <w:pStyle w:val="HeadingAwalDaftarIsiLampiran"/>
        <w:numPr>
          <w:ilvl w:val="0"/>
          <w:numId w:val="144"/>
        </w:numPr>
        <w:ind w:left="3402" w:hanging="567"/>
      </w:pPr>
      <w:r w:rsidRPr="00306115">
        <w:t>Sumber Daya Manusia</w:t>
      </w:r>
    </w:p>
    <w:p w14:paraId="14B68060" w14:textId="0D38750A" w:rsidR="008710F3" w:rsidRPr="00306115" w:rsidRDefault="003A656C" w:rsidP="008710F3">
      <w:pPr>
        <w:pStyle w:val="HeadingAwalDaftarIsiLampiran"/>
        <w:numPr>
          <w:ilvl w:val="0"/>
          <w:numId w:val="0"/>
        </w:numPr>
        <w:ind w:left="3402"/>
      </w:pPr>
      <w:r w:rsidRPr="00306115">
        <w:t xml:space="preserve">Kecukupan </w:t>
      </w:r>
      <w:r w:rsidR="001F7D04" w:rsidRPr="00306115">
        <w:t xml:space="preserve">sumber daya manusia </w:t>
      </w:r>
      <w:r w:rsidRPr="00306115">
        <w:t xml:space="preserve">untuk Risiko Kredit mengacu pada cakupan penerapan secara umum sebagaimana </w:t>
      </w:r>
      <w:r w:rsidR="001F7D04" w:rsidRPr="00306115">
        <w:t xml:space="preserve">dimaksud </w:t>
      </w:r>
      <w:r w:rsidRPr="00306115">
        <w:t xml:space="preserve">pada </w:t>
      </w:r>
      <w:r w:rsidR="001F7D04" w:rsidRPr="00306115">
        <w:t>Romawi</w:t>
      </w:r>
      <w:r w:rsidRPr="00306115">
        <w:t xml:space="preserve"> I</w:t>
      </w:r>
      <w:r w:rsidR="001F7D04" w:rsidRPr="00306115">
        <w:t xml:space="preserve"> huruf </w:t>
      </w:r>
      <w:r w:rsidRPr="00306115">
        <w:t>A</w:t>
      </w:r>
      <w:r w:rsidR="001F7D04" w:rsidRPr="00306115">
        <w:t xml:space="preserve"> angka </w:t>
      </w:r>
      <w:r w:rsidRPr="00306115">
        <w:t>2</w:t>
      </w:r>
      <w:r w:rsidR="001F7D04" w:rsidRPr="00306115">
        <w:t>.</w:t>
      </w:r>
    </w:p>
    <w:p w14:paraId="11DED6DE" w14:textId="0F6ABF45" w:rsidR="00E4618A" w:rsidRPr="00306115" w:rsidRDefault="002045B7">
      <w:pPr>
        <w:pStyle w:val="HeadingAwalDaftarIsiLampiran"/>
        <w:numPr>
          <w:ilvl w:val="0"/>
          <w:numId w:val="144"/>
        </w:numPr>
        <w:ind w:left="3402" w:hanging="567"/>
      </w:pPr>
      <w:r w:rsidRPr="00306115">
        <w:t xml:space="preserve">Organisasi Manajemen Risiko </w:t>
      </w:r>
    </w:p>
    <w:p w14:paraId="7EB9C390" w14:textId="60C6F1AB" w:rsidR="002045B7" w:rsidRPr="00306115" w:rsidRDefault="002A5B00" w:rsidP="002045B7">
      <w:pPr>
        <w:pStyle w:val="HeadingAwalDaftarIsiLampiran"/>
        <w:numPr>
          <w:ilvl w:val="0"/>
          <w:numId w:val="0"/>
        </w:numPr>
        <w:ind w:left="3402"/>
      </w:pPr>
      <w:r w:rsidRPr="00306115">
        <w:t xml:space="preserve">Penetapan struktur organisasi, perangkat dan kelengkapan unit atau fungsi yang terkait </w:t>
      </w:r>
      <w:r w:rsidRPr="00306115">
        <w:lastRenderedPageBreak/>
        <w:t>dengan penerapan Manajemen Risiko untuk Risiko Kredit harus disesuaikan dengan ukuran, kompleksitas usaha, dan kemampuan Manajer Investasi termasuk Produk Investasi yang dikelola.</w:t>
      </w:r>
    </w:p>
    <w:p w14:paraId="4B8E6D12" w14:textId="7E97C1F8" w:rsidR="001E55B0" w:rsidRPr="00306115" w:rsidRDefault="00EC203C">
      <w:pPr>
        <w:pStyle w:val="HeadingAwalDaftarIsiLampiran"/>
        <w:numPr>
          <w:ilvl w:val="0"/>
          <w:numId w:val="143"/>
        </w:numPr>
        <w:ind w:left="2835" w:hanging="567"/>
      </w:pPr>
      <w:r w:rsidRPr="00306115">
        <w:t>Kecukupan Kebijakan dan Prosedur Manajemen Risiko</w:t>
      </w:r>
    </w:p>
    <w:p w14:paraId="2F941F93" w14:textId="33FE9B1F" w:rsidR="00E31FBD" w:rsidRPr="00306115" w:rsidRDefault="00E31FBD" w:rsidP="00E31FBD">
      <w:pPr>
        <w:pStyle w:val="HeadingAwalDaftarIsiLampiran"/>
        <w:numPr>
          <w:ilvl w:val="0"/>
          <w:numId w:val="0"/>
        </w:numPr>
        <w:ind w:left="2835"/>
      </w:pPr>
      <w:r w:rsidRPr="00306115">
        <w:t xml:space="preserve">Dalam melaksanakan kebijakan dan prosedur Manajemen Risiko serta penetapan limit </w:t>
      </w:r>
      <w:r w:rsidR="00C71588" w:rsidRPr="00306115">
        <w:t>r</w:t>
      </w:r>
      <w:r w:rsidRPr="00306115">
        <w:t xml:space="preserve">isiko untuk Risiko Kredit, selain melaksanakan kebijakan dan prosedur Manajemen Risiko serta penetapan limit </w:t>
      </w:r>
      <w:r w:rsidR="00C71588" w:rsidRPr="00306115">
        <w:t>r</w:t>
      </w:r>
      <w:r w:rsidRPr="00306115">
        <w:t xml:space="preserve">isiko sebagaimana dimaksud pada Romawi I huruf B, Manajer Investasi </w:t>
      </w:r>
      <w:r w:rsidR="00F52C0E" w:rsidRPr="00306115">
        <w:t xml:space="preserve">harus </w:t>
      </w:r>
      <w:r w:rsidRPr="00306115">
        <w:t>menambahkan penerapan:</w:t>
      </w:r>
    </w:p>
    <w:p w14:paraId="2375CA46" w14:textId="3A464BBA" w:rsidR="009B46F7" w:rsidRPr="00306115" w:rsidRDefault="009B46F7">
      <w:pPr>
        <w:pStyle w:val="HeadingAwalDaftarIsiLampiran"/>
        <w:numPr>
          <w:ilvl w:val="0"/>
          <w:numId w:val="146"/>
        </w:numPr>
        <w:ind w:left="3402" w:hanging="567"/>
      </w:pPr>
      <w:r w:rsidRPr="00306115">
        <w:t>Kebijakan dan Prosedur</w:t>
      </w:r>
    </w:p>
    <w:p w14:paraId="30503BF8" w14:textId="4991B4A0" w:rsidR="00E31FBD" w:rsidRPr="00306115" w:rsidRDefault="00822D7A">
      <w:pPr>
        <w:pStyle w:val="HeadingAwalDaftarIsiLampiran"/>
        <w:numPr>
          <w:ilvl w:val="0"/>
          <w:numId w:val="147"/>
        </w:numPr>
        <w:ind w:left="3969" w:hanging="567"/>
      </w:pPr>
      <w:r w:rsidRPr="00306115">
        <w:t xml:space="preserve">Manajer Investasi </w:t>
      </w:r>
      <w:r w:rsidR="00A52B72" w:rsidRPr="00306115">
        <w:t xml:space="preserve">harus </w:t>
      </w:r>
      <w:r w:rsidRPr="00306115">
        <w:t xml:space="preserve">menetapkan kebijakan dan prosedur Manajemen Risiko untuk Risiko Kredit, termasuk prosedur pengendalian dalam rangka pembentukan dan penyesuaian portofolio pada Produk Investasi, dengan mempertimbangkan antara lain kondisi ekonomi atau industri </w:t>
      </w:r>
      <w:r w:rsidRPr="00306115">
        <w:rPr>
          <w:i/>
          <w:iCs/>
        </w:rPr>
        <w:t>counterparty</w:t>
      </w:r>
      <w:r w:rsidRPr="00306115">
        <w:t xml:space="preserve"> transaksi dan/atau kontrak</w:t>
      </w:r>
      <w:r w:rsidR="00705CFF" w:rsidRPr="00306115">
        <w:t>.</w:t>
      </w:r>
    </w:p>
    <w:p w14:paraId="1EB1616C" w14:textId="3ACFF4E5" w:rsidR="00705CFF" w:rsidRPr="00306115" w:rsidRDefault="00D64D0F">
      <w:pPr>
        <w:pStyle w:val="HeadingAwalDaftarIsiLampiran"/>
        <w:numPr>
          <w:ilvl w:val="0"/>
          <w:numId w:val="147"/>
        </w:numPr>
        <w:ind w:left="3969" w:hanging="567"/>
      </w:pPr>
      <w:r w:rsidRPr="00306115">
        <w:t xml:space="preserve">Manajer Investasi harus memiliki kebijakan dan prosedur untuk memastikan bahwa pengelolaan investasi dilakukan secara </w:t>
      </w:r>
      <w:r w:rsidRPr="00306115">
        <w:rPr>
          <w:i/>
          <w:iCs/>
        </w:rPr>
        <w:t>arm’s length basis</w:t>
      </w:r>
      <w:r w:rsidRPr="00306115">
        <w:t>. Dalam hal Manajer Investasi mempunyai kebijakan yang memungkinkan dalam kondisi tertentu untuk melakukan pengelolaan investasi diluar kebijakan normal, kebijakan tersebut harus memuat secara jelas kriteria, persyaratan, dan prosedur termasuk langkah-langkah untuk mengendalikan atau memitigasi risiko dari pengelolaan investasi dimaksud.</w:t>
      </w:r>
    </w:p>
    <w:p w14:paraId="5A8B363C" w14:textId="61104CF6" w:rsidR="009B46F7" w:rsidRPr="00306115" w:rsidRDefault="000C730C">
      <w:pPr>
        <w:pStyle w:val="HeadingAwalDaftarIsiLampiran"/>
        <w:numPr>
          <w:ilvl w:val="0"/>
          <w:numId w:val="147"/>
        </w:numPr>
        <w:ind w:left="3969" w:hanging="567"/>
      </w:pPr>
      <w:r w:rsidRPr="00306115">
        <w:t>K</w:t>
      </w:r>
      <w:r w:rsidR="009B46F7" w:rsidRPr="00306115">
        <w:t xml:space="preserve">ebijakan dan prosedur </w:t>
      </w:r>
      <w:r w:rsidR="00A330EA" w:rsidRPr="00306115">
        <w:t>M</w:t>
      </w:r>
      <w:r w:rsidR="009B46F7" w:rsidRPr="00306115">
        <w:t>anajemen Risiko Kredit antara lain meliputi</w:t>
      </w:r>
      <w:r w:rsidR="00D85F6B" w:rsidRPr="00306115">
        <w:t>:</w:t>
      </w:r>
    </w:p>
    <w:p w14:paraId="4A281709" w14:textId="080B3585" w:rsidR="00D85F6B" w:rsidRPr="00306115" w:rsidRDefault="00A330EA">
      <w:pPr>
        <w:pStyle w:val="HeadingAwalDaftarIsiLampiran"/>
        <w:numPr>
          <w:ilvl w:val="0"/>
          <w:numId w:val="148"/>
        </w:numPr>
        <w:ind w:left="4536" w:hanging="567"/>
      </w:pPr>
      <w:r w:rsidRPr="00306115">
        <w:t xml:space="preserve">kriteria pemilihan instrumen investasi yang memiliki Risiko Kredit dengan mempertimbangkan antara lain prinsip diversifikasi portofolio Produk Investasi dan kinerja keuangan </w:t>
      </w:r>
      <w:r w:rsidRPr="00306115">
        <w:rPr>
          <w:i/>
          <w:iCs/>
        </w:rPr>
        <w:t>counterparty</w:t>
      </w:r>
      <w:r w:rsidRPr="00306115">
        <w:t>;</w:t>
      </w:r>
    </w:p>
    <w:p w14:paraId="6EA2E562" w14:textId="578BECE5" w:rsidR="00A330EA" w:rsidRPr="00306115" w:rsidRDefault="002934F6">
      <w:pPr>
        <w:pStyle w:val="HeadingAwalDaftarIsiLampiran"/>
        <w:numPr>
          <w:ilvl w:val="0"/>
          <w:numId w:val="148"/>
        </w:numPr>
        <w:ind w:left="4536" w:hanging="567"/>
      </w:pPr>
      <w:r w:rsidRPr="00306115">
        <w:t>tindakan korektif terhadap penurunan peringkat kredit (</w:t>
      </w:r>
      <w:r w:rsidRPr="00306115">
        <w:rPr>
          <w:i/>
          <w:iCs/>
        </w:rPr>
        <w:t xml:space="preserve">credit rating </w:t>
      </w:r>
      <w:r w:rsidR="00543A86" w:rsidRPr="00306115">
        <w:rPr>
          <w:i/>
          <w:iCs/>
        </w:rPr>
        <w:t>downgrade</w:t>
      </w:r>
      <w:r w:rsidRPr="00306115">
        <w:t>); dan</w:t>
      </w:r>
    </w:p>
    <w:p w14:paraId="13F752D7" w14:textId="2B67C53B" w:rsidR="002934F6" w:rsidRPr="00306115" w:rsidRDefault="006658B4">
      <w:pPr>
        <w:pStyle w:val="HeadingAwalDaftarIsiLampiran"/>
        <w:numPr>
          <w:ilvl w:val="0"/>
          <w:numId w:val="148"/>
        </w:numPr>
        <w:ind w:left="4536" w:hanging="567"/>
      </w:pPr>
      <w:r w:rsidRPr="00306115">
        <w:t xml:space="preserve">strategi </w:t>
      </w:r>
      <w:r w:rsidRPr="00306115">
        <w:rPr>
          <w:i/>
          <w:iCs/>
        </w:rPr>
        <w:t>exit</w:t>
      </w:r>
      <w:r w:rsidRPr="00306115">
        <w:t xml:space="preserve"> untuk instrumen berisiko tinggi.</w:t>
      </w:r>
    </w:p>
    <w:p w14:paraId="12D629AC" w14:textId="2E614135" w:rsidR="006658B4" w:rsidRPr="00306115" w:rsidRDefault="006658B4">
      <w:pPr>
        <w:pStyle w:val="HeadingAwalDaftarIsiLampiran"/>
        <w:numPr>
          <w:ilvl w:val="0"/>
          <w:numId w:val="146"/>
        </w:numPr>
        <w:ind w:left="3402" w:hanging="567"/>
      </w:pPr>
      <w:r w:rsidRPr="00306115">
        <w:t>Strategi Manajemen Risiko</w:t>
      </w:r>
    </w:p>
    <w:p w14:paraId="7F1A7136" w14:textId="5240E6E1" w:rsidR="00084AB9" w:rsidRPr="00306115" w:rsidRDefault="000C730C">
      <w:pPr>
        <w:pStyle w:val="HeadingAwalDaftarIsiLampiran"/>
        <w:numPr>
          <w:ilvl w:val="0"/>
          <w:numId w:val="149"/>
        </w:numPr>
        <w:ind w:left="3969" w:hanging="567"/>
      </w:pPr>
      <w:r w:rsidRPr="00306115">
        <w:t>S</w:t>
      </w:r>
      <w:r w:rsidR="00084AB9" w:rsidRPr="00306115">
        <w:t xml:space="preserve">trategi Manajemen Risiko untuk Risiko Kredit harus mencakup strategi atas seluruh kegiatan pengelolaan investasi yang memiliki eksposur terhadap Risiko Kredit. Strategi tersebut harus memuat secara jelas arah kebijakan investasi yang </w:t>
      </w:r>
      <w:r w:rsidR="00084AB9" w:rsidRPr="00306115">
        <w:lastRenderedPageBreak/>
        <w:t>akan dilakukan, antara lain dengan mempertimbangkan:</w:t>
      </w:r>
    </w:p>
    <w:p w14:paraId="3E838D9B" w14:textId="563E12F9" w:rsidR="006658B4" w:rsidRPr="00306115" w:rsidRDefault="007E7F09">
      <w:pPr>
        <w:pStyle w:val="HeadingAwalDaftarIsiLampiran"/>
        <w:numPr>
          <w:ilvl w:val="0"/>
          <w:numId w:val="150"/>
        </w:numPr>
        <w:ind w:left="4536" w:hanging="567"/>
      </w:pPr>
      <w:r w:rsidRPr="00306115">
        <w:t>jenis instrumen investasi (misalnya surat utang negara atau obligasi korporasi);</w:t>
      </w:r>
    </w:p>
    <w:p w14:paraId="6A4B0E79" w14:textId="3700E13E" w:rsidR="007E7F09" w:rsidRPr="00306115" w:rsidRDefault="000F72F4">
      <w:pPr>
        <w:pStyle w:val="HeadingAwalDaftarIsiLampiran"/>
        <w:numPr>
          <w:ilvl w:val="0"/>
          <w:numId w:val="150"/>
        </w:numPr>
        <w:ind w:left="4536" w:hanging="567"/>
      </w:pPr>
      <w:r w:rsidRPr="00306115">
        <w:t>kualitas dan peringkat kredit dari instrumen investasi maupun penerbit efek;</w:t>
      </w:r>
    </w:p>
    <w:p w14:paraId="713CF397" w14:textId="2D7B7D04" w:rsidR="000F72F4" w:rsidRPr="00306115" w:rsidRDefault="00551676">
      <w:pPr>
        <w:pStyle w:val="HeadingAwalDaftarIsiLampiran"/>
        <w:numPr>
          <w:ilvl w:val="0"/>
          <w:numId w:val="150"/>
        </w:numPr>
        <w:ind w:left="4536" w:hanging="567"/>
      </w:pPr>
      <w:r w:rsidRPr="00306115">
        <w:t>sektor ekonomi atau industri penerbit;</w:t>
      </w:r>
    </w:p>
    <w:p w14:paraId="0FCFB781" w14:textId="10B168C6" w:rsidR="00551676" w:rsidRPr="00306115" w:rsidRDefault="0077345D">
      <w:pPr>
        <w:pStyle w:val="HeadingAwalDaftarIsiLampiran"/>
        <w:numPr>
          <w:ilvl w:val="0"/>
          <w:numId w:val="150"/>
        </w:numPr>
        <w:ind w:left="4536" w:hanging="567"/>
      </w:pPr>
      <w:r w:rsidRPr="00306115">
        <w:t>jangka waktu atau tenor dari instrumen investasi; dan</w:t>
      </w:r>
    </w:p>
    <w:p w14:paraId="6FCD5C8A" w14:textId="40FF01F7" w:rsidR="0077345D" w:rsidRPr="00306115" w:rsidRDefault="00391126">
      <w:pPr>
        <w:pStyle w:val="HeadingAwalDaftarIsiLampiran"/>
        <w:numPr>
          <w:ilvl w:val="0"/>
          <w:numId w:val="150"/>
        </w:numPr>
        <w:ind w:left="4536" w:hanging="567"/>
      </w:pPr>
      <w:r w:rsidRPr="00306115">
        <w:t>profil dan sasaran pasar dari Produk Investasi yang dikelola.</w:t>
      </w:r>
    </w:p>
    <w:p w14:paraId="1F7D5658" w14:textId="7CA12A95" w:rsidR="00084AB9" w:rsidRPr="00306115" w:rsidRDefault="000C730C">
      <w:pPr>
        <w:pStyle w:val="HeadingAwalDaftarIsiLampiran"/>
        <w:numPr>
          <w:ilvl w:val="0"/>
          <w:numId w:val="149"/>
        </w:numPr>
        <w:ind w:left="3969" w:hanging="567"/>
      </w:pPr>
      <w:r w:rsidRPr="00306115">
        <w:t>S</w:t>
      </w:r>
      <w:r w:rsidR="00F5580A" w:rsidRPr="00306115">
        <w:t>trategi Manajemen Risiko untuk Risiko Kredit disusun sejalan dengan tujuan pengelolaan investasi oleh Manajer Investasi, guna menjaga kualitas portofolio Produk Investasi dalam mendukung pencapaian kinerja investasi yang optimal.</w:t>
      </w:r>
    </w:p>
    <w:p w14:paraId="59C1B9DC" w14:textId="2C23FB6D" w:rsidR="00F5580A" w:rsidRPr="00306115" w:rsidRDefault="00F8273D">
      <w:pPr>
        <w:pStyle w:val="HeadingAwalDaftarIsiLampiran"/>
        <w:numPr>
          <w:ilvl w:val="0"/>
          <w:numId w:val="146"/>
        </w:numPr>
        <w:ind w:left="3402" w:hanging="567"/>
      </w:pPr>
      <w:r w:rsidRPr="00306115">
        <w:t>Tingkat Risiko yang akan Diambil (</w:t>
      </w:r>
      <w:r w:rsidRPr="00306115">
        <w:rPr>
          <w:i/>
          <w:iCs/>
        </w:rPr>
        <w:t>Risk Appetite</w:t>
      </w:r>
      <w:r w:rsidRPr="00306115">
        <w:t>) dan Toleransi Risiko (</w:t>
      </w:r>
      <w:r w:rsidRPr="00306115">
        <w:rPr>
          <w:i/>
          <w:iCs/>
        </w:rPr>
        <w:t>Risk Tolerance</w:t>
      </w:r>
      <w:r w:rsidRPr="00306115">
        <w:t>)</w:t>
      </w:r>
    </w:p>
    <w:p w14:paraId="4715A24D" w14:textId="75CB3916" w:rsidR="00F8273D" w:rsidRPr="00306115" w:rsidRDefault="00C051AF" w:rsidP="00F8273D">
      <w:pPr>
        <w:pStyle w:val="HeadingAwalDaftarIsiLampiran"/>
        <w:numPr>
          <w:ilvl w:val="0"/>
          <w:numId w:val="0"/>
        </w:numPr>
        <w:ind w:left="3402"/>
      </w:pPr>
      <w:r w:rsidRPr="00306115">
        <w:t>Penetapan tingkat Risiko yang akan diambil dan toleransi Risiko untuk Risiko Kredit mengacu pada cakupan penerapan secara umum sebagaimana dimaksud pada Romawi I huruf B angka 3.</w:t>
      </w:r>
    </w:p>
    <w:p w14:paraId="011D5924" w14:textId="650EDD96" w:rsidR="00112312" w:rsidRPr="00306115" w:rsidRDefault="00112312">
      <w:pPr>
        <w:pStyle w:val="HeadingAwalDaftarIsiLampiran"/>
        <w:numPr>
          <w:ilvl w:val="0"/>
          <w:numId w:val="146"/>
        </w:numPr>
        <w:ind w:left="3402" w:hanging="567"/>
      </w:pPr>
      <w:r w:rsidRPr="00306115">
        <w:t>Limit</w:t>
      </w:r>
    </w:p>
    <w:p w14:paraId="6F829AC4" w14:textId="67639AF7" w:rsidR="00112312" w:rsidRPr="00306115" w:rsidRDefault="00305749" w:rsidP="00112312">
      <w:pPr>
        <w:pStyle w:val="HeadingAwalDaftarIsiLampiran"/>
        <w:numPr>
          <w:ilvl w:val="0"/>
          <w:numId w:val="0"/>
        </w:numPr>
        <w:ind w:left="3402"/>
      </w:pPr>
      <w:r w:rsidRPr="00306115">
        <w:t>Manajer Investasi harus menetapkan limit pengelolaan investasi secara keseluruhan maupun secara spesifik pada setiap portofolio Produk Investasi yang mengandung Risiko Kredit.</w:t>
      </w:r>
    </w:p>
    <w:p w14:paraId="58B5E872" w14:textId="651E0D3E" w:rsidR="00EC203C" w:rsidRPr="00306115" w:rsidRDefault="00A741ED">
      <w:pPr>
        <w:pStyle w:val="HeadingAwalDaftarIsiLampiran"/>
        <w:numPr>
          <w:ilvl w:val="0"/>
          <w:numId w:val="143"/>
        </w:numPr>
        <w:ind w:left="2835" w:hanging="567"/>
      </w:pPr>
      <w:r w:rsidRPr="00306115">
        <w:t>Kecukupan Proses Identifikasi, Pengukuran, Pemantauan, dan Pengendalian Risiko</w:t>
      </w:r>
    </w:p>
    <w:p w14:paraId="04BDD2F7" w14:textId="50F84127" w:rsidR="006D754E" w:rsidRPr="00306115" w:rsidRDefault="00FD29C1" w:rsidP="006D754E">
      <w:pPr>
        <w:pStyle w:val="HeadingAwalDaftarIsiLampiran"/>
        <w:numPr>
          <w:ilvl w:val="0"/>
          <w:numId w:val="0"/>
        </w:numPr>
        <w:ind w:left="2835"/>
      </w:pPr>
      <w:r w:rsidRPr="00306115">
        <w:t xml:space="preserve">Dalam menerapkan Manajemen Risiko melalui proses identifikasi, pengukuran, pemantauan, dan pengendalian </w:t>
      </w:r>
      <w:r w:rsidR="000A01D4" w:rsidRPr="00306115">
        <w:t>r</w:t>
      </w:r>
      <w:r w:rsidRPr="00306115">
        <w:t>isiko, serta sistem informasi Manajemen Risiko untuk Risiko Kredit, selain melaksanakan proses sebagaimana dimaksud pada Romawi I huruf C, pada setiap proses Manajer Investasi harus menambahkan penerapan:</w:t>
      </w:r>
    </w:p>
    <w:p w14:paraId="4A9570CF" w14:textId="02D468C8" w:rsidR="00FD29C1" w:rsidRPr="00306115" w:rsidRDefault="00FD29C1">
      <w:pPr>
        <w:pStyle w:val="HeadingAwalDaftarIsiLampiran"/>
        <w:numPr>
          <w:ilvl w:val="0"/>
          <w:numId w:val="151"/>
        </w:numPr>
        <w:ind w:left="3402" w:hanging="567"/>
      </w:pPr>
      <w:r w:rsidRPr="00306115">
        <w:t>Identifikasi Risiko</w:t>
      </w:r>
    </w:p>
    <w:p w14:paraId="74CDDA45" w14:textId="1F293A16" w:rsidR="00FD29C1" w:rsidRPr="00306115" w:rsidRDefault="0073457E">
      <w:pPr>
        <w:pStyle w:val="HeadingAwalDaftarIsiLampiran"/>
        <w:numPr>
          <w:ilvl w:val="0"/>
          <w:numId w:val="152"/>
        </w:numPr>
        <w:ind w:left="3969" w:hanging="567"/>
      </w:pPr>
      <w:r w:rsidRPr="00306115">
        <w:t xml:space="preserve">Manajer Investasi harus memiliki proses identifikasi untuk Risiko Kredit yang melekat pada setiap Produk Investasi yang paling sedikit meliputi posisi terkini dari peringkat kredit, </w:t>
      </w:r>
      <w:r w:rsidRPr="00306115">
        <w:rPr>
          <w:i/>
          <w:iCs/>
        </w:rPr>
        <w:t>deliquency rate</w:t>
      </w:r>
      <w:r w:rsidRPr="00306115">
        <w:t xml:space="preserve"> dan </w:t>
      </w:r>
      <w:r w:rsidRPr="00306115">
        <w:rPr>
          <w:i/>
          <w:iCs/>
        </w:rPr>
        <w:t>default rate</w:t>
      </w:r>
      <w:r w:rsidRPr="00306115">
        <w:t>.</w:t>
      </w:r>
    </w:p>
    <w:p w14:paraId="7D80142F" w14:textId="7B4D795A" w:rsidR="0073457E" w:rsidRPr="00306115" w:rsidRDefault="006B7926">
      <w:pPr>
        <w:pStyle w:val="HeadingAwalDaftarIsiLampiran"/>
        <w:numPr>
          <w:ilvl w:val="0"/>
          <w:numId w:val="152"/>
        </w:numPr>
        <w:ind w:left="3969" w:hanging="567"/>
      </w:pPr>
      <w:r w:rsidRPr="00306115">
        <w:t>D</w:t>
      </w:r>
      <w:r w:rsidR="004A4C3B" w:rsidRPr="00306115">
        <w:t>alam melakukan identifikasi Risiko Kredit, perlu dipertimbangkan faktor yang dapat mempengaruhi tingkat Risiko Kredit pada waktu yang akan datang, seperti kemungkinan perubahan kondisi ekonomi, serta penilaian eksposur Risiko Kredit dalam kondisi tertekan.</w:t>
      </w:r>
    </w:p>
    <w:p w14:paraId="517EDA38" w14:textId="49C74EBB" w:rsidR="00FD29C1" w:rsidRPr="00306115" w:rsidRDefault="00FD29C1">
      <w:pPr>
        <w:pStyle w:val="HeadingAwalDaftarIsiLampiran"/>
        <w:numPr>
          <w:ilvl w:val="0"/>
          <w:numId w:val="151"/>
        </w:numPr>
        <w:ind w:left="3402" w:hanging="567"/>
      </w:pPr>
      <w:r w:rsidRPr="00306115">
        <w:t>Pengukuran Risiko</w:t>
      </w:r>
    </w:p>
    <w:p w14:paraId="0C0E9CBE" w14:textId="67ADF3B0" w:rsidR="001E7E81" w:rsidRPr="00306115" w:rsidRDefault="001E7E81">
      <w:pPr>
        <w:pStyle w:val="HeadingAwalDaftarIsiLampiran"/>
        <w:numPr>
          <w:ilvl w:val="0"/>
          <w:numId w:val="153"/>
        </w:numPr>
        <w:ind w:left="3969" w:hanging="567"/>
      </w:pPr>
      <w:r w:rsidRPr="00306115">
        <w:lastRenderedPageBreak/>
        <w:t xml:space="preserve">Manajer Investasi harus memiliki sistem atau metode pengukuran Risiko Kredit yang secara berkesinambungan menilai posisi, besaran eksposur, dan sensitivitas portofolio terhadap perubahan kondisi </w:t>
      </w:r>
      <w:r w:rsidRPr="00306115">
        <w:rPr>
          <w:i/>
          <w:iCs/>
        </w:rPr>
        <w:t>counterparty</w:t>
      </w:r>
      <w:r w:rsidRPr="00306115">
        <w:t xml:space="preserve">, baik dalam kondisi normal maupun kondisi </w:t>
      </w:r>
      <w:r w:rsidRPr="00306115">
        <w:rPr>
          <w:i/>
          <w:iCs/>
        </w:rPr>
        <w:t>stress</w:t>
      </w:r>
      <w:r w:rsidRPr="00306115">
        <w:t>.</w:t>
      </w:r>
    </w:p>
    <w:p w14:paraId="71AF00D8" w14:textId="57798A9B" w:rsidR="001E7E81" w:rsidRPr="00306115" w:rsidRDefault="006B7926">
      <w:pPr>
        <w:pStyle w:val="HeadingAwalDaftarIsiLampiran"/>
        <w:numPr>
          <w:ilvl w:val="0"/>
          <w:numId w:val="153"/>
        </w:numPr>
        <w:ind w:left="3969" w:hanging="567"/>
      </w:pPr>
      <w:r w:rsidRPr="00306115">
        <w:t>S</w:t>
      </w:r>
      <w:r w:rsidR="009C13EF" w:rsidRPr="00306115">
        <w:t>istem pengukuran Risiko Kredit paling sedikit mempertimbangkan</w:t>
      </w:r>
      <w:r w:rsidR="00F679D4" w:rsidRPr="00306115">
        <w:t>:</w:t>
      </w:r>
    </w:p>
    <w:p w14:paraId="26AF2076" w14:textId="753AEB1D" w:rsidR="00F679D4" w:rsidRPr="00306115" w:rsidRDefault="00C1176E">
      <w:pPr>
        <w:pStyle w:val="HeadingAwalDaftarIsiLampiran"/>
        <w:numPr>
          <w:ilvl w:val="0"/>
          <w:numId w:val="154"/>
        </w:numPr>
        <w:ind w:left="4536" w:hanging="567"/>
      </w:pPr>
      <w:r w:rsidRPr="00306115">
        <w:t>karakteristik setiap jenis portofolio Produk Investasi yang terekspos Risiko Kredit;</w:t>
      </w:r>
    </w:p>
    <w:p w14:paraId="615EF564" w14:textId="5ACE34F5" w:rsidR="00C1176E" w:rsidRPr="00306115" w:rsidRDefault="00391C41">
      <w:pPr>
        <w:pStyle w:val="HeadingAwalDaftarIsiLampiran"/>
        <w:numPr>
          <w:ilvl w:val="0"/>
          <w:numId w:val="154"/>
        </w:numPr>
        <w:ind w:left="4536" w:hanging="567"/>
      </w:pPr>
      <w:r w:rsidRPr="00306115">
        <w:t xml:space="preserve">kondisi keuangan </w:t>
      </w:r>
      <w:r w:rsidRPr="00306115">
        <w:rPr>
          <w:i/>
          <w:iCs/>
        </w:rPr>
        <w:t>counterparty</w:t>
      </w:r>
      <w:r w:rsidRPr="00306115">
        <w:t>;</w:t>
      </w:r>
    </w:p>
    <w:p w14:paraId="2D0A066F" w14:textId="602E17F8" w:rsidR="00391C41" w:rsidRPr="00306115" w:rsidRDefault="00570BE6">
      <w:pPr>
        <w:pStyle w:val="HeadingAwalDaftarIsiLampiran"/>
        <w:numPr>
          <w:ilvl w:val="0"/>
          <w:numId w:val="154"/>
        </w:numPr>
        <w:ind w:left="4536" w:hanging="567"/>
      </w:pPr>
      <w:r w:rsidRPr="00306115">
        <w:t xml:space="preserve">kemungkinan terjadinya gagal bayar, baik berdasarkan hasil penilaian perusahaan pemeringkat berupa </w:t>
      </w:r>
      <w:r w:rsidRPr="00306115">
        <w:rPr>
          <w:i/>
          <w:iCs/>
        </w:rPr>
        <w:t>rating</w:t>
      </w:r>
      <w:r w:rsidRPr="00306115">
        <w:t xml:space="preserve"> maupun hasil analisis internal; dan</w:t>
      </w:r>
    </w:p>
    <w:p w14:paraId="1D3805A7" w14:textId="0A00749B" w:rsidR="00570BE6" w:rsidRPr="00306115" w:rsidRDefault="00681475">
      <w:pPr>
        <w:pStyle w:val="HeadingAwalDaftarIsiLampiran"/>
        <w:numPr>
          <w:ilvl w:val="0"/>
          <w:numId w:val="154"/>
        </w:numPr>
        <w:ind w:left="4536" w:hanging="567"/>
      </w:pPr>
      <w:r w:rsidRPr="00306115">
        <w:t>toleransi Produk Investasi terhadap Risiko Kredit.</w:t>
      </w:r>
    </w:p>
    <w:p w14:paraId="087C1CA9" w14:textId="2207EB31" w:rsidR="00681475" w:rsidRPr="00306115" w:rsidRDefault="00E36F61">
      <w:pPr>
        <w:pStyle w:val="HeadingAwalDaftarIsiLampiran"/>
        <w:numPr>
          <w:ilvl w:val="0"/>
          <w:numId w:val="153"/>
        </w:numPr>
        <w:ind w:left="3969" w:hanging="567"/>
      </w:pPr>
      <w:r w:rsidRPr="00306115">
        <w:t>Manajer Investasi melakukan pengkinian data secara berkala atas hasil analisis internal terhadap Risiko Kredit.</w:t>
      </w:r>
    </w:p>
    <w:p w14:paraId="5102B41A" w14:textId="76954CEC" w:rsidR="00E36F61" w:rsidRPr="00306115" w:rsidRDefault="001A2544">
      <w:pPr>
        <w:pStyle w:val="HeadingAwalDaftarIsiLampiran"/>
        <w:numPr>
          <w:ilvl w:val="0"/>
          <w:numId w:val="153"/>
        </w:numPr>
        <w:ind w:left="3969" w:hanging="567"/>
      </w:pPr>
      <w:r w:rsidRPr="00306115">
        <w:t>Manajer Investasi melakukan kaji ulang atau validasi secara berkala atas data dan metode pengukuran Risiko Kredit yang digunakan, guna menjaga akurasi metode dan asumsi yang digunakan, termasuk melakukan penyempurnaan dalam hal diperlukan.</w:t>
      </w:r>
    </w:p>
    <w:p w14:paraId="30E84951" w14:textId="62D963AA" w:rsidR="001A2544" w:rsidRPr="00306115" w:rsidRDefault="001C30D6">
      <w:pPr>
        <w:pStyle w:val="HeadingAwalDaftarIsiLampiran"/>
        <w:numPr>
          <w:ilvl w:val="0"/>
          <w:numId w:val="153"/>
        </w:numPr>
        <w:ind w:left="3969" w:hanging="567"/>
      </w:pPr>
      <w:r w:rsidRPr="00306115">
        <w:t xml:space="preserve">Manajer Investasi yang menggunakan hasil analisis internal dalam pengukuran Risiko Kredit, harus menyesuaikan pendekatan, metodologi, serta parameter yang digunakan dalam analisis internal tersebut dengan karakteristik dan ukuran portofolio serta karakteristik atau kondisi </w:t>
      </w:r>
      <w:r w:rsidRPr="00306115">
        <w:rPr>
          <w:i/>
          <w:iCs/>
        </w:rPr>
        <w:t>counterparty</w:t>
      </w:r>
      <w:r w:rsidRPr="00306115">
        <w:t>.</w:t>
      </w:r>
    </w:p>
    <w:p w14:paraId="211ED622" w14:textId="178BDA66" w:rsidR="001C30D6" w:rsidRPr="00306115" w:rsidRDefault="00CC7297">
      <w:pPr>
        <w:pStyle w:val="HeadingAwalDaftarIsiLampiran"/>
        <w:numPr>
          <w:ilvl w:val="0"/>
          <w:numId w:val="153"/>
        </w:numPr>
        <w:ind w:left="3969" w:hanging="567"/>
      </w:pPr>
      <w:r w:rsidRPr="00306115">
        <w:t>Manajer Investasi</w:t>
      </w:r>
      <w:r w:rsidRPr="00306115">
        <w:rPr>
          <w:lang w:val="en-ID"/>
        </w:rPr>
        <w:t xml:space="preserve"> </w:t>
      </w:r>
      <w:r w:rsidRPr="00306115">
        <w:t>harus</w:t>
      </w:r>
      <w:r w:rsidRPr="00306115">
        <w:rPr>
          <w:lang w:val="en-ID"/>
        </w:rPr>
        <w:t xml:space="preserve"> mendokumentasikan asumsi, data, dan informasi yang digunakan pada proses pengukuran Risiko Kredit, termasuk perubahannya, serta dokumentasi tersebut selanjutnya dikinikan secara berkala.</w:t>
      </w:r>
    </w:p>
    <w:p w14:paraId="09A2F03D" w14:textId="00E459DE" w:rsidR="00FD29C1" w:rsidRPr="00306115" w:rsidRDefault="00FD29C1">
      <w:pPr>
        <w:pStyle w:val="HeadingAwalDaftarIsiLampiran"/>
        <w:numPr>
          <w:ilvl w:val="0"/>
          <w:numId w:val="151"/>
        </w:numPr>
        <w:ind w:left="3402" w:hanging="567"/>
      </w:pPr>
      <w:r w:rsidRPr="00306115">
        <w:t>Pemantauan Risiko</w:t>
      </w:r>
    </w:p>
    <w:p w14:paraId="4D5959AE" w14:textId="01D2FB62" w:rsidR="00665AD2" w:rsidRPr="00306115" w:rsidRDefault="00665AD2">
      <w:pPr>
        <w:pStyle w:val="HeadingAwalDaftarIsiLampiran"/>
        <w:numPr>
          <w:ilvl w:val="0"/>
          <w:numId w:val="155"/>
        </w:numPr>
        <w:ind w:left="3969" w:hanging="567"/>
      </w:pPr>
      <w:r w:rsidRPr="00306115">
        <w:t>Manajer</w:t>
      </w:r>
      <w:r w:rsidRPr="00306115">
        <w:rPr>
          <w:lang w:val="en-ID"/>
        </w:rPr>
        <w:t xml:space="preserve"> Investasi melakukan pemantauan terhadap kualitas efek bersifat utang dan sukuk yang menjadi </w:t>
      </w:r>
      <w:r w:rsidRPr="00306115">
        <w:rPr>
          <w:i/>
          <w:iCs/>
          <w:lang w:val="en-ID"/>
        </w:rPr>
        <w:t>underlying</w:t>
      </w:r>
      <w:r w:rsidRPr="00306115">
        <w:rPr>
          <w:lang w:val="en-ID"/>
        </w:rPr>
        <w:t xml:space="preserve"> portofolio, baik secara total maupun pada masing-masing Produk Investasi. Pemantauan juga dilakukan untuk melihat kondisi </w:t>
      </w:r>
      <w:r w:rsidRPr="00306115">
        <w:rPr>
          <w:i/>
          <w:iCs/>
          <w:lang w:val="en-ID"/>
        </w:rPr>
        <w:t>counterparty</w:t>
      </w:r>
      <w:r w:rsidRPr="00306115">
        <w:rPr>
          <w:lang w:val="en-ID"/>
        </w:rPr>
        <w:t>, ekonomi, dan industri.</w:t>
      </w:r>
    </w:p>
    <w:p w14:paraId="6AE22C86" w14:textId="30E567F2" w:rsidR="00665AD2" w:rsidRPr="00306115" w:rsidRDefault="006B7926">
      <w:pPr>
        <w:pStyle w:val="HeadingAwalDaftarIsiLampiran"/>
        <w:numPr>
          <w:ilvl w:val="0"/>
          <w:numId w:val="155"/>
        </w:numPr>
        <w:ind w:left="3969" w:hanging="567"/>
      </w:pPr>
      <w:r w:rsidRPr="00306115">
        <w:t>M</w:t>
      </w:r>
      <w:r w:rsidR="00B6247A" w:rsidRPr="00306115">
        <w:t>etode</w:t>
      </w:r>
      <w:r w:rsidR="00B6247A" w:rsidRPr="00306115">
        <w:rPr>
          <w:lang w:val="en-ID"/>
        </w:rPr>
        <w:t xml:space="preserve"> pemantauan Risiko Kredit harus mampu mengidentifikasi portofolio bermasalah untuk memastikan bahwa portofolio yang bermasalah tersebut </w:t>
      </w:r>
      <w:r w:rsidR="00B6247A" w:rsidRPr="00306115">
        <w:rPr>
          <w:lang w:val="en-ID"/>
        </w:rPr>
        <w:lastRenderedPageBreak/>
        <w:t>ditindaklanjuti dengan langkah korektif yang diperlukan.</w:t>
      </w:r>
    </w:p>
    <w:p w14:paraId="59BAA460" w14:textId="6C03FBA5" w:rsidR="00B6247A" w:rsidRPr="00306115" w:rsidRDefault="000733D2">
      <w:pPr>
        <w:pStyle w:val="HeadingAwalDaftarIsiLampiran"/>
        <w:numPr>
          <w:ilvl w:val="0"/>
          <w:numId w:val="155"/>
        </w:numPr>
        <w:ind w:left="3969" w:hanging="567"/>
      </w:pPr>
      <w:r w:rsidRPr="00306115">
        <w:t>Manajer</w:t>
      </w:r>
      <w:r w:rsidRPr="00306115">
        <w:rPr>
          <w:lang w:val="en-ID"/>
        </w:rPr>
        <w:t xml:space="preserve"> Investasi melakukan pemantauan terhadap kepatuhan limit terkait Risiko Kredit secara berkala sesuai kebijakan dan/atau strategi Manajemen Risiko.</w:t>
      </w:r>
    </w:p>
    <w:p w14:paraId="4AF82534" w14:textId="7D1DBB99" w:rsidR="00FD29C1" w:rsidRPr="00306115" w:rsidRDefault="00FD29C1">
      <w:pPr>
        <w:pStyle w:val="HeadingAwalDaftarIsiLampiran"/>
        <w:numPr>
          <w:ilvl w:val="0"/>
          <w:numId w:val="151"/>
        </w:numPr>
        <w:ind w:left="3402" w:hanging="567"/>
      </w:pPr>
      <w:r w:rsidRPr="00306115">
        <w:t>Pengendalian Risiko</w:t>
      </w:r>
    </w:p>
    <w:p w14:paraId="2FE6324B" w14:textId="5CC95034" w:rsidR="008E505D" w:rsidRPr="00306115" w:rsidRDefault="006B7926">
      <w:pPr>
        <w:pStyle w:val="HeadingAwalDaftarIsiLampiran"/>
        <w:numPr>
          <w:ilvl w:val="0"/>
          <w:numId w:val="156"/>
        </w:numPr>
        <w:ind w:left="3969" w:hanging="567"/>
      </w:pPr>
      <w:r w:rsidRPr="00306115">
        <w:rPr>
          <w:lang w:val="en-ID"/>
        </w:rPr>
        <w:t>M</w:t>
      </w:r>
      <w:r w:rsidR="00BA3FCB" w:rsidRPr="00306115">
        <w:rPr>
          <w:lang w:val="en-ID"/>
        </w:rPr>
        <w:t>anajemen, komite, fungsi dan/atau unit kerja terkait harus mengambil langkah-langkah dalam rangka pengendalian Risiko Kredit termasuk pencegahan terjadinya kerugian atau potensi kerugian yang lebih besar.</w:t>
      </w:r>
    </w:p>
    <w:p w14:paraId="119D58E6" w14:textId="2D6DAC9B" w:rsidR="00BA3FCB" w:rsidRPr="00306115" w:rsidRDefault="006B7926">
      <w:pPr>
        <w:pStyle w:val="HeadingAwalDaftarIsiLampiran"/>
        <w:numPr>
          <w:ilvl w:val="0"/>
          <w:numId w:val="156"/>
        </w:numPr>
        <w:ind w:left="3969" w:hanging="567"/>
      </w:pPr>
      <w:r w:rsidRPr="00306115">
        <w:rPr>
          <w:lang w:val="en-ID"/>
        </w:rPr>
        <w:t>D</w:t>
      </w:r>
      <w:r w:rsidR="001945E8" w:rsidRPr="00306115">
        <w:rPr>
          <w:lang w:val="en-ID"/>
        </w:rPr>
        <w:t xml:space="preserve">alam rangka pengendalian Risiko Kredit, </w:t>
      </w:r>
      <w:r w:rsidR="001945E8" w:rsidRPr="00306115">
        <w:t>Manajer Investasi</w:t>
      </w:r>
      <w:r w:rsidR="001945E8" w:rsidRPr="00306115">
        <w:rPr>
          <w:lang w:val="en-ID"/>
        </w:rPr>
        <w:t xml:space="preserve"> harus memastikan bahwa pelaksanaan transaksi yang terekspos Risiko Kredit dijaga tetap konsisten dengan limit yang ditetapkan.</w:t>
      </w:r>
    </w:p>
    <w:p w14:paraId="2B287081" w14:textId="04704635" w:rsidR="001945E8" w:rsidRPr="00306115" w:rsidRDefault="004B6EB0">
      <w:pPr>
        <w:pStyle w:val="HeadingAwalDaftarIsiLampiran"/>
        <w:numPr>
          <w:ilvl w:val="0"/>
          <w:numId w:val="156"/>
        </w:numPr>
        <w:ind w:left="3969" w:hanging="567"/>
      </w:pPr>
      <w:r w:rsidRPr="00306115">
        <w:t>Manajer</w:t>
      </w:r>
      <w:r w:rsidRPr="00306115">
        <w:rPr>
          <w:lang w:val="en-ID"/>
        </w:rPr>
        <w:t xml:space="preserve"> Investasi melakukan kaji ulang secara berkala terhadap kondisi, kredibilitas, dan kemampuan membayar kembali </w:t>
      </w:r>
      <w:r w:rsidRPr="00306115">
        <w:rPr>
          <w:i/>
          <w:iCs/>
          <w:lang w:val="en-ID"/>
        </w:rPr>
        <w:t>counterparty</w:t>
      </w:r>
      <w:r w:rsidRPr="00306115">
        <w:rPr>
          <w:lang w:val="en-ID"/>
        </w:rPr>
        <w:t xml:space="preserve"> dalam rangka penyesuaian kembali strategi investasi.</w:t>
      </w:r>
    </w:p>
    <w:p w14:paraId="69EA464C" w14:textId="7F06B132" w:rsidR="00FD29C1" w:rsidRPr="00306115" w:rsidRDefault="00FD29C1">
      <w:pPr>
        <w:pStyle w:val="HeadingAwalDaftarIsiLampiran"/>
        <w:numPr>
          <w:ilvl w:val="0"/>
          <w:numId w:val="151"/>
        </w:numPr>
        <w:ind w:left="3402" w:hanging="567"/>
      </w:pPr>
      <w:r w:rsidRPr="00306115">
        <w:t>Sistem Informasi Manajemen Risiko</w:t>
      </w:r>
    </w:p>
    <w:p w14:paraId="2D202728" w14:textId="5E3A77E5" w:rsidR="008B6926" w:rsidRPr="00306115" w:rsidRDefault="008B6926" w:rsidP="008B6926">
      <w:pPr>
        <w:pStyle w:val="HeadingAwalDaftarIsiLampiran"/>
        <w:numPr>
          <w:ilvl w:val="0"/>
          <w:numId w:val="0"/>
        </w:numPr>
        <w:ind w:left="3402"/>
      </w:pPr>
      <w:r w:rsidRPr="00306115">
        <w:rPr>
          <w:lang w:val="en-ID"/>
        </w:rPr>
        <w:t xml:space="preserve">Sistem informasi Manajemen Risiko untuk Risiko Kredit paling sedikit harus dapat menyediakan data terkait Risiko Kredit beserta eksposurnya secara akurat, lengkap, informatif, dan tepat waktu, dengan memantau perubahan kualitas efek bersifat utang dan sukuk yang menjadi </w:t>
      </w:r>
      <w:r w:rsidRPr="00306115">
        <w:rPr>
          <w:i/>
          <w:iCs/>
          <w:lang w:val="en-ID"/>
        </w:rPr>
        <w:t>underlying</w:t>
      </w:r>
      <w:r w:rsidRPr="00306115">
        <w:rPr>
          <w:lang w:val="en-ID"/>
        </w:rPr>
        <w:t xml:space="preserve"> portofolio dalam periode yang dibutuhkan, dan dapat digunakan untuk memperkirakan potensi kerugian pada masa depan.</w:t>
      </w:r>
    </w:p>
    <w:p w14:paraId="32EEF24B" w14:textId="335F4AF5" w:rsidR="00A741ED" w:rsidRPr="00306115" w:rsidRDefault="00600905">
      <w:pPr>
        <w:pStyle w:val="HeadingAwalDaftarIsiLampiran"/>
        <w:numPr>
          <w:ilvl w:val="0"/>
          <w:numId w:val="143"/>
        </w:numPr>
        <w:ind w:left="2835" w:hanging="567"/>
      </w:pPr>
      <w:r w:rsidRPr="00306115">
        <w:t>Sistem Pengendalian Internal yang Menyeluruh</w:t>
      </w:r>
    </w:p>
    <w:p w14:paraId="23EB037F" w14:textId="3EC8D0E9" w:rsidR="00283701" w:rsidRPr="00306115" w:rsidRDefault="00283701" w:rsidP="00283701">
      <w:pPr>
        <w:pStyle w:val="HeadingAwalDaftarIsiLampiran"/>
        <w:numPr>
          <w:ilvl w:val="0"/>
          <w:numId w:val="0"/>
        </w:numPr>
        <w:ind w:left="2835"/>
      </w:pPr>
      <w:r w:rsidRPr="00306115">
        <w:t>Dalam melakukan penerapan Manajemen Risiko melalui pelaksanaan sistem pengendalian internal untuk Risiko Kredit, selain melaksanakan pengendalian internal sebagaimana dimaksud pada Romawi I huruf D, Manajer Investasi juga harus memiliki:</w:t>
      </w:r>
    </w:p>
    <w:p w14:paraId="7E07DC80" w14:textId="2D4B88FD" w:rsidR="00283701" w:rsidRPr="00306115" w:rsidRDefault="00877157">
      <w:pPr>
        <w:pStyle w:val="HeadingAwalDaftarIsiLampiran"/>
        <w:numPr>
          <w:ilvl w:val="0"/>
          <w:numId w:val="157"/>
        </w:numPr>
        <w:ind w:left="3402" w:hanging="567"/>
      </w:pPr>
      <w:r w:rsidRPr="00306115">
        <w:rPr>
          <w:lang w:val="en-ID"/>
        </w:rPr>
        <w:t>sistem</w:t>
      </w:r>
      <w:r w:rsidRPr="00306115">
        <w:t xml:space="preserve"> kaji ulang dilakukan secara berkala dan berkesinambungan terhadap efektivitas penerapan proses Manajemen Risiko untuk Risiko Kredit, termasuk menilai kesesuaian aktivitas pengelolaan investasi dengan kebijakan dan prosedur yang telah ditetapkan;</w:t>
      </w:r>
    </w:p>
    <w:p w14:paraId="20EF6BE5" w14:textId="77777777" w:rsidR="002119F6" w:rsidRPr="00306115" w:rsidRDefault="002119F6">
      <w:pPr>
        <w:pStyle w:val="HeadingAwalDaftarIsiLampiran"/>
        <w:numPr>
          <w:ilvl w:val="0"/>
          <w:numId w:val="157"/>
        </w:numPr>
        <w:ind w:left="3402" w:hanging="567"/>
      </w:pPr>
      <w:r w:rsidRPr="00306115">
        <w:rPr>
          <w:lang w:val="en-ID"/>
        </w:rPr>
        <w:t>audit internal atas proses Risiko Kredit dilakukan secara periodik, yang antara lain mencakup identifikasi:</w:t>
      </w:r>
    </w:p>
    <w:p w14:paraId="720DA7A0" w14:textId="034FFED8" w:rsidR="00877157" w:rsidRPr="00306115" w:rsidRDefault="006E27F3">
      <w:pPr>
        <w:pStyle w:val="HeadingAwalDaftarIsiLampiran"/>
        <w:numPr>
          <w:ilvl w:val="0"/>
          <w:numId w:val="158"/>
        </w:numPr>
        <w:ind w:left="3969" w:hanging="567"/>
      </w:pPr>
      <w:r w:rsidRPr="00306115">
        <w:rPr>
          <w:lang w:val="en-ID"/>
        </w:rPr>
        <w:t>kesesuaian aktivitas pengelolaan investasi dengan kebijakan dan prosedur yang ditetapkan;</w:t>
      </w:r>
    </w:p>
    <w:p w14:paraId="57AC7698" w14:textId="7A59B653" w:rsidR="006E27F3" w:rsidRPr="00306115" w:rsidRDefault="00F002DD">
      <w:pPr>
        <w:pStyle w:val="HeadingAwalDaftarIsiLampiran"/>
        <w:numPr>
          <w:ilvl w:val="0"/>
          <w:numId w:val="158"/>
        </w:numPr>
        <w:ind w:left="3969" w:hanging="567"/>
      </w:pPr>
      <w:r w:rsidRPr="00306115">
        <w:rPr>
          <w:lang w:val="en-ID"/>
        </w:rPr>
        <w:t>pelaksanaan seluruh otorisasi dalam batas panduan yang diberikan;</w:t>
      </w:r>
    </w:p>
    <w:p w14:paraId="512D5A90" w14:textId="457B0808" w:rsidR="00F002DD" w:rsidRPr="00306115" w:rsidRDefault="00100205">
      <w:pPr>
        <w:pStyle w:val="HeadingAwalDaftarIsiLampiran"/>
        <w:numPr>
          <w:ilvl w:val="0"/>
          <w:numId w:val="158"/>
        </w:numPr>
        <w:ind w:left="3969" w:hanging="567"/>
      </w:pPr>
      <w:r w:rsidRPr="00306115">
        <w:rPr>
          <w:lang w:val="en-ID"/>
        </w:rPr>
        <w:lastRenderedPageBreak/>
        <w:t xml:space="preserve">kelemahan dalam proses Manajemen Risiko untuk Risiko Kredit, kebijakan dan </w:t>
      </w:r>
      <w:r w:rsidRPr="00306115">
        <w:t>prosedur</w:t>
      </w:r>
      <w:r w:rsidRPr="00306115">
        <w:rPr>
          <w:lang w:val="en-ID"/>
        </w:rPr>
        <w:t>, termasuk setiap pengecualian terhadap kebijakan dan prosedur Manajemen Risiko serta penetapan limit risiko; dan</w:t>
      </w:r>
    </w:p>
    <w:p w14:paraId="60142EFB" w14:textId="2B546DEF" w:rsidR="00100205" w:rsidRPr="00306115" w:rsidRDefault="00A054E2">
      <w:pPr>
        <w:pStyle w:val="HeadingAwalDaftarIsiLampiran"/>
        <w:numPr>
          <w:ilvl w:val="0"/>
          <w:numId w:val="158"/>
        </w:numPr>
        <w:ind w:left="3969" w:hanging="567"/>
      </w:pPr>
      <w:r w:rsidRPr="00306115">
        <w:rPr>
          <w:lang w:val="en-ID"/>
        </w:rPr>
        <w:t>kepatuhan terhadap limit Risiko Kredit.</w:t>
      </w:r>
    </w:p>
    <w:p w14:paraId="6D5D1A9C" w14:textId="40533E12" w:rsidR="00A054E2" w:rsidRPr="00306115" w:rsidRDefault="00694470">
      <w:pPr>
        <w:pStyle w:val="HeadingAwalDaftarIsiLampiran"/>
        <w:numPr>
          <w:ilvl w:val="0"/>
          <w:numId w:val="157"/>
        </w:numPr>
        <w:ind w:left="3402" w:hanging="567"/>
      </w:pPr>
      <w:r w:rsidRPr="00306115">
        <w:rPr>
          <w:lang w:val="en-ID"/>
        </w:rPr>
        <w:t>fungsi atau unit yang melakukan validasi terhadap metode pengukuran Risiko Kredit harus independen terhadap fungsi atau unit yang melakukan pengembangan metode pengukuran Risiko Kredit.</w:t>
      </w:r>
    </w:p>
    <w:p w14:paraId="42383B5F" w14:textId="4B76AD97" w:rsidR="001C3A6C" w:rsidRPr="00306115" w:rsidRDefault="001C3A6C">
      <w:pPr>
        <w:pStyle w:val="HeadingAwalDaftarIsiLampiran"/>
        <w:numPr>
          <w:ilvl w:val="0"/>
          <w:numId w:val="81"/>
        </w:numPr>
        <w:ind w:left="1701" w:hanging="567"/>
      </w:pPr>
      <w:r w:rsidRPr="00306115">
        <w:t>Risiko Konsentrasi Portofolio Efek</w:t>
      </w:r>
    </w:p>
    <w:p w14:paraId="62AE481E" w14:textId="57BACC9E" w:rsidR="00A778DC" w:rsidRPr="00306115" w:rsidRDefault="00A778DC">
      <w:pPr>
        <w:pStyle w:val="HeadingAwalDaftarIsiLampiran"/>
        <w:numPr>
          <w:ilvl w:val="0"/>
          <w:numId w:val="86"/>
        </w:numPr>
        <w:ind w:left="2268" w:hanging="567"/>
      </w:pPr>
      <w:r w:rsidRPr="00306115">
        <w:t>Tujuan</w:t>
      </w:r>
    </w:p>
    <w:p w14:paraId="4EBC6393" w14:textId="0A6FD6A2" w:rsidR="00673851" w:rsidRPr="00306115" w:rsidRDefault="00673851" w:rsidP="00673851">
      <w:pPr>
        <w:pStyle w:val="HeadingAwalDaftarIsiLampiran"/>
        <w:numPr>
          <w:ilvl w:val="0"/>
          <w:numId w:val="0"/>
        </w:numPr>
        <w:ind w:left="2268"/>
      </w:pPr>
      <w:r w:rsidRPr="00306115">
        <w:t>Tujuan utama Manajemen Risiko untuk Risiko Konsentrasi Portofolio Efek adalah untuk meminimalkan kemungkinan tingkat eksposur yang tinggi pada satu jenis aset atau instrumen yang diterbitkan entitas tertentu.</w:t>
      </w:r>
    </w:p>
    <w:p w14:paraId="6337DAFC" w14:textId="4391BA5B" w:rsidR="00A778DC" w:rsidRPr="00306115" w:rsidRDefault="00A778DC">
      <w:pPr>
        <w:pStyle w:val="HeadingAwalDaftarIsiLampiran"/>
        <w:numPr>
          <w:ilvl w:val="0"/>
          <w:numId w:val="86"/>
        </w:numPr>
        <w:ind w:left="2268" w:hanging="567"/>
      </w:pPr>
      <w:r w:rsidRPr="00306115">
        <w:t>Penerapan Manajemen Risiko</w:t>
      </w:r>
    </w:p>
    <w:p w14:paraId="38E059F8" w14:textId="270C8319" w:rsidR="00E60F4E" w:rsidRPr="00306115" w:rsidRDefault="00E60F4E" w:rsidP="00E60F4E">
      <w:pPr>
        <w:pStyle w:val="HeadingAwalDaftarIsiLampiran"/>
        <w:numPr>
          <w:ilvl w:val="0"/>
          <w:numId w:val="0"/>
        </w:numPr>
        <w:ind w:left="2268"/>
      </w:pPr>
      <w:r w:rsidRPr="00306115">
        <w:t>Penerapan Manajemen Risiko untuk Risiko Konsentrasi Portofolio Efek disesuaikan dengan ukuran,  kompleksitas usaha, dan kemampuan Manajer Investasi. Secara umum dalam prinsip penerapan Manajemen Risiko untuk Risiko Konsentrasi Portofolio Efek paling sedikit mencakup:</w:t>
      </w:r>
    </w:p>
    <w:p w14:paraId="07181C04" w14:textId="6B70F09D" w:rsidR="00E60F4E" w:rsidRPr="00306115" w:rsidRDefault="00E60F4E">
      <w:pPr>
        <w:pStyle w:val="HeadingAwalDaftarIsiLampiran"/>
        <w:numPr>
          <w:ilvl w:val="0"/>
          <w:numId w:val="159"/>
        </w:numPr>
        <w:ind w:left="2835" w:hanging="567"/>
      </w:pPr>
      <w:r w:rsidRPr="00306115">
        <w:t>Pengawasan Aktif Direksi dan Dewan Komisaris</w:t>
      </w:r>
    </w:p>
    <w:p w14:paraId="251CF9A6" w14:textId="3659728E" w:rsidR="004B3864" w:rsidRPr="00306115" w:rsidRDefault="000758D4" w:rsidP="004B3864">
      <w:pPr>
        <w:pStyle w:val="HeadingAwalDaftarIsiLampiran"/>
        <w:numPr>
          <w:ilvl w:val="0"/>
          <w:numId w:val="0"/>
        </w:numPr>
        <w:ind w:left="2835"/>
      </w:pPr>
      <w:r w:rsidRPr="00306115">
        <w:t>Dalam melakukan penerapan Manajemen Risiko melalui pengawasan aktif Direksi dan Dewan Komisaris untuk Risiko Konsentrasi Portofolio Efek, selain melaksanakan pengawasan aktif sebagaimana dimaksud Romawi I huruf A, Manajer Investasi harus menambahkan penerapan:</w:t>
      </w:r>
    </w:p>
    <w:p w14:paraId="09098B3F" w14:textId="7B611110" w:rsidR="00D318A5" w:rsidRPr="00306115" w:rsidRDefault="00D318A5">
      <w:pPr>
        <w:pStyle w:val="HeadingAwalDaftarIsiLampiran"/>
        <w:numPr>
          <w:ilvl w:val="0"/>
          <w:numId w:val="160"/>
        </w:numPr>
        <w:ind w:left="3402" w:hanging="567"/>
      </w:pPr>
      <w:r w:rsidRPr="00306115">
        <w:t>Kewenangan dan Tanggung Jawab Direksi dan Dewan Komisaris</w:t>
      </w:r>
    </w:p>
    <w:p w14:paraId="5BCB4CA6" w14:textId="28582AAA" w:rsidR="000758D4" w:rsidRPr="00306115" w:rsidRDefault="00E263D3">
      <w:pPr>
        <w:pStyle w:val="HeadingAwalDaftarIsiLampiran"/>
        <w:numPr>
          <w:ilvl w:val="0"/>
          <w:numId w:val="161"/>
        </w:numPr>
        <w:ind w:left="3969" w:hanging="567"/>
      </w:pPr>
      <w:r w:rsidRPr="00306115">
        <w:t xml:space="preserve">Direksi bertanggungjawab memastikan bahwa aktivitas pengelolaan investasi dilakukan sesuai dengan strategi dan kebijakan konsentrasi portofolio </w:t>
      </w:r>
      <w:r w:rsidR="00E97FF6" w:rsidRPr="00306115">
        <w:t>Ef</w:t>
      </w:r>
      <w:r w:rsidRPr="00306115">
        <w:t>ek yang disetujui oleh Dewan Komisaris</w:t>
      </w:r>
      <w:r w:rsidR="00E97FF6" w:rsidRPr="00306115">
        <w:t>.</w:t>
      </w:r>
    </w:p>
    <w:p w14:paraId="07878F4A" w14:textId="6EB8D119" w:rsidR="00E97FF6" w:rsidRPr="00306115" w:rsidRDefault="00076C48">
      <w:pPr>
        <w:pStyle w:val="HeadingAwalDaftarIsiLampiran"/>
        <w:numPr>
          <w:ilvl w:val="0"/>
          <w:numId w:val="161"/>
        </w:numPr>
        <w:ind w:left="3969" w:hanging="567"/>
      </w:pPr>
      <w:r w:rsidRPr="00306115">
        <w:rPr>
          <w:lang w:val="en-ID"/>
        </w:rPr>
        <w:t>Direksi</w:t>
      </w:r>
      <w:r w:rsidRPr="00306115">
        <w:t xml:space="preserve"> harus memastikan bahwa penerapan Manajemen Risiko atas Risiko Konsentrasi Portofolio Efek dilakukan secara efektif, dan memastikan bahwa tidak terdapat kecenderungan investasi yang terfokus pada aset, atau instrumen pada sektor atau yang diterbitkan entitas tertentu, yang dapat menimbulkan konsentrasi portofolio yang tidak sejalan dengan kebijakan Risiko Konsentrasi Portofolio Efek, serta memastikan bahwa proses pemilihan </w:t>
      </w:r>
      <w:r w:rsidRPr="00306115">
        <w:rPr>
          <w:i/>
          <w:iCs/>
        </w:rPr>
        <w:t>underlying</w:t>
      </w:r>
      <w:r w:rsidRPr="00306115">
        <w:t xml:space="preserve"> Efek dilakukan secara objektif dan menghindari potensi benturan kepentingan dengan  Produk Investasi yang dikelola Manajer Investasi.</w:t>
      </w:r>
    </w:p>
    <w:p w14:paraId="3952A7E9" w14:textId="6EB03ECD" w:rsidR="00076C48" w:rsidRPr="00306115" w:rsidRDefault="00D318A5">
      <w:pPr>
        <w:pStyle w:val="HeadingAwalDaftarIsiLampiran"/>
        <w:numPr>
          <w:ilvl w:val="0"/>
          <w:numId w:val="161"/>
        </w:numPr>
        <w:ind w:left="3969" w:hanging="567"/>
      </w:pPr>
      <w:r w:rsidRPr="00306115">
        <w:t xml:space="preserve">Dewan Komisaris melakukan pengawasan terhadap kecukupan pelaksanaan </w:t>
      </w:r>
      <w:r w:rsidRPr="00306115">
        <w:lastRenderedPageBreak/>
        <w:t xml:space="preserve">Manajemen Risiko untuk Risiko Konsentrasi Portofolio Efek, dan memberikan rekomendasi perbaikan dalam hal terdapat indikasi adanya kecenderungan konsentrasi berlebihan atau indikasi adanya konflik internal dalam proses pemilihan </w:t>
      </w:r>
      <w:r w:rsidRPr="00306115">
        <w:rPr>
          <w:i/>
          <w:iCs/>
        </w:rPr>
        <w:t>underlying</w:t>
      </w:r>
      <w:r w:rsidRPr="00306115">
        <w:t xml:space="preserve"> Efek dan/atau atas keputusan investasi yang berpotensi menimbulkan Risiko Konsentrasi Portofolio Efek.</w:t>
      </w:r>
    </w:p>
    <w:p w14:paraId="3FE6BFF0" w14:textId="7FBFB0E9" w:rsidR="00D318A5" w:rsidRPr="00306115" w:rsidRDefault="00F700A1">
      <w:pPr>
        <w:pStyle w:val="HeadingAwalDaftarIsiLampiran"/>
        <w:numPr>
          <w:ilvl w:val="0"/>
          <w:numId w:val="160"/>
        </w:numPr>
        <w:ind w:left="3402" w:hanging="567"/>
      </w:pPr>
      <w:r w:rsidRPr="00306115">
        <w:t>Sumber Daya Manusia</w:t>
      </w:r>
    </w:p>
    <w:p w14:paraId="7B7D3C86" w14:textId="391BFB84" w:rsidR="00F700A1" w:rsidRPr="00306115" w:rsidRDefault="002E4D6B" w:rsidP="00F700A1">
      <w:pPr>
        <w:pStyle w:val="HeadingAwalDaftarIsiLampiran"/>
        <w:numPr>
          <w:ilvl w:val="0"/>
          <w:numId w:val="0"/>
        </w:numPr>
        <w:ind w:left="3402"/>
      </w:pPr>
      <w:r w:rsidRPr="00306115">
        <w:t xml:space="preserve">Kecukupan sumber daya manusia untuk Risiko Konsentrasi Portofolio Efek mengacu pada cakupan penerapan secara umum sebagaimana </w:t>
      </w:r>
      <w:r w:rsidR="001B660B" w:rsidRPr="00306115">
        <w:t xml:space="preserve">dimaksud </w:t>
      </w:r>
      <w:r w:rsidRPr="00306115">
        <w:t xml:space="preserve">pada butir </w:t>
      </w:r>
      <w:r w:rsidR="001B660B" w:rsidRPr="00306115">
        <w:t>Romawi I huruf A angka 2.</w:t>
      </w:r>
    </w:p>
    <w:p w14:paraId="35B60B27" w14:textId="03310783" w:rsidR="001B660B" w:rsidRPr="00306115" w:rsidRDefault="00DC5B21">
      <w:pPr>
        <w:pStyle w:val="HeadingAwalDaftarIsiLampiran"/>
        <w:numPr>
          <w:ilvl w:val="0"/>
          <w:numId w:val="160"/>
        </w:numPr>
        <w:ind w:left="3402" w:hanging="567"/>
      </w:pPr>
      <w:r w:rsidRPr="00306115">
        <w:rPr>
          <w:lang w:val="en-ID"/>
        </w:rPr>
        <w:t>Organisasi</w:t>
      </w:r>
      <w:r w:rsidRPr="00306115">
        <w:t xml:space="preserve"> Manajemen Risiko</w:t>
      </w:r>
    </w:p>
    <w:p w14:paraId="2987648D" w14:textId="087B7C72" w:rsidR="00DC5B21" w:rsidRPr="00306115" w:rsidRDefault="009303E6" w:rsidP="00DC5B21">
      <w:pPr>
        <w:pStyle w:val="HeadingAwalDaftarIsiLampiran"/>
        <w:numPr>
          <w:ilvl w:val="0"/>
          <w:numId w:val="0"/>
        </w:numPr>
        <w:ind w:left="3402"/>
      </w:pPr>
      <w:r w:rsidRPr="00306115">
        <w:t xml:space="preserve">Manajer Investasi harus memastikan adanya koordinasi yang efektif antara komite investasi dan/atau tim pengelola investasi dengan fungsi yang bertanggung jawab atas penerapan Manajemen Risiko untuk Risiko Konsentrasi Portofolio Efek, guna memastikan bahwa setiap keputusan investasi dan penetapan konsentrasi portofolio Efek sejalan dengan kebijakan, limit, serta </w:t>
      </w:r>
      <w:r w:rsidRPr="00306115">
        <w:rPr>
          <w:i/>
          <w:iCs/>
        </w:rPr>
        <w:t>risk appetite</w:t>
      </w:r>
      <w:r w:rsidRPr="00306115">
        <w:t xml:space="preserve"> yang telah ditetapkan.</w:t>
      </w:r>
    </w:p>
    <w:p w14:paraId="2FDFB54E" w14:textId="40F5A5D3" w:rsidR="00E60F4E" w:rsidRPr="00306115" w:rsidRDefault="006F4D21">
      <w:pPr>
        <w:pStyle w:val="HeadingAwalDaftarIsiLampiran"/>
        <w:numPr>
          <w:ilvl w:val="0"/>
          <w:numId w:val="159"/>
        </w:numPr>
        <w:ind w:left="2835" w:hanging="567"/>
      </w:pPr>
      <w:r w:rsidRPr="00306115">
        <w:t>Kecukupan Kebijakan dan Prosedur Manajemen Risiko</w:t>
      </w:r>
    </w:p>
    <w:p w14:paraId="23911628" w14:textId="1D83A4A1" w:rsidR="00244B66" w:rsidRPr="00306115" w:rsidRDefault="00244B66" w:rsidP="00244B66">
      <w:pPr>
        <w:pStyle w:val="HeadingAwalDaftarIsiLampiran"/>
        <w:numPr>
          <w:ilvl w:val="0"/>
          <w:numId w:val="0"/>
        </w:numPr>
        <w:ind w:left="2835"/>
      </w:pPr>
      <w:r w:rsidRPr="00306115">
        <w:t xml:space="preserve">Dalam melaksanakan kebijakan dan prosedur Manajemen Risiko serta penetapan limit risiko untuk Risiko Konsentrasi Portofolio Efek, selain melaksanakan kebijakan dan prosedur Manajemen Risiko serta penetapan limit risiko sebagaimana dimaksud Romawi I huruf B, Manajer Investasi </w:t>
      </w:r>
      <w:r w:rsidR="002A68DE" w:rsidRPr="00306115">
        <w:t xml:space="preserve">harus </w:t>
      </w:r>
      <w:r w:rsidRPr="00306115">
        <w:t>menambahkan penerapan</w:t>
      </w:r>
      <w:r w:rsidR="002D7A76" w:rsidRPr="00306115">
        <w:t>:</w:t>
      </w:r>
    </w:p>
    <w:p w14:paraId="64BAD573" w14:textId="359CE6F3" w:rsidR="00652F7C" w:rsidRPr="00306115" w:rsidRDefault="002D7A76">
      <w:pPr>
        <w:pStyle w:val="HeadingAwalDaftarIsiLampiran"/>
        <w:numPr>
          <w:ilvl w:val="0"/>
          <w:numId w:val="162"/>
        </w:numPr>
        <w:ind w:left="3402" w:hanging="567"/>
      </w:pPr>
      <w:r w:rsidRPr="00306115">
        <w:t>Kebijakan dan Prosedur</w:t>
      </w:r>
    </w:p>
    <w:p w14:paraId="550A8F30" w14:textId="468632C6" w:rsidR="00652F7C" w:rsidRPr="00306115" w:rsidRDefault="006B7926">
      <w:pPr>
        <w:pStyle w:val="HeadingAwalDaftarIsiLampiran"/>
        <w:numPr>
          <w:ilvl w:val="0"/>
          <w:numId w:val="163"/>
        </w:numPr>
        <w:ind w:left="3969" w:hanging="567"/>
      </w:pPr>
      <w:r w:rsidRPr="00306115">
        <w:t>K</w:t>
      </w:r>
      <w:r w:rsidR="00A41BFA" w:rsidRPr="00306115">
        <w:t>ebijakan dan prosedur pengelolaan konsentrasi portofolio Efek paling sedikit meliputi:</w:t>
      </w:r>
    </w:p>
    <w:p w14:paraId="55B48253" w14:textId="57C26DB0" w:rsidR="00A41BFA" w:rsidRPr="00306115" w:rsidRDefault="00B379EF">
      <w:pPr>
        <w:pStyle w:val="HeadingAwalDaftarIsiLampiran"/>
        <w:numPr>
          <w:ilvl w:val="0"/>
          <w:numId w:val="164"/>
        </w:numPr>
        <w:ind w:left="4536" w:hanging="567"/>
      </w:pPr>
      <w:r w:rsidRPr="00306115">
        <w:t>batasan konsentrasi, yang mencakup batas konsentrasi per sektor atau kelompok industri, persentase maksimum portofolio yang dapat diinvestasikan pada satu Efek atau penerbit tertentu; dan</w:t>
      </w:r>
    </w:p>
    <w:p w14:paraId="1145BF5B" w14:textId="2ACB473A" w:rsidR="00B379EF" w:rsidRPr="00306115" w:rsidRDefault="009E7BB3">
      <w:pPr>
        <w:pStyle w:val="HeadingAwalDaftarIsiLampiran"/>
        <w:numPr>
          <w:ilvl w:val="0"/>
          <w:numId w:val="164"/>
        </w:numPr>
        <w:ind w:left="4536" w:hanging="567"/>
      </w:pPr>
      <w:r w:rsidRPr="00306115">
        <w:t>strategi diversifikasi, yang menggambarkan penyebaran investasi pada berbagai jenis aset atau instrumen untuk mengurangi Risiko Konsentrasi Portofolio Efek.</w:t>
      </w:r>
    </w:p>
    <w:p w14:paraId="4AA43BE5" w14:textId="098AEB47" w:rsidR="009E7BB3" w:rsidRPr="00306115" w:rsidRDefault="006B7926">
      <w:pPr>
        <w:pStyle w:val="HeadingAwalDaftarIsiLampiran"/>
        <w:numPr>
          <w:ilvl w:val="0"/>
          <w:numId w:val="163"/>
        </w:numPr>
        <w:ind w:left="3969" w:hanging="567"/>
      </w:pPr>
      <w:r w:rsidRPr="00306115">
        <w:t>P</w:t>
      </w:r>
      <w:r w:rsidR="00E62BAA" w:rsidRPr="00306115">
        <w:t>enetapan indikator yang berfungsi sebagai indikator peringatan dini (</w:t>
      </w:r>
      <w:r w:rsidR="00E62BAA" w:rsidRPr="00306115">
        <w:rPr>
          <w:i/>
          <w:iCs/>
        </w:rPr>
        <w:t>early warning indicators</w:t>
      </w:r>
      <w:r w:rsidR="00E62BAA" w:rsidRPr="00306115">
        <w:t xml:space="preserve">) untuk Risiko Konsentrasi Portofolio Efek, yang dapat mencerminkan rasio eksposur terhadap beberapa kepemilikan terbesar dalam portofolio </w:t>
      </w:r>
      <w:r w:rsidR="00E62BAA" w:rsidRPr="00306115">
        <w:lastRenderedPageBreak/>
        <w:t>dibandingkan dengan ambang batas (</w:t>
      </w:r>
      <w:r w:rsidR="00E62BAA" w:rsidRPr="00306115">
        <w:rPr>
          <w:i/>
          <w:iCs/>
        </w:rPr>
        <w:t>threshold</w:t>
      </w:r>
      <w:r w:rsidR="00E62BAA" w:rsidRPr="00306115">
        <w:t>) yang ditetapkan.</w:t>
      </w:r>
    </w:p>
    <w:p w14:paraId="10E5C2DF" w14:textId="31DA7795" w:rsidR="002D7A76" w:rsidRPr="00306115" w:rsidRDefault="002D7A76">
      <w:pPr>
        <w:pStyle w:val="HeadingAwalDaftarIsiLampiran"/>
        <w:numPr>
          <w:ilvl w:val="0"/>
          <w:numId w:val="162"/>
        </w:numPr>
        <w:ind w:left="3402" w:hanging="567"/>
      </w:pPr>
      <w:r w:rsidRPr="00306115">
        <w:t>Strategi Manajemen Risiko</w:t>
      </w:r>
    </w:p>
    <w:p w14:paraId="65D0AE52" w14:textId="4B2D10D3" w:rsidR="000226E0" w:rsidRPr="00306115" w:rsidRDefault="006B7926">
      <w:pPr>
        <w:pStyle w:val="HeadingAwalDaftarIsiLampiran"/>
        <w:numPr>
          <w:ilvl w:val="0"/>
          <w:numId w:val="165"/>
        </w:numPr>
        <w:ind w:left="3969" w:hanging="567"/>
      </w:pPr>
      <w:r w:rsidRPr="00306115">
        <w:t>S</w:t>
      </w:r>
      <w:r w:rsidR="00314F78" w:rsidRPr="00306115">
        <w:t>trategi Manajemen Risiko untuk Risiko Konsentrasi Portofolio Efek harus mencakup strategi untuk seluruh Produk Investasi yang memuat secara jelas arah pengelolaan investasi, termasuk penetapan batasan konsentrasi, serta penggunaan analisis risiko dan skenario untuk menilai potensi dampak konsentrasi dalam pengelolaan Produk Investasi.</w:t>
      </w:r>
    </w:p>
    <w:p w14:paraId="107F6115" w14:textId="414CFC2E" w:rsidR="00314F78" w:rsidRPr="00306115" w:rsidRDefault="006B7926">
      <w:pPr>
        <w:pStyle w:val="HeadingAwalDaftarIsiLampiran"/>
        <w:numPr>
          <w:ilvl w:val="0"/>
          <w:numId w:val="165"/>
        </w:numPr>
        <w:ind w:left="3969" w:hanging="567"/>
      </w:pPr>
      <w:r w:rsidRPr="00306115">
        <w:t xml:space="preserve">Strategi </w:t>
      </w:r>
      <w:r w:rsidR="00F96B2B" w:rsidRPr="00306115">
        <w:t>Manajemen Risiko untuk Risiko Konsentrasi Portofolio Efek harus sejalan dengan profil risiko dan tujuan investasi masing-masing Produk Investasi, guna mencapai kinerja Produk Investasi yang optimal dan berkesinambungan.</w:t>
      </w:r>
    </w:p>
    <w:p w14:paraId="629A56D9" w14:textId="16693C5B" w:rsidR="002D7A76" w:rsidRPr="00306115" w:rsidRDefault="00652F7C">
      <w:pPr>
        <w:pStyle w:val="HeadingAwalDaftarIsiLampiran"/>
        <w:numPr>
          <w:ilvl w:val="0"/>
          <w:numId w:val="162"/>
        </w:numPr>
        <w:ind w:left="3402" w:hanging="567"/>
      </w:pPr>
      <w:r w:rsidRPr="00306115">
        <w:rPr>
          <w:lang w:val="en-ID"/>
        </w:rPr>
        <w:t>Tingkat</w:t>
      </w:r>
      <w:r w:rsidRPr="00306115">
        <w:t xml:space="preserve"> Risiko yang akan Diambil (</w:t>
      </w:r>
      <w:r w:rsidRPr="00306115">
        <w:rPr>
          <w:i/>
          <w:iCs/>
        </w:rPr>
        <w:t>Risk Appetite</w:t>
      </w:r>
      <w:r w:rsidRPr="00306115">
        <w:t>) dan Toleransi Risiko (</w:t>
      </w:r>
      <w:r w:rsidRPr="00306115">
        <w:rPr>
          <w:i/>
          <w:iCs/>
        </w:rPr>
        <w:t>Risk Tolerance</w:t>
      </w:r>
      <w:r w:rsidRPr="00306115">
        <w:t>)</w:t>
      </w:r>
    </w:p>
    <w:p w14:paraId="1584CE4D" w14:textId="64F66CF1" w:rsidR="009E7341" w:rsidRPr="00306115" w:rsidRDefault="009E7341" w:rsidP="009E7341">
      <w:pPr>
        <w:pStyle w:val="HeadingAwalDaftarIsiLampiran"/>
        <w:numPr>
          <w:ilvl w:val="0"/>
          <w:numId w:val="0"/>
        </w:numPr>
        <w:ind w:left="3402"/>
      </w:pPr>
      <w:r w:rsidRPr="00306115">
        <w:t>Penetapan tingkat risiko yang akan diambil dan toleransi risiko untuk Risiko Konsentrasi Portofolio Efek mengacu pada cakupan penerapan secara umum sebagaimana dimaksud pada Romawi I huruf B angka 3.</w:t>
      </w:r>
    </w:p>
    <w:p w14:paraId="6EB84185" w14:textId="419DC373" w:rsidR="00652F7C" w:rsidRPr="00306115" w:rsidRDefault="00652F7C">
      <w:pPr>
        <w:pStyle w:val="HeadingAwalDaftarIsiLampiran"/>
        <w:numPr>
          <w:ilvl w:val="0"/>
          <w:numId w:val="162"/>
        </w:numPr>
        <w:ind w:left="3402" w:hanging="567"/>
      </w:pPr>
      <w:r w:rsidRPr="00306115">
        <w:t>Limit</w:t>
      </w:r>
    </w:p>
    <w:p w14:paraId="7B347BFF" w14:textId="18DFEBF7" w:rsidR="00FF3122" w:rsidRPr="00306115" w:rsidRDefault="00FF3122" w:rsidP="00FF3122">
      <w:pPr>
        <w:pStyle w:val="HeadingAwalDaftarIsiLampiran"/>
        <w:numPr>
          <w:ilvl w:val="0"/>
          <w:numId w:val="0"/>
        </w:numPr>
        <w:ind w:left="3402"/>
      </w:pPr>
      <w:r w:rsidRPr="00306115">
        <w:t>Manajer Investasi harus menetapkan limit Risiko Konsentrasi Portofolio Efek untuk seluruh aktivitas pengelolaan investasi, baik pada tingkat masing-masing Produk Investasi maupun secara terintegrasi pada tingkat Manajer Investasi</w:t>
      </w:r>
      <w:r w:rsidR="00176FC5" w:rsidRPr="00306115">
        <w:t>.</w:t>
      </w:r>
    </w:p>
    <w:p w14:paraId="0AEF16A3" w14:textId="6A7BF97A" w:rsidR="006F4D21" w:rsidRPr="00306115" w:rsidRDefault="00D03F81">
      <w:pPr>
        <w:pStyle w:val="HeadingAwalDaftarIsiLampiran"/>
        <w:numPr>
          <w:ilvl w:val="0"/>
          <w:numId w:val="159"/>
        </w:numPr>
        <w:ind w:left="2835" w:hanging="567"/>
      </w:pPr>
      <w:r w:rsidRPr="00306115">
        <w:t>Kecukupan Proses Identifikasi, Pengukuran, Pemantauan, dan Pengendalian</w:t>
      </w:r>
    </w:p>
    <w:p w14:paraId="52BBA927" w14:textId="22AEF2C9" w:rsidR="00FC5E2C" w:rsidRPr="00306115" w:rsidRDefault="00F476D7" w:rsidP="00FC5E2C">
      <w:pPr>
        <w:pStyle w:val="HeadingAwalDaftarIsiLampiran"/>
        <w:numPr>
          <w:ilvl w:val="0"/>
          <w:numId w:val="0"/>
        </w:numPr>
        <w:ind w:left="2835"/>
      </w:pPr>
      <w:r w:rsidRPr="00306115">
        <w:t xml:space="preserve">Dalam menerapkan Manajemen Risiko melalui proses identifikasi, pengukuran, pemantauan, dan pengendalian </w:t>
      </w:r>
      <w:r w:rsidR="000A01D4" w:rsidRPr="00306115">
        <w:t>r</w:t>
      </w:r>
      <w:r w:rsidRPr="00306115">
        <w:t xml:space="preserve">isiko, serta sistem informasi Manajemen Risiko untuk Risiko </w:t>
      </w:r>
      <w:r w:rsidR="00E111DA" w:rsidRPr="00306115">
        <w:t>Konsentrasi Portofolio Efek</w:t>
      </w:r>
      <w:r w:rsidRPr="00306115">
        <w:t>, selain melaksanakan proses sebagaimana dimaksud pada Romawi I huruf C, pada setiap proses Manajer Investasi harus menambahkan penerapan:</w:t>
      </w:r>
    </w:p>
    <w:p w14:paraId="48F10E03" w14:textId="20DA072B" w:rsidR="00E111DA" w:rsidRPr="00306115" w:rsidRDefault="00E111DA">
      <w:pPr>
        <w:pStyle w:val="HeadingAwalDaftarIsiLampiran"/>
        <w:numPr>
          <w:ilvl w:val="0"/>
          <w:numId w:val="166"/>
        </w:numPr>
        <w:ind w:left="3402" w:hanging="567"/>
      </w:pPr>
      <w:r w:rsidRPr="00306115">
        <w:t xml:space="preserve">Identifikasi </w:t>
      </w:r>
      <w:r w:rsidR="0081056B" w:rsidRPr="00306115">
        <w:t>Risiko</w:t>
      </w:r>
    </w:p>
    <w:p w14:paraId="614D5700" w14:textId="0127BC11" w:rsidR="00885109" w:rsidRPr="00306115" w:rsidRDefault="006B7926">
      <w:pPr>
        <w:pStyle w:val="HeadingAwalDaftarIsiLampiran"/>
        <w:numPr>
          <w:ilvl w:val="0"/>
          <w:numId w:val="167"/>
        </w:numPr>
        <w:ind w:left="3969" w:hanging="567"/>
      </w:pPr>
      <w:r w:rsidRPr="00306115">
        <w:t>D</w:t>
      </w:r>
      <w:r w:rsidR="00561A81" w:rsidRPr="00306115">
        <w:t>alam rangka melakukan identifikasi Risiko Konsentrasi Portofolio Efek, Manajer Investasi harus melakukan analisa terhadap komposisi portofolio baik untuk setiap Produk Investasi maupun keseluruhan Produk Investasi yang dikelola Manajer Investasi.</w:t>
      </w:r>
    </w:p>
    <w:p w14:paraId="79C0B8CD" w14:textId="371EFF4A" w:rsidR="00561A81" w:rsidRPr="00306115" w:rsidRDefault="006B7926">
      <w:pPr>
        <w:pStyle w:val="HeadingAwalDaftarIsiLampiran"/>
        <w:numPr>
          <w:ilvl w:val="0"/>
          <w:numId w:val="167"/>
        </w:numPr>
        <w:ind w:left="3969" w:hanging="567"/>
      </w:pPr>
      <w:r w:rsidRPr="00306115">
        <w:t>I</w:t>
      </w:r>
      <w:r w:rsidR="006A5278" w:rsidRPr="00306115">
        <w:t>dentifikasi Risiko Konsentrasi Portofolio Efek dilakukan dari berbagai perspektif, antara lain berdasarkan entitas penerbit, sektor atau kelompok industri, jenis aset atau instrumen, serta faktor lain yang relevan dengan karakteristik portofolio.</w:t>
      </w:r>
    </w:p>
    <w:p w14:paraId="5FF4B3D0" w14:textId="47167BA3" w:rsidR="00885109" w:rsidRPr="00306115" w:rsidRDefault="00885109">
      <w:pPr>
        <w:pStyle w:val="HeadingAwalDaftarIsiLampiran"/>
        <w:numPr>
          <w:ilvl w:val="0"/>
          <w:numId w:val="166"/>
        </w:numPr>
        <w:ind w:left="3402" w:hanging="567"/>
      </w:pPr>
      <w:r w:rsidRPr="00306115">
        <w:lastRenderedPageBreak/>
        <w:t>Pengukuran Risiko</w:t>
      </w:r>
    </w:p>
    <w:p w14:paraId="3F1BD80D" w14:textId="7BA0144F" w:rsidR="005A39E1" w:rsidRPr="00306115" w:rsidRDefault="005A39E1">
      <w:pPr>
        <w:pStyle w:val="HeadingAwalDaftarIsiLampiran"/>
        <w:numPr>
          <w:ilvl w:val="0"/>
          <w:numId w:val="168"/>
        </w:numPr>
        <w:ind w:left="3969" w:hanging="567"/>
      </w:pPr>
      <w:r w:rsidRPr="00306115">
        <w:t>Manajer Investasi harus memiliki metode dan/atau alat pengukuran yang dapat mengkuantifikasi Risiko Konsentrasi Portofolio Efek secara tepat waktu dan komprehensif, baik untuk setiap Produk Investasi maupun secara agregat atas keseluruhan Produk Investasi yang dikelola Manajer Investasi</w:t>
      </w:r>
      <w:r w:rsidR="00DA3594" w:rsidRPr="00306115">
        <w:t>.</w:t>
      </w:r>
    </w:p>
    <w:p w14:paraId="4D338FD6" w14:textId="4491FC20" w:rsidR="00DA3594" w:rsidRPr="00306115" w:rsidRDefault="00DA3594" w:rsidP="00DA3594">
      <w:pPr>
        <w:pStyle w:val="HeadingAwalDaftarIsiLampiran"/>
        <w:numPr>
          <w:ilvl w:val="0"/>
          <w:numId w:val="0"/>
        </w:numPr>
        <w:ind w:left="3969"/>
      </w:pPr>
      <w:r w:rsidRPr="00306115">
        <w:t>Metode dan/atau alat pengukuran tersebut harus dapat digunakan untuk mengukur tingkat Risiko Konsentrasi Portofolio Efek antara lain dengan menggunakan indikator seperti proporsi eksposur terhadap instrumen atau entitas tertentu terhadap total portofolio Produk Investasi, atau indikator lain yang relevan sesuai dengan karakteristik portofolio.</w:t>
      </w:r>
    </w:p>
    <w:p w14:paraId="32B595AB" w14:textId="7B24E7FF" w:rsidR="00DA3594" w:rsidRPr="00306115" w:rsidRDefault="00784F86">
      <w:pPr>
        <w:pStyle w:val="HeadingAwalDaftarIsiLampiran"/>
        <w:numPr>
          <w:ilvl w:val="0"/>
          <w:numId w:val="168"/>
        </w:numPr>
        <w:ind w:left="3969" w:hanging="567"/>
      </w:pPr>
      <w:r w:rsidRPr="00306115">
        <w:t>Manajer Investasi melakukan kaji ulang atau validasi atas data dan metode pengukuran Risiko Konsentrasi Portofolio Efek yang digunakan, termasuk melakukan penyempurnaan dalam hal diperlukan.</w:t>
      </w:r>
    </w:p>
    <w:p w14:paraId="63B02914" w14:textId="2DD09503" w:rsidR="00885109" w:rsidRPr="00306115" w:rsidRDefault="00885109">
      <w:pPr>
        <w:pStyle w:val="HeadingAwalDaftarIsiLampiran"/>
        <w:numPr>
          <w:ilvl w:val="0"/>
          <w:numId w:val="166"/>
        </w:numPr>
        <w:ind w:left="3402" w:hanging="567"/>
        <w:rPr>
          <w:strike/>
        </w:rPr>
      </w:pPr>
      <w:r w:rsidRPr="00306115">
        <w:t>Pemantauan Risiko</w:t>
      </w:r>
    </w:p>
    <w:p w14:paraId="392FD509" w14:textId="3D0E3363" w:rsidR="004C4F29" w:rsidRPr="00306115" w:rsidRDefault="004C4F29" w:rsidP="004C4F29">
      <w:pPr>
        <w:pStyle w:val="HeadingAwalDaftarIsiLampiran"/>
        <w:numPr>
          <w:ilvl w:val="0"/>
          <w:numId w:val="0"/>
        </w:numPr>
        <w:ind w:left="3402"/>
      </w:pPr>
      <w:r w:rsidRPr="00306115">
        <w:t>Pemantauan Risiko Konsentrasi Portofolio Efek harus dilakukan secara berkala dan sistematis. Manajer Investasi perlu memantau perubahan komposisi portofolio untuk mendeteksi peningkatan konsentrasi yang mungkin timbul, memantau kepatuhan terhadap limit yang telah ditetapkan, dan memastikan adanya tindak lanjut yang memadai dalam hal terjadi pelampauan atau potensi pelampauan limit</w:t>
      </w:r>
      <w:r w:rsidR="003B17AD" w:rsidRPr="00306115">
        <w:t>.</w:t>
      </w:r>
    </w:p>
    <w:p w14:paraId="183E5276" w14:textId="0721F705" w:rsidR="00885109" w:rsidRPr="00306115" w:rsidRDefault="00885109">
      <w:pPr>
        <w:pStyle w:val="HeadingAwalDaftarIsiLampiran"/>
        <w:numPr>
          <w:ilvl w:val="0"/>
          <w:numId w:val="166"/>
        </w:numPr>
        <w:ind w:left="3402" w:hanging="567"/>
      </w:pPr>
      <w:r w:rsidRPr="00306115">
        <w:t>Pengendalian Risiko</w:t>
      </w:r>
    </w:p>
    <w:p w14:paraId="2587F997" w14:textId="6F274CD5" w:rsidR="003B17AD" w:rsidRPr="00306115" w:rsidRDefault="0016683D">
      <w:pPr>
        <w:pStyle w:val="HeadingAwalDaftarIsiLampiran"/>
        <w:numPr>
          <w:ilvl w:val="0"/>
          <w:numId w:val="169"/>
        </w:numPr>
        <w:ind w:left="3969" w:hanging="567"/>
      </w:pPr>
      <w:r w:rsidRPr="00306115">
        <w:t>P</w:t>
      </w:r>
      <w:r w:rsidR="00B1493A" w:rsidRPr="00306115">
        <w:t>engendalian</w:t>
      </w:r>
      <w:r w:rsidR="00B1493A" w:rsidRPr="00306115">
        <w:rPr>
          <w:lang w:val="en-ID"/>
        </w:rPr>
        <w:t xml:space="preserve"> Risiko </w:t>
      </w:r>
      <w:r w:rsidR="00B1493A" w:rsidRPr="00306115">
        <w:t>Konsentrasi</w:t>
      </w:r>
      <w:r w:rsidR="00B1493A" w:rsidRPr="00306115">
        <w:rPr>
          <w:lang w:val="en-ID"/>
        </w:rPr>
        <w:t xml:space="preserve"> Portofolio Efek harus mencakup penerapan kebijakan limit eksposur pada jenis aset atau instrumen dan entitas penerbit tertentu.</w:t>
      </w:r>
    </w:p>
    <w:p w14:paraId="0511E923" w14:textId="20F72031" w:rsidR="00B1493A" w:rsidRPr="00306115" w:rsidRDefault="0016683D">
      <w:pPr>
        <w:pStyle w:val="HeadingAwalDaftarIsiLampiran"/>
        <w:numPr>
          <w:ilvl w:val="0"/>
          <w:numId w:val="169"/>
        </w:numPr>
        <w:ind w:left="3969" w:hanging="567"/>
      </w:pPr>
      <w:r w:rsidRPr="00306115">
        <w:t>D</w:t>
      </w:r>
      <w:r w:rsidR="00377768" w:rsidRPr="00306115">
        <w:t>alam</w:t>
      </w:r>
      <w:r w:rsidR="00377768" w:rsidRPr="00306115">
        <w:rPr>
          <w:lang w:val="en-ID"/>
        </w:rPr>
        <w:t xml:space="preserve"> hal indikator Risiko Konsentrasi Portofolio Efek menunjukkan peningkatan konsentrasi yang mendekati atau melampaui limit yang ditetapkan, Manajer Investasi harus melakukan </w:t>
      </w:r>
      <w:r w:rsidR="00377768" w:rsidRPr="00306115">
        <w:rPr>
          <w:i/>
          <w:iCs/>
          <w:lang w:val="en-ID"/>
        </w:rPr>
        <w:t>rebalancing</w:t>
      </w:r>
      <w:r w:rsidR="00377768" w:rsidRPr="00306115">
        <w:rPr>
          <w:lang w:val="en-ID"/>
        </w:rPr>
        <w:t xml:space="preserve"> portofolio, pembatasan penambahan eksposur, dan/atau tindakan manajerial lain yang diperlukan, untuk memastikan bahwa Risiko Konsentrasi Portofolio Efek kembali berada dalam batas yang dapat diterima.</w:t>
      </w:r>
    </w:p>
    <w:p w14:paraId="01A063B4" w14:textId="6D0254E7" w:rsidR="00885109" w:rsidRPr="00306115" w:rsidRDefault="00885109">
      <w:pPr>
        <w:pStyle w:val="HeadingAwalDaftarIsiLampiran"/>
        <w:numPr>
          <w:ilvl w:val="0"/>
          <w:numId w:val="166"/>
        </w:numPr>
        <w:ind w:left="3402" w:hanging="567"/>
      </w:pPr>
      <w:r w:rsidRPr="00306115">
        <w:t>Sistem Informasi Manajemen Risiko</w:t>
      </w:r>
    </w:p>
    <w:p w14:paraId="1F0ACA06" w14:textId="3C027A57" w:rsidR="00377768" w:rsidRPr="00306115" w:rsidRDefault="001B6F1B">
      <w:pPr>
        <w:pStyle w:val="HeadingAwalDaftarIsiLampiran"/>
        <w:numPr>
          <w:ilvl w:val="0"/>
          <w:numId w:val="170"/>
        </w:numPr>
        <w:ind w:left="3969" w:hanging="567"/>
      </w:pPr>
      <w:r w:rsidRPr="00306115">
        <w:t xml:space="preserve">Manajer Investasi harus memiliki sistem informasi Manajemen Risiko yang memadai dan andal untuk mendukung pelaksanaan proses identifikasi, pengukuran, pemantauan, dan pengendalian, serta pelaporan Risiko Konsentrasi Portofolio </w:t>
      </w:r>
      <w:r w:rsidRPr="00306115">
        <w:lastRenderedPageBreak/>
        <w:t>Efek, baik untuk setiap Produk Investasi maupun secara agregat atas keseluruhan Produk Investasi yang dikelola Manajer Investasi.</w:t>
      </w:r>
    </w:p>
    <w:p w14:paraId="41A5DA52" w14:textId="24190162" w:rsidR="001B6F1B" w:rsidRPr="00306115" w:rsidRDefault="0016683D">
      <w:pPr>
        <w:pStyle w:val="HeadingAwalDaftarIsiLampiran"/>
        <w:numPr>
          <w:ilvl w:val="0"/>
          <w:numId w:val="170"/>
        </w:numPr>
        <w:ind w:left="3969" w:hanging="567"/>
      </w:pPr>
      <w:r w:rsidRPr="00306115">
        <w:t>S</w:t>
      </w:r>
      <w:r w:rsidR="001C5480" w:rsidRPr="00306115">
        <w:t>istem informasi Manajemen Risiko Konsentrasi Portofolio Efek paling sedikit harus dapat mengkuantifikasi eksposur risiko, dan terintegrasi dengan sistem perdagangan atau transaksi Efek yang dimiliki Manajer Investasi, sehingga data dan informasi yang digunakan untuk pengelolaan Risiko Konsentrasi Portofolio Efek konsisten, akurat, dan dapat dipercaya.</w:t>
      </w:r>
    </w:p>
    <w:p w14:paraId="31EF9453" w14:textId="4AB98F15" w:rsidR="001C5480" w:rsidRPr="00306115" w:rsidRDefault="0087207F">
      <w:pPr>
        <w:pStyle w:val="HeadingAwalDaftarIsiLampiran"/>
        <w:numPr>
          <w:ilvl w:val="0"/>
          <w:numId w:val="170"/>
        </w:numPr>
        <w:ind w:left="3969" w:hanging="567"/>
      </w:pPr>
      <w:r w:rsidRPr="00306115">
        <w:t>Manajer Investasi harus melakukan evaluasi secara berkala terhadap kecukupan dan efektivitas sistem informasi Manajemen Risiko Konsentrasi Portofolio Efek, termasuk kesesuaian struktur data, metodologi perhitungan, dan laporan yang dihasilkan dengan kompleksitas portofolio dan profil Risiko Konsentrasi Portofolio Efek.</w:t>
      </w:r>
    </w:p>
    <w:p w14:paraId="7FB10CA6" w14:textId="066602DF" w:rsidR="00D03F81" w:rsidRPr="00306115" w:rsidRDefault="004B3864">
      <w:pPr>
        <w:pStyle w:val="HeadingAwalDaftarIsiLampiran"/>
        <w:numPr>
          <w:ilvl w:val="0"/>
          <w:numId w:val="159"/>
        </w:numPr>
        <w:ind w:left="2835" w:hanging="567"/>
      </w:pPr>
      <w:r w:rsidRPr="00306115">
        <w:t>Sistem Pengendalian Internal Menyeluruh</w:t>
      </w:r>
    </w:p>
    <w:p w14:paraId="0F9B7A87" w14:textId="4B82CBE2" w:rsidR="009F6E92" w:rsidRPr="00306115" w:rsidRDefault="009F6E92" w:rsidP="009F6E92">
      <w:pPr>
        <w:pStyle w:val="HeadingAwalDaftarIsiLampiran"/>
        <w:numPr>
          <w:ilvl w:val="0"/>
          <w:numId w:val="0"/>
        </w:numPr>
        <w:ind w:left="2835"/>
      </w:pPr>
      <w:r w:rsidRPr="00306115">
        <w:t>Dalam melakukan penerapan Manajemen Risiko melalui pelaksanaan sistem pengendalian internal untuk Risiko Konsentrasi Portofolio Efek, selain melaksanakan pengendalian internal sebagaimana dimaksud pada Romawi I huruf D, Manajer Investasi juga harus memiliki:</w:t>
      </w:r>
    </w:p>
    <w:p w14:paraId="3BC68BFD" w14:textId="5B9A75BC" w:rsidR="009F6E92" w:rsidRPr="00306115" w:rsidRDefault="005C66E3">
      <w:pPr>
        <w:pStyle w:val="HeadingAwalDaftarIsiLampiran"/>
        <w:numPr>
          <w:ilvl w:val="0"/>
          <w:numId w:val="171"/>
        </w:numPr>
        <w:ind w:left="3402" w:hanging="567"/>
      </w:pPr>
      <w:r w:rsidRPr="00306115">
        <w:rPr>
          <w:lang w:val="en-ID"/>
        </w:rPr>
        <w:t>sistem</w:t>
      </w:r>
      <w:r w:rsidRPr="00306115">
        <w:t xml:space="preserve"> pengendalian internal yang memadai untuk memastikan bahwa transaksi dan keputusan pengelolaan portofolio yang berpotensi menimbulkan Risiko Konsentrasi Portofolio Efek dilaksanakan sesuai dengan kebijakan, prosedur, dan limit konsentrasi yang telah ditetapkan.</w:t>
      </w:r>
    </w:p>
    <w:p w14:paraId="3661EF1F" w14:textId="09140223" w:rsidR="005C66E3" w:rsidRPr="00306115" w:rsidRDefault="000C58E3">
      <w:pPr>
        <w:pStyle w:val="HeadingAwalDaftarIsiLampiran"/>
        <w:numPr>
          <w:ilvl w:val="0"/>
          <w:numId w:val="171"/>
        </w:numPr>
        <w:ind w:left="3402" w:hanging="567"/>
      </w:pPr>
      <w:r w:rsidRPr="00306115">
        <w:rPr>
          <w:lang w:val="en-ID"/>
        </w:rPr>
        <w:t>mekanisme</w:t>
      </w:r>
      <w:r w:rsidRPr="00306115">
        <w:t xml:space="preserve"> untuk menindaklanjuti hasil pemantauan dan penilaian atas sistem pengendalian internal Manajemen Risiko untuk Risiko Konsentrasi Portofolio Efek, termasuk temuan terkait peningkatan konsentrasi, pelampauan atau potensi pelampauan limit konsentrasi, serta rekomendasi perbaikan dari fungsi Manajemen Risiko dan audit internal.</w:t>
      </w:r>
    </w:p>
    <w:p w14:paraId="51D34602" w14:textId="4CF7B52F" w:rsidR="005F58E5" w:rsidRPr="00306115" w:rsidRDefault="005F58E5">
      <w:pPr>
        <w:pStyle w:val="HeadingAwalDaftarIsiLampiran"/>
        <w:numPr>
          <w:ilvl w:val="0"/>
          <w:numId w:val="80"/>
        </w:numPr>
        <w:ind w:left="1134" w:hanging="567"/>
      </w:pPr>
      <w:r w:rsidRPr="00306115">
        <w:t>Risiko pada Manajer Investasi</w:t>
      </w:r>
    </w:p>
    <w:p w14:paraId="2A80F72F" w14:textId="3C34A8A3" w:rsidR="001C3A6C" w:rsidRPr="00306115" w:rsidRDefault="001C3A6C">
      <w:pPr>
        <w:pStyle w:val="HeadingAwalDaftarIsiLampiran"/>
        <w:numPr>
          <w:ilvl w:val="0"/>
          <w:numId w:val="82"/>
        </w:numPr>
        <w:ind w:left="1701" w:hanging="567"/>
      </w:pPr>
      <w:r w:rsidRPr="00306115">
        <w:t>Risiko Operasional</w:t>
      </w:r>
    </w:p>
    <w:p w14:paraId="2C44FDAA" w14:textId="2CFDB24A" w:rsidR="00A778DC" w:rsidRPr="00306115" w:rsidRDefault="00A778DC">
      <w:pPr>
        <w:pStyle w:val="HeadingAwalDaftarIsiLampiran"/>
        <w:numPr>
          <w:ilvl w:val="0"/>
          <w:numId w:val="87"/>
        </w:numPr>
        <w:ind w:left="2268" w:hanging="567"/>
      </w:pPr>
      <w:r w:rsidRPr="00306115">
        <w:t>Tujuan</w:t>
      </w:r>
    </w:p>
    <w:p w14:paraId="5CBCA63D" w14:textId="735D1A8A" w:rsidR="00BE7FE9" w:rsidRPr="00306115" w:rsidRDefault="00BE7FE9" w:rsidP="00BE7FE9">
      <w:pPr>
        <w:pStyle w:val="HeadingAwalDaftarIsiLampiran"/>
        <w:numPr>
          <w:ilvl w:val="0"/>
          <w:numId w:val="0"/>
        </w:numPr>
        <w:ind w:left="2268"/>
      </w:pPr>
      <w:r w:rsidRPr="00306115">
        <w:t>Tujuan utama Manajemen Risiko untuk Risiko Operasional adalah untuk meminimalkan kemungkinan dampak negatif dari tidak berfungsinya proses internal, kesalahan manusia, kegagalan sistem, serta teknologi informasi.</w:t>
      </w:r>
    </w:p>
    <w:p w14:paraId="6919364C" w14:textId="505D9883" w:rsidR="00A778DC" w:rsidRPr="00306115" w:rsidRDefault="00A778DC">
      <w:pPr>
        <w:pStyle w:val="HeadingAwalDaftarIsiLampiran"/>
        <w:numPr>
          <w:ilvl w:val="0"/>
          <w:numId w:val="87"/>
        </w:numPr>
        <w:ind w:left="2268" w:hanging="567"/>
      </w:pPr>
      <w:r w:rsidRPr="00306115">
        <w:t>Penerapan Manajemen Risiko</w:t>
      </w:r>
    </w:p>
    <w:p w14:paraId="6C130F7B" w14:textId="2133CB12" w:rsidR="00860D2F" w:rsidRPr="00306115" w:rsidRDefault="00860D2F" w:rsidP="00860D2F">
      <w:pPr>
        <w:pStyle w:val="HeadingAwalDaftarIsiLampiran"/>
        <w:numPr>
          <w:ilvl w:val="0"/>
          <w:numId w:val="0"/>
        </w:numPr>
        <w:ind w:left="2268"/>
      </w:pPr>
      <w:r w:rsidRPr="00306115">
        <w:t xml:space="preserve">Penerapan Manajemen Risiko untuk Risiko Operasional disesuaikan dengan ukuran,  kompleksitas usaha, dan </w:t>
      </w:r>
      <w:r w:rsidRPr="00306115">
        <w:lastRenderedPageBreak/>
        <w:t>kemampuan</w:t>
      </w:r>
      <w:r w:rsidRPr="00306115">
        <w:rPr>
          <w:b/>
          <w:bCs/>
          <w:i/>
          <w:iCs/>
        </w:rPr>
        <w:t xml:space="preserve"> </w:t>
      </w:r>
      <w:r w:rsidRPr="00306115">
        <w:t>Manajer Investasi. Secara umum dalam prinsip penerapan Manajemen Risiko untuk Risiko Operasional</w:t>
      </w:r>
      <w:r w:rsidR="00F96CC1" w:rsidRPr="00306115">
        <w:t xml:space="preserve">, </w:t>
      </w:r>
      <w:r w:rsidRPr="00306115">
        <w:t>paling sedikit mencakup:</w:t>
      </w:r>
    </w:p>
    <w:p w14:paraId="0EB1DDFA" w14:textId="038DA1EA" w:rsidR="00860D2F" w:rsidRPr="00306115" w:rsidRDefault="00860D2F">
      <w:pPr>
        <w:pStyle w:val="HeadingAwalDaftarIsiLampiran"/>
        <w:numPr>
          <w:ilvl w:val="0"/>
          <w:numId w:val="172"/>
        </w:numPr>
        <w:ind w:left="2835" w:hanging="567"/>
      </w:pPr>
      <w:r w:rsidRPr="00306115">
        <w:t>Pengawasan Aktif Direksi dan Dewan Komisaris</w:t>
      </w:r>
    </w:p>
    <w:p w14:paraId="212718DE" w14:textId="2780D894" w:rsidR="00994436" w:rsidRPr="00306115" w:rsidRDefault="00994436" w:rsidP="00994436">
      <w:pPr>
        <w:pStyle w:val="HeadingAwalDaftarIsiLampiran"/>
        <w:numPr>
          <w:ilvl w:val="0"/>
          <w:numId w:val="0"/>
        </w:numPr>
        <w:ind w:left="2835"/>
      </w:pPr>
      <w:r w:rsidRPr="00306115">
        <w:t xml:space="preserve">Dalam melakukan penerapan Manajemen Risiko melalui pengawasan aktif Direksi dan Dewan Komisaris untuk Risiko Operasional, selain melaksanakan pengawasan aktif sebagaimana dimaksud </w:t>
      </w:r>
      <w:r w:rsidR="004647CC" w:rsidRPr="00306115">
        <w:t xml:space="preserve">pada </w:t>
      </w:r>
      <w:r w:rsidR="002D32E5" w:rsidRPr="00306115">
        <w:t>Romawi I huruf A</w:t>
      </w:r>
      <w:r w:rsidRPr="00306115">
        <w:t>, Manajer Investasi harus menambahkan penerapan</w:t>
      </w:r>
      <w:r w:rsidR="00AD3EB8" w:rsidRPr="00306115">
        <w:t>:</w:t>
      </w:r>
    </w:p>
    <w:p w14:paraId="0EAC1BE5" w14:textId="4710142A" w:rsidR="00F578D5" w:rsidRPr="00306115" w:rsidRDefault="00F578D5">
      <w:pPr>
        <w:pStyle w:val="HeadingAwalDaftarIsiLampiran"/>
        <w:numPr>
          <w:ilvl w:val="0"/>
          <w:numId w:val="173"/>
        </w:numPr>
        <w:ind w:left="3402" w:hanging="567"/>
      </w:pPr>
      <w:r w:rsidRPr="00306115">
        <w:t>Kewenangan dan Tanggung Jawab Direksi dan Dewan Komisaris</w:t>
      </w:r>
    </w:p>
    <w:p w14:paraId="1B89D743" w14:textId="40CEB967" w:rsidR="0057645F" w:rsidRPr="00306115" w:rsidRDefault="00A36C4F">
      <w:pPr>
        <w:pStyle w:val="HeadingAwalDaftarIsiLampiran"/>
        <w:numPr>
          <w:ilvl w:val="0"/>
          <w:numId w:val="174"/>
        </w:numPr>
        <w:ind w:left="3969" w:hanging="567"/>
      </w:pPr>
      <w:r w:rsidRPr="00306115">
        <w:t>Direksi dan Dewan Komisaris bertanggung jawab mengembangkan budaya organisasi yang sadar terhadap Risiko Operasional dan menumbuhkan komitmen dalam mengelola Risiko Operasional sesuai dengan strategi bisnis Manajer Investasi.</w:t>
      </w:r>
    </w:p>
    <w:p w14:paraId="2F0EDC0A" w14:textId="289A5B19" w:rsidR="00A36C4F" w:rsidRPr="00306115" w:rsidRDefault="00A0709F">
      <w:pPr>
        <w:pStyle w:val="HeadingAwalDaftarIsiLampiran"/>
        <w:numPr>
          <w:ilvl w:val="0"/>
          <w:numId w:val="174"/>
        </w:numPr>
        <w:ind w:left="3969" w:hanging="567"/>
      </w:pPr>
      <w:r w:rsidRPr="00306115">
        <w:t xml:space="preserve">Direksi Manajer Investasi menciptakan </w:t>
      </w:r>
      <w:r w:rsidRPr="00306115">
        <w:rPr>
          <w:lang w:val="en-GB"/>
        </w:rPr>
        <w:t xml:space="preserve">budaya </w:t>
      </w:r>
      <w:r w:rsidRPr="00306115">
        <w:t>pengungkapan secara objektif atas Risiko Operasional pada seluruh elemen organisasi sehingga Risiko Operasional dapat diidentifikasi dengan cepat dan dimitigasi dengan tepat.</w:t>
      </w:r>
    </w:p>
    <w:p w14:paraId="1DF4CAC7" w14:textId="7F0446C0" w:rsidR="00A0709F" w:rsidRPr="00306115" w:rsidRDefault="00FE2667">
      <w:pPr>
        <w:pStyle w:val="HeadingAwalDaftarIsiLampiran"/>
        <w:numPr>
          <w:ilvl w:val="0"/>
          <w:numId w:val="174"/>
        </w:numPr>
        <w:ind w:left="3969" w:hanging="567"/>
      </w:pPr>
      <w:r w:rsidRPr="00306115">
        <w:t xml:space="preserve">Direksi menetapkan kebijakan remunerasi termasuk </w:t>
      </w:r>
      <w:r w:rsidRPr="00306115">
        <w:rPr>
          <w:i/>
          <w:iCs/>
        </w:rPr>
        <w:t>reward</w:t>
      </w:r>
      <w:r w:rsidRPr="00306115">
        <w:t xml:space="preserve"> dan </w:t>
      </w:r>
      <w:r w:rsidRPr="00306115">
        <w:rPr>
          <w:i/>
          <w:iCs/>
        </w:rPr>
        <w:t>punishment</w:t>
      </w:r>
      <w:r w:rsidRPr="00306115">
        <w:t xml:space="preserve"> yang efektif</w:t>
      </w:r>
      <w:r w:rsidRPr="00306115">
        <w:rPr>
          <w:lang w:val="en-GB"/>
        </w:rPr>
        <w:t xml:space="preserve"> dan</w:t>
      </w:r>
      <w:r w:rsidRPr="00306115">
        <w:t xml:space="preserve"> terintegrasi dalam sistem penilaian kinerja </w:t>
      </w:r>
      <w:r w:rsidRPr="00306115">
        <w:rPr>
          <w:lang w:val="en-GB"/>
        </w:rPr>
        <w:t xml:space="preserve">untuk </w:t>
      </w:r>
      <w:r w:rsidRPr="00306115">
        <w:t>mendukung pelaksanaan Manajemen Risiko yang optimal.</w:t>
      </w:r>
    </w:p>
    <w:p w14:paraId="461586E0" w14:textId="2DE1C72D" w:rsidR="00FE2667" w:rsidRPr="00306115" w:rsidRDefault="0022184B">
      <w:pPr>
        <w:pStyle w:val="HeadingAwalDaftarIsiLampiran"/>
        <w:numPr>
          <w:ilvl w:val="0"/>
          <w:numId w:val="174"/>
        </w:numPr>
        <w:ind w:left="3969" w:hanging="567"/>
      </w:pPr>
      <w:r w:rsidRPr="00306115">
        <w:t>Dewan Komisaris memastikan bahwa kebijakan remunerasi Manajer Investasi memperhatikan kebijakan dan strategi Manajemen Risiko Manajer Investasi.</w:t>
      </w:r>
    </w:p>
    <w:p w14:paraId="06E191E9" w14:textId="5261AC93" w:rsidR="0022184B" w:rsidRPr="00306115" w:rsidRDefault="0022184B">
      <w:pPr>
        <w:pStyle w:val="HeadingAwalDaftarIsiLampiran"/>
        <w:numPr>
          <w:ilvl w:val="0"/>
          <w:numId w:val="173"/>
        </w:numPr>
        <w:ind w:left="3402" w:hanging="567"/>
      </w:pPr>
      <w:r w:rsidRPr="00306115">
        <w:t>Sumber Daya Manusia</w:t>
      </w:r>
    </w:p>
    <w:p w14:paraId="4CA661A4" w14:textId="5A7F11A6" w:rsidR="0022184B" w:rsidRPr="00306115" w:rsidRDefault="009230FE">
      <w:pPr>
        <w:pStyle w:val="HeadingAwalDaftarIsiLampiran"/>
        <w:numPr>
          <w:ilvl w:val="0"/>
          <w:numId w:val="175"/>
        </w:numPr>
        <w:ind w:left="3969" w:hanging="567"/>
      </w:pPr>
      <w:r w:rsidRPr="00306115">
        <w:t>Manajer Investasi harus memiliki kode etik yang diberlakukan kepada seluruh pegawai pada setiap jenjang organisasi.</w:t>
      </w:r>
    </w:p>
    <w:p w14:paraId="1E60C05B" w14:textId="30350E0B" w:rsidR="009230FE" w:rsidRPr="00306115" w:rsidRDefault="002E53F9">
      <w:pPr>
        <w:pStyle w:val="HeadingAwalDaftarIsiLampiran"/>
        <w:numPr>
          <w:ilvl w:val="0"/>
          <w:numId w:val="175"/>
        </w:numPr>
        <w:ind w:left="3969" w:hanging="567"/>
      </w:pPr>
      <w:r w:rsidRPr="00306115">
        <w:t>Manajer Investasi harus menerapkan sanksi secara konsisten kepada pegawai yang terbukti melakukan penyimpangan dan pelanggaran.</w:t>
      </w:r>
    </w:p>
    <w:p w14:paraId="0C2C7139" w14:textId="709B47C0" w:rsidR="002E53F9" w:rsidRPr="00306115" w:rsidRDefault="00F635C7">
      <w:pPr>
        <w:pStyle w:val="HeadingAwalDaftarIsiLampiran"/>
        <w:numPr>
          <w:ilvl w:val="0"/>
          <w:numId w:val="173"/>
        </w:numPr>
        <w:ind w:left="3402" w:hanging="567"/>
      </w:pPr>
      <w:r w:rsidRPr="00306115">
        <w:t>Organisasi Manajemen Risiko</w:t>
      </w:r>
    </w:p>
    <w:p w14:paraId="25F8607B" w14:textId="1446CC15" w:rsidR="00F635C7" w:rsidRPr="00306115" w:rsidRDefault="0016683D">
      <w:pPr>
        <w:pStyle w:val="HeadingAwalDaftarIsiLampiran"/>
        <w:numPr>
          <w:ilvl w:val="0"/>
          <w:numId w:val="176"/>
        </w:numPr>
        <w:ind w:left="3969" w:hanging="567"/>
      </w:pPr>
      <w:r w:rsidRPr="00306115">
        <w:t>U</w:t>
      </w:r>
      <w:r w:rsidR="009474F5" w:rsidRPr="00306115">
        <w:t xml:space="preserve">nit kerja merupakan </w:t>
      </w:r>
      <w:r w:rsidR="009474F5" w:rsidRPr="00306115">
        <w:rPr>
          <w:i/>
          <w:iCs/>
        </w:rPr>
        <w:t>risk owner</w:t>
      </w:r>
      <w:r w:rsidR="009474F5" w:rsidRPr="00306115">
        <w:t xml:space="preserve"> yang bertanggung jawab terhadap proses Manajemen Risiko untuk Risiko Operasional sehari-hari serta melaporkan permasalahan dan Risiko Operasional secara spesifik dalam unitnya sesuai jenjang pelaporan.</w:t>
      </w:r>
    </w:p>
    <w:p w14:paraId="6674AE5F" w14:textId="3062C5A7" w:rsidR="009474F5" w:rsidRPr="00306115" w:rsidRDefault="0016683D">
      <w:pPr>
        <w:pStyle w:val="HeadingAwalDaftarIsiLampiran"/>
        <w:numPr>
          <w:ilvl w:val="0"/>
          <w:numId w:val="176"/>
        </w:numPr>
        <w:ind w:left="3969" w:hanging="567"/>
      </w:pPr>
      <w:r w:rsidRPr="00306115">
        <w:t>U</w:t>
      </w:r>
      <w:r w:rsidR="00C25CF1" w:rsidRPr="00306115">
        <w:t>ntuk memfasilitasi proses Manajemen Risiko untuk Risiko Operasional</w:t>
      </w:r>
      <w:r w:rsidR="00C25CF1" w:rsidRPr="00306115">
        <w:rPr>
          <w:lang w:val="en-GB"/>
        </w:rPr>
        <w:t xml:space="preserve"> dalam unit kerja dan memastikan</w:t>
      </w:r>
      <w:r w:rsidR="00C25CF1" w:rsidRPr="00306115">
        <w:t xml:space="preserve"> konsistensi penerapan kebijakan Manajemen Risiko untuk Risiko Operasional, dapat ditunjuk </w:t>
      </w:r>
      <w:r w:rsidR="00C25CF1" w:rsidRPr="00306115">
        <w:rPr>
          <w:i/>
          <w:iCs/>
        </w:rPr>
        <w:t>dedicated operational risk officer</w:t>
      </w:r>
      <w:r w:rsidR="00C25CF1" w:rsidRPr="00306115">
        <w:t xml:space="preserve"> yang </w:t>
      </w:r>
      <w:r w:rsidR="00C25CF1" w:rsidRPr="00306115">
        <w:lastRenderedPageBreak/>
        <w:t xml:space="preserve">memiliki jalur pelaporan ganda yaitu secara langsung kepada pimpinan kerja atau pendukung </w:t>
      </w:r>
      <w:r w:rsidR="00C25CF1" w:rsidRPr="00306115">
        <w:rPr>
          <w:lang w:val="en-GB"/>
        </w:rPr>
        <w:t>dan</w:t>
      </w:r>
      <w:r w:rsidR="00C25CF1" w:rsidRPr="00306115">
        <w:t xml:space="preserve"> kepada koordinator fungsi </w:t>
      </w:r>
      <w:r w:rsidR="001008B5" w:rsidRPr="00306115">
        <w:t>Manajemen Risiko</w:t>
      </w:r>
      <w:r w:rsidR="00C25CF1" w:rsidRPr="00306115">
        <w:rPr>
          <w:lang w:val="en-GB"/>
        </w:rPr>
        <w:t>.</w:t>
      </w:r>
      <w:r w:rsidR="00C25CF1" w:rsidRPr="00306115">
        <w:t xml:space="preserve"> Tanggung jawab </w:t>
      </w:r>
      <w:r w:rsidR="00C25CF1" w:rsidRPr="00306115">
        <w:rPr>
          <w:i/>
          <w:iCs/>
        </w:rPr>
        <w:t>dedicated operational risk officer</w:t>
      </w:r>
      <w:r w:rsidR="00C25CF1" w:rsidRPr="00306115">
        <w:t xml:space="preserve"> meliputi pengembangan indikator risiko spesifik unit kerja atau unit pendukung, menentukan batasan eskalasi serta mendukung penyusunan laporan Manajemen Risiko untuk Risiko Operasional</w:t>
      </w:r>
    </w:p>
    <w:p w14:paraId="0D3A315C" w14:textId="72C2BC7C" w:rsidR="00860D2F" w:rsidRPr="00306115" w:rsidRDefault="003E4655">
      <w:pPr>
        <w:pStyle w:val="HeadingAwalDaftarIsiLampiran"/>
        <w:numPr>
          <w:ilvl w:val="0"/>
          <w:numId w:val="172"/>
        </w:numPr>
        <w:ind w:left="2835" w:hanging="567"/>
      </w:pPr>
      <w:r w:rsidRPr="00306115">
        <w:t>Kecukupan Kebijakan dan Prosedur Manajemen Risiko</w:t>
      </w:r>
    </w:p>
    <w:p w14:paraId="743176C7" w14:textId="4BF945FE" w:rsidR="00BF51C6" w:rsidRPr="00306115" w:rsidRDefault="00FF0A8B" w:rsidP="00BF51C6">
      <w:pPr>
        <w:pStyle w:val="HeadingAwalDaftarIsiLampiran"/>
        <w:numPr>
          <w:ilvl w:val="0"/>
          <w:numId w:val="0"/>
        </w:numPr>
        <w:ind w:left="2835"/>
      </w:pPr>
      <w:r w:rsidRPr="00306115">
        <w:t>Dalam melaksanakan kebijakan dan prosedur Manajemen Risiko</w:t>
      </w:r>
      <w:r w:rsidR="00C71588" w:rsidRPr="00306115">
        <w:t xml:space="preserve"> serta penetapan limit risiko</w:t>
      </w:r>
      <w:r w:rsidRPr="00306115">
        <w:t xml:space="preserve"> untuk Risiko Operasional, selain melaksanakan kebijakan dan prosedur Manajemen Risiko </w:t>
      </w:r>
      <w:r w:rsidR="00C71588" w:rsidRPr="00306115">
        <w:t xml:space="preserve">serta penetapan limit risiko </w:t>
      </w:r>
      <w:r w:rsidRPr="00306115">
        <w:t xml:space="preserve">sebagaimana dimaksud pada </w:t>
      </w:r>
      <w:r w:rsidR="00D8578D" w:rsidRPr="00306115">
        <w:t>Romawi I huruf B,</w:t>
      </w:r>
      <w:r w:rsidRPr="00306115">
        <w:t xml:space="preserve"> Manajer Investasi </w:t>
      </w:r>
      <w:r w:rsidR="00D8578D" w:rsidRPr="00306115">
        <w:t xml:space="preserve">harus </w:t>
      </w:r>
      <w:r w:rsidRPr="00306115">
        <w:t>menambahkan penerapan:</w:t>
      </w:r>
    </w:p>
    <w:p w14:paraId="33E48D8D" w14:textId="50CF4A61" w:rsidR="00FF0A8B" w:rsidRPr="00306115" w:rsidRDefault="00D8578D">
      <w:pPr>
        <w:pStyle w:val="HeadingAwalDaftarIsiLampiran"/>
        <w:numPr>
          <w:ilvl w:val="0"/>
          <w:numId w:val="177"/>
        </w:numPr>
        <w:ind w:left="3402" w:hanging="567"/>
      </w:pPr>
      <w:r w:rsidRPr="00306115">
        <w:t>Kebijakan dan Prosedur</w:t>
      </w:r>
    </w:p>
    <w:p w14:paraId="263AC334" w14:textId="5F993A5D" w:rsidR="0037175E" w:rsidRPr="00306115" w:rsidRDefault="00333637">
      <w:pPr>
        <w:pStyle w:val="HeadingAwalDaftarIsiLampiran"/>
        <w:numPr>
          <w:ilvl w:val="0"/>
          <w:numId w:val="179"/>
        </w:numPr>
        <w:ind w:left="3969" w:hanging="567"/>
      </w:pPr>
      <w:r w:rsidRPr="00306115">
        <w:t xml:space="preserve">Manajer Investasi harus menetapkan kebijakan Manajemen Risiko untuk Risiko Operasional yang harus diinternalisasikan dalam proses bisnis </w:t>
      </w:r>
      <w:r w:rsidRPr="00306115">
        <w:rPr>
          <w:lang w:val="en-GB"/>
        </w:rPr>
        <w:t xml:space="preserve">di setiap </w:t>
      </w:r>
      <w:r w:rsidRPr="00306115">
        <w:t>lini bisnis dan aktivitas penunjang kegiatan usaha Manajer Investasi, termasuk kebijakan Risiko Operasional yang bersifat unik sesuai dengan kebutuhan</w:t>
      </w:r>
      <w:r w:rsidRPr="00306115">
        <w:rPr>
          <w:lang w:val="en-GB"/>
        </w:rPr>
        <w:t xml:space="preserve"> setiap</w:t>
      </w:r>
      <w:r w:rsidRPr="00306115">
        <w:t xml:space="preserve"> lini bisnis dan aktivitas </w:t>
      </w:r>
      <w:r w:rsidRPr="00306115">
        <w:rPr>
          <w:lang w:val="en-GB"/>
        </w:rPr>
        <w:t>penunjang.</w:t>
      </w:r>
    </w:p>
    <w:p w14:paraId="674B8774" w14:textId="2B662B36" w:rsidR="00333637" w:rsidRPr="00306115" w:rsidRDefault="00E66D3C">
      <w:pPr>
        <w:pStyle w:val="HeadingAwalDaftarIsiLampiran"/>
        <w:numPr>
          <w:ilvl w:val="0"/>
          <w:numId w:val="179"/>
        </w:numPr>
        <w:ind w:left="3969" w:hanging="567"/>
      </w:pPr>
      <w:r w:rsidRPr="00306115">
        <w:t xml:space="preserve">Manajer Investasi harus memiliki prosedur yang merupakan turunan dari </w:t>
      </w:r>
      <w:r w:rsidRPr="00306115">
        <w:rPr>
          <w:lang w:val="en-GB"/>
        </w:rPr>
        <w:t>k</w:t>
      </w:r>
      <w:r w:rsidRPr="00306115">
        <w:t>ebijakan Manajemen Risiko untuk Risiko Operasional.</w:t>
      </w:r>
    </w:p>
    <w:p w14:paraId="237C69EB" w14:textId="38134962" w:rsidR="00E66D3C" w:rsidRPr="00306115" w:rsidRDefault="00272192">
      <w:pPr>
        <w:pStyle w:val="HeadingAwalDaftarIsiLampiran"/>
        <w:numPr>
          <w:ilvl w:val="0"/>
          <w:numId w:val="179"/>
        </w:numPr>
        <w:ind w:left="3969" w:hanging="567"/>
      </w:pPr>
      <w:r w:rsidRPr="00306115">
        <w:t xml:space="preserve">Manajer Investasi harus memiliki </w:t>
      </w:r>
      <w:r w:rsidRPr="00306115">
        <w:rPr>
          <w:i/>
          <w:iCs/>
        </w:rPr>
        <w:t>Business Continuity Management</w:t>
      </w:r>
      <w:r w:rsidRPr="00306115">
        <w:t xml:space="preserve"> (BCM) yaitu proses manajemen atau protokol terpadu dan menyeluruh untuk memastikan kelangsungan operasional Manajer Investasi dalam menjalankan bisnis dan melayani nasabah. Dalam BCM, Manajer Investasi harus memiliki kebijakan yang paling sedikit mencakup:</w:t>
      </w:r>
    </w:p>
    <w:p w14:paraId="42D7753E" w14:textId="20913E58" w:rsidR="00272192" w:rsidRPr="00306115" w:rsidRDefault="00966941">
      <w:pPr>
        <w:pStyle w:val="HeadingAwalDaftarIsiLampiran"/>
        <w:numPr>
          <w:ilvl w:val="0"/>
          <w:numId w:val="180"/>
        </w:numPr>
        <w:ind w:left="4536" w:hanging="567"/>
      </w:pPr>
      <w:r w:rsidRPr="00306115">
        <w:rPr>
          <w:i/>
          <w:iCs/>
        </w:rPr>
        <w:t>Business Continuity Plan</w:t>
      </w:r>
      <w:r w:rsidRPr="00306115">
        <w:t xml:space="preserve"> (BCP);</w:t>
      </w:r>
    </w:p>
    <w:p w14:paraId="5E093DEA" w14:textId="50B70416" w:rsidR="00966941" w:rsidRPr="00306115" w:rsidRDefault="00FE4D4E">
      <w:pPr>
        <w:pStyle w:val="HeadingAwalDaftarIsiLampiran"/>
        <w:numPr>
          <w:ilvl w:val="0"/>
          <w:numId w:val="180"/>
        </w:numPr>
        <w:ind w:left="4536" w:hanging="567"/>
      </w:pPr>
      <w:r w:rsidRPr="00306115">
        <w:rPr>
          <w:i/>
          <w:iCs/>
        </w:rPr>
        <w:t>Business Impact Analysis</w:t>
      </w:r>
      <w:r w:rsidRPr="00306115">
        <w:t xml:space="preserve"> (BIA);</w:t>
      </w:r>
    </w:p>
    <w:p w14:paraId="52646D10" w14:textId="06433473" w:rsidR="00FE4D4E" w:rsidRPr="00306115" w:rsidRDefault="002568CB">
      <w:pPr>
        <w:pStyle w:val="HeadingAwalDaftarIsiLampiran"/>
        <w:numPr>
          <w:ilvl w:val="0"/>
          <w:numId w:val="180"/>
        </w:numPr>
        <w:ind w:left="4536" w:hanging="567"/>
      </w:pPr>
      <w:r w:rsidRPr="00306115">
        <w:t>dokumentasi, antara lain rencana pemulihan bencana dan rencana konti</w:t>
      </w:r>
      <w:r w:rsidRPr="00306115">
        <w:rPr>
          <w:lang w:val="en-GB"/>
        </w:rPr>
        <w:t>n</w:t>
      </w:r>
      <w:r w:rsidRPr="00306115">
        <w:t>jensi; dan</w:t>
      </w:r>
    </w:p>
    <w:p w14:paraId="3D331848" w14:textId="3D5C0F5C" w:rsidR="002568CB" w:rsidRPr="00306115" w:rsidRDefault="001879CE">
      <w:pPr>
        <w:pStyle w:val="HeadingAwalDaftarIsiLampiran"/>
        <w:numPr>
          <w:ilvl w:val="0"/>
          <w:numId w:val="180"/>
        </w:numPr>
        <w:ind w:left="4536" w:hanging="567"/>
      </w:pPr>
      <w:r w:rsidRPr="00306115">
        <w:t>pengujian secara berkala untuk meyakini bahwa pendekatan BCM yang digunakan dapat dioperasikan dengan efektif pada saat terjadi gangguan.</w:t>
      </w:r>
    </w:p>
    <w:p w14:paraId="3CBB60BD" w14:textId="777D03CC" w:rsidR="001879CE" w:rsidRPr="00306115" w:rsidRDefault="0016683D">
      <w:pPr>
        <w:pStyle w:val="HeadingAwalDaftarIsiLampiran"/>
        <w:numPr>
          <w:ilvl w:val="0"/>
          <w:numId w:val="179"/>
        </w:numPr>
        <w:ind w:left="3969" w:hanging="567"/>
      </w:pPr>
      <w:r w:rsidRPr="00306115">
        <w:t>U</w:t>
      </w:r>
      <w:r w:rsidR="00ED1893" w:rsidRPr="00306115">
        <w:t xml:space="preserve">ntuk memitigasi Risiko Operasional yang berasal dari kompleksitas proses internal, </w:t>
      </w:r>
      <w:r w:rsidR="00ED1893" w:rsidRPr="00306115">
        <w:lastRenderedPageBreak/>
        <w:t>Manajer Investasi harus memiliki kebijakan yang paling sedikit mencakup:</w:t>
      </w:r>
    </w:p>
    <w:p w14:paraId="157BEF01" w14:textId="63DD3BA3" w:rsidR="00ED1893" w:rsidRPr="00306115" w:rsidRDefault="005254DA">
      <w:pPr>
        <w:pStyle w:val="HeadingAwalDaftarIsiLampiran"/>
        <w:numPr>
          <w:ilvl w:val="0"/>
          <w:numId w:val="181"/>
        </w:numPr>
        <w:ind w:left="4536" w:hanging="567"/>
      </w:pPr>
      <w:r w:rsidRPr="00306115">
        <w:t>pengendalian untuk mencegah terjadinya Risiko Operasional baik untuk seluruh proses internal maupun yang berhubungan langsung dengan nasabah;</w:t>
      </w:r>
    </w:p>
    <w:p w14:paraId="45864FC5" w14:textId="519DCDAC" w:rsidR="005254DA" w:rsidRPr="00306115" w:rsidRDefault="00A01C5E">
      <w:pPr>
        <w:pStyle w:val="HeadingAwalDaftarIsiLampiran"/>
        <w:numPr>
          <w:ilvl w:val="0"/>
          <w:numId w:val="181"/>
        </w:numPr>
        <w:ind w:left="4536" w:hanging="567"/>
      </w:pPr>
      <w:r w:rsidRPr="00306115">
        <w:t>prosedur dalam menjalankan aktivitas operasional antara lain prosedur penyelesaian transaksi Efek, pembukaan rekening reksa dana dan/atau produk investasi kolektif selain reksa dana, dan jasa pengelolaan investasi nasabah;</w:t>
      </w:r>
    </w:p>
    <w:p w14:paraId="3F6D70CE" w14:textId="1ED3D296" w:rsidR="00A01C5E" w:rsidRPr="00306115" w:rsidRDefault="00CA6198">
      <w:pPr>
        <w:pStyle w:val="HeadingAwalDaftarIsiLampiran"/>
        <w:numPr>
          <w:ilvl w:val="0"/>
          <w:numId w:val="181"/>
        </w:numPr>
        <w:ind w:left="4536" w:hanging="567"/>
      </w:pPr>
      <w:r w:rsidRPr="00306115">
        <w:t>prosedur pelaksanaan akuntansi untuk memastikan pencatatan akuntansi yang akurat, antara lain berupa kesesuaian metode akuntansi yang digunakan, proses akuntansi yang dilaksanakan, dan penatausahaan dokumen pendukung; dan</w:t>
      </w:r>
    </w:p>
    <w:p w14:paraId="76CCF68F" w14:textId="5652F7FF" w:rsidR="00CA6198" w:rsidRPr="00306115" w:rsidRDefault="005E7E53">
      <w:pPr>
        <w:pStyle w:val="HeadingAwalDaftarIsiLampiran"/>
        <w:numPr>
          <w:ilvl w:val="0"/>
          <w:numId w:val="181"/>
        </w:numPr>
        <w:ind w:left="4536" w:hanging="567"/>
      </w:pPr>
      <w:r w:rsidRPr="00306115">
        <w:t xml:space="preserve">prosedur </w:t>
      </w:r>
      <w:r w:rsidRPr="00306115">
        <w:rPr>
          <w:lang w:val="en-GB"/>
        </w:rPr>
        <w:t>pengelolaan</w:t>
      </w:r>
      <w:r w:rsidRPr="00306115">
        <w:t xml:space="preserve"> produk dan </w:t>
      </w:r>
      <w:r w:rsidRPr="00306115">
        <w:rPr>
          <w:lang w:val="en-GB"/>
        </w:rPr>
        <w:t xml:space="preserve">pelaksanaan </w:t>
      </w:r>
      <w:r w:rsidRPr="00306115">
        <w:t>aktivitas lainnya yang dilakukan oleh Manajer Investasi (jika ada).</w:t>
      </w:r>
    </w:p>
    <w:p w14:paraId="3A0C2DCE" w14:textId="49C68184" w:rsidR="0040006D" w:rsidRPr="00306115" w:rsidRDefault="0016683D">
      <w:pPr>
        <w:pStyle w:val="HeadingAwalDaftarIsiLampiran"/>
        <w:numPr>
          <w:ilvl w:val="0"/>
          <w:numId w:val="179"/>
        </w:numPr>
        <w:ind w:left="3969" w:hanging="567"/>
      </w:pPr>
      <w:r w:rsidRPr="00306115">
        <w:t>U</w:t>
      </w:r>
      <w:r w:rsidR="00E267EA" w:rsidRPr="00306115">
        <w:t>ntuk mengurangi kemungkinan timbulnya Risiko Operasional yang berasal dari kesalahan manusia, Manajer Investasi harus memiliki kebijakan dan prosedur yang paling sedikit mencakup:</w:t>
      </w:r>
    </w:p>
    <w:p w14:paraId="182DCA87" w14:textId="77777777" w:rsidR="0040006D" w:rsidRPr="00306115" w:rsidRDefault="00E267EA">
      <w:pPr>
        <w:pStyle w:val="HeadingAwalDaftarIsiLampiran"/>
        <w:numPr>
          <w:ilvl w:val="0"/>
          <w:numId w:val="182"/>
        </w:numPr>
        <w:ind w:left="4536" w:hanging="567"/>
      </w:pPr>
      <w:r w:rsidRPr="00306115">
        <w:t>rekrutmen dan penempatan sesuai dengan kebutuhan perusahaan</w:t>
      </w:r>
      <w:r w:rsidR="0040006D" w:rsidRPr="00306115">
        <w:t>;</w:t>
      </w:r>
    </w:p>
    <w:p w14:paraId="6BE3B492" w14:textId="77777777" w:rsidR="0040006D" w:rsidRPr="00306115" w:rsidRDefault="00E267EA">
      <w:pPr>
        <w:pStyle w:val="HeadingAwalDaftarIsiLampiran"/>
        <w:numPr>
          <w:ilvl w:val="0"/>
          <w:numId w:val="182"/>
        </w:numPr>
        <w:ind w:left="4536" w:hanging="567"/>
      </w:pPr>
      <w:r w:rsidRPr="00306115">
        <w:t>remunerasi dan struktur insentif yang kompetitif</w:t>
      </w:r>
      <w:r w:rsidR="0040006D" w:rsidRPr="00306115">
        <w:t>;</w:t>
      </w:r>
    </w:p>
    <w:p w14:paraId="77562B7A" w14:textId="77777777" w:rsidR="0040006D" w:rsidRPr="00306115" w:rsidRDefault="00E267EA">
      <w:pPr>
        <w:pStyle w:val="HeadingAwalDaftarIsiLampiran"/>
        <w:numPr>
          <w:ilvl w:val="0"/>
          <w:numId w:val="182"/>
        </w:numPr>
        <w:ind w:left="4536" w:hanging="567"/>
      </w:pPr>
      <w:r w:rsidRPr="00306115">
        <w:t>pelatihan dan pengembangan</w:t>
      </w:r>
      <w:r w:rsidR="0040006D" w:rsidRPr="00306115">
        <w:t>;</w:t>
      </w:r>
    </w:p>
    <w:p w14:paraId="449A79FB" w14:textId="77777777" w:rsidR="0040006D" w:rsidRPr="00306115" w:rsidRDefault="00E267EA">
      <w:pPr>
        <w:pStyle w:val="HeadingAwalDaftarIsiLampiran"/>
        <w:numPr>
          <w:ilvl w:val="0"/>
          <w:numId w:val="182"/>
        </w:numPr>
        <w:ind w:left="4536" w:hanging="567"/>
      </w:pPr>
      <w:r w:rsidRPr="00306115">
        <w:t>rotasi berkala</w:t>
      </w:r>
      <w:r w:rsidR="0040006D" w:rsidRPr="00306115">
        <w:t>;</w:t>
      </w:r>
    </w:p>
    <w:p w14:paraId="04DEE91B" w14:textId="77777777" w:rsidR="0040006D" w:rsidRPr="00306115" w:rsidRDefault="00E267EA">
      <w:pPr>
        <w:pStyle w:val="HeadingAwalDaftarIsiLampiran"/>
        <w:numPr>
          <w:ilvl w:val="0"/>
          <w:numId w:val="182"/>
        </w:numPr>
        <w:ind w:left="4536" w:hanging="567"/>
      </w:pPr>
      <w:r w:rsidRPr="00306115">
        <w:t>perencanaan karir dan suksesi</w:t>
      </w:r>
      <w:r w:rsidR="0040006D" w:rsidRPr="00306115">
        <w:t>;</w:t>
      </w:r>
    </w:p>
    <w:p w14:paraId="5EE8DB11" w14:textId="77777777" w:rsidR="003D217B" w:rsidRPr="00306115" w:rsidRDefault="00E267EA">
      <w:pPr>
        <w:pStyle w:val="HeadingAwalDaftarIsiLampiran"/>
        <w:numPr>
          <w:ilvl w:val="0"/>
          <w:numId w:val="182"/>
        </w:numPr>
        <w:ind w:left="4536" w:hanging="567"/>
      </w:pPr>
      <w:r w:rsidRPr="00306115">
        <w:t>penanganan isu pemutusan hubungan kerja dan serikat pekerja</w:t>
      </w:r>
      <w:r w:rsidR="0040006D" w:rsidRPr="00306115">
        <w:t>; dan</w:t>
      </w:r>
      <w:r w:rsidRPr="00306115">
        <w:t xml:space="preserve"> </w:t>
      </w:r>
    </w:p>
    <w:p w14:paraId="627F2DFF" w14:textId="564982FF" w:rsidR="005E7E53" w:rsidRPr="00306115" w:rsidRDefault="00E267EA">
      <w:pPr>
        <w:pStyle w:val="HeadingAwalDaftarIsiLampiran"/>
        <w:numPr>
          <w:ilvl w:val="0"/>
          <w:numId w:val="182"/>
        </w:numPr>
        <w:ind w:left="4536" w:hanging="567"/>
      </w:pPr>
      <w:r w:rsidRPr="00306115">
        <w:t xml:space="preserve">pencegahan dan penyelesaian </w:t>
      </w:r>
      <w:r w:rsidRPr="00306115">
        <w:rPr>
          <w:i/>
          <w:iCs/>
        </w:rPr>
        <w:t>fraud</w:t>
      </w:r>
      <w:r w:rsidR="003D217B" w:rsidRPr="00306115">
        <w:t>.</w:t>
      </w:r>
    </w:p>
    <w:p w14:paraId="79D5C74F" w14:textId="0A373E90" w:rsidR="003D217B" w:rsidRPr="00306115" w:rsidRDefault="0016683D">
      <w:pPr>
        <w:pStyle w:val="HeadingAwalDaftarIsiLampiran"/>
        <w:numPr>
          <w:ilvl w:val="0"/>
          <w:numId w:val="179"/>
        </w:numPr>
        <w:ind w:left="3969" w:hanging="567"/>
      </w:pPr>
      <w:r w:rsidRPr="00306115">
        <w:t>U</w:t>
      </w:r>
      <w:r w:rsidR="005100C8" w:rsidRPr="00306115">
        <w:t xml:space="preserve">ntuk mengurangi kemungkinan timbulnya Risiko Operasional yang berasal dari profil nasabah dan calon nasabah, dalam kebijakan Manajemen Risiko harus dimuat kewajiban Manajer Investasi melakukan </w:t>
      </w:r>
      <w:r w:rsidR="005100C8" w:rsidRPr="00306115">
        <w:rPr>
          <w:i/>
          <w:iCs/>
        </w:rPr>
        <w:t>Customer Due Dilligence</w:t>
      </w:r>
      <w:r w:rsidR="005100C8" w:rsidRPr="00306115">
        <w:t xml:space="preserve"> (CDD) atau </w:t>
      </w:r>
      <w:r w:rsidR="005100C8" w:rsidRPr="00306115">
        <w:rPr>
          <w:i/>
          <w:iCs/>
        </w:rPr>
        <w:t>Enhanced Due Dilligence</w:t>
      </w:r>
      <w:r w:rsidR="005100C8" w:rsidRPr="00306115">
        <w:t xml:space="preserve"> (EDD) secara berkala dan konsisten sesuai dengan eksposur Risiko Operasional. Penerapan CDD atau EDD mengacu pada seluruh persyaratan dan pedoman sebagaimana yang diatur dalam peraturan perundang-undangan dan ketentuan yang mengatur mengenai penerapan program anti </w:t>
      </w:r>
      <w:r w:rsidR="005100C8" w:rsidRPr="00306115">
        <w:lastRenderedPageBreak/>
        <w:t>pencucian uang dan pencegahan pendanaan terorisme. CDD atau EDD harus didukung oleh sistem pengendalian intern</w:t>
      </w:r>
      <w:r w:rsidR="005100C8" w:rsidRPr="00306115">
        <w:rPr>
          <w:lang w:val="en-GB"/>
        </w:rPr>
        <w:t>al</w:t>
      </w:r>
      <w:r w:rsidR="005100C8" w:rsidRPr="00306115">
        <w:t xml:space="preserve"> yang efektif, khususnya upaya pencegahan Manajer Investasi terhadap kejahatan internal (</w:t>
      </w:r>
      <w:r w:rsidR="005100C8" w:rsidRPr="00306115">
        <w:rPr>
          <w:i/>
          <w:iCs/>
        </w:rPr>
        <w:t>internal fraud</w:t>
      </w:r>
      <w:r w:rsidR="005100C8" w:rsidRPr="00306115">
        <w:t>)</w:t>
      </w:r>
      <w:r w:rsidR="00442AD5" w:rsidRPr="00306115">
        <w:t>.</w:t>
      </w:r>
    </w:p>
    <w:p w14:paraId="799AD5BE" w14:textId="2FEA7520" w:rsidR="00442AD5" w:rsidRPr="00306115" w:rsidRDefault="00901FA0">
      <w:pPr>
        <w:pStyle w:val="HeadingAwalDaftarIsiLampiran"/>
        <w:numPr>
          <w:ilvl w:val="0"/>
          <w:numId w:val="179"/>
        </w:numPr>
        <w:ind w:left="3969" w:hanging="567"/>
      </w:pPr>
      <w:r w:rsidRPr="00306115">
        <w:t>Sistem dan Teknologi Informasi</w:t>
      </w:r>
    </w:p>
    <w:p w14:paraId="108AFFC5" w14:textId="5ACD60FF" w:rsidR="00901FA0" w:rsidRPr="00306115" w:rsidRDefault="006E2E2C">
      <w:pPr>
        <w:pStyle w:val="HeadingAwalDaftarIsiLampiran"/>
        <w:numPr>
          <w:ilvl w:val="0"/>
          <w:numId w:val="183"/>
        </w:numPr>
        <w:ind w:left="4536" w:hanging="567"/>
      </w:pPr>
      <w:r w:rsidRPr="00306115">
        <w:t>untuk mengurangi kemungkinan timbulnya Risiko Operasional yang berasal dari kegagalan sistem dan teknologi informasi, Manajer Investasi wajib menetapkan, menerapkan, dan memelihara kebijakan Manajemen Risiko yang efektif dalam penggunaan teknologi informasi yang digunakan bagi penyelenggaraan sistem elektronik transaksi Produk Investasi dan/atau menunjang operasional kegiatan usaha;</w:t>
      </w:r>
    </w:p>
    <w:p w14:paraId="1FE69F0F" w14:textId="4C33D65D" w:rsidR="006E2E2C" w:rsidRPr="00306115" w:rsidRDefault="00954451">
      <w:pPr>
        <w:pStyle w:val="HeadingAwalDaftarIsiLampiran"/>
        <w:numPr>
          <w:ilvl w:val="0"/>
          <w:numId w:val="183"/>
        </w:numPr>
        <w:ind w:left="4536" w:hanging="567"/>
      </w:pPr>
      <w:r w:rsidRPr="00306115">
        <w:t>Manajer Investasi yang telah memiliki sistem elektronik untuk transaksi Produk Investasi dan/atau sistem elektronik yang menunjang operasional kegiatan usaha wajib menerapkan kebijakan, standar, dan prosedur penggunaan teknologi informasi, yang antara lain mencakup kebijakan dan prosedur terkait reviu dan pemeliharaan sistem teknologi informasi secara berkala serta penyimpanan cadangan data secara periodik;</w:t>
      </w:r>
    </w:p>
    <w:p w14:paraId="328C099B" w14:textId="21344686" w:rsidR="00954451" w:rsidRPr="00306115" w:rsidRDefault="003642B3">
      <w:pPr>
        <w:pStyle w:val="HeadingAwalDaftarIsiLampiran"/>
        <w:numPr>
          <w:ilvl w:val="0"/>
          <w:numId w:val="183"/>
        </w:numPr>
        <w:ind w:left="4536" w:hanging="567"/>
      </w:pPr>
      <w:r w:rsidRPr="00306115">
        <w:t>kebijakan, standar, dan prosedur penggunaan teknologi informasi paling sedikit mencakup aspek:</w:t>
      </w:r>
    </w:p>
    <w:p w14:paraId="3C49B5D1" w14:textId="5C8C7E81" w:rsidR="003642B3" w:rsidRPr="00306115" w:rsidRDefault="00D75D4C">
      <w:pPr>
        <w:pStyle w:val="HeadingAwalDaftarIsiLampiran"/>
        <w:numPr>
          <w:ilvl w:val="0"/>
          <w:numId w:val="184"/>
        </w:numPr>
        <w:ind w:left="5103" w:hanging="425"/>
      </w:pPr>
      <w:r w:rsidRPr="00306115">
        <w:t>manajemen;</w:t>
      </w:r>
    </w:p>
    <w:p w14:paraId="24DB8E37" w14:textId="35E65D3E" w:rsidR="00D75D4C" w:rsidRPr="00306115" w:rsidRDefault="00342A3F">
      <w:pPr>
        <w:pStyle w:val="HeadingAwalDaftarIsiLampiran"/>
        <w:numPr>
          <w:ilvl w:val="0"/>
          <w:numId w:val="184"/>
        </w:numPr>
        <w:ind w:left="5103" w:hanging="425"/>
      </w:pPr>
      <w:r w:rsidRPr="00306115">
        <w:t>pengembangan dan pengadaan;</w:t>
      </w:r>
    </w:p>
    <w:p w14:paraId="025F21F6" w14:textId="57958093" w:rsidR="00342A3F" w:rsidRPr="00306115" w:rsidRDefault="00754DDF">
      <w:pPr>
        <w:pStyle w:val="HeadingAwalDaftarIsiLampiran"/>
        <w:numPr>
          <w:ilvl w:val="0"/>
          <w:numId w:val="184"/>
        </w:numPr>
        <w:ind w:left="5103" w:hanging="425"/>
      </w:pPr>
      <w:r w:rsidRPr="00306115">
        <w:t>operasional teknologi informasi;</w:t>
      </w:r>
    </w:p>
    <w:p w14:paraId="49202CA7" w14:textId="4FA1C632" w:rsidR="00754DDF" w:rsidRPr="00306115" w:rsidRDefault="0082439E">
      <w:pPr>
        <w:pStyle w:val="HeadingAwalDaftarIsiLampiran"/>
        <w:numPr>
          <w:ilvl w:val="0"/>
          <w:numId w:val="184"/>
        </w:numPr>
        <w:ind w:left="5103" w:hanging="425"/>
      </w:pPr>
      <w:r w:rsidRPr="00306115">
        <w:t>jaringan komunikasi yang memenuhi prinsip kerahasiaan, integritas, dan ketersediaan;</w:t>
      </w:r>
    </w:p>
    <w:p w14:paraId="266E3DA1" w14:textId="3F8624E4" w:rsidR="0082439E" w:rsidRPr="00306115" w:rsidRDefault="00CF02DB">
      <w:pPr>
        <w:pStyle w:val="HeadingAwalDaftarIsiLampiran"/>
        <w:numPr>
          <w:ilvl w:val="0"/>
          <w:numId w:val="184"/>
        </w:numPr>
        <w:ind w:left="5103" w:hanging="425"/>
      </w:pPr>
      <w:r w:rsidRPr="00306115">
        <w:t>pengamanan informasi;</w:t>
      </w:r>
    </w:p>
    <w:p w14:paraId="3BB33E8B" w14:textId="55FE8ACE" w:rsidR="00CF02DB" w:rsidRPr="00306115" w:rsidRDefault="00A026C1">
      <w:pPr>
        <w:pStyle w:val="HeadingAwalDaftarIsiLampiran"/>
        <w:numPr>
          <w:ilvl w:val="0"/>
          <w:numId w:val="184"/>
        </w:numPr>
        <w:ind w:left="5103" w:hanging="425"/>
      </w:pPr>
      <w:r w:rsidRPr="00306115">
        <w:t>rencana pemulihan bencana; dan</w:t>
      </w:r>
    </w:p>
    <w:p w14:paraId="61596AE2" w14:textId="794F1007" w:rsidR="00A026C1" w:rsidRPr="00306115" w:rsidRDefault="00E00988">
      <w:pPr>
        <w:pStyle w:val="HeadingAwalDaftarIsiLampiran"/>
        <w:numPr>
          <w:ilvl w:val="0"/>
          <w:numId w:val="184"/>
        </w:numPr>
        <w:ind w:left="5103" w:hanging="425"/>
      </w:pPr>
      <w:r w:rsidRPr="00306115">
        <w:t>penggunaan pihak penyedia jasa teknologi informasi.</w:t>
      </w:r>
    </w:p>
    <w:p w14:paraId="3AE3763A" w14:textId="0A00EB9B" w:rsidR="00D8578D" w:rsidRPr="00306115" w:rsidRDefault="00D8578D">
      <w:pPr>
        <w:pStyle w:val="HeadingAwalDaftarIsiLampiran"/>
        <w:numPr>
          <w:ilvl w:val="0"/>
          <w:numId w:val="177"/>
        </w:numPr>
        <w:ind w:left="3402" w:hanging="567"/>
      </w:pPr>
      <w:r w:rsidRPr="00306115">
        <w:t>Strategi Manajemen Risiko</w:t>
      </w:r>
    </w:p>
    <w:p w14:paraId="12D57E60" w14:textId="5D336779" w:rsidR="00E00988" w:rsidRPr="00306115" w:rsidRDefault="007E140A" w:rsidP="00E00988">
      <w:pPr>
        <w:pStyle w:val="HeadingAwalDaftarIsiLampiran"/>
        <w:numPr>
          <w:ilvl w:val="0"/>
          <w:numId w:val="0"/>
        </w:numPr>
        <w:ind w:left="3402"/>
      </w:pPr>
      <w:r w:rsidRPr="00306115">
        <w:t xml:space="preserve">Penyusunan strategi </w:t>
      </w:r>
      <w:r w:rsidR="00683B70" w:rsidRPr="00306115">
        <w:t xml:space="preserve">Manajemen Risiko </w:t>
      </w:r>
      <w:r w:rsidRPr="00306115">
        <w:t>untuk Risiko Operasional mengacu pada cakupan penerapan secara umum sebagaimana dimaksud pada Romawi I huruf B angka 2.</w:t>
      </w:r>
    </w:p>
    <w:p w14:paraId="2BD992F5" w14:textId="0BD1FFF6" w:rsidR="00D8578D" w:rsidRPr="00306115" w:rsidRDefault="009D5830">
      <w:pPr>
        <w:pStyle w:val="HeadingAwalDaftarIsiLampiran"/>
        <w:numPr>
          <w:ilvl w:val="0"/>
          <w:numId w:val="177"/>
        </w:numPr>
        <w:ind w:left="3402" w:hanging="567"/>
      </w:pPr>
      <w:r w:rsidRPr="00306115">
        <w:t>Tingkat Risiko yang akan Diambil (</w:t>
      </w:r>
      <w:r w:rsidRPr="00306115">
        <w:rPr>
          <w:i/>
          <w:iCs/>
        </w:rPr>
        <w:t>Risk Appetite</w:t>
      </w:r>
      <w:r w:rsidRPr="00306115">
        <w:t>) dan Toleransi Risiko (</w:t>
      </w:r>
      <w:r w:rsidRPr="00306115">
        <w:rPr>
          <w:i/>
          <w:iCs/>
        </w:rPr>
        <w:t>Risk Tolerance</w:t>
      </w:r>
      <w:r w:rsidRPr="00306115">
        <w:t>)</w:t>
      </w:r>
    </w:p>
    <w:p w14:paraId="28EF6955" w14:textId="082665A3" w:rsidR="00733BFA" w:rsidRPr="00306115" w:rsidRDefault="00733BFA" w:rsidP="00733BFA">
      <w:pPr>
        <w:pStyle w:val="HeadingAwalDaftarIsiLampiran"/>
        <w:numPr>
          <w:ilvl w:val="0"/>
          <w:numId w:val="0"/>
        </w:numPr>
        <w:ind w:left="3402"/>
      </w:pPr>
      <w:r w:rsidRPr="00306115">
        <w:t xml:space="preserve">Penetapan tingkat risiko yang akan diambil dan toleransi risiko untuk Risiko Operasional mengacu pada cakupan penerapan secara </w:t>
      </w:r>
      <w:r w:rsidRPr="00306115">
        <w:lastRenderedPageBreak/>
        <w:t xml:space="preserve">umum </w:t>
      </w:r>
      <w:r w:rsidR="00E461E2" w:rsidRPr="00306115">
        <w:t xml:space="preserve">sebagaimana dimaksud </w:t>
      </w:r>
      <w:r w:rsidRPr="00306115">
        <w:t xml:space="preserve">pada </w:t>
      </w:r>
      <w:r w:rsidR="00E461E2" w:rsidRPr="00306115">
        <w:t>Romawi I huruf B angka 3.</w:t>
      </w:r>
    </w:p>
    <w:p w14:paraId="6C6D37B6" w14:textId="142EFDE0" w:rsidR="009D5830" w:rsidRPr="00306115" w:rsidRDefault="009D5830">
      <w:pPr>
        <w:pStyle w:val="HeadingAwalDaftarIsiLampiran"/>
        <w:numPr>
          <w:ilvl w:val="0"/>
          <w:numId w:val="177"/>
        </w:numPr>
        <w:ind w:left="3402" w:hanging="567"/>
      </w:pPr>
      <w:r w:rsidRPr="00306115">
        <w:t>Limit</w:t>
      </w:r>
    </w:p>
    <w:p w14:paraId="619ACECD" w14:textId="181569F2" w:rsidR="009E730A" w:rsidRPr="00306115" w:rsidRDefault="009E730A" w:rsidP="009E730A">
      <w:pPr>
        <w:pStyle w:val="HeadingAwalDaftarIsiLampiran"/>
        <w:numPr>
          <w:ilvl w:val="0"/>
          <w:numId w:val="0"/>
        </w:numPr>
        <w:ind w:left="3402"/>
      </w:pPr>
      <w:r w:rsidRPr="00306115">
        <w:t xml:space="preserve">Penetapan limit untuk Risiko Operasional mengacu pada cakupan penerapan secara umum </w:t>
      </w:r>
      <w:r w:rsidR="00561817" w:rsidRPr="00306115">
        <w:t xml:space="preserve">sebagaimana dimaksud </w:t>
      </w:r>
      <w:r w:rsidRPr="00306115">
        <w:t xml:space="preserve">pada </w:t>
      </w:r>
      <w:r w:rsidR="00561817" w:rsidRPr="00306115">
        <w:t>Romawi I huruf B angka 4.</w:t>
      </w:r>
    </w:p>
    <w:p w14:paraId="4837133E" w14:textId="51483E74" w:rsidR="003E4655" w:rsidRPr="00306115" w:rsidRDefault="00634E12">
      <w:pPr>
        <w:pStyle w:val="HeadingAwalDaftarIsiLampiran"/>
        <w:numPr>
          <w:ilvl w:val="0"/>
          <w:numId w:val="172"/>
        </w:numPr>
        <w:ind w:left="2835" w:hanging="567"/>
      </w:pPr>
      <w:r w:rsidRPr="00306115">
        <w:t>Kecukupan proses identifikasi, pengukuran, pemantauan, dan pengendalian Risiko</w:t>
      </w:r>
    </w:p>
    <w:p w14:paraId="3A5359F4" w14:textId="6C18E9EF" w:rsidR="007C1BC4" w:rsidRPr="00306115" w:rsidRDefault="007C1BC4" w:rsidP="007C1BC4">
      <w:pPr>
        <w:pStyle w:val="HeadingAwalDaftarIsiLampiran"/>
        <w:numPr>
          <w:ilvl w:val="0"/>
          <w:numId w:val="0"/>
        </w:numPr>
        <w:ind w:left="2835"/>
      </w:pPr>
      <w:r w:rsidRPr="00306115">
        <w:t>Dalam melakukan penerapan Manajemen Risiko melalui proses identifikasi, pengukuran, pemantauan, dan pengendalian risiko, serta sistem informasi Manajemen Risiko untuk Risiko Operasional, selain melaksanakan proses sebagaimana dimaksud pada Romawi I huruf C, pada setiap proses Manajer Investasi harus menambahkan penerapan</w:t>
      </w:r>
      <w:r w:rsidR="002475E9" w:rsidRPr="00306115">
        <w:t>:</w:t>
      </w:r>
    </w:p>
    <w:p w14:paraId="49B5D31E" w14:textId="5C0CA4BE" w:rsidR="002475E9" w:rsidRPr="00306115" w:rsidRDefault="00AA6E6F">
      <w:pPr>
        <w:pStyle w:val="HeadingAwalDaftarIsiLampiran"/>
        <w:numPr>
          <w:ilvl w:val="0"/>
          <w:numId w:val="185"/>
        </w:numPr>
        <w:ind w:left="3402" w:hanging="567"/>
      </w:pPr>
      <w:r w:rsidRPr="00306115">
        <w:t xml:space="preserve">Identifikasi dan </w:t>
      </w:r>
      <w:r w:rsidRPr="00306115">
        <w:rPr>
          <w:lang w:val="en-GB"/>
        </w:rPr>
        <w:t>P</w:t>
      </w:r>
      <w:r w:rsidRPr="00306115">
        <w:t>engukuran Risiko</w:t>
      </w:r>
    </w:p>
    <w:p w14:paraId="58EB5701" w14:textId="31737C13" w:rsidR="00D10E51" w:rsidRPr="00306115" w:rsidRDefault="00A3671D">
      <w:pPr>
        <w:pStyle w:val="HeadingAwalDaftarIsiLampiran"/>
        <w:numPr>
          <w:ilvl w:val="0"/>
          <w:numId w:val="186"/>
        </w:numPr>
        <w:ind w:left="3969" w:hanging="567"/>
      </w:pPr>
      <w:r w:rsidRPr="00306115">
        <w:t xml:space="preserve">Manajer Investasi harus melakukan identifikasi dan pengukuran terhadap parameter yang mempengaruhi eksposur Risiko Operasional, antara lain frekuensi dan dampak dari kegagalan </w:t>
      </w:r>
      <w:r w:rsidRPr="00306115">
        <w:rPr>
          <w:i/>
          <w:iCs/>
        </w:rPr>
        <w:t>core system</w:t>
      </w:r>
      <w:r w:rsidRPr="00306115">
        <w:t xml:space="preserve"> teknologi informasi dan </w:t>
      </w:r>
      <w:r w:rsidRPr="00306115">
        <w:rPr>
          <w:i/>
          <w:iCs/>
        </w:rPr>
        <w:t>fraud</w:t>
      </w:r>
      <w:r w:rsidR="0097504F" w:rsidRPr="00306115">
        <w:t>.</w:t>
      </w:r>
    </w:p>
    <w:p w14:paraId="5AC41BC2" w14:textId="4110BCB8" w:rsidR="0097504F" w:rsidRPr="00306115" w:rsidRDefault="008466C1">
      <w:pPr>
        <w:pStyle w:val="HeadingAwalDaftarIsiLampiran"/>
        <w:numPr>
          <w:ilvl w:val="0"/>
          <w:numId w:val="186"/>
        </w:numPr>
        <w:ind w:left="3969" w:hanging="567"/>
      </w:pPr>
      <w:r w:rsidRPr="00306115">
        <w:t>Manajer Investasi mengembangkan suatu basis data mengenai:</w:t>
      </w:r>
    </w:p>
    <w:p w14:paraId="3026A838" w14:textId="46981E49" w:rsidR="008466C1" w:rsidRPr="00306115" w:rsidRDefault="003B07C2">
      <w:pPr>
        <w:pStyle w:val="HeadingAwalDaftarIsiLampiran"/>
        <w:numPr>
          <w:ilvl w:val="0"/>
          <w:numId w:val="187"/>
        </w:numPr>
        <w:ind w:left="4536" w:hanging="567"/>
      </w:pPr>
      <w:r w:rsidRPr="00306115">
        <w:t>jenis dan dampak kerugian yang ditimbulkan oleh Risiko Operasional berdasarkan hasil identifikasi risiko, berupa data kerugian yang kemungkinan terjadinya dapat diprediksi maupun yang sulit diprediksi; dan</w:t>
      </w:r>
    </w:p>
    <w:p w14:paraId="1B4768F4" w14:textId="3663C397" w:rsidR="003B07C2" w:rsidRPr="00306115" w:rsidRDefault="00C76AD0">
      <w:pPr>
        <w:pStyle w:val="HeadingAwalDaftarIsiLampiran"/>
        <w:numPr>
          <w:ilvl w:val="0"/>
          <w:numId w:val="187"/>
        </w:numPr>
        <w:ind w:left="4536" w:hanging="567"/>
      </w:pPr>
      <w:r w:rsidRPr="00306115">
        <w:t>isu-isu operasional lainnya yang dapat menyebabkan kerugian pada masa yang akan datang.</w:t>
      </w:r>
    </w:p>
    <w:p w14:paraId="137A8AF3" w14:textId="1FFB600D" w:rsidR="00C76AD0" w:rsidRPr="00306115" w:rsidRDefault="00691FC7">
      <w:pPr>
        <w:pStyle w:val="HeadingAwalDaftarIsiLampiran"/>
        <w:numPr>
          <w:ilvl w:val="0"/>
          <w:numId w:val="186"/>
        </w:numPr>
        <w:ind w:left="3969" w:hanging="567"/>
      </w:pPr>
      <w:r w:rsidRPr="00306115">
        <w:t>Manajer Investasi mempertimbangkan berbagai faktor internal dan eksternal dalam melakukan identifikasi dan pengukuran Risiko Operasional yaitu antara lain:</w:t>
      </w:r>
    </w:p>
    <w:p w14:paraId="6F011BEB" w14:textId="4415D6B6" w:rsidR="00691FC7" w:rsidRPr="00306115" w:rsidRDefault="009232EB">
      <w:pPr>
        <w:pStyle w:val="HeadingAwalDaftarIsiLampiran"/>
        <w:numPr>
          <w:ilvl w:val="0"/>
          <w:numId w:val="188"/>
        </w:numPr>
        <w:ind w:left="4536" w:hanging="567"/>
      </w:pPr>
      <w:r w:rsidRPr="00306115">
        <w:t xml:space="preserve">struktur organisasi Manajer Investasi, budaya risiko, manajemen sumber daya manusia, perubahan organisasi, dan </w:t>
      </w:r>
      <w:r w:rsidRPr="00306115">
        <w:rPr>
          <w:i/>
          <w:iCs/>
        </w:rPr>
        <w:t>turnover</w:t>
      </w:r>
      <w:r w:rsidRPr="00306115">
        <w:t xml:space="preserve"> pegawai;</w:t>
      </w:r>
    </w:p>
    <w:p w14:paraId="3B393F73" w14:textId="186862D2" w:rsidR="009232EB" w:rsidRPr="00306115" w:rsidRDefault="00795571">
      <w:pPr>
        <w:pStyle w:val="HeadingAwalDaftarIsiLampiran"/>
        <w:numPr>
          <w:ilvl w:val="0"/>
          <w:numId w:val="188"/>
        </w:numPr>
        <w:ind w:left="4536" w:hanging="567"/>
      </w:pPr>
      <w:r w:rsidRPr="00306115">
        <w:t>karakteristik nasabah Manajer Investasi serta ukuran, kompleksitas usaha, dan kemampuan Manajer Investasi;</w:t>
      </w:r>
    </w:p>
    <w:p w14:paraId="6362054B" w14:textId="613C77F2" w:rsidR="00795571" w:rsidRPr="00306115" w:rsidRDefault="00C713D4">
      <w:pPr>
        <w:pStyle w:val="HeadingAwalDaftarIsiLampiran"/>
        <w:numPr>
          <w:ilvl w:val="0"/>
          <w:numId w:val="188"/>
        </w:numPr>
        <w:ind w:left="4536" w:hanging="567"/>
      </w:pPr>
      <w:r w:rsidRPr="00306115">
        <w:t>desain dan implementasi dari sistem dan proses yang digunakan; dan</w:t>
      </w:r>
    </w:p>
    <w:p w14:paraId="0E445787" w14:textId="58FCAD43" w:rsidR="00C713D4" w:rsidRPr="00306115" w:rsidRDefault="003E1C77">
      <w:pPr>
        <w:pStyle w:val="HeadingAwalDaftarIsiLampiran"/>
        <w:numPr>
          <w:ilvl w:val="0"/>
          <w:numId w:val="188"/>
        </w:numPr>
        <w:ind w:left="4536" w:hanging="567"/>
      </w:pPr>
      <w:r w:rsidRPr="00306115">
        <w:t>lingkungan eksternal, tren industri, termasuk kondisi sosial dan politik.</w:t>
      </w:r>
    </w:p>
    <w:p w14:paraId="5789E62A" w14:textId="1F73975B" w:rsidR="003E1C77" w:rsidRPr="00306115" w:rsidRDefault="0016683D">
      <w:pPr>
        <w:pStyle w:val="HeadingAwalDaftarIsiLampiran"/>
        <w:numPr>
          <w:ilvl w:val="0"/>
          <w:numId w:val="186"/>
        </w:numPr>
        <w:ind w:left="3969" w:hanging="567"/>
      </w:pPr>
      <w:r w:rsidRPr="00306115">
        <w:t>M</w:t>
      </w:r>
      <w:r w:rsidR="00F63ECB" w:rsidRPr="00306115">
        <w:t xml:space="preserve">etode yang dapat digunakan Manajer Investasi untuk melakukan identifikasi dan pengukuran Risiko Operasional, antara </w:t>
      </w:r>
      <w:r w:rsidR="00F63ECB" w:rsidRPr="00306115">
        <w:lastRenderedPageBreak/>
        <w:t xml:space="preserve">lain, </w:t>
      </w:r>
      <w:r w:rsidR="00F63ECB" w:rsidRPr="00306115">
        <w:rPr>
          <w:i/>
          <w:iCs/>
        </w:rPr>
        <w:t>risk mapping</w:t>
      </w:r>
      <w:r w:rsidR="00F63ECB" w:rsidRPr="00306115">
        <w:t xml:space="preserve">, </w:t>
      </w:r>
      <w:r w:rsidR="00F63ECB" w:rsidRPr="00306115">
        <w:rPr>
          <w:i/>
          <w:iCs/>
        </w:rPr>
        <w:t>Key Risk Indicators</w:t>
      </w:r>
      <w:r w:rsidR="00F63ECB" w:rsidRPr="00306115">
        <w:t xml:space="preserve"> (KRI), </w:t>
      </w:r>
      <w:r w:rsidR="00F63ECB" w:rsidRPr="00306115">
        <w:rPr>
          <w:i/>
          <w:iCs/>
        </w:rPr>
        <w:t>scorecards</w:t>
      </w:r>
      <w:r w:rsidR="00F63ECB" w:rsidRPr="00306115">
        <w:t>, dan metode lainnya.</w:t>
      </w:r>
    </w:p>
    <w:p w14:paraId="6761BC69" w14:textId="20A7351F" w:rsidR="00F63ECB" w:rsidRPr="00306115" w:rsidRDefault="00B32AF2">
      <w:pPr>
        <w:pStyle w:val="HeadingAwalDaftarIsiLampiran"/>
        <w:numPr>
          <w:ilvl w:val="0"/>
          <w:numId w:val="186"/>
        </w:numPr>
        <w:ind w:left="3969" w:hanging="567"/>
      </w:pPr>
      <w:r w:rsidRPr="00306115">
        <w:t>Bagi Manajer Investasi yang belum mengembangkan metode khusus untuk melakukan identifikasi dan pengukuran Risiko Operasional, sumber informasi Risiko Operasional yang utama antara lain adalah temuan audit internal yang terkait dengan Risiko Operasional.</w:t>
      </w:r>
    </w:p>
    <w:p w14:paraId="2722EB8C" w14:textId="50FCEEFC" w:rsidR="00AA6E6F" w:rsidRPr="00306115" w:rsidRDefault="00D10E51">
      <w:pPr>
        <w:pStyle w:val="HeadingAwalDaftarIsiLampiran"/>
        <w:numPr>
          <w:ilvl w:val="0"/>
          <w:numId w:val="185"/>
        </w:numPr>
        <w:ind w:left="3402" w:hanging="567"/>
      </w:pPr>
      <w:r w:rsidRPr="00306115">
        <w:t>Pemantauan Risiko</w:t>
      </w:r>
    </w:p>
    <w:p w14:paraId="4351AB66" w14:textId="06628B47" w:rsidR="00B32AF2" w:rsidRPr="00306115" w:rsidRDefault="007F166F">
      <w:pPr>
        <w:pStyle w:val="HeadingAwalDaftarIsiLampiran"/>
        <w:numPr>
          <w:ilvl w:val="0"/>
          <w:numId w:val="189"/>
        </w:numPr>
        <w:ind w:left="3969" w:hanging="567"/>
      </w:pPr>
      <w:r w:rsidRPr="00306115">
        <w:t>Manajer Investasi harus memiliki mekanisme pemantauan yang andal untuk menghasilkan laporan yang berisikan informasi terkini terkait profil risiko operasional</w:t>
      </w:r>
      <w:r w:rsidRPr="00306115">
        <w:rPr>
          <w:lang w:val="en-GB"/>
        </w:rPr>
        <w:t xml:space="preserve">, </w:t>
      </w:r>
      <w:r w:rsidRPr="00306115">
        <w:t>serta besarnya eksposur risiko operasional dan kerugian yang ditimbulkan oleh Risiko Operasional.</w:t>
      </w:r>
    </w:p>
    <w:p w14:paraId="62B923E4" w14:textId="622B1E64" w:rsidR="007F166F" w:rsidRPr="00306115" w:rsidRDefault="00E27F0D">
      <w:pPr>
        <w:pStyle w:val="HeadingAwalDaftarIsiLampiran"/>
        <w:numPr>
          <w:ilvl w:val="0"/>
          <w:numId w:val="189"/>
        </w:numPr>
        <w:ind w:left="3969" w:hanging="567"/>
      </w:pPr>
      <w:r w:rsidRPr="00306115">
        <w:t xml:space="preserve">Manajer Investasi harus menyempurnakan secara berkesinambungan mekanisme pemantauan sesuai dengan perkembangan </w:t>
      </w:r>
      <w:r w:rsidRPr="00306115">
        <w:rPr>
          <w:lang w:val="en-GB"/>
        </w:rPr>
        <w:t>R</w:t>
      </w:r>
      <w:r w:rsidRPr="00306115">
        <w:t xml:space="preserve">isiko </w:t>
      </w:r>
      <w:r w:rsidRPr="00306115">
        <w:rPr>
          <w:lang w:val="en-GB"/>
        </w:rPr>
        <w:t>O</w:t>
      </w:r>
      <w:r w:rsidRPr="00306115">
        <w:t>perasional dan kebutuhan kegiatan usaha Manajer Investasi.</w:t>
      </w:r>
    </w:p>
    <w:p w14:paraId="065AABDB" w14:textId="65B49C24" w:rsidR="00D10E51" w:rsidRPr="00306115" w:rsidRDefault="00D10E51">
      <w:pPr>
        <w:pStyle w:val="HeadingAwalDaftarIsiLampiran"/>
        <w:numPr>
          <w:ilvl w:val="0"/>
          <w:numId w:val="185"/>
        </w:numPr>
        <w:ind w:left="3402" w:hanging="567"/>
      </w:pPr>
      <w:r w:rsidRPr="00306115">
        <w:t>Pengendalian Risiko</w:t>
      </w:r>
    </w:p>
    <w:p w14:paraId="2D167634" w14:textId="1067E747" w:rsidR="009204D7" w:rsidRPr="00306115" w:rsidRDefault="0016683D">
      <w:pPr>
        <w:pStyle w:val="HeadingAwalDaftarIsiLampiran"/>
        <w:numPr>
          <w:ilvl w:val="0"/>
          <w:numId w:val="190"/>
        </w:numPr>
        <w:ind w:left="3969" w:hanging="567"/>
      </w:pPr>
      <w:r w:rsidRPr="00306115">
        <w:t>P</w:t>
      </w:r>
      <w:r w:rsidR="009204D7" w:rsidRPr="00306115">
        <w:t>engendalian risiko dilakukan secara konsisten sesuai dengan tingkat risiko yang akan diambil, hasil identifikasi</w:t>
      </w:r>
      <w:r w:rsidR="009204D7" w:rsidRPr="00306115">
        <w:rPr>
          <w:lang w:val="en-GB"/>
        </w:rPr>
        <w:t xml:space="preserve"> </w:t>
      </w:r>
      <w:r w:rsidR="009204D7" w:rsidRPr="00306115">
        <w:t>pengukuran, dan pemantauan Risiko Operasional.</w:t>
      </w:r>
    </w:p>
    <w:p w14:paraId="54CD2C01" w14:textId="5A2DBC24" w:rsidR="009204D7" w:rsidRPr="00306115" w:rsidRDefault="0016683D">
      <w:pPr>
        <w:pStyle w:val="HeadingAwalDaftarIsiLampiran"/>
        <w:numPr>
          <w:ilvl w:val="0"/>
          <w:numId w:val="190"/>
        </w:numPr>
        <w:ind w:left="3969" w:hanging="567"/>
      </w:pPr>
      <w:r w:rsidRPr="00306115">
        <w:t>D</w:t>
      </w:r>
      <w:r w:rsidR="00CB38B7" w:rsidRPr="00306115">
        <w:t>alam penerapan pengendalian Risiko Operasional, Manajer Investasi dapat mengembangkan mekanisme untuk memitigasi Risiko Operasional seperti proteksi terhadap sistem teknologi informasi, dan penggunaan asuransi yang ditujukan untuk kejadian bersifat tidak dapat dikontrol (</w:t>
      </w:r>
      <w:r w:rsidR="00CB38B7" w:rsidRPr="00306115">
        <w:rPr>
          <w:i/>
          <w:iCs/>
        </w:rPr>
        <w:t>uncontrollable</w:t>
      </w:r>
      <w:r w:rsidR="00CB38B7" w:rsidRPr="00306115">
        <w:t>).</w:t>
      </w:r>
    </w:p>
    <w:p w14:paraId="754322B3" w14:textId="468B6B1D" w:rsidR="00CB38B7" w:rsidRPr="00306115" w:rsidRDefault="00C61658">
      <w:pPr>
        <w:pStyle w:val="HeadingAwalDaftarIsiLampiran"/>
        <w:numPr>
          <w:ilvl w:val="0"/>
          <w:numId w:val="190"/>
        </w:numPr>
        <w:ind w:left="3969" w:hanging="567"/>
      </w:pPr>
      <w:r w:rsidRPr="00306115">
        <w:t xml:space="preserve">Manajer Investasi menetapkan akuntabilitas yang jelas dari pihak yang bertanggung jawab dalam pelaksanaan manajemen </w:t>
      </w:r>
      <w:r w:rsidRPr="00306115">
        <w:rPr>
          <w:lang w:val="en-GB"/>
        </w:rPr>
        <w:t>R</w:t>
      </w:r>
      <w:r w:rsidRPr="00306115">
        <w:t xml:space="preserve">isiko </w:t>
      </w:r>
      <w:r w:rsidRPr="00306115">
        <w:rPr>
          <w:lang w:val="en-GB"/>
        </w:rPr>
        <w:t>O</w:t>
      </w:r>
      <w:r w:rsidRPr="00306115">
        <w:t>perasional dan mengembangkan mekanisme pemantauan langkah-langkah pengendalian di masing-masing unit kerja dan unit pendukung.</w:t>
      </w:r>
    </w:p>
    <w:p w14:paraId="25F42DC3" w14:textId="7EAA4928" w:rsidR="00C61658" w:rsidRPr="00306115" w:rsidRDefault="0016683D">
      <w:pPr>
        <w:pStyle w:val="HeadingAwalDaftarIsiLampiran"/>
        <w:numPr>
          <w:ilvl w:val="0"/>
          <w:numId w:val="190"/>
        </w:numPr>
        <w:ind w:left="3969" w:hanging="567"/>
      </w:pPr>
      <w:r w:rsidRPr="00306115">
        <w:t>P</w:t>
      </w:r>
      <w:r w:rsidR="003F0355" w:rsidRPr="00306115">
        <w:t>engendalian terhadap sistem informasi harus memastikan:</w:t>
      </w:r>
    </w:p>
    <w:p w14:paraId="4DF64D02" w14:textId="24B02773" w:rsidR="003F0355" w:rsidRPr="00306115" w:rsidRDefault="00B75300">
      <w:pPr>
        <w:pStyle w:val="HeadingAwalDaftarIsiLampiran"/>
        <w:numPr>
          <w:ilvl w:val="0"/>
          <w:numId w:val="191"/>
        </w:numPr>
        <w:ind w:left="4536" w:hanging="567"/>
      </w:pPr>
      <w:r w:rsidRPr="00306115">
        <w:t>adanya penilaian berkala terhadap proteksi sistem informasi, yang disertai dengan tindakan korektif dalam hal diperlukan;</w:t>
      </w:r>
    </w:p>
    <w:p w14:paraId="5E9D7257" w14:textId="70A7FD4F" w:rsidR="00B75300" w:rsidRPr="00306115" w:rsidRDefault="00FD3462">
      <w:pPr>
        <w:pStyle w:val="HeadingAwalDaftarIsiLampiran"/>
        <w:numPr>
          <w:ilvl w:val="0"/>
          <w:numId w:val="191"/>
        </w:numPr>
        <w:ind w:left="4536" w:hanging="567"/>
      </w:pPr>
      <w:r w:rsidRPr="00306115">
        <w:t xml:space="preserve">tersedianya prosedur </w:t>
      </w:r>
      <w:r w:rsidRPr="00306115">
        <w:rPr>
          <w:i/>
          <w:iCs/>
        </w:rPr>
        <w:t>back-up</w:t>
      </w:r>
      <w:r w:rsidRPr="00306115">
        <w:t xml:space="preserve"> dan rencana darurat untuk menjamin berjalannya kegiatan operasional Manajer Investasi dan mencegah terjadinya gangguan yang signifikan, yang diuji secara berkala; dan</w:t>
      </w:r>
    </w:p>
    <w:p w14:paraId="5EF87AA1" w14:textId="5D64CB00" w:rsidR="00FD3462" w:rsidRPr="00306115" w:rsidRDefault="003D7C57">
      <w:pPr>
        <w:pStyle w:val="HeadingAwalDaftarIsiLampiran"/>
        <w:numPr>
          <w:ilvl w:val="0"/>
          <w:numId w:val="191"/>
        </w:numPr>
        <w:ind w:left="4536" w:hanging="567"/>
      </w:pPr>
      <w:r w:rsidRPr="00306115">
        <w:lastRenderedPageBreak/>
        <w:t>tersedianya penyimpanan informasi dan dokumen yang menunjang operasional kegiatan usaha Manajer Investasi.</w:t>
      </w:r>
    </w:p>
    <w:p w14:paraId="40A0C899" w14:textId="2763428B" w:rsidR="006C47B4" w:rsidRPr="00306115" w:rsidRDefault="006C47B4">
      <w:pPr>
        <w:pStyle w:val="HeadingAwalDaftarIsiLampiran"/>
        <w:numPr>
          <w:ilvl w:val="0"/>
          <w:numId w:val="190"/>
        </w:numPr>
        <w:ind w:left="3969" w:hanging="567"/>
      </w:pPr>
      <w:r w:rsidRPr="00306115">
        <w:t>Manajer Investasi wajib memastikan pengendalian dan pengamanan informasi, data Produk Investasi, dan data operasional kegiatan usaha Manajer Investasi dilakukan secara efektif dan memperhatikan paling sedikit:</w:t>
      </w:r>
    </w:p>
    <w:p w14:paraId="6499ED8A" w14:textId="1D2A549D" w:rsidR="006C47B4" w:rsidRPr="00306115" w:rsidRDefault="00D137BD">
      <w:pPr>
        <w:pStyle w:val="HeadingAwalDaftarIsiLampiran"/>
        <w:numPr>
          <w:ilvl w:val="0"/>
          <w:numId w:val="192"/>
        </w:numPr>
        <w:ind w:left="4536" w:hanging="567"/>
      </w:pPr>
      <w:r w:rsidRPr="00306115">
        <w:t>pengamanan informasi yang ditujukan agar informasi dan data yang dikelola terjaga kerahasiaan, integritas, dan ketersediaan secara efektif dan efisien dengan memperhatikan kepatuhan terhadap ketentuan peraturan perundang-undangan;</w:t>
      </w:r>
    </w:p>
    <w:p w14:paraId="2DF10D8D" w14:textId="5C2D728E" w:rsidR="00D137BD" w:rsidRPr="00306115" w:rsidRDefault="00AD1661">
      <w:pPr>
        <w:pStyle w:val="HeadingAwalDaftarIsiLampiran"/>
        <w:numPr>
          <w:ilvl w:val="0"/>
          <w:numId w:val="192"/>
        </w:numPr>
        <w:ind w:left="4536" w:hanging="567"/>
      </w:pPr>
      <w:r w:rsidRPr="00306115">
        <w:t>pengamanan informasi yang dilakukan terhadap aspek teknologi, sumber daya manusia, dan proses dalam penggunaan teknologi informasi;</w:t>
      </w:r>
    </w:p>
    <w:p w14:paraId="061E79C9" w14:textId="6742BFF0" w:rsidR="00AD1661" w:rsidRPr="00306115" w:rsidRDefault="00724250">
      <w:pPr>
        <w:pStyle w:val="HeadingAwalDaftarIsiLampiran"/>
        <w:numPr>
          <w:ilvl w:val="0"/>
          <w:numId w:val="192"/>
        </w:numPr>
        <w:ind w:left="4536" w:hanging="567"/>
      </w:pPr>
      <w:r w:rsidRPr="00306115">
        <w:t>pengamanan informasi yang diterapkan berdasarkan hasil penilaian terhadap risiko pada informasi yang dimiliki Manajer Investasi; dan</w:t>
      </w:r>
    </w:p>
    <w:p w14:paraId="187C8839" w14:textId="59410D24" w:rsidR="00724250" w:rsidRPr="00306115" w:rsidRDefault="00F250C9">
      <w:pPr>
        <w:pStyle w:val="HeadingAwalDaftarIsiLampiran"/>
        <w:numPr>
          <w:ilvl w:val="0"/>
          <w:numId w:val="192"/>
        </w:numPr>
        <w:ind w:left="4536" w:hanging="567"/>
      </w:pPr>
      <w:r w:rsidRPr="00306115">
        <w:t>ketersediaan manajemen penanganan risiko siber dan/atau risiko dalam pengamanan informasi.</w:t>
      </w:r>
    </w:p>
    <w:p w14:paraId="4F8023F9" w14:textId="126F2CCD" w:rsidR="002C5C26" w:rsidRPr="00306115" w:rsidRDefault="00102623">
      <w:pPr>
        <w:pStyle w:val="HeadingAwalDaftarIsiLampiran"/>
        <w:numPr>
          <w:ilvl w:val="0"/>
          <w:numId w:val="190"/>
        </w:numPr>
        <w:ind w:left="3969" w:hanging="567"/>
      </w:pPr>
      <w:r w:rsidRPr="00306115">
        <w:t>Prinsip pengendalian pengamanan data dan informasi mencakup paling sedikit:</w:t>
      </w:r>
    </w:p>
    <w:p w14:paraId="5030BDD3" w14:textId="304CFD6D" w:rsidR="00102623" w:rsidRPr="00306115" w:rsidRDefault="002E748E">
      <w:pPr>
        <w:pStyle w:val="HeadingAwalDaftarIsiLampiran"/>
        <w:numPr>
          <w:ilvl w:val="0"/>
          <w:numId w:val="193"/>
        </w:numPr>
        <w:ind w:left="4536" w:hanging="567"/>
      </w:pPr>
      <w:r w:rsidRPr="00306115">
        <w:t>kerahasiaan;</w:t>
      </w:r>
    </w:p>
    <w:p w14:paraId="049DAEDF" w14:textId="23D85C92" w:rsidR="002E748E" w:rsidRPr="00306115" w:rsidRDefault="005602C1">
      <w:pPr>
        <w:pStyle w:val="HeadingAwalDaftarIsiLampiran"/>
        <w:numPr>
          <w:ilvl w:val="0"/>
          <w:numId w:val="193"/>
        </w:numPr>
        <w:ind w:left="4536" w:hanging="567"/>
      </w:pPr>
      <w:r w:rsidRPr="00306115">
        <w:t>integritas;</w:t>
      </w:r>
    </w:p>
    <w:p w14:paraId="20AAB4A4" w14:textId="256D1289" w:rsidR="005602C1" w:rsidRPr="00306115" w:rsidRDefault="002630A3">
      <w:pPr>
        <w:pStyle w:val="HeadingAwalDaftarIsiLampiran"/>
        <w:numPr>
          <w:ilvl w:val="0"/>
          <w:numId w:val="193"/>
        </w:numPr>
        <w:ind w:left="4536" w:hanging="567"/>
      </w:pPr>
      <w:r w:rsidRPr="00306115">
        <w:t>ketersediaan;</w:t>
      </w:r>
    </w:p>
    <w:p w14:paraId="40360140" w14:textId="3715988C" w:rsidR="002630A3" w:rsidRPr="00306115" w:rsidRDefault="00B11CE6">
      <w:pPr>
        <w:pStyle w:val="HeadingAwalDaftarIsiLampiran"/>
        <w:numPr>
          <w:ilvl w:val="0"/>
          <w:numId w:val="193"/>
        </w:numPr>
        <w:ind w:left="4536" w:hanging="567"/>
      </w:pPr>
      <w:r w:rsidRPr="00306115">
        <w:t>keaslian;</w:t>
      </w:r>
    </w:p>
    <w:p w14:paraId="13725395" w14:textId="53EF6815" w:rsidR="00B11CE6" w:rsidRPr="00306115" w:rsidRDefault="00B607AD">
      <w:pPr>
        <w:pStyle w:val="HeadingAwalDaftarIsiLampiran"/>
        <w:numPr>
          <w:ilvl w:val="0"/>
          <w:numId w:val="193"/>
        </w:numPr>
        <w:ind w:left="4536" w:hanging="567"/>
      </w:pPr>
      <w:r w:rsidRPr="00306115">
        <w:t>tidak dapat diingkari;</w:t>
      </w:r>
    </w:p>
    <w:p w14:paraId="0EAB96B8" w14:textId="513EC2D5" w:rsidR="00B607AD" w:rsidRPr="00306115" w:rsidRDefault="00714A9A">
      <w:pPr>
        <w:pStyle w:val="HeadingAwalDaftarIsiLampiran"/>
        <w:numPr>
          <w:ilvl w:val="0"/>
          <w:numId w:val="193"/>
        </w:numPr>
        <w:ind w:left="4536" w:hanging="567"/>
      </w:pPr>
      <w:r w:rsidRPr="00306115">
        <w:t>pengendalian otorisasi dalam sistem, pangkalan</w:t>
      </w:r>
      <w:r w:rsidRPr="00306115">
        <w:rPr>
          <w:lang w:val="en-GB"/>
        </w:rPr>
        <w:t xml:space="preserve"> </w:t>
      </w:r>
      <w:r w:rsidRPr="00306115">
        <w:t>data, dan aplikasi;</w:t>
      </w:r>
    </w:p>
    <w:p w14:paraId="7B98CA36" w14:textId="308D8742" w:rsidR="00714A9A" w:rsidRPr="00306115" w:rsidRDefault="00BD13FC">
      <w:pPr>
        <w:pStyle w:val="HeadingAwalDaftarIsiLampiran"/>
        <w:numPr>
          <w:ilvl w:val="0"/>
          <w:numId w:val="193"/>
        </w:numPr>
        <w:ind w:left="4536" w:hanging="567"/>
      </w:pPr>
      <w:r w:rsidRPr="00306115">
        <w:t>pemisahan tugas dan tanggung jawab; dan</w:t>
      </w:r>
    </w:p>
    <w:p w14:paraId="27CB05A7" w14:textId="095C40E0" w:rsidR="00BD13FC" w:rsidRPr="00306115" w:rsidRDefault="003039A6">
      <w:pPr>
        <w:pStyle w:val="HeadingAwalDaftarIsiLampiran"/>
        <w:numPr>
          <w:ilvl w:val="0"/>
          <w:numId w:val="193"/>
        </w:numPr>
        <w:ind w:left="4536" w:hanging="567"/>
      </w:pPr>
      <w:r w:rsidRPr="00306115">
        <w:t>pemeliharaan jejak audit.</w:t>
      </w:r>
    </w:p>
    <w:p w14:paraId="0C2D231B" w14:textId="56577EA6" w:rsidR="003039A6" w:rsidRPr="00306115" w:rsidRDefault="00DF140E">
      <w:pPr>
        <w:pStyle w:val="HeadingAwalDaftarIsiLampiran"/>
        <w:numPr>
          <w:ilvl w:val="0"/>
          <w:numId w:val="190"/>
        </w:numPr>
        <w:ind w:left="3969" w:hanging="567"/>
      </w:pPr>
      <w:r w:rsidRPr="00306115">
        <w:t>Dalam hal Manajer Investasi menyelenggarakan sistem elektronik transaksi Produk Investasi maka:</w:t>
      </w:r>
    </w:p>
    <w:p w14:paraId="786B0278" w14:textId="3F4E7CA3" w:rsidR="00DF140E" w:rsidRPr="00306115" w:rsidRDefault="0074686D">
      <w:pPr>
        <w:pStyle w:val="HeadingAwalDaftarIsiLampiran"/>
        <w:numPr>
          <w:ilvl w:val="0"/>
          <w:numId w:val="194"/>
        </w:numPr>
        <w:ind w:left="4536" w:hanging="567"/>
      </w:pPr>
      <w:r w:rsidRPr="00306115">
        <w:t>pelaksanaan prinsip keaslian paling sedikit menetapkan dua faktor keaslian; dan</w:t>
      </w:r>
    </w:p>
    <w:p w14:paraId="27697320" w14:textId="7466025D" w:rsidR="0074686D" w:rsidRPr="00306115" w:rsidRDefault="00AF5441">
      <w:pPr>
        <w:pStyle w:val="HeadingAwalDaftarIsiLampiran"/>
        <w:numPr>
          <w:ilvl w:val="0"/>
          <w:numId w:val="194"/>
        </w:numPr>
        <w:ind w:left="4536" w:hanging="567"/>
      </w:pPr>
      <w:r w:rsidRPr="00306115">
        <w:t xml:space="preserve">pelaksanaan prinsip tidak dapat diingkari paling sedikit menerapkan keamanan pengiriman data dan </w:t>
      </w:r>
      <w:r w:rsidRPr="00306115">
        <w:rPr>
          <w:i/>
          <w:iCs/>
        </w:rPr>
        <w:t>end to end encryption</w:t>
      </w:r>
      <w:r w:rsidRPr="00306115">
        <w:t>.</w:t>
      </w:r>
    </w:p>
    <w:p w14:paraId="20B2898E" w14:textId="5CD702F8" w:rsidR="00AA22FA" w:rsidRPr="00306115" w:rsidRDefault="00A44B5A">
      <w:pPr>
        <w:pStyle w:val="HeadingAwalDaftarIsiLampiran"/>
        <w:numPr>
          <w:ilvl w:val="0"/>
          <w:numId w:val="190"/>
        </w:numPr>
        <w:ind w:left="3969" w:hanging="567"/>
      </w:pPr>
      <w:r w:rsidRPr="00306115">
        <w:t xml:space="preserve">Manajer Investasi yang telah memiliki sistem elektronik untuk transaksi Produk Investasi dan/atau sistem elektronik yang </w:t>
      </w:r>
      <w:r w:rsidRPr="00306115">
        <w:lastRenderedPageBreak/>
        <w:t xml:space="preserve">menunjang operasional kegiatan usaha </w:t>
      </w:r>
      <w:r w:rsidR="00984CD1" w:rsidRPr="00306115">
        <w:t>harus</w:t>
      </w:r>
      <w:r w:rsidRPr="00306115">
        <w:t>:</w:t>
      </w:r>
    </w:p>
    <w:p w14:paraId="0542C80A" w14:textId="736799F2" w:rsidR="00A44B5A" w:rsidRPr="00306115" w:rsidRDefault="00762DF5">
      <w:pPr>
        <w:pStyle w:val="HeadingAwalDaftarIsiLampiran"/>
        <w:numPr>
          <w:ilvl w:val="0"/>
          <w:numId w:val="195"/>
        </w:numPr>
        <w:ind w:left="4536" w:hanging="567"/>
      </w:pPr>
      <w:r w:rsidRPr="00306115">
        <w:t>memastikan kelangsungan dan kestabilan operasional teknologi informasi yang dipergunakan bagi penyelenggaraan sistem elektronik transaksi Produk Investasi dan/atau menunjang operasional kegiatan usaha Manajer Investasi; dan</w:t>
      </w:r>
    </w:p>
    <w:p w14:paraId="070B574F" w14:textId="68BDAE67" w:rsidR="00762DF5" w:rsidRPr="00306115" w:rsidRDefault="006542C2">
      <w:pPr>
        <w:pStyle w:val="HeadingAwalDaftarIsiLampiran"/>
        <w:numPr>
          <w:ilvl w:val="0"/>
          <w:numId w:val="195"/>
        </w:numPr>
        <w:ind w:left="4536" w:hanging="567"/>
      </w:pPr>
      <w:r w:rsidRPr="00306115">
        <w:t>melakukan mitigasi atas risiko yang berpotensi dapat mengganggu kegiatan penyelenggaraan sistem elektronik transaksi Produk Investasi dan/atau menunjang operasional kegiatan usaha Manajer Investasi.</w:t>
      </w:r>
    </w:p>
    <w:p w14:paraId="4456C1F2" w14:textId="239BA874" w:rsidR="006542C2" w:rsidRPr="00306115" w:rsidRDefault="00A26E2E">
      <w:pPr>
        <w:pStyle w:val="HeadingAwalDaftarIsiLampiran"/>
        <w:numPr>
          <w:ilvl w:val="0"/>
          <w:numId w:val="190"/>
        </w:numPr>
        <w:ind w:left="3969" w:hanging="567"/>
      </w:pPr>
      <w:r w:rsidRPr="00306115">
        <w:t>Manajer Investasi harus melakukan kaji ulang secara berkala terhadap kebijakan, prosedur,</w:t>
      </w:r>
      <w:r w:rsidRPr="00306115">
        <w:rPr>
          <w:lang w:val="en-GB"/>
        </w:rPr>
        <w:t xml:space="preserve"> </w:t>
      </w:r>
      <w:r w:rsidRPr="00306115">
        <w:t>sistem teknologi informasi, rencana kontinjensi, dan prakt</w:t>
      </w:r>
      <w:r w:rsidRPr="00306115">
        <w:rPr>
          <w:lang w:val="en-GB"/>
        </w:rPr>
        <w:t>i</w:t>
      </w:r>
      <w:r w:rsidRPr="00306115">
        <w:t>k operasional lainnya guna mengurangi kemungkinan terjadinya kesalahan manusia.</w:t>
      </w:r>
    </w:p>
    <w:p w14:paraId="036444DE" w14:textId="08A2454B" w:rsidR="00D10E51" w:rsidRPr="00306115" w:rsidRDefault="00D10E51">
      <w:pPr>
        <w:pStyle w:val="HeadingAwalDaftarIsiLampiran"/>
        <w:numPr>
          <w:ilvl w:val="0"/>
          <w:numId w:val="185"/>
        </w:numPr>
        <w:ind w:left="3402" w:hanging="567"/>
      </w:pPr>
      <w:r w:rsidRPr="00306115">
        <w:t>Sistem Informasi Manajemen Risiko</w:t>
      </w:r>
    </w:p>
    <w:p w14:paraId="35D0997D" w14:textId="14DADC50" w:rsidR="00984CD1" w:rsidRPr="00306115" w:rsidRDefault="00CC0FAE" w:rsidP="00984CD1">
      <w:pPr>
        <w:pStyle w:val="HeadingAwalDaftarIsiLampiran"/>
        <w:numPr>
          <w:ilvl w:val="0"/>
          <w:numId w:val="0"/>
        </w:numPr>
        <w:ind w:left="3402"/>
      </w:pPr>
      <w:r w:rsidRPr="00306115">
        <w:t>Sistem informasi manajemen Risiko Operasional harus dapat menghasilkan laporan yang lengkap</w:t>
      </w:r>
      <w:r w:rsidR="00BB402B" w:rsidRPr="00306115">
        <w:rPr>
          <w:lang w:val="en-GB"/>
        </w:rPr>
        <w:t>,</w:t>
      </w:r>
      <w:r w:rsidRPr="00306115">
        <w:t xml:space="preserve"> akurat dan tepat waktu antara lain terkait</w:t>
      </w:r>
      <w:r w:rsidR="00BB402B" w:rsidRPr="00306115">
        <w:t>:</w:t>
      </w:r>
    </w:p>
    <w:p w14:paraId="7EE51389" w14:textId="1C1FE15B" w:rsidR="00BB402B" w:rsidRPr="00306115" w:rsidRDefault="001C7C1B">
      <w:pPr>
        <w:pStyle w:val="HeadingAwalDaftarIsiLampiran"/>
        <w:numPr>
          <w:ilvl w:val="0"/>
          <w:numId w:val="196"/>
        </w:numPr>
        <w:tabs>
          <w:tab w:val="left" w:pos="3544"/>
        </w:tabs>
        <w:ind w:left="3969" w:hanging="567"/>
      </w:pPr>
      <w:r w:rsidRPr="00306115">
        <w:t>profil Risiko Operasional dan kerugian yang disebabkan oleh Risiko Operasional;</w:t>
      </w:r>
    </w:p>
    <w:p w14:paraId="5E300BAD" w14:textId="7AF6A65B" w:rsidR="001C7C1B" w:rsidRPr="00306115" w:rsidRDefault="00EF4621">
      <w:pPr>
        <w:pStyle w:val="HeadingAwalDaftarIsiLampiran"/>
        <w:numPr>
          <w:ilvl w:val="0"/>
          <w:numId w:val="196"/>
        </w:numPr>
        <w:tabs>
          <w:tab w:val="left" w:pos="3544"/>
        </w:tabs>
        <w:ind w:left="3969" w:hanging="567"/>
      </w:pPr>
      <w:r w:rsidRPr="00306115">
        <w:t>hasil dari berbagai metode pengukuran Risiko Operasional dan/atau ringkasan dari temuan audit internal;</w:t>
      </w:r>
    </w:p>
    <w:p w14:paraId="659CAF8D" w14:textId="572B402D" w:rsidR="00EF4621" w:rsidRPr="00306115" w:rsidRDefault="006D2C2D">
      <w:pPr>
        <w:pStyle w:val="HeadingAwalDaftarIsiLampiran"/>
        <w:numPr>
          <w:ilvl w:val="0"/>
          <w:numId w:val="196"/>
        </w:numPr>
        <w:tabs>
          <w:tab w:val="left" w:pos="3544"/>
        </w:tabs>
        <w:ind w:left="3969" w:hanging="567"/>
      </w:pPr>
      <w:r w:rsidRPr="00306115">
        <w:t>laporan status dan efektivitas pelaksanaan rencana tindak dari isu Risiko Operasional;</w:t>
      </w:r>
    </w:p>
    <w:p w14:paraId="7A3C4C7E" w14:textId="3D037ADA" w:rsidR="006D2C2D" w:rsidRPr="00306115" w:rsidRDefault="000802C3">
      <w:pPr>
        <w:pStyle w:val="HeadingAwalDaftarIsiLampiran"/>
        <w:numPr>
          <w:ilvl w:val="0"/>
          <w:numId w:val="196"/>
        </w:numPr>
        <w:tabs>
          <w:tab w:val="left" w:pos="3544"/>
        </w:tabs>
        <w:ind w:left="3969" w:hanging="567"/>
      </w:pPr>
      <w:r w:rsidRPr="00306115">
        <w:t>laporan penyimpangan prosedur;</w:t>
      </w:r>
    </w:p>
    <w:p w14:paraId="3CFF7079" w14:textId="4F520308" w:rsidR="000802C3" w:rsidRPr="00306115" w:rsidRDefault="00BC3F0F">
      <w:pPr>
        <w:pStyle w:val="HeadingAwalDaftarIsiLampiran"/>
        <w:numPr>
          <w:ilvl w:val="0"/>
          <w:numId w:val="196"/>
        </w:numPr>
        <w:tabs>
          <w:tab w:val="left" w:pos="3544"/>
        </w:tabs>
        <w:ind w:left="3969" w:hanging="567"/>
      </w:pPr>
      <w:r w:rsidRPr="00306115">
        <w:t xml:space="preserve">laporan kejadian </w:t>
      </w:r>
      <w:r w:rsidRPr="00306115">
        <w:rPr>
          <w:i/>
          <w:iCs/>
        </w:rPr>
        <w:t>fraud</w:t>
      </w:r>
      <w:r w:rsidRPr="00306115">
        <w:t>; dan</w:t>
      </w:r>
    </w:p>
    <w:p w14:paraId="180B6C84" w14:textId="02A459E2" w:rsidR="00BC3F0F" w:rsidRPr="00306115" w:rsidRDefault="00F4424C">
      <w:pPr>
        <w:pStyle w:val="HeadingAwalDaftarIsiLampiran"/>
        <w:numPr>
          <w:ilvl w:val="0"/>
          <w:numId w:val="196"/>
        </w:numPr>
        <w:tabs>
          <w:tab w:val="left" w:pos="3544"/>
        </w:tabs>
        <w:ind w:left="3969" w:hanging="567"/>
      </w:pPr>
      <w:r w:rsidRPr="00306115">
        <w:t>laporan lainnya yang berkaitan dengan Risiko Operasional.</w:t>
      </w:r>
    </w:p>
    <w:p w14:paraId="3BB4D07E" w14:textId="0EDCB301" w:rsidR="00634E12" w:rsidRPr="00306115" w:rsidRDefault="00F578D5">
      <w:pPr>
        <w:pStyle w:val="HeadingAwalDaftarIsiLampiran"/>
        <w:numPr>
          <w:ilvl w:val="0"/>
          <w:numId w:val="172"/>
        </w:numPr>
        <w:ind w:left="2835" w:hanging="567"/>
      </w:pPr>
      <w:r w:rsidRPr="00306115">
        <w:t xml:space="preserve">Sistem </w:t>
      </w:r>
      <w:r w:rsidR="00C00810" w:rsidRPr="00306115">
        <w:t>P</w:t>
      </w:r>
      <w:r w:rsidRPr="00306115">
        <w:t xml:space="preserve">engendalian </w:t>
      </w:r>
      <w:r w:rsidR="00C00810" w:rsidRPr="00306115">
        <w:t>I</w:t>
      </w:r>
      <w:r w:rsidRPr="00306115">
        <w:t>nternal</w:t>
      </w:r>
      <w:r w:rsidR="00C00810" w:rsidRPr="00306115">
        <w:t xml:space="preserve"> yang Menyeluruh</w:t>
      </w:r>
    </w:p>
    <w:p w14:paraId="7E8F9564" w14:textId="77C1A2A7" w:rsidR="00D3711A" w:rsidRPr="00306115" w:rsidRDefault="00C40495" w:rsidP="00C00810">
      <w:pPr>
        <w:pStyle w:val="HeadingAwalDaftarIsiLampiran"/>
        <w:numPr>
          <w:ilvl w:val="0"/>
          <w:numId w:val="0"/>
        </w:numPr>
        <w:ind w:left="2835"/>
      </w:pPr>
      <w:r w:rsidRPr="00306115">
        <w:t xml:space="preserve">Dalam melakukan penerapan Manajemen Risiko melalui pelaksanaan sistem pengendalian internal untuk Risiko Operasional, selain melaksanakan pengendalian internal sebagaimana dimaksud pada Romawi I huruf D, Manajer Investasi </w:t>
      </w:r>
      <w:r w:rsidR="00C7509E" w:rsidRPr="00306115">
        <w:t xml:space="preserve">harus </w:t>
      </w:r>
      <w:r w:rsidRPr="00306115">
        <w:t>memiliki kebijakan antara lain</w:t>
      </w:r>
      <w:r w:rsidR="00C7509E" w:rsidRPr="00306115">
        <w:t>:</w:t>
      </w:r>
    </w:p>
    <w:p w14:paraId="6504E218" w14:textId="261F18F0" w:rsidR="00C7509E" w:rsidRPr="00306115" w:rsidRDefault="00302174">
      <w:pPr>
        <w:pStyle w:val="HeadingAwalDaftarIsiLampiran"/>
        <w:numPr>
          <w:ilvl w:val="0"/>
          <w:numId w:val="197"/>
        </w:numPr>
        <w:ind w:left="3402" w:hanging="567"/>
      </w:pPr>
      <w:r w:rsidRPr="00306115">
        <w:t xml:space="preserve">untuk menghindari ketergantungan kepada pegawai tertentu dan mengurangi kemungkinan terjadinya </w:t>
      </w:r>
      <w:r w:rsidRPr="00306115">
        <w:rPr>
          <w:i/>
          <w:iCs/>
        </w:rPr>
        <w:t>fraud</w:t>
      </w:r>
      <w:r w:rsidRPr="00306115">
        <w:t>. Contoh</w:t>
      </w:r>
      <w:r w:rsidRPr="00306115">
        <w:rPr>
          <w:lang w:val="en-GB"/>
        </w:rPr>
        <w:t xml:space="preserve">nya seperti </w:t>
      </w:r>
      <w:r w:rsidRPr="00306115">
        <w:t>kewajiban cuti atau sistem rotasi;</w:t>
      </w:r>
      <w:r w:rsidR="00616917" w:rsidRPr="00306115">
        <w:t xml:space="preserve"> dan</w:t>
      </w:r>
    </w:p>
    <w:p w14:paraId="1FAF7747" w14:textId="2A7B1043" w:rsidR="00302174" w:rsidRPr="00306115" w:rsidRDefault="00F50D31">
      <w:pPr>
        <w:pStyle w:val="HeadingAwalDaftarIsiLampiran"/>
        <w:numPr>
          <w:ilvl w:val="0"/>
          <w:numId w:val="197"/>
        </w:numPr>
        <w:ind w:left="3402" w:hanging="567"/>
      </w:pPr>
      <w:r w:rsidRPr="00306115">
        <w:t>a</w:t>
      </w:r>
      <w:r w:rsidR="00F72C13" w:rsidRPr="00306115">
        <w:t xml:space="preserve">udit </w:t>
      </w:r>
      <w:r w:rsidRPr="00306115">
        <w:t>s</w:t>
      </w:r>
      <w:r w:rsidR="00F72C13" w:rsidRPr="00306115">
        <w:t xml:space="preserve">istem </w:t>
      </w:r>
      <w:r w:rsidRPr="00306115">
        <w:t>e</w:t>
      </w:r>
      <w:r w:rsidR="00F72C13" w:rsidRPr="00306115">
        <w:t xml:space="preserve">lektronik untuk </w:t>
      </w:r>
      <w:r w:rsidRPr="00306115">
        <w:t>t</w:t>
      </w:r>
      <w:r w:rsidR="00F72C13" w:rsidRPr="00306115">
        <w:t>ransaksi Produk</w:t>
      </w:r>
      <w:r w:rsidRPr="00306115">
        <w:t xml:space="preserve"> Investasi:</w:t>
      </w:r>
    </w:p>
    <w:p w14:paraId="2ADC7C9F" w14:textId="4E2BA5CB" w:rsidR="00C20AD5" w:rsidRPr="00306115" w:rsidRDefault="00F50D31">
      <w:pPr>
        <w:pStyle w:val="HeadingAwalDaftarIsiLampiran"/>
        <w:numPr>
          <w:ilvl w:val="0"/>
          <w:numId w:val="198"/>
        </w:numPr>
        <w:ind w:left="3969" w:hanging="567"/>
      </w:pPr>
      <w:r w:rsidRPr="00306115">
        <w:t xml:space="preserve">Manajer Investasi yang telah memiliki sistem elektronik untuk transaksi Produk Investasi wajib melakukan audit secara berkala atas sistem elektronik dimaksud </w:t>
      </w:r>
      <w:r w:rsidRPr="00306115">
        <w:lastRenderedPageBreak/>
        <w:t>paling sedikit 1 (satu) kali dalam 3 (tiga) tahun;</w:t>
      </w:r>
    </w:p>
    <w:p w14:paraId="19AD8FFD" w14:textId="1D8C11BD" w:rsidR="00F50D31" w:rsidRPr="00306115" w:rsidRDefault="00074B5E">
      <w:pPr>
        <w:pStyle w:val="HeadingAwalDaftarIsiLampiran"/>
        <w:numPr>
          <w:ilvl w:val="0"/>
          <w:numId w:val="198"/>
        </w:numPr>
        <w:ind w:left="3969" w:hanging="567"/>
      </w:pPr>
      <w:r w:rsidRPr="00306115">
        <w:t>audit secara berkala terhadap sistem elektronik untuk transaksi Produk Investasi wajib menggunakan jasa Pihak eksternal yang independen; dan</w:t>
      </w:r>
    </w:p>
    <w:p w14:paraId="5E09CD5B" w14:textId="7DE21052" w:rsidR="00074B5E" w:rsidRPr="00306115" w:rsidRDefault="00A6135E">
      <w:pPr>
        <w:pStyle w:val="HeadingAwalDaftarIsiLampiran"/>
        <w:numPr>
          <w:ilvl w:val="0"/>
          <w:numId w:val="198"/>
        </w:numPr>
        <w:ind w:left="3969" w:hanging="567"/>
      </w:pPr>
      <w:r w:rsidRPr="00306115">
        <w:t>Manajer Investasi wajib melakukan tindak lanjut atas hasil audit secara berkala dimaksud.</w:t>
      </w:r>
    </w:p>
    <w:p w14:paraId="7E022F11" w14:textId="5212B0B2" w:rsidR="001C3A6C" w:rsidRPr="00306115" w:rsidRDefault="001C3A6C">
      <w:pPr>
        <w:pStyle w:val="HeadingAwalDaftarIsiLampiran"/>
        <w:numPr>
          <w:ilvl w:val="0"/>
          <w:numId w:val="82"/>
        </w:numPr>
        <w:ind w:left="1701" w:hanging="567"/>
      </w:pPr>
      <w:r w:rsidRPr="00306115">
        <w:t>Risiko Hukum</w:t>
      </w:r>
    </w:p>
    <w:p w14:paraId="05B777E7" w14:textId="72DA2C9B" w:rsidR="00A778DC" w:rsidRPr="00306115" w:rsidRDefault="00A778DC">
      <w:pPr>
        <w:pStyle w:val="HeadingAwalDaftarIsiLampiran"/>
        <w:numPr>
          <w:ilvl w:val="0"/>
          <w:numId w:val="88"/>
        </w:numPr>
        <w:ind w:left="2268" w:hanging="567"/>
      </w:pPr>
      <w:r w:rsidRPr="00306115">
        <w:t>Tujuan</w:t>
      </w:r>
    </w:p>
    <w:p w14:paraId="68595E42" w14:textId="584867FC" w:rsidR="00FC5026" w:rsidRPr="00306115" w:rsidRDefault="00FC5026" w:rsidP="00FC5026">
      <w:pPr>
        <w:pStyle w:val="HeadingAwalDaftarIsiLampiran"/>
        <w:numPr>
          <w:ilvl w:val="0"/>
          <w:numId w:val="0"/>
        </w:numPr>
        <w:ind w:left="2268"/>
      </w:pPr>
      <w:r w:rsidRPr="00306115">
        <w:t>Tujuan utama Manajemen Risiko untuk Risiko Hukum adalah untuk memastikan bahwa proses Manajemen Risiko dapat meminimalkan kemungkinan dampak negatif dari proses litigasi.</w:t>
      </w:r>
    </w:p>
    <w:p w14:paraId="57CCD6EE" w14:textId="753CBD4F" w:rsidR="00A778DC" w:rsidRPr="00306115" w:rsidRDefault="00A778DC">
      <w:pPr>
        <w:pStyle w:val="HeadingAwalDaftarIsiLampiran"/>
        <w:numPr>
          <w:ilvl w:val="0"/>
          <w:numId w:val="88"/>
        </w:numPr>
        <w:ind w:left="2268" w:hanging="567"/>
      </w:pPr>
      <w:r w:rsidRPr="00306115">
        <w:t>Penerapan Manajemen Risiko</w:t>
      </w:r>
    </w:p>
    <w:p w14:paraId="0B26F08C" w14:textId="31E4B940" w:rsidR="00E7173E" w:rsidRPr="00306115" w:rsidRDefault="00E7173E" w:rsidP="00E7173E">
      <w:pPr>
        <w:pStyle w:val="HeadingAwalDaftarIsiLampiran"/>
        <w:numPr>
          <w:ilvl w:val="0"/>
          <w:numId w:val="0"/>
        </w:numPr>
        <w:ind w:left="2268"/>
      </w:pPr>
      <w:r w:rsidRPr="00306115">
        <w:t>Penerapan Manajemen Risiko untuk Risiko Hukum disesuaikan dengan ukuran,  kompleksitas usaha, dan kemampuan Manajer Investasi. Secara umum dalam prinsip penerapan Manajemen Risiko untuk Risiko Hukum paling sedikit mencakup:</w:t>
      </w:r>
    </w:p>
    <w:p w14:paraId="55616676" w14:textId="67BAD915" w:rsidR="00E7173E" w:rsidRPr="00306115" w:rsidRDefault="00E7173E">
      <w:pPr>
        <w:pStyle w:val="HeadingAwalDaftarIsiLampiran"/>
        <w:numPr>
          <w:ilvl w:val="0"/>
          <w:numId w:val="199"/>
        </w:numPr>
        <w:ind w:left="2835" w:hanging="567"/>
      </w:pPr>
      <w:r w:rsidRPr="00306115">
        <w:t>Pengawasan Aktif Direksi dan Dewan Komisaris</w:t>
      </w:r>
    </w:p>
    <w:p w14:paraId="6EBF88E6" w14:textId="5F84CCB4" w:rsidR="002D32E5" w:rsidRPr="00306115" w:rsidRDefault="00757E73" w:rsidP="002D32E5">
      <w:pPr>
        <w:pStyle w:val="HeadingAwalDaftarIsiLampiran"/>
        <w:numPr>
          <w:ilvl w:val="0"/>
          <w:numId w:val="0"/>
        </w:numPr>
        <w:ind w:left="2835"/>
      </w:pPr>
      <w:r w:rsidRPr="00306115">
        <w:t xml:space="preserve">Dalam melakukan penerapan Manajemen Risiko melalui pengawasan aktif Direksi dan Dewan Komisaris untuk Risiko Hukum, selain melaksanakan pengawasan aktif sebagaimana dimaksud Romawi I huruf A, Manajer Investasi </w:t>
      </w:r>
      <w:r w:rsidR="0020054F" w:rsidRPr="00306115">
        <w:t xml:space="preserve">harus </w:t>
      </w:r>
      <w:r w:rsidRPr="00306115">
        <w:t>menambahkan penerapan</w:t>
      </w:r>
      <w:r w:rsidR="0020054F" w:rsidRPr="00306115">
        <w:t>:</w:t>
      </w:r>
    </w:p>
    <w:p w14:paraId="0ABEDF89" w14:textId="2857FC4A" w:rsidR="0020054F" w:rsidRPr="00306115" w:rsidRDefault="002F61E8">
      <w:pPr>
        <w:pStyle w:val="HeadingAwalDaftarIsiLampiran"/>
        <w:numPr>
          <w:ilvl w:val="0"/>
          <w:numId w:val="200"/>
        </w:numPr>
        <w:ind w:left="3402" w:hanging="567"/>
      </w:pPr>
      <w:r w:rsidRPr="00306115">
        <w:t>Kewenangan dan Tanggung Jawab Direksi dan Dewan Komisaris</w:t>
      </w:r>
    </w:p>
    <w:p w14:paraId="0AFB9606" w14:textId="26E1C1D6" w:rsidR="00F11472" w:rsidRPr="00306115" w:rsidRDefault="000A7C73">
      <w:pPr>
        <w:pStyle w:val="HeadingAwalDaftarIsiLampiran"/>
        <w:numPr>
          <w:ilvl w:val="0"/>
          <w:numId w:val="201"/>
        </w:numPr>
        <w:ind w:left="3969" w:hanging="567"/>
      </w:pPr>
      <w:r w:rsidRPr="00306115">
        <w:t>Direksi harus menetapkan mekanisme komunikasi yang efektif</w:t>
      </w:r>
      <w:r w:rsidRPr="00306115">
        <w:rPr>
          <w:lang w:val="en-GB"/>
        </w:rPr>
        <w:t xml:space="preserve"> terhadap unit kerja yang menghadapi permasalahan hukum dan </w:t>
      </w:r>
      <w:r w:rsidRPr="00306115">
        <w:t>unit kerja yang membawah</w:t>
      </w:r>
      <w:r w:rsidRPr="00306115">
        <w:rPr>
          <w:lang w:val="en-GB"/>
        </w:rPr>
        <w:t>kan</w:t>
      </w:r>
      <w:r w:rsidRPr="00306115">
        <w:t xml:space="preserve"> bidang hukum, atas permasalahan hukum yang dihadapi </w:t>
      </w:r>
      <w:r w:rsidRPr="00306115">
        <w:rPr>
          <w:lang w:val="en-GB"/>
        </w:rPr>
        <w:t xml:space="preserve">oleh Manajer Investasi </w:t>
      </w:r>
      <w:r w:rsidRPr="00306115">
        <w:t>agar Risiko Hukum dapat segera dicegah dan dikendalikan.</w:t>
      </w:r>
    </w:p>
    <w:p w14:paraId="54A169FE" w14:textId="396E0190" w:rsidR="000A7C73" w:rsidRPr="00306115" w:rsidRDefault="00EA46BC">
      <w:pPr>
        <w:pStyle w:val="HeadingAwalDaftarIsiLampiran"/>
        <w:numPr>
          <w:ilvl w:val="0"/>
          <w:numId w:val="201"/>
        </w:numPr>
        <w:ind w:left="3969" w:hanging="567"/>
      </w:pPr>
      <w:r w:rsidRPr="00306115">
        <w:t>Dire</w:t>
      </w:r>
      <w:r w:rsidRPr="00306115">
        <w:rPr>
          <w:lang w:val="en-GB"/>
        </w:rPr>
        <w:t>k</w:t>
      </w:r>
      <w:r w:rsidRPr="00306115">
        <w:t xml:space="preserve">si dan Dewan Komisaris harus menerapkan </w:t>
      </w:r>
      <w:r w:rsidRPr="00306115">
        <w:rPr>
          <w:i/>
          <w:iCs/>
        </w:rPr>
        <w:t>legal governance, legal consistency</w:t>
      </w:r>
      <w:r w:rsidRPr="00306115">
        <w:t xml:space="preserve">, dan </w:t>
      </w:r>
      <w:r w:rsidRPr="00306115">
        <w:rPr>
          <w:i/>
          <w:iCs/>
        </w:rPr>
        <w:t>legal completeness</w:t>
      </w:r>
      <w:r w:rsidRPr="00306115">
        <w:t xml:space="preserve"> untuk memastikan bahwa semua tindakan, kebijakan, keputusan, dan operasional Manajer Investasi memiliki dasar hukum atau regulasi internal yang sesuai dengan peraturan perundang-undangan, serta memastikan konsistensi antar kebijakan internal.</w:t>
      </w:r>
    </w:p>
    <w:p w14:paraId="23F53567" w14:textId="5CC647F4" w:rsidR="002F61E8" w:rsidRPr="00306115" w:rsidRDefault="002F61E8">
      <w:pPr>
        <w:pStyle w:val="HeadingAwalDaftarIsiLampiran"/>
        <w:numPr>
          <w:ilvl w:val="0"/>
          <w:numId w:val="200"/>
        </w:numPr>
        <w:ind w:left="3402" w:hanging="567"/>
      </w:pPr>
      <w:r w:rsidRPr="00306115">
        <w:t>Sumber Daya Manusia</w:t>
      </w:r>
    </w:p>
    <w:p w14:paraId="4B0D7860" w14:textId="78E6AAF7" w:rsidR="00681C39" w:rsidRPr="00306115" w:rsidRDefault="00681C39" w:rsidP="00681C39">
      <w:pPr>
        <w:pStyle w:val="HeadingAwalDaftarIsiLampiran"/>
        <w:numPr>
          <w:ilvl w:val="0"/>
          <w:numId w:val="0"/>
        </w:numPr>
        <w:ind w:left="3402"/>
      </w:pPr>
      <w:r w:rsidRPr="00306115">
        <w:t>Manajer Investasi memastikan bahwa pegawai pada unit kerja yang terpapar Risiko Hukum memiliki pemahaman hukum atas aktivitas bisnis yang dilakukan Manajer Investasi.</w:t>
      </w:r>
    </w:p>
    <w:p w14:paraId="72179F8A" w14:textId="08F252CD" w:rsidR="00F11472" w:rsidRPr="00306115" w:rsidRDefault="00F11472">
      <w:pPr>
        <w:pStyle w:val="HeadingAwalDaftarIsiLampiran"/>
        <w:numPr>
          <w:ilvl w:val="0"/>
          <w:numId w:val="200"/>
        </w:numPr>
        <w:ind w:left="3402" w:hanging="567"/>
      </w:pPr>
      <w:r w:rsidRPr="00306115">
        <w:t>Organisasi Manajemen Risiko</w:t>
      </w:r>
    </w:p>
    <w:p w14:paraId="5D418E1A" w14:textId="5C608B44" w:rsidR="00B55117" w:rsidRPr="00306115" w:rsidRDefault="00906E14">
      <w:pPr>
        <w:pStyle w:val="HeadingAwalDaftarIsiLampiran"/>
        <w:numPr>
          <w:ilvl w:val="0"/>
          <w:numId w:val="202"/>
        </w:numPr>
        <w:ind w:left="3969" w:hanging="567"/>
      </w:pPr>
      <w:r w:rsidRPr="00306115">
        <w:t xml:space="preserve">Manajer Investasi harus memiliki unit kerja yang berperan sebagai </w:t>
      </w:r>
      <w:r w:rsidRPr="00306115">
        <w:rPr>
          <w:i/>
          <w:iCs/>
        </w:rPr>
        <w:t>legal watch</w:t>
      </w:r>
      <w:r w:rsidRPr="00306115">
        <w:t xml:space="preserve"> yang </w:t>
      </w:r>
      <w:r w:rsidRPr="00306115">
        <w:lastRenderedPageBreak/>
        <w:t xml:space="preserve">menyediakan analisis atau </w:t>
      </w:r>
      <w:r w:rsidRPr="00306115">
        <w:rPr>
          <w:lang w:val="en-GB"/>
        </w:rPr>
        <w:t xml:space="preserve">nasihat </w:t>
      </w:r>
      <w:r w:rsidRPr="00306115">
        <w:t>hukum kepada seluruh pegawai pada setiap jenjang organisasi.</w:t>
      </w:r>
    </w:p>
    <w:p w14:paraId="662B3455" w14:textId="3254A7B9" w:rsidR="00906E14" w:rsidRPr="00306115" w:rsidRDefault="00F05DDD">
      <w:pPr>
        <w:pStyle w:val="HeadingAwalDaftarIsiLampiran"/>
        <w:numPr>
          <w:ilvl w:val="0"/>
          <w:numId w:val="202"/>
        </w:numPr>
        <w:ind w:left="3969" w:hanging="567"/>
      </w:pPr>
      <w:r w:rsidRPr="00306115">
        <w:t>Manajer Investasi perlu memastikan keterlibatan unit kerja yang membawah</w:t>
      </w:r>
      <w:r w:rsidRPr="00306115">
        <w:rPr>
          <w:lang w:val="en-GB"/>
        </w:rPr>
        <w:t>kan</w:t>
      </w:r>
      <w:r w:rsidRPr="00306115">
        <w:t xml:space="preserve"> bidang hukum dalam setiap aktivitas kegiatan usaha Manajer Investasi yang terpapar Risiko Hukum termasuk antara lain dalam hal Manajer Investasi akan menerbitkan Produk Investasi baru.</w:t>
      </w:r>
    </w:p>
    <w:p w14:paraId="6B96BD75" w14:textId="08B1424A" w:rsidR="00F05DDD" w:rsidRPr="00306115" w:rsidRDefault="00A470AF">
      <w:pPr>
        <w:pStyle w:val="HeadingAwalDaftarIsiLampiran"/>
        <w:numPr>
          <w:ilvl w:val="0"/>
          <w:numId w:val="202"/>
        </w:numPr>
        <w:ind w:left="3969" w:hanging="567"/>
      </w:pPr>
      <w:r w:rsidRPr="00306115">
        <w:t>Unit kerja yang membawah</w:t>
      </w:r>
      <w:r w:rsidRPr="00306115">
        <w:rPr>
          <w:lang w:val="en-GB"/>
        </w:rPr>
        <w:t>kan</w:t>
      </w:r>
      <w:r w:rsidRPr="00306115">
        <w:t xml:space="preserve"> bidang hukum, fungsi </w:t>
      </w:r>
      <w:r w:rsidR="001008B5" w:rsidRPr="00306115">
        <w:t>Manajemen Risiko</w:t>
      </w:r>
      <w:r w:rsidRPr="00306115">
        <w:rPr>
          <w:lang w:val="en-GB"/>
        </w:rPr>
        <w:t>,</w:t>
      </w:r>
      <w:r w:rsidRPr="00306115">
        <w:t xml:space="preserve"> dan unit kerja operasional (</w:t>
      </w:r>
      <w:r w:rsidRPr="00306115">
        <w:rPr>
          <w:i/>
          <w:iCs/>
        </w:rPr>
        <w:t>risk-taking unit</w:t>
      </w:r>
      <w:r w:rsidRPr="00306115">
        <w:t>) harus secara bersama-sama menilai dampak perubahan ketentuan tertentu yang berpotensi memengaruhi eksposur Risiko Hukum Manajer Investasi.</w:t>
      </w:r>
    </w:p>
    <w:p w14:paraId="1E83254C" w14:textId="6D0668EA" w:rsidR="00E7173E" w:rsidRPr="00306115" w:rsidRDefault="00F702C2">
      <w:pPr>
        <w:pStyle w:val="HeadingAwalDaftarIsiLampiran"/>
        <w:numPr>
          <w:ilvl w:val="0"/>
          <w:numId w:val="199"/>
        </w:numPr>
        <w:ind w:left="2835" w:hanging="567"/>
      </w:pPr>
      <w:r w:rsidRPr="00306115">
        <w:t>Kecukupan</w:t>
      </w:r>
      <w:r w:rsidRPr="00306115">
        <w:rPr>
          <w:lang w:val="en-GB"/>
        </w:rPr>
        <w:t xml:space="preserve"> K</w:t>
      </w:r>
      <w:r w:rsidRPr="00306115">
        <w:t xml:space="preserve">ebijakan dan </w:t>
      </w:r>
      <w:r w:rsidRPr="00306115">
        <w:rPr>
          <w:lang w:val="en-GB"/>
        </w:rPr>
        <w:t>P</w:t>
      </w:r>
      <w:r w:rsidRPr="00306115">
        <w:t>rosedur Manajemen Risiko</w:t>
      </w:r>
    </w:p>
    <w:p w14:paraId="3465D11D" w14:textId="4AC2E232" w:rsidR="00A470AF" w:rsidRPr="00306115" w:rsidRDefault="000E5BCB" w:rsidP="00A470AF">
      <w:pPr>
        <w:pStyle w:val="HeadingAwalDaftarIsiLampiran"/>
        <w:numPr>
          <w:ilvl w:val="0"/>
          <w:numId w:val="0"/>
        </w:numPr>
        <w:ind w:left="2835"/>
      </w:pPr>
      <w:r w:rsidRPr="00306115">
        <w:t xml:space="preserve">Dalam melaksanakan kebijakan dan prosedur Manajemen Risiko </w:t>
      </w:r>
      <w:r w:rsidR="00683B70" w:rsidRPr="00306115">
        <w:t xml:space="preserve">serta penetapan limit risiko </w:t>
      </w:r>
      <w:r w:rsidRPr="00306115">
        <w:t xml:space="preserve">untuk Risiko Hukum, selain melaksanakan kebijakan dan prosedur Manajemen Risiko  serta penetapan limit risiko sebagaimana </w:t>
      </w:r>
      <w:r w:rsidR="00683B70" w:rsidRPr="00306115">
        <w:t>dimaksud pada</w:t>
      </w:r>
      <w:r w:rsidRPr="00306115">
        <w:t xml:space="preserve"> Romawi I huruf B,</w:t>
      </w:r>
      <w:r w:rsidR="005D7D92" w:rsidRPr="00306115">
        <w:t xml:space="preserve"> </w:t>
      </w:r>
      <w:r w:rsidRPr="00306115">
        <w:t>Manajer Investasi harus menambahkan penerapan:</w:t>
      </w:r>
    </w:p>
    <w:p w14:paraId="7A8B2DFD" w14:textId="69E7BE94" w:rsidR="000E5BCB" w:rsidRPr="00306115" w:rsidRDefault="000E5BCB">
      <w:pPr>
        <w:pStyle w:val="HeadingAwalDaftarIsiLampiran"/>
        <w:numPr>
          <w:ilvl w:val="0"/>
          <w:numId w:val="203"/>
        </w:numPr>
        <w:ind w:left="3402" w:hanging="567"/>
      </w:pPr>
      <w:r w:rsidRPr="00306115">
        <w:t>Kebijakan dan Prosedur</w:t>
      </w:r>
    </w:p>
    <w:p w14:paraId="224FD657" w14:textId="10898011" w:rsidR="00C94951" w:rsidRPr="00306115" w:rsidRDefault="00C94951">
      <w:pPr>
        <w:pStyle w:val="HeadingAwalDaftarIsiLampiran"/>
        <w:numPr>
          <w:ilvl w:val="0"/>
          <w:numId w:val="204"/>
        </w:numPr>
        <w:ind w:left="3969" w:hanging="567"/>
      </w:pPr>
      <w:r w:rsidRPr="00306115">
        <w:t>Manajer Investasi harus memiliki dan melaksanakan prosedur yang memadai untuk melakukan analisis aspek hukum terhadap setiap rencana penerbitan Produk Investasi dan/atau aktivitas kegiatan usaha baru.</w:t>
      </w:r>
    </w:p>
    <w:p w14:paraId="32347EB4" w14:textId="564963BA" w:rsidR="00C94951" w:rsidRPr="00306115" w:rsidRDefault="009F313A">
      <w:pPr>
        <w:pStyle w:val="HeadingAwalDaftarIsiLampiran"/>
        <w:numPr>
          <w:ilvl w:val="0"/>
          <w:numId w:val="204"/>
        </w:numPr>
        <w:ind w:left="3969" w:hanging="567"/>
      </w:pPr>
      <w:r w:rsidRPr="00306115">
        <w:t>Manajer Investasi harus melakukan evaluasi dan pengkinian kebijakan dan prosedur pengendalian Risiko Hukum secara berkala, guna memastikan kesesuaian dengan perkembangan eksternal dan internal Manajer Investasi.</w:t>
      </w:r>
    </w:p>
    <w:p w14:paraId="4FE27481" w14:textId="42300530" w:rsidR="009F313A" w:rsidRPr="00306115" w:rsidRDefault="00DD39CF">
      <w:pPr>
        <w:pStyle w:val="HeadingAwalDaftarIsiLampiran"/>
        <w:numPr>
          <w:ilvl w:val="0"/>
          <w:numId w:val="204"/>
        </w:numPr>
        <w:ind w:left="3969" w:hanging="567"/>
      </w:pPr>
      <w:r w:rsidRPr="00306115">
        <w:t>Manajer Investasi mengedepankan penggunaan lembaga alternatif penyelesaian sengketa dalam setiap klausul penyelesaian sengketa di perjanjian</w:t>
      </w:r>
      <w:r w:rsidRPr="00306115">
        <w:rPr>
          <w:lang w:val="en-GB"/>
        </w:rPr>
        <w:t xml:space="preserve"> dan dapat menggunakan layanan profesional hukum apabila diperlukan.</w:t>
      </w:r>
    </w:p>
    <w:p w14:paraId="113E2347" w14:textId="0C14EC45" w:rsidR="00DD39CF" w:rsidRPr="00306115" w:rsidRDefault="00E73A0C">
      <w:pPr>
        <w:pStyle w:val="HeadingAwalDaftarIsiLampiran"/>
        <w:numPr>
          <w:ilvl w:val="0"/>
          <w:numId w:val="204"/>
        </w:numPr>
        <w:ind w:left="3969" w:hanging="567"/>
      </w:pPr>
      <w:r w:rsidRPr="00306115">
        <w:rPr>
          <w:lang w:val="en-GB"/>
        </w:rPr>
        <w:t xml:space="preserve">Manajer Investasi harus menyertakan perjanjian yang memadai </w:t>
      </w:r>
      <w:r w:rsidRPr="00306115">
        <w:t>sesuai kompleksitas dan risiko masing-masing layanan jasa dan produk yang ditawarkan.</w:t>
      </w:r>
    </w:p>
    <w:p w14:paraId="1B8A6DB8" w14:textId="3ED82722" w:rsidR="000E5BCB" w:rsidRPr="00306115" w:rsidRDefault="009043CA">
      <w:pPr>
        <w:pStyle w:val="HeadingAwalDaftarIsiLampiran"/>
        <w:numPr>
          <w:ilvl w:val="0"/>
          <w:numId w:val="203"/>
        </w:numPr>
        <w:ind w:left="3402" w:hanging="567"/>
      </w:pPr>
      <w:r w:rsidRPr="00306115">
        <w:t>Strategi Manajemen Risiko</w:t>
      </w:r>
    </w:p>
    <w:p w14:paraId="604F580C" w14:textId="55A65B08" w:rsidR="00E73A0C" w:rsidRPr="00306115" w:rsidRDefault="007A69BA" w:rsidP="00E73A0C">
      <w:pPr>
        <w:pStyle w:val="HeadingAwalDaftarIsiLampiran"/>
        <w:numPr>
          <w:ilvl w:val="0"/>
          <w:numId w:val="0"/>
        </w:numPr>
        <w:ind w:left="3402"/>
      </w:pPr>
      <w:r w:rsidRPr="00306115">
        <w:t>Strategi Manajemen Risiko untuk Risiko Hukum merupakan bagian yang tidak terpisahkan dari strategi Manajemen Risiko Manajer Investasi secara keseluruhan sebagaimana dimaksud pada Romawi I huruf B angka 2.</w:t>
      </w:r>
    </w:p>
    <w:p w14:paraId="7A99D0F1" w14:textId="1FE5155F" w:rsidR="009043CA" w:rsidRPr="00306115" w:rsidRDefault="007F1366">
      <w:pPr>
        <w:pStyle w:val="HeadingAwalDaftarIsiLampiran"/>
        <w:numPr>
          <w:ilvl w:val="0"/>
          <w:numId w:val="203"/>
        </w:numPr>
        <w:ind w:left="3402" w:hanging="567"/>
      </w:pPr>
      <w:r w:rsidRPr="00306115">
        <w:lastRenderedPageBreak/>
        <w:t>Tingkat Risiko yang akan Diambil (</w:t>
      </w:r>
      <w:r w:rsidRPr="00306115">
        <w:rPr>
          <w:i/>
          <w:iCs/>
        </w:rPr>
        <w:t>Risk Appetite</w:t>
      </w:r>
      <w:r w:rsidRPr="00306115">
        <w:t>) dan Toleransi Risiko (</w:t>
      </w:r>
      <w:r w:rsidRPr="00306115">
        <w:rPr>
          <w:i/>
          <w:iCs/>
        </w:rPr>
        <w:t>Risk Tolerance</w:t>
      </w:r>
      <w:r w:rsidRPr="00306115">
        <w:t>)</w:t>
      </w:r>
    </w:p>
    <w:p w14:paraId="150CD67B" w14:textId="69FF3358" w:rsidR="003B2FEC" w:rsidRPr="00306115" w:rsidRDefault="003B2FEC" w:rsidP="003B2FEC">
      <w:pPr>
        <w:pStyle w:val="HeadingAwalDaftarIsiLampiran"/>
        <w:numPr>
          <w:ilvl w:val="0"/>
          <w:numId w:val="0"/>
        </w:numPr>
        <w:ind w:left="3402"/>
      </w:pPr>
      <w:r w:rsidRPr="00306115">
        <w:t>Penetapan tingkat risiko yang akan diambil dan toleransi risiko untuk Risiko Hukum mengacu pada cakupan penerapan secara umum sebagaimana dimaksud pada Romawi I huruf B angka 3.</w:t>
      </w:r>
    </w:p>
    <w:p w14:paraId="4ED05229" w14:textId="46260588" w:rsidR="007F1366" w:rsidRPr="00306115" w:rsidRDefault="007F1366">
      <w:pPr>
        <w:pStyle w:val="HeadingAwalDaftarIsiLampiran"/>
        <w:numPr>
          <w:ilvl w:val="0"/>
          <w:numId w:val="203"/>
        </w:numPr>
        <w:ind w:left="3402" w:hanging="567"/>
      </w:pPr>
      <w:r w:rsidRPr="00306115">
        <w:t>Limit</w:t>
      </w:r>
    </w:p>
    <w:p w14:paraId="797F025D" w14:textId="7E61B751" w:rsidR="00864774" w:rsidRPr="00306115" w:rsidRDefault="00864774" w:rsidP="00864774">
      <w:pPr>
        <w:pStyle w:val="HeadingAwalDaftarIsiLampiran"/>
        <w:numPr>
          <w:ilvl w:val="0"/>
          <w:numId w:val="0"/>
        </w:numPr>
        <w:ind w:left="3402"/>
      </w:pPr>
      <w:r w:rsidRPr="00306115">
        <w:t>Penetapan limit untuk Risiko Hukum mengacu pada cakupan penerapan secara umum sebagaimana dimaksud pada Romawi I huruf B angka 4.</w:t>
      </w:r>
    </w:p>
    <w:p w14:paraId="0748E7C1" w14:textId="1729AE34" w:rsidR="00F702C2" w:rsidRPr="00306115" w:rsidRDefault="00022143">
      <w:pPr>
        <w:pStyle w:val="HeadingAwalDaftarIsiLampiran"/>
        <w:numPr>
          <w:ilvl w:val="0"/>
          <w:numId w:val="199"/>
        </w:numPr>
        <w:ind w:left="2835" w:hanging="567"/>
      </w:pPr>
      <w:r w:rsidRPr="00306115">
        <w:t>Kecukupan Proses Identifikasi, Pengukuran, Pemantauan, dan Pengendalian Risiko</w:t>
      </w:r>
    </w:p>
    <w:p w14:paraId="244FD916" w14:textId="344899A5" w:rsidR="00C247AF" w:rsidRPr="00306115" w:rsidRDefault="00C247AF" w:rsidP="00C247AF">
      <w:pPr>
        <w:pStyle w:val="HeadingAwalDaftarIsiLampiran"/>
        <w:numPr>
          <w:ilvl w:val="0"/>
          <w:numId w:val="0"/>
        </w:numPr>
        <w:ind w:left="2835"/>
      </w:pPr>
      <w:r w:rsidRPr="00306115">
        <w:t>Dalam melakukan penerapan Manajemen Risiko melalui proses identifikasi, pengukuran, pemantauan, dan pengendalian risiko, serta sistem informasi Manajemen Risiko untuk Risiko Hukum, selain melaksanakan proses sebagaimana dimaksud pada Romawi I huruf C, pada setiap proses Manajer Investasi harus menambahkan penerapan:</w:t>
      </w:r>
    </w:p>
    <w:p w14:paraId="391DF9C9" w14:textId="478F3C5C" w:rsidR="00C247AF" w:rsidRPr="00306115" w:rsidRDefault="00F273CF">
      <w:pPr>
        <w:pStyle w:val="HeadingAwalDaftarIsiLampiran"/>
        <w:numPr>
          <w:ilvl w:val="0"/>
          <w:numId w:val="205"/>
        </w:numPr>
        <w:ind w:left="3402" w:hanging="567"/>
      </w:pPr>
      <w:r w:rsidRPr="00306115">
        <w:t>Identifikasi Risiko</w:t>
      </w:r>
    </w:p>
    <w:p w14:paraId="553F9C0B" w14:textId="04DD8B6E" w:rsidR="00F273CF" w:rsidRPr="00306115" w:rsidRDefault="005B524D" w:rsidP="00F273CF">
      <w:pPr>
        <w:pStyle w:val="HeadingAwalDaftarIsiLampiran"/>
        <w:numPr>
          <w:ilvl w:val="0"/>
          <w:numId w:val="0"/>
        </w:numPr>
        <w:ind w:left="3402"/>
      </w:pPr>
      <w:r w:rsidRPr="00306115">
        <w:t>Dalam</w:t>
      </w:r>
      <w:r w:rsidRPr="00306115">
        <w:rPr>
          <w:lang w:val="en-GB"/>
        </w:rPr>
        <w:t xml:space="preserve"> melakukan identifikasi sumber Risiko Hukum, Manajer Investasi perlu melihat apakah terdapat kelemahan pada aspek yuridis dalam seluruh aktivitas kegiatan usaha Manajer Investasi.</w:t>
      </w:r>
    </w:p>
    <w:p w14:paraId="45E9D2AB" w14:textId="18372BDB" w:rsidR="00F273CF" w:rsidRPr="00306115" w:rsidRDefault="00F273CF">
      <w:pPr>
        <w:pStyle w:val="HeadingAwalDaftarIsiLampiran"/>
        <w:numPr>
          <w:ilvl w:val="0"/>
          <w:numId w:val="205"/>
        </w:numPr>
        <w:ind w:left="3402" w:hanging="567"/>
      </w:pPr>
      <w:r w:rsidRPr="00306115">
        <w:t>Pengukuran Risiko</w:t>
      </w:r>
    </w:p>
    <w:p w14:paraId="635A55C8" w14:textId="481AFB4A" w:rsidR="00853EC7" w:rsidRPr="00306115" w:rsidRDefault="00853EC7">
      <w:pPr>
        <w:pStyle w:val="HeadingAwalDaftarIsiLampiran"/>
        <w:numPr>
          <w:ilvl w:val="0"/>
          <w:numId w:val="206"/>
        </w:numPr>
        <w:ind w:left="3969" w:hanging="567"/>
      </w:pPr>
      <w:r w:rsidRPr="00306115">
        <w:t>Manajer Investasi harus memiliki metode pengukuran risiko untuk Risiko Hukum yang memadai dan terintegrasi dengan kerangka Manajemen Risiko Manajer Investasi, baik menggunakan pendekatan secara kuantitatif maupun kualitatif.</w:t>
      </w:r>
    </w:p>
    <w:p w14:paraId="7AC4070E" w14:textId="77777777" w:rsidR="00AA53E8" w:rsidRPr="00306115" w:rsidRDefault="00454CFE">
      <w:pPr>
        <w:pStyle w:val="HeadingAwalDaftarIsiLampiran"/>
        <w:numPr>
          <w:ilvl w:val="0"/>
          <w:numId w:val="206"/>
        </w:numPr>
        <w:ind w:left="3969" w:hanging="567"/>
      </w:pPr>
      <w:r w:rsidRPr="00306115">
        <w:rPr>
          <w:lang w:val="en-GB"/>
        </w:rPr>
        <w:t>Dalam</w:t>
      </w:r>
      <w:r w:rsidRPr="00306115">
        <w:t xml:space="preserve"> mengukur Risiko Hukum, Manajer Investasi dapat antara lain menggunakan indikator atau parameter berupa</w:t>
      </w:r>
      <w:r w:rsidR="00AA53E8" w:rsidRPr="00306115">
        <w:t>:</w:t>
      </w:r>
    </w:p>
    <w:p w14:paraId="08E05958" w14:textId="77777777" w:rsidR="00AA53E8" w:rsidRPr="00306115" w:rsidRDefault="00454CFE">
      <w:pPr>
        <w:pStyle w:val="HeadingAwalDaftarIsiLampiran"/>
        <w:numPr>
          <w:ilvl w:val="0"/>
          <w:numId w:val="207"/>
        </w:numPr>
        <w:ind w:left="4536" w:hanging="567"/>
      </w:pPr>
      <w:r w:rsidRPr="00306115">
        <w:t>jumlah tuntu</w:t>
      </w:r>
      <w:r w:rsidRPr="00306115">
        <w:rPr>
          <w:lang w:val="en-GB"/>
        </w:rPr>
        <w:t>t</w:t>
      </w:r>
      <w:r w:rsidRPr="00306115">
        <w:t>an hukum</w:t>
      </w:r>
      <w:r w:rsidR="00AA53E8" w:rsidRPr="00306115">
        <w:t>;</w:t>
      </w:r>
    </w:p>
    <w:p w14:paraId="1521D678" w14:textId="77777777" w:rsidR="00AA53E8" w:rsidRPr="00306115" w:rsidRDefault="00454CFE">
      <w:pPr>
        <w:pStyle w:val="HeadingAwalDaftarIsiLampiran"/>
        <w:numPr>
          <w:ilvl w:val="0"/>
          <w:numId w:val="207"/>
        </w:numPr>
        <w:ind w:left="4536" w:hanging="567"/>
      </w:pPr>
      <w:r w:rsidRPr="00306115">
        <w:t>besarnya nominal tuntutan hukum dibandingkan dengan Modal Kerja Bersih Disesuaikan (MKBD)</w:t>
      </w:r>
      <w:r w:rsidR="00AA53E8" w:rsidRPr="00306115">
        <w:t xml:space="preserve">; </w:t>
      </w:r>
      <w:r w:rsidRPr="00306115">
        <w:t>dan</w:t>
      </w:r>
    </w:p>
    <w:p w14:paraId="4C693FDB" w14:textId="098A2E60" w:rsidR="00853EC7" w:rsidRPr="00306115" w:rsidRDefault="00454CFE">
      <w:pPr>
        <w:pStyle w:val="HeadingAwalDaftarIsiLampiran"/>
        <w:numPr>
          <w:ilvl w:val="0"/>
          <w:numId w:val="207"/>
        </w:numPr>
        <w:ind w:left="4536" w:hanging="567"/>
      </w:pPr>
      <w:r w:rsidRPr="00306115">
        <w:t>besarnya nominal kerugian yang dialami dari adanya putusan pengadilan yang mempunyai kekuatan hukum tetap yang diajukan oleh pihak terkait dibandingkan dengan MKBD</w:t>
      </w:r>
      <w:r w:rsidR="00AA53E8" w:rsidRPr="00306115">
        <w:t>.</w:t>
      </w:r>
    </w:p>
    <w:p w14:paraId="441A258F" w14:textId="0F11E2B2" w:rsidR="00F273CF" w:rsidRPr="00306115" w:rsidRDefault="00F273CF">
      <w:pPr>
        <w:pStyle w:val="HeadingAwalDaftarIsiLampiran"/>
        <w:numPr>
          <w:ilvl w:val="0"/>
          <w:numId w:val="205"/>
        </w:numPr>
        <w:ind w:left="3402" w:hanging="567"/>
      </w:pPr>
      <w:r w:rsidRPr="00306115">
        <w:t>Pemantauan Risiko</w:t>
      </w:r>
    </w:p>
    <w:p w14:paraId="7489407B" w14:textId="603B14EC" w:rsidR="005120B8" w:rsidRPr="00306115" w:rsidRDefault="005120B8" w:rsidP="005120B8">
      <w:pPr>
        <w:pStyle w:val="HeadingAwalDaftarIsiLampiran"/>
        <w:numPr>
          <w:ilvl w:val="0"/>
          <w:numId w:val="0"/>
        </w:numPr>
        <w:ind w:left="3402"/>
      </w:pPr>
      <w:r w:rsidRPr="00306115">
        <w:t>Pelaksanaan pemantauan untuk Risiko Hukum mengacu pada cakupan penerapan secara umum sebagaimana dimaksud pada Romawi I huruf C angka 3.</w:t>
      </w:r>
    </w:p>
    <w:p w14:paraId="430CA1AE" w14:textId="781CE1E5" w:rsidR="00F273CF" w:rsidRPr="00306115" w:rsidRDefault="00F273CF">
      <w:pPr>
        <w:pStyle w:val="HeadingAwalDaftarIsiLampiran"/>
        <w:numPr>
          <w:ilvl w:val="0"/>
          <w:numId w:val="205"/>
        </w:numPr>
        <w:ind w:left="3402" w:hanging="567"/>
      </w:pPr>
      <w:r w:rsidRPr="00306115">
        <w:t>Pengendalian Risiko</w:t>
      </w:r>
    </w:p>
    <w:p w14:paraId="3D6B0465" w14:textId="18CE6BE0" w:rsidR="00425CB7" w:rsidRPr="00306115" w:rsidRDefault="005148D9">
      <w:pPr>
        <w:pStyle w:val="HeadingAwalDaftarIsiLampiran"/>
        <w:numPr>
          <w:ilvl w:val="0"/>
          <w:numId w:val="208"/>
        </w:numPr>
        <w:ind w:left="3969" w:hanging="567"/>
      </w:pPr>
      <w:r w:rsidRPr="00306115">
        <w:t xml:space="preserve">Unit </w:t>
      </w:r>
      <w:r w:rsidRPr="00306115">
        <w:rPr>
          <w:lang w:val="en-GB"/>
        </w:rPr>
        <w:t>kerja</w:t>
      </w:r>
      <w:r w:rsidRPr="00306115">
        <w:t xml:space="preserve"> yang membawah</w:t>
      </w:r>
      <w:r w:rsidRPr="00306115">
        <w:rPr>
          <w:lang w:val="en-GB"/>
        </w:rPr>
        <w:t>kan</w:t>
      </w:r>
      <w:r w:rsidRPr="00306115">
        <w:t xml:space="preserve"> bidang hukum harus melakukan kaji ulang secara berkala untuk mengecek keabsahan, keberlakuan, dan kecukupan perlindungan </w:t>
      </w:r>
      <w:r w:rsidRPr="00306115">
        <w:lastRenderedPageBreak/>
        <w:t>hukum terhadap dokumen h</w:t>
      </w:r>
      <w:r w:rsidRPr="00306115">
        <w:rPr>
          <w:lang w:val="en-GB"/>
        </w:rPr>
        <w:t>u</w:t>
      </w:r>
      <w:r w:rsidRPr="00306115">
        <w:t>kum yang dimiliki Manajer Investasi, termasuk di dalamnya kontrak dan perjanjian antara Manajer Investasi dengan pihak lain.</w:t>
      </w:r>
    </w:p>
    <w:p w14:paraId="0F80D8B6" w14:textId="3331EA11" w:rsidR="005148D9" w:rsidRPr="00306115" w:rsidRDefault="0058333E">
      <w:pPr>
        <w:pStyle w:val="HeadingAwalDaftarIsiLampiran"/>
        <w:numPr>
          <w:ilvl w:val="0"/>
          <w:numId w:val="208"/>
        </w:numPr>
        <w:ind w:left="3969" w:hanging="567"/>
      </w:pPr>
      <w:r w:rsidRPr="00306115">
        <w:rPr>
          <w:lang w:val="en-GB"/>
        </w:rPr>
        <w:t>Unit</w:t>
      </w:r>
      <w:r w:rsidRPr="00306115">
        <w:t xml:space="preserve"> kerja yang membawahkan bidang hukum harus melakukan kaji ulang secara berkala terhadap kesesuaian peraturan perundangan-undangan dengan aktivitas kegiatan usaha Manajer Investasi.</w:t>
      </w:r>
    </w:p>
    <w:p w14:paraId="5743FB16" w14:textId="29261151" w:rsidR="0058333E" w:rsidRPr="00306115" w:rsidRDefault="00467287">
      <w:pPr>
        <w:pStyle w:val="HeadingAwalDaftarIsiLampiran"/>
        <w:numPr>
          <w:ilvl w:val="0"/>
          <w:numId w:val="208"/>
        </w:numPr>
        <w:ind w:left="3969" w:hanging="567"/>
      </w:pPr>
      <w:r w:rsidRPr="00306115">
        <w:t>Unit kerja yang membawahkan bidang hukum harus melakukan tinjau ulang atas strategi hukum yang diterapkan</w:t>
      </w:r>
      <w:r w:rsidRPr="00306115">
        <w:rPr>
          <w:lang w:val="en-GB"/>
        </w:rPr>
        <w:t>,</w:t>
      </w:r>
      <w:r w:rsidRPr="00306115">
        <w:t xml:space="preserve"> termasuk melakukan evaluasi terhadap kekuatan dan kelemahan dari posisi hukum Manajer Investasi dalam proses litigasi yang sedang berlangsung.</w:t>
      </w:r>
    </w:p>
    <w:p w14:paraId="354D7147" w14:textId="7D0E5932" w:rsidR="00F273CF" w:rsidRPr="00306115" w:rsidRDefault="00F273CF">
      <w:pPr>
        <w:pStyle w:val="HeadingAwalDaftarIsiLampiran"/>
        <w:numPr>
          <w:ilvl w:val="0"/>
          <w:numId w:val="205"/>
        </w:numPr>
        <w:ind w:left="3402" w:hanging="567"/>
      </w:pPr>
      <w:r w:rsidRPr="00306115">
        <w:t>Sistem Informasi Manajemen Risiko</w:t>
      </w:r>
    </w:p>
    <w:p w14:paraId="29FE3F37" w14:textId="6E4D6163" w:rsidR="00FA13E5" w:rsidRPr="00306115" w:rsidRDefault="00FA13E5" w:rsidP="00FA13E5">
      <w:pPr>
        <w:pStyle w:val="HeadingAwalDaftarIsiLampiran"/>
        <w:numPr>
          <w:ilvl w:val="0"/>
          <w:numId w:val="0"/>
        </w:numPr>
        <w:ind w:left="3402"/>
      </w:pPr>
      <w:r w:rsidRPr="00306115">
        <w:t xml:space="preserve">Manajer Investasi harus mencatat dan menatausahakan setiap kejadian, termasuk proses litigasi yang terkait dengan Risiko Hukum beserta jumlah potensi kerugian yang diakibatkan oleh kejadian dimaksud dalam suatu administrasi data. Pencatatan dan penatausahaan data tersebut  disusun  dalam  suatu  data  stastistik  yang dapat digunakan untuk memproyeksikan potensi kerugian aktivitas </w:t>
      </w:r>
      <w:r w:rsidRPr="00306115">
        <w:rPr>
          <w:lang w:val="en-GB"/>
        </w:rPr>
        <w:t xml:space="preserve">kegiatan usaha </w:t>
      </w:r>
      <w:r w:rsidRPr="00306115">
        <w:t>Manajer Investasi pada periode tertentu.</w:t>
      </w:r>
    </w:p>
    <w:p w14:paraId="65181FB1" w14:textId="2BFA264F" w:rsidR="00FA13E5" w:rsidRPr="00306115" w:rsidRDefault="001F2469">
      <w:pPr>
        <w:pStyle w:val="HeadingAwalDaftarIsiLampiran"/>
        <w:numPr>
          <w:ilvl w:val="0"/>
          <w:numId w:val="199"/>
        </w:numPr>
        <w:ind w:left="2835" w:hanging="567"/>
      </w:pPr>
      <w:r w:rsidRPr="00306115">
        <w:t xml:space="preserve">Sistem </w:t>
      </w:r>
      <w:r w:rsidRPr="00306115">
        <w:rPr>
          <w:lang w:val="en-GB"/>
        </w:rPr>
        <w:t>P</w:t>
      </w:r>
      <w:r w:rsidRPr="00306115">
        <w:t xml:space="preserve">engendalian </w:t>
      </w:r>
      <w:r w:rsidRPr="00306115">
        <w:rPr>
          <w:lang w:val="en-GB"/>
        </w:rPr>
        <w:t>I</w:t>
      </w:r>
      <w:r w:rsidRPr="00306115">
        <w:t xml:space="preserve">nternal </w:t>
      </w:r>
      <w:r w:rsidRPr="00306115">
        <w:rPr>
          <w:lang w:val="en-GB"/>
        </w:rPr>
        <w:t>yang Menyeluruh</w:t>
      </w:r>
    </w:p>
    <w:p w14:paraId="3D780BFA" w14:textId="7D34DC95" w:rsidR="00FA13E5" w:rsidRPr="00306115" w:rsidRDefault="00BD0A1A" w:rsidP="00FA13E5">
      <w:pPr>
        <w:pStyle w:val="HeadingAwalDaftarIsiLampiran"/>
        <w:numPr>
          <w:ilvl w:val="0"/>
          <w:numId w:val="0"/>
        </w:numPr>
        <w:ind w:left="2835"/>
      </w:pPr>
      <w:r w:rsidRPr="00306115">
        <w:t xml:space="preserve">Pelaksanaan </w:t>
      </w:r>
      <w:r w:rsidRPr="00306115">
        <w:rPr>
          <w:lang w:val="en-GB"/>
        </w:rPr>
        <w:t>s</w:t>
      </w:r>
      <w:r w:rsidRPr="00306115">
        <w:t xml:space="preserve">istem </w:t>
      </w:r>
      <w:r w:rsidRPr="00306115">
        <w:rPr>
          <w:lang w:val="en-GB"/>
        </w:rPr>
        <w:t>p</w:t>
      </w:r>
      <w:r w:rsidRPr="00306115">
        <w:t xml:space="preserve">engendalian </w:t>
      </w:r>
      <w:r w:rsidRPr="00306115">
        <w:rPr>
          <w:lang w:val="en-GB"/>
        </w:rPr>
        <w:t>i</w:t>
      </w:r>
      <w:r w:rsidRPr="00306115">
        <w:t>ntern</w:t>
      </w:r>
      <w:r w:rsidRPr="00306115">
        <w:rPr>
          <w:lang w:val="en-GB"/>
        </w:rPr>
        <w:t>al</w:t>
      </w:r>
      <w:r w:rsidRPr="00306115">
        <w:t xml:space="preserve"> yang menyeluruh untuk Risiko Hukum mengacu pada cakupan penerapan secara umum sebagaimana dimaksud Romawi I huruf D.</w:t>
      </w:r>
    </w:p>
    <w:p w14:paraId="6626A010" w14:textId="040BC283" w:rsidR="001C3A6C" w:rsidRPr="00306115" w:rsidRDefault="001C3A6C">
      <w:pPr>
        <w:pStyle w:val="HeadingAwalDaftarIsiLampiran"/>
        <w:numPr>
          <w:ilvl w:val="0"/>
          <w:numId w:val="82"/>
        </w:numPr>
        <w:ind w:left="1701" w:hanging="567"/>
      </w:pPr>
      <w:r w:rsidRPr="00306115">
        <w:t>Risiko Kepatuhan</w:t>
      </w:r>
    </w:p>
    <w:p w14:paraId="23FA7C4C" w14:textId="77777777" w:rsidR="00A778DC" w:rsidRPr="00306115" w:rsidRDefault="00A778DC">
      <w:pPr>
        <w:pStyle w:val="HeadingAwalDaftarIsiLampiran"/>
        <w:numPr>
          <w:ilvl w:val="0"/>
          <w:numId w:val="89"/>
        </w:numPr>
        <w:ind w:left="2268" w:hanging="567"/>
      </w:pPr>
      <w:r w:rsidRPr="00306115">
        <w:t>Tujuan</w:t>
      </w:r>
    </w:p>
    <w:p w14:paraId="36255109" w14:textId="7B70DD1C" w:rsidR="00AD3EB8" w:rsidRPr="00306115" w:rsidRDefault="00AD3EB8" w:rsidP="00AD3EB8">
      <w:pPr>
        <w:pStyle w:val="HeadingAwalDaftarIsiLampiran"/>
        <w:numPr>
          <w:ilvl w:val="0"/>
          <w:numId w:val="0"/>
        </w:numPr>
        <w:ind w:left="2268"/>
      </w:pPr>
      <w:r w:rsidRPr="00306115">
        <w:t>Tujuan utama Manajemen Risiko untuk Risiko Kepatuhan adalah untuk memastikan bahwa proses Manajemen Risiko dapat meminimalkan kemungkinan dampak negatif dari perilaku Manajer Investasi yang menyimpang atau melanggar ketentuan peraturan perundang-undangan dan standar yang berlaku secara umum.</w:t>
      </w:r>
    </w:p>
    <w:p w14:paraId="5B7F2A0D" w14:textId="77777777" w:rsidR="00A778DC" w:rsidRPr="00306115" w:rsidRDefault="00A778DC">
      <w:pPr>
        <w:pStyle w:val="HeadingAwalDaftarIsiLampiran"/>
        <w:numPr>
          <w:ilvl w:val="0"/>
          <w:numId w:val="89"/>
        </w:numPr>
        <w:ind w:left="2268" w:hanging="567"/>
      </w:pPr>
      <w:r w:rsidRPr="00306115">
        <w:t>Penerapan Manajemen Risiko</w:t>
      </w:r>
    </w:p>
    <w:p w14:paraId="22E1EA7D" w14:textId="4E7B50B8" w:rsidR="00AD3EB8" w:rsidRPr="00306115" w:rsidRDefault="00AD3EB8" w:rsidP="00AD3EB8">
      <w:pPr>
        <w:pStyle w:val="HeadingAwalDaftarIsiLampiran"/>
        <w:numPr>
          <w:ilvl w:val="0"/>
          <w:numId w:val="0"/>
        </w:numPr>
        <w:ind w:left="2268"/>
      </w:pPr>
      <w:r w:rsidRPr="00306115">
        <w:t>Penerapan Manajemen Risiko untuk Risiko Kepatuhan disesuaikan dengan ukuran</w:t>
      </w:r>
      <w:r w:rsidRPr="00306115">
        <w:rPr>
          <w:lang w:val="en-GB"/>
        </w:rPr>
        <w:t xml:space="preserve">, </w:t>
      </w:r>
      <w:r w:rsidRPr="00306115">
        <w:t>kompleksitas usaha, dan kemampuan Manajer Investasi. Secara umum dalam prinsip penerapan Manajemen Risiko untuk Risiko Kepatuhan, paling sedikit mencakup:</w:t>
      </w:r>
    </w:p>
    <w:p w14:paraId="51139F01" w14:textId="216C2498" w:rsidR="00AD3EB8" w:rsidRPr="00306115" w:rsidRDefault="00AD3EB8">
      <w:pPr>
        <w:pStyle w:val="HeadingAwalDaftarIsiLampiran"/>
        <w:numPr>
          <w:ilvl w:val="0"/>
          <w:numId w:val="209"/>
        </w:numPr>
        <w:ind w:left="2835" w:hanging="567"/>
      </w:pPr>
      <w:r w:rsidRPr="00306115">
        <w:t>Pengawasan Aktif Direksi dan Dewan Komisaris</w:t>
      </w:r>
    </w:p>
    <w:p w14:paraId="7EF9E0A6" w14:textId="41028587" w:rsidR="00AD3EB8" w:rsidRPr="00306115" w:rsidRDefault="00AD3EB8" w:rsidP="00AD3EB8">
      <w:pPr>
        <w:pStyle w:val="HeadingAwalDaftarIsiLampiran"/>
        <w:numPr>
          <w:ilvl w:val="0"/>
          <w:numId w:val="0"/>
        </w:numPr>
        <w:ind w:left="2835"/>
      </w:pPr>
      <w:r w:rsidRPr="00306115">
        <w:t>Dalam melakukan penerapan Manajemen Risiko melalui pengawasan aktif Direksi dan Dewan Komisaris untuk Risiko Kepatuhan, selain melaksanakan pengawasan aktif sebagaimana dimaksud pada Romawi I huruf A, Manajer Investasi harus menambahkan penerapan:</w:t>
      </w:r>
    </w:p>
    <w:p w14:paraId="3F896DFF" w14:textId="4CFD4CAE" w:rsidR="00AD3EB8" w:rsidRPr="00306115" w:rsidRDefault="00AD3EB8">
      <w:pPr>
        <w:pStyle w:val="HeadingAwalDaftarIsiLampiran"/>
        <w:numPr>
          <w:ilvl w:val="0"/>
          <w:numId w:val="210"/>
        </w:numPr>
        <w:ind w:left="3402" w:hanging="567"/>
      </w:pPr>
      <w:r w:rsidRPr="00306115">
        <w:t>Kewenangan dan Tanggung Jawab Direksi dan Dewan Komisaris</w:t>
      </w:r>
    </w:p>
    <w:p w14:paraId="6C41D4DB" w14:textId="58982DF8" w:rsidR="00C05262" w:rsidRPr="00306115" w:rsidRDefault="00C05262">
      <w:pPr>
        <w:pStyle w:val="HeadingAwalDaftarIsiLampiran"/>
        <w:numPr>
          <w:ilvl w:val="0"/>
          <w:numId w:val="211"/>
        </w:numPr>
        <w:ind w:left="3969" w:hanging="567"/>
      </w:pPr>
      <w:r w:rsidRPr="00306115">
        <w:lastRenderedPageBreak/>
        <w:t>Direksi dan Dewan Komisaris harus memastikan bahwa Manajemen Risiko untuk Risiko Kepatuhan dilakukan secara terintegrasi dengan Manajemen Risiko lainnya yang dapat berdampak pada profil Risiko Kepatuhan Manajer Investasi.</w:t>
      </w:r>
    </w:p>
    <w:p w14:paraId="666D9861" w14:textId="08B564FE" w:rsidR="00C05262" w:rsidRPr="00306115" w:rsidRDefault="00C05262">
      <w:pPr>
        <w:pStyle w:val="HeadingAwalDaftarIsiLampiran"/>
        <w:numPr>
          <w:ilvl w:val="0"/>
          <w:numId w:val="211"/>
        </w:numPr>
        <w:ind w:left="3969" w:hanging="567"/>
      </w:pPr>
      <w:r w:rsidRPr="00306115">
        <w:t>Direksi dan Dewan Komisaris harus memastikan bahwa setiap permasalahan kepatuhan yang timbul dapat diselesaikan secara efektif oleh unit kerja terkait dan dilakukan pemantauan atas tindakan perbaikan oleh fungsi kepatuhan.</w:t>
      </w:r>
    </w:p>
    <w:p w14:paraId="626FF68F" w14:textId="1659CB4F" w:rsidR="00C05262" w:rsidRPr="00306115" w:rsidRDefault="00C05262">
      <w:pPr>
        <w:pStyle w:val="HeadingAwalDaftarIsiLampiran"/>
        <w:numPr>
          <w:ilvl w:val="0"/>
          <w:numId w:val="211"/>
        </w:numPr>
        <w:ind w:left="3969" w:hanging="567"/>
      </w:pPr>
      <w:r w:rsidRPr="00306115">
        <w:t>Direktur yang membawah</w:t>
      </w:r>
      <w:r w:rsidRPr="00306115">
        <w:rPr>
          <w:lang w:val="en-GB"/>
        </w:rPr>
        <w:t>kan</w:t>
      </w:r>
      <w:r w:rsidRPr="00306115">
        <w:t xml:space="preserve"> fungsi kepatuhan memastikan bahwa fungsi kepatuhan melaksanakan tugasnya secara independen.</w:t>
      </w:r>
    </w:p>
    <w:p w14:paraId="69D5ECF1" w14:textId="7CF83951" w:rsidR="00AD3EB8" w:rsidRPr="00306115" w:rsidRDefault="00AD3EB8">
      <w:pPr>
        <w:pStyle w:val="HeadingAwalDaftarIsiLampiran"/>
        <w:numPr>
          <w:ilvl w:val="0"/>
          <w:numId w:val="210"/>
        </w:numPr>
        <w:ind w:left="3402" w:hanging="567"/>
      </w:pPr>
      <w:r w:rsidRPr="00306115">
        <w:t>Sumber Daya Manusia</w:t>
      </w:r>
    </w:p>
    <w:p w14:paraId="1C8D4F08" w14:textId="01DB1751" w:rsidR="00C05262" w:rsidRPr="00306115" w:rsidRDefault="00C05262" w:rsidP="00C05262">
      <w:pPr>
        <w:pStyle w:val="HeadingAwalDaftarIsiLampiran"/>
        <w:numPr>
          <w:ilvl w:val="0"/>
          <w:numId w:val="0"/>
        </w:numPr>
        <w:ind w:left="3402"/>
      </w:pPr>
      <w:r w:rsidRPr="00306115">
        <w:t>Pegawai yang melaksanakan fungsi kepatuhan tidak ditempatkan pada posisi yang rentan akan konflik kepentingan dalam melaksanakan tanggung jawab fungsi kepatuhan.</w:t>
      </w:r>
    </w:p>
    <w:p w14:paraId="66AB2942" w14:textId="151699F6" w:rsidR="00AD3EB8" w:rsidRPr="00306115" w:rsidRDefault="00AD3EB8">
      <w:pPr>
        <w:pStyle w:val="HeadingAwalDaftarIsiLampiran"/>
        <w:numPr>
          <w:ilvl w:val="0"/>
          <w:numId w:val="210"/>
        </w:numPr>
        <w:ind w:left="3402" w:hanging="567"/>
      </w:pPr>
      <w:r w:rsidRPr="00306115">
        <w:t>Organisasi Manajemen Risiko</w:t>
      </w:r>
    </w:p>
    <w:p w14:paraId="144D843B" w14:textId="53710271" w:rsidR="00AD3EB8" w:rsidRPr="00306115" w:rsidRDefault="00C05262" w:rsidP="00C05262">
      <w:pPr>
        <w:pStyle w:val="HeadingAwalDaftarIsiLampiran"/>
        <w:numPr>
          <w:ilvl w:val="0"/>
          <w:numId w:val="0"/>
        </w:numPr>
        <w:ind w:left="3402"/>
      </w:pPr>
      <w:r w:rsidRPr="00306115">
        <w:t>Manajer Investasi memastikan tidak ada tekanan atau intervensi dari unit kerja atau fungsi lainnya dalam</w:t>
      </w:r>
      <w:r w:rsidRPr="00306115">
        <w:rPr>
          <w:lang w:val="en-GB"/>
        </w:rPr>
        <w:t xml:space="preserve"> </w:t>
      </w:r>
      <w:r w:rsidRPr="00306115">
        <w:t>pelaksanaan tugas, kewenangan, dan tanggung jawab fungsi kepatuhan.</w:t>
      </w:r>
    </w:p>
    <w:p w14:paraId="2B66B70E" w14:textId="0A1912FB" w:rsidR="00AD3EB8" w:rsidRPr="00306115" w:rsidRDefault="00AD3EB8">
      <w:pPr>
        <w:pStyle w:val="HeadingAwalDaftarIsiLampiran"/>
        <w:numPr>
          <w:ilvl w:val="0"/>
          <w:numId w:val="209"/>
        </w:numPr>
        <w:ind w:left="2835" w:hanging="567"/>
      </w:pPr>
      <w:r w:rsidRPr="00306115">
        <w:t xml:space="preserve">Kecukupan </w:t>
      </w:r>
      <w:r w:rsidRPr="00306115">
        <w:rPr>
          <w:lang w:val="en-GB"/>
        </w:rPr>
        <w:t>K</w:t>
      </w:r>
      <w:r w:rsidRPr="00306115">
        <w:t xml:space="preserve">ebijakan dan </w:t>
      </w:r>
      <w:r w:rsidRPr="00306115">
        <w:rPr>
          <w:lang w:val="en-GB"/>
        </w:rPr>
        <w:t>P</w:t>
      </w:r>
      <w:r w:rsidRPr="00306115">
        <w:t>rosedur Manajemen Risiko</w:t>
      </w:r>
    </w:p>
    <w:p w14:paraId="63D90401" w14:textId="3E4429FE" w:rsidR="00C05262" w:rsidRPr="00306115" w:rsidRDefault="00C05262" w:rsidP="00C05262">
      <w:pPr>
        <w:pStyle w:val="HeadingAwalDaftarIsiLampiran"/>
        <w:numPr>
          <w:ilvl w:val="0"/>
          <w:numId w:val="0"/>
        </w:numPr>
        <w:ind w:left="2835"/>
      </w:pPr>
      <w:r w:rsidRPr="00306115">
        <w:t>Dalam melaksanakan kebijakan dan prosedur Manajemen Risiko serta penetapan limit risiko untuk Risiko Kepatuhan, selain melaksanakan kebijakan dan prosedur Manajemen Risiko serta penetapan limit risiko sebagaimana pada Romawi I huruf B, Manajer Investasi harus menambahkan penerapan:</w:t>
      </w:r>
    </w:p>
    <w:p w14:paraId="5BCD39F0" w14:textId="2F56B3FF" w:rsidR="00C05262" w:rsidRPr="00306115" w:rsidRDefault="00C05262">
      <w:pPr>
        <w:pStyle w:val="HeadingAwalDaftarIsiLampiran"/>
        <w:numPr>
          <w:ilvl w:val="0"/>
          <w:numId w:val="212"/>
        </w:numPr>
        <w:ind w:left="3402" w:hanging="567"/>
      </w:pPr>
      <w:r w:rsidRPr="00306115">
        <w:t>Kebijakan dan Prosedur</w:t>
      </w:r>
    </w:p>
    <w:p w14:paraId="11C51604" w14:textId="41325EF7" w:rsidR="006F640C" w:rsidRPr="00306115" w:rsidRDefault="006F640C">
      <w:pPr>
        <w:pStyle w:val="HeadingAwalDaftarIsiLampiran"/>
        <w:numPr>
          <w:ilvl w:val="0"/>
          <w:numId w:val="213"/>
        </w:numPr>
        <w:ind w:left="3969" w:hanging="567"/>
      </w:pPr>
      <w:r w:rsidRPr="00306115">
        <w:t>Manajer Investasi harus memiliki rencana kerja tahunan fungsi</w:t>
      </w:r>
      <w:r w:rsidRPr="00306115">
        <w:rPr>
          <w:b/>
          <w:bCs/>
          <w:i/>
          <w:iCs/>
        </w:rPr>
        <w:t xml:space="preserve"> </w:t>
      </w:r>
      <w:r w:rsidRPr="00306115">
        <w:t>kepatuhan yang memadai.</w:t>
      </w:r>
    </w:p>
    <w:p w14:paraId="6586E3A1" w14:textId="7D05BA47" w:rsidR="006F640C" w:rsidRPr="00306115" w:rsidRDefault="006F640C">
      <w:pPr>
        <w:pStyle w:val="HeadingAwalDaftarIsiLampiran"/>
        <w:numPr>
          <w:ilvl w:val="0"/>
          <w:numId w:val="213"/>
        </w:numPr>
        <w:ind w:left="3969" w:hanging="567"/>
      </w:pPr>
      <w:r w:rsidRPr="00306115">
        <w:t xml:space="preserve">Manajer Investasi harus memastikan efektivitas penerapan Manajemen Risiko untuk Risiko Kepatuhan, terutama dalam rangka </w:t>
      </w:r>
      <w:r w:rsidRPr="00306115">
        <w:rPr>
          <w:lang w:val="en-GB"/>
        </w:rPr>
        <w:t xml:space="preserve">memastikan bahwa </w:t>
      </w:r>
      <w:r w:rsidRPr="00306115">
        <w:t>penyusunan kebijakan dan prosedur telah sesuai dengan standar yang berlaku secara umum</w:t>
      </w:r>
      <w:r w:rsidRPr="00306115">
        <w:rPr>
          <w:lang w:val="en-GB"/>
        </w:rPr>
        <w:t xml:space="preserve"> dan</w:t>
      </w:r>
      <w:r w:rsidRPr="00306115">
        <w:t xml:space="preserve"> ketentuan peraturan perundang-undangan.</w:t>
      </w:r>
    </w:p>
    <w:p w14:paraId="1C3FC6AB" w14:textId="0A59870B" w:rsidR="006F640C" w:rsidRPr="00306115" w:rsidRDefault="006F640C">
      <w:pPr>
        <w:pStyle w:val="HeadingAwalDaftarIsiLampiran"/>
        <w:numPr>
          <w:ilvl w:val="0"/>
          <w:numId w:val="213"/>
        </w:numPr>
        <w:ind w:left="3969" w:hanging="567"/>
      </w:pPr>
      <w:r w:rsidRPr="00306115">
        <w:t>Manajer Investasi harus memiliki kebijakan dan prosedur tertulis terkait rapat komite investasi antara lain yang mengatur terkait benturan kepentingan.</w:t>
      </w:r>
    </w:p>
    <w:p w14:paraId="00FA5939" w14:textId="7953DAB5" w:rsidR="006F640C" w:rsidRPr="00306115" w:rsidRDefault="006F640C">
      <w:pPr>
        <w:pStyle w:val="HeadingAwalDaftarIsiLampiran"/>
        <w:numPr>
          <w:ilvl w:val="0"/>
          <w:numId w:val="213"/>
        </w:numPr>
        <w:ind w:left="3969" w:hanging="567"/>
      </w:pPr>
      <w:r w:rsidRPr="00306115">
        <w:t>Manajer Investasi harus memiliki kebijakan dan prosedur tertulis yang mengatur terkait benturan kepentingan, antara lain mencakup kebijakan terkait:</w:t>
      </w:r>
    </w:p>
    <w:p w14:paraId="3CC84587" w14:textId="49EC735F" w:rsidR="006F640C" w:rsidRPr="00306115" w:rsidRDefault="006F640C">
      <w:pPr>
        <w:pStyle w:val="HeadingAwalDaftarIsiLampiran"/>
        <w:numPr>
          <w:ilvl w:val="0"/>
          <w:numId w:val="214"/>
        </w:numPr>
        <w:ind w:left="4536" w:hanging="567"/>
      </w:pPr>
      <w:r w:rsidRPr="00306115">
        <w:t>transaksi afiliasi;</w:t>
      </w:r>
    </w:p>
    <w:p w14:paraId="62B6EC5F" w14:textId="7D1DC477" w:rsidR="006F640C" w:rsidRPr="00306115" w:rsidRDefault="006F640C">
      <w:pPr>
        <w:pStyle w:val="HeadingAwalDaftarIsiLampiran"/>
        <w:numPr>
          <w:ilvl w:val="0"/>
          <w:numId w:val="214"/>
        </w:numPr>
        <w:ind w:left="4536" w:hanging="567"/>
      </w:pPr>
      <w:r w:rsidRPr="00306115">
        <w:lastRenderedPageBreak/>
        <w:t>transaksi pribadi;</w:t>
      </w:r>
    </w:p>
    <w:p w14:paraId="78A33448" w14:textId="331E1F12" w:rsidR="006F640C" w:rsidRPr="00306115" w:rsidRDefault="006F640C">
      <w:pPr>
        <w:pStyle w:val="HeadingAwalDaftarIsiLampiran"/>
        <w:numPr>
          <w:ilvl w:val="0"/>
          <w:numId w:val="214"/>
        </w:numPr>
        <w:ind w:left="4536" w:hanging="567"/>
      </w:pPr>
      <w:r w:rsidRPr="00306115">
        <w:t>penerimaan hadiah/manfaat/rabat dan komisi;</w:t>
      </w:r>
    </w:p>
    <w:p w14:paraId="3EE48FFB" w14:textId="3887C609" w:rsidR="006F640C" w:rsidRPr="00306115" w:rsidRDefault="006F640C">
      <w:pPr>
        <w:pStyle w:val="HeadingAwalDaftarIsiLampiran"/>
        <w:numPr>
          <w:ilvl w:val="0"/>
          <w:numId w:val="214"/>
        </w:numPr>
        <w:ind w:left="4536" w:hanging="567"/>
      </w:pPr>
      <w:r w:rsidRPr="00306115">
        <w:t>transaksi silang;</w:t>
      </w:r>
    </w:p>
    <w:p w14:paraId="61C2814E" w14:textId="0E2D7872" w:rsidR="006F640C" w:rsidRPr="00306115" w:rsidRDefault="006F640C">
      <w:pPr>
        <w:pStyle w:val="HeadingAwalDaftarIsiLampiran"/>
        <w:numPr>
          <w:ilvl w:val="0"/>
          <w:numId w:val="214"/>
        </w:numPr>
        <w:ind w:left="4536" w:hanging="567"/>
      </w:pPr>
      <w:r w:rsidRPr="00306115">
        <w:rPr>
          <w:i/>
          <w:iCs/>
        </w:rPr>
        <w:t>insider trading</w:t>
      </w:r>
      <w:r w:rsidRPr="00306115">
        <w:t>;</w:t>
      </w:r>
    </w:p>
    <w:p w14:paraId="145CC001" w14:textId="67C2C0F4" w:rsidR="006F640C" w:rsidRPr="00306115" w:rsidRDefault="006F640C">
      <w:pPr>
        <w:pStyle w:val="HeadingAwalDaftarIsiLampiran"/>
        <w:numPr>
          <w:ilvl w:val="0"/>
          <w:numId w:val="214"/>
        </w:numPr>
        <w:ind w:left="4536" w:hanging="567"/>
      </w:pPr>
      <w:r w:rsidRPr="00306115">
        <w:rPr>
          <w:i/>
          <w:iCs/>
        </w:rPr>
        <w:t>front running</w:t>
      </w:r>
      <w:r w:rsidRPr="00306115">
        <w:t>;</w:t>
      </w:r>
    </w:p>
    <w:p w14:paraId="55DB6FCA" w14:textId="58F3C127" w:rsidR="006F640C" w:rsidRPr="00306115" w:rsidRDefault="006F640C">
      <w:pPr>
        <w:pStyle w:val="HeadingAwalDaftarIsiLampiran"/>
        <w:numPr>
          <w:ilvl w:val="0"/>
          <w:numId w:val="214"/>
        </w:numPr>
        <w:ind w:left="4536" w:hanging="567"/>
      </w:pPr>
      <w:r w:rsidRPr="00306115">
        <w:rPr>
          <w:i/>
          <w:iCs/>
        </w:rPr>
        <w:t>fair trade allocation</w:t>
      </w:r>
      <w:r w:rsidRPr="00306115">
        <w:t>; dan</w:t>
      </w:r>
    </w:p>
    <w:p w14:paraId="05092703" w14:textId="40C81A15" w:rsidR="006F640C" w:rsidRPr="00306115" w:rsidRDefault="006F640C">
      <w:pPr>
        <w:pStyle w:val="HeadingAwalDaftarIsiLampiran"/>
        <w:numPr>
          <w:ilvl w:val="0"/>
          <w:numId w:val="214"/>
        </w:numPr>
        <w:ind w:left="4536" w:hanging="567"/>
      </w:pPr>
      <w:r w:rsidRPr="00306115">
        <w:rPr>
          <w:i/>
          <w:iCs/>
        </w:rPr>
        <w:t>broker allocation</w:t>
      </w:r>
      <w:r w:rsidRPr="00306115">
        <w:t>,</w:t>
      </w:r>
    </w:p>
    <w:p w14:paraId="4BB575AF" w14:textId="580BC5E5" w:rsidR="006F640C" w:rsidRPr="00306115" w:rsidRDefault="006F640C" w:rsidP="006F640C">
      <w:pPr>
        <w:pStyle w:val="HeadingAwalDaftarIsiLampiran"/>
        <w:numPr>
          <w:ilvl w:val="0"/>
          <w:numId w:val="0"/>
        </w:numPr>
        <w:ind w:left="3969"/>
      </w:pPr>
      <w:r w:rsidRPr="00306115">
        <w:t>sebagai landasan bagi Manajer Investasi dalam mencegah, mengidentifikasi, mengelola risiko serta memastikan setiap keputusan dan transaksi investasi dilakukan secara wajar, transparan, dan mengutamakan kepentingan pemegang unit penyertaan sesuai ketentuan yang berlaku.</w:t>
      </w:r>
    </w:p>
    <w:p w14:paraId="4B931180" w14:textId="50486656" w:rsidR="00C05262" w:rsidRPr="00306115" w:rsidRDefault="00C05262">
      <w:pPr>
        <w:pStyle w:val="HeadingAwalDaftarIsiLampiran"/>
        <w:numPr>
          <w:ilvl w:val="0"/>
          <w:numId w:val="212"/>
        </w:numPr>
        <w:ind w:left="3402" w:hanging="567"/>
      </w:pPr>
      <w:r w:rsidRPr="00306115">
        <w:t>Strategi Manajemen Risiko</w:t>
      </w:r>
    </w:p>
    <w:p w14:paraId="702443C7" w14:textId="0ADBA34C" w:rsidR="006F640C" w:rsidRPr="00306115" w:rsidRDefault="006F640C" w:rsidP="006F640C">
      <w:pPr>
        <w:pStyle w:val="HeadingAwalDaftarIsiLampiran"/>
        <w:numPr>
          <w:ilvl w:val="0"/>
          <w:numId w:val="0"/>
        </w:numPr>
        <w:ind w:left="3402"/>
      </w:pPr>
      <w:r w:rsidRPr="00306115">
        <w:t>Strategi Manajemen Risiko untuk Risiko Kepatuhan harus disusun dan di</w:t>
      </w:r>
      <w:r w:rsidRPr="00306115">
        <w:rPr>
          <w:lang w:val="en-GB"/>
        </w:rPr>
        <w:t>kinikan</w:t>
      </w:r>
      <w:r w:rsidRPr="00306115">
        <w:t xml:space="preserve"> secara berkelanjutan sesuai dengan perubahan ketentuan peraturan perundang-undangan yang berlaku.</w:t>
      </w:r>
    </w:p>
    <w:p w14:paraId="59FFC8EC" w14:textId="7EFCE651" w:rsidR="00C05262" w:rsidRPr="00306115" w:rsidRDefault="00C05262">
      <w:pPr>
        <w:pStyle w:val="HeadingAwalDaftarIsiLampiran"/>
        <w:numPr>
          <w:ilvl w:val="0"/>
          <w:numId w:val="212"/>
        </w:numPr>
        <w:ind w:left="3402" w:hanging="567"/>
      </w:pPr>
      <w:r w:rsidRPr="00306115">
        <w:t>Tingkat Risiko yang akan Diambil (</w:t>
      </w:r>
      <w:r w:rsidRPr="00306115">
        <w:rPr>
          <w:i/>
          <w:iCs/>
        </w:rPr>
        <w:t>Risk Appetite</w:t>
      </w:r>
      <w:r w:rsidRPr="00306115">
        <w:t>) dan Toleransi Risiko (</w:t>
      </w:r>
      <w:r w:rsidRPr="00306115">
        <w:rPr>
          <w:i/>
          <w:iCs/>
        </w:rPr>
        <w:t>Risk Tolerance</w:t>
      </w:r>
      <w:r w:rsidRPr="00306115">
        <w:t>)</w:t>
      </w:r>
    </w:p>
    <w:p w14:paraId="33972ED8" w14:textId="36BF263F" w:rsidR="006F640C" w:rsidRPr="00306115" w:rsidRDefault="006F640C" w:rsidP="006F640C">
      <w:pPr>
        <w:pStyle w:val="HeadingAwalDaftarIsiLampiran"/>
        <w:numPr>
          <w:ilvl w:val="0"/>
          <w:numId w:val="0"/>
        </w:numPr>
        <w:ind w:left="3402"/>
      </w:pPr>
      <w:r w:rsidRPr="00306115">
        <w:t xml:space="preserve">Pada dasarnya Manajer Investasi harus mematuhi ketentuan peraturan perundang-undangan. Hal ini menyebabkan Manajer Investasi seharusnya tidak memiliki toleransi sama sekali atas Risiko Kepatuhan </w:t>
      </w:r>
      <w:r w:rsidRPr="00306115">
        <w:rPr>
          <w:lang w:val="en-GB"/>
        </w:rPr>
        <w:t>serta</w:t>
      </w:r>
      <w:r w:rsidRPr="00306115">
        <w:t xml:space="preserve"> mengambil langkah-langkah secara cepat dan tepat dalam menangani risiko.</w:t>
      </w:r>
    </w:p>
    <w:p w14:paraId="322AC6FF" w14:textId="323EE38D" w:rsidR="00C05262" w:rsidRPr="00306115" w:rsidRDefault="00C05262">
      <w:pPr>
        <w:pStyle w:val="HeadingAwalDaftarIsiLampiran"/>
        <w:numPr>
          <w:ilvl w:val="0"/>
          <w:numId w:val="212"/>
        </w:numPr>
        <w:ind w:left="3402" w:hanging="567"/>
      </w:pPr>
      <w:r w:rsidRPr="00306115">
        <w:t>Limit</w:t>
      </w:r>
    </w:p>
    <w:p w14:paraId="7A1D4F5C" w14:textId="10A4167C" w:rsidR="006F640C" w:rsidRPr="00306115" w:rsidRDefault="006F640C" w:rsidP="006F640C">
      <w:pPr>
        <w:pStyle w:val="HeadingAwalDaftarIsiLampiran"/>
        <w:numPr>
          <w:ilvl w:val="0"/>
          <w:numId w:val="0"/>
        </w:numPr>
        <w:ind w:left="3402"/>
      </w:pPr>
      <w:r w:rsidRPr="00306115">
        <w:t>Limit teratas dari Risiko Kepatuhan adalah ketentuan peraturan perundang-undangan yang berlaku, namun demikian Manajer Investasi harus menetapkan limit internal sebagai ambang operasional pelaksanaan kegiatan agar tidak sampai terjadi pelanggaran.</w:t>
      </w:r>
    </w:p>
    <w:p w14:paraId="509A5091" w14:textId="4AD0B317" w:rsidR="00AD3EB8" w:rsidRPr="00306115" w:rsidRDefault="00AD3EB8">
      <w:pPr>
        <w:pStyle w:val="HeadingAwalDaftarIsiLampiran"/>
        <w:numPr>
          <w:ilvl w:val="0"/>
          <w:numId w:val="209"/>
        </w:numPr>
        <w:ind w:left="2835" w:hanging="567"/>
      </w:pPr>
      <w:r w:rsidRPr="00306115">
        <w:t xml:space="preserve">Kecukupan </w:t>
      </w:r>
      <w:r w:rsidRPr="00306115">
        <w:rPr>
          <w:lang w:val="en-GB"/>
        </w:rPr>
        <w:t>P</w:t>
      </w:r>
      <w:r w:rsidRPr="00306115">
        <w:t xml:space="preserve">roses </w:t>
      </w:r>
      <w:r w:rsidRPr="00306115">
        <w:rPr>
          <w:lang w:val="en-GB"/>
        </w:rPr>
        <w:t>I</w:t>
      </w:r>
      <w:r w:rsidRPr="00306115">
        <w:t xml:space="preserve">dentifikasi, </w:t>
      </w:r>
      <w:r w:rsidRPr="00306115">
        <w:rPr>
          <w:lang w:val="en-GB"/>
        </w:rPr>
        <w:t>P</w:t>
      </w:r>
      <w:r w:rsidRPr="00306115">
        <w:t xml:space="preserve">engukuran, </w:t>
      </w:r>
      <w:r w:rsidRPr="00306115">
        <w:rPr>
          <w:lang w:val="en-GB"/>
        </w:rPr>
        <w:t>P</w:t>
      </w:r>
      <w:r w:rsidRPr="00306115">
        <w:t xml:space="preserve">emantauan, dan </w:t>
      </w:r>
      <w:r w:rsidRPr="00306115">
        <w:rPr>
          <w:lang w:val="en-GB"/>
        </w:rPr>
        <w:t>P</w:t>
      </w:r>
      <w:r w:rsidRPr="00306115">
        <w:t>engendalian Risiko</w:t>
      </w:r>
    </w:p>
    <w:p w14:paraId="307B8AE8" w14:textId="4373663A" w:rsidR="006F640C" w:rsidRPr="00306115" w:rsidRDefault="006F640C" w:rsidP="006F640C">
      <w:pPr>
        <w:pStyle w:val="HeadingAwalDaftarIsiLampiran"/>
        <w:numPr>
          <w:ilvl w:val="0"/>
          <w:numId w:val="0"/>
        </w:numPr>
        <w:ind w:left="2835"/>
      </w:pPr>
      <w:r w:rsidRPr="00306115">
        <w:t>Dalam melakukan penerapan Manajemen Risiko melalui proses identifikasi, pengukuran, pemantauan, dan pengendalian risiko, serta sistem informasi Manajemen Risiko untuk Risiko Kepatuhan, selain melaksanakan proses sebagaimana dimaksud pada Romawi I huruf C, pada setiap proses Manajer Investasi harus menambahkan penerapan:</w:t>
      </w:r>
    </w:p>
    <w:p w14:paraId="180ED833" w14:textId="65F7D95C" w:rsidR="006F640C" w:rsidRPr="00306115" w:rsidRDefault="006F640C">
      <w:pPr>
        <w:pStyle w:val="HeadingAwalDaftarIsiLampiran"/>
        <w:numPr>
          <w:ilvl w:val="0"/>
          <w:numId w:val="215"/>
        </w:numPr>
        <w:ind w:left="3402" w:hanging="567"/>
      </w:pPr>
      <w:r w:rsidRPr="00306115">
        <w:t>Identifikasi Risiko</w:t>
      </w:r>
    </w:p>
    <w:p w14:paraId="6FA8D96D" w14:textId="155C2F21" w:rsidR="006F640C" w:rsidRPr="00306115" w:rsidRDefault="006F640C" w:rsidP="006F640C">
      <w:pPr>
        <w:pStyle w:val="HeadingAwalDaftarIsiLampiran"/>
        <w:numPr>
          <w:ilvl w:val="0"/>
          <w:numId w:val="0"/>
        </w:numPr>
        <w:ind w:left="3402"/>
      </w:pPr>
      <w:r w:rsidRPr="00306115">
        <w:t>Manajer Investasi harus melakukan identifikasi dan analisis terhadap beberapa faktor yang dapat meningkatkan eksposur Risiko Kepatuhan, antara lain:</w:t>
      </w:r>
    </w:p>
    <w:p w14:paraId="76B46C66" w14:textId="46599E4C" w:rsidR="006F640C" w:rsidRPr="00306115" w:rsidRDefault="006F640C">
      <w:pPr>
        <w:pStyle w:val="HeadingAwalDaftarIsiLampiran"/>
        <w:numPr>
          <w:ilvl w:val="0"/>
          <w:numId w:val="216"/>
        </w:numPr>
        <w:ind w:left="3969" w:hanging="567"/>
      </w:pPr>
      <w:r w:rsidRPr="00306115">
        <w:t>kompleksitas kegiatan usaha dan produk yang dikelola Manajer Investasi; dan</w:t>
      </w:r>
    </w:p>
    <w:p w14:paraId="540E83AC" w14:textId="3FE45861" w:rsidR="006F640C" w:rsidRPr="00306115" w:rsidRDefault="006F640C">
      <w:pPr>
        <w:pStyle w:val="HeadingAwalDaftarIsiLampiran"/>
        <w:numPr>
          <w:ilvl w:val="0"/>
          <w:numId w:val="216"/>
        </w:numPr>
        <w:ind w:left="3969" w:hanging="567"/>
      </w:pPr>
      <w:r w:rsidRPr="00306115">
        <w:lastRenderedPageBreak/>
        <w:t>kecukupan kebijakan dan prosedur internal terhadap ketentuan peraturan perundang-undangan dan standar yang berlaku secara umum.</w:t>
      </w:r>
    </w:p>
    <w:p w14:paraId="7EE83739" w14:textId="22D539FD" w:rsidR="006F640C" w:rsidRPr="00306115" w:rsidRDefault="006F640C">
      <w:pPr>
        <w:pStyle w:val="HeadingAwalDaftarIsiLampiran"/>
        <w:numPr>
          <w:ilvl w:val="0"/>
          <w:numId w:val="215"/>
        </w:numPr>
        <w:ind w:left="3402" w:hanging="567"/>
      </w:pPr>
      <w:r w:rsidRPr="00306115">
        <w:t>Pengukuran Risiko</w:t>
      </w:r>
    </w:p>
    <w:p w14:paraId="58679AD8" w14:textId="3620047B" w:rsidR="006F640C" w:rsidRPr="00306115" w:rsidRDefault="006F640C" w:rsidP="006F640C">
      <w:pPr>
        <w:pStyle w:val="HeadingAwalDaftarIsiLampiran"/>
        <w:numPr>
          <w:ilvl w:val="0"/>
          <w:numId w:val="0"/>
        </w:numPr>
        <w:ind w:left="3402"/>
      </w:pPr>
      <w:r w:rsidRPr="00306115">
        <w:t xml:space="preserve">Dalam mengukur Risiko Kepatuhan, Manajer Investasi dapat antara lain menggunakan indikator atau parameter berupa jumlah pelanggaran yang dikenakan sanksi dari Otoritas Jasa Keuangan, signifikansi dari sanksi terberat, jumlah teguran </w:t>
      </w:r>
      <w:r w:rsidRPr="00306115">
        <w:rPr>
          <w:lang w:val="en-GB"/>
        </w:rPr>
        <w:t>b</w:t>
      </w:r>
      <w:r w:rsidRPr="00306115">
        <w:t xml:space="preserve">ank </w:t>
      </w:r>
      <w:r w:rsidRPr="00306115">
        <w:rPr>
          <w:lang w:val="en-GB"/>
        </w:rPr>
        <w:t>k</w:t>
      </w:r>
      <w:r w:rsidRPr="00306115">
        <w:t>ustodian, dan penilaian kesesuaian aktivitas kegiatan usaha dengan ketentuan peraturan perundang-undangan.</w:t>
      </w:r>
    </w:p>
    <w:p w14:paraId="7082550B" w14:textId="4B3472AC" w:rsidR="006F640C" w:rsidRPr="00306115" w:rsidRDefault="006F640C">
      <w:pPr>
        <w:pStyle w:val="HeadingAwalDaftarIsiLampiran"/>
        <w:numPr>
          <w:ilvl w:val="0"/>
          <w:numId w:val="215"/>
        </w:numPr>
        <w:ind w:left="3402" w:hanging="567"/>
      </w:pPr>
      <w:r w:rsidRPr="00306115">
        <w:t>Pemantauan Risiko</w:t>
      </w:r>
    </w:p>
    <w:p w14:paraId="3473E353" w14:textId="2970B41E" w:rsidR="006F640C" w:rsidRPr="00306115" w:rsidRDefault="006F640C" w:rsidP="006F640C">
      <w:pPr>
        <w:pStyle w:val="HeadingAwalDaftarIsiLampiran"/>
        <w:numPr>
          <w:ilvl w:val="0"/>
          <w:numId w:val="0"/>
        </w:numPr>
        <w:ind w:left="3402"/>
      </w:pPr>
      <w:r w:rsidRPr="00306115">
        <w:t>Fungsi kepatuhan harus memantau dan melaporkan Risiko Kepatuhan yang terjadi kepada Direksi dalam hal koordinator fungsi kepatuhan adalah pimpinan unit kerja atau pejabat setingkat di bawah Direksi. Dalam hal koordinator fungsi kepatuhan adalah anggota Direksi, laporan pemantauan Risiko Kepatuhan disampaikan kepada Dewan Komisaris.</w:t>
      </w:r>
    </w:p>
    <w:p w14:paraId="466C29E3" w14:textId="3614AB92" w:rsidR="006F640C" w:rsidRPr="00306115" w:rsidRDefault="006F640C">
      <w:pPr>
        <w:pStyle w:val="HeadingAwalDaftarIsiLampiran"/>
        <w:numPr>
          <w:ilvl w:val="0"/>
          <w:numId w:val="215"/>
        </w:numPr>
        <w:ind w:left="3402" w:hanging="567"/>
      </w:pPr>
      <w:r w:rsidRPr="00306115">
        <w:t>Pengendalian Risiko</w:t>
      </w:r>
    </w:p>
    <w:p w14:paraId="4FA9E77E" w14:textId="2485CDF8" w:rsidR="006F640C" w:rsidRPr="00306115" w:rsidRDefault="006F640C" w:rsidP="006F640C">
      <w:pPr>
        <w:pStyle w:val="HeadingAwalDaftarIsiLampiran"/>
        <w:numPr>
          <w:ilvl w:val="0"/>
          <w:numId w:val="0"/>
        </w:numPr>
        <w:ind w:left="3402"/>
      </w:pPr>
      <w:r w:rsidRPr="00306115">
        <w:t xml:space="preserve">Manajer Investasi memastikan pemenuhan ketentuan peraturan perundang-undangan yang berlaku. Selain itu, Manajer Investasi yang memiliki kantor cabang di luar negeri memastikan pemenuhan ketentuan peraturan perundang-undangan yang berlaku di negara </w:t>
      </w:r>
      <w:r w:rsidRPr="00306115">
        <w:rPr>
          <w:lang w:val="en-GB"/>
        </w:rPr>
        <w:t xml:space="preserve">tempat </w:t>
      </w:r>
      <w:r w:rsidRPr="00306115">
        <w:t>kantor cabang Manajer Investasi.</w:t>
      </w:r>
    </w:p>
    <w:p w14:paraId="54F0849A" w14:textId="08DC1525" w:rsidR="006F640C" w:rsidRPr="00306115" w:rsidRDefault="006F640C">
      <w:pPr>
        <w:pStyle w:val="HeadingAwalDaftarIsiLampiran"/>
        <w:numPr>
          <w:ilvl w:val="0"/>
          <w:numId w:val="215"/>
        </w:numPr>
        <w:ind w:left="3402" w:hanging="567"/>
      </w:pPr>
      <w:r w:rsidRPr="00306115">
        <w:t>Sistem Informasi Manajemen</w:t>
      </w:r>
    </w:p>
    <w:p w14:paraId="34933104" w14:textId="559E9499" w:rsidR="00F96CC1" w:rsidRPr="00306115" w:rsidRDefault="00F96CC1" w:rsidP="00F96CC1">
      <w:pPr>
        <w:pStyle w:val="HeadingAwalDaftarIsiLampiran"/>
        <w:numPr>
          <w:ilvl w:val="0"/>
          <w:numId w:val="0"/>
        </w:numPr>
        <w:ind w:left="3402"/>
      </w:pPr>
      <w:r w:rsidRPr="00306115">
        <w:t>Pelaksanaan sistem informasi manajemen untuk Risiko Kepatuhan mengacu pada cakupan penerapan secara umum sebagaimana dimaksud pada Romawi I huruf C angka 5.</w:t>
      </w:r>
    </w:p>
    <w:p w14:paraId="7EBA4978" w14:textId="7E23EE4D" w:rsidR="00F96CC1" w:rsidRPr="00306115" w:rsidRDefault="00AD3EB8">
      <w:pPr>
        <w:pStyle w:val="HeadingAwalDaftarIsiLampiran"/>
        <w:numPr>
          <w:ilvl w:val="0"/>
          <w:numId w:val="209"/>
        </w:numPr>
        <w:ind w:left="2835" w:hanging="567"/>
      </w:pPr>
      <w:r w:rsidRPr="00306115">
        <w:t xml:space="preserve">Sistem </w:t>
      </w:r>
      <w:r w:rsidRPr="00306115">
        <w:rPr>
          <w:lang w:val="en-GB"/>
        </w:rPr>
        <w:t>P</w:t>
      </w:r>
      <w:r w:rsidRPr="00306115">
        <w:t xml:space="preserve">engendalian </w:t>
      </w:r>
      <w:r w:rsidRPr="00306115">
        <w:rPr>
          <w:lang w:val="en-GB"/>
        </w:rPr>
        <w:t>I</w:t>
      </w:r>
      <w:r w:rsidRPr="00306115">
        <w:t xml:space="preserve">nternal </w:t>
      </w:r>
      <w:r w:rsidRPr="00306115">
        <w:rPr>
          <w:lang w:val="en-GB"/>
        </w:rPr>
        <w:t>yang Menyeluruh</w:t>
      </w:r>
    </w:p>
    <w:p w14:paraId="5FF2275A" w14:textId="3A0947BC" w:rsidR="00F96CC1" w:rsidRPr="00306115" w:rsidRDefault="00F96CC1" w:rsidP="00F96CC1">
      <w:pPr>
        <w:pStyle w:val="HeadingAwalDaftarIsiLampiran"/>
        <w:numPr>
          <w:ilvl w:val="0"/>
          <w:numId w:val="0"/>
        </w:numPr>
        <w:ind w:left="2835"/>
      </w:pPr>
      <w:r w:rsidRPr="00306115">
        <w:t>Dalam melakukan penerapan Manajemen Risiko untuk Risiko Kepatuhan, selain melaksanakan pengendalian internal sebagaimana dimaksud pada Romawi I huruf D, Manajer Investasi harus memiliki sistem pengendalian internal untuk Risiko Kepatuhan, antara lain untuk memastikan ketepatan waktu dan respon yang efektif atas penyimpangan terhadap ketentuan peraturan perundang-undangan serta standar yang berlaku secara umum.</w:t>
      </w:r>
    </w:p>
    <w:p w14:paraId="5B37F87A" w14:textId="4CED9A60" w:rsidR="001C3A6C" w:rsidRPr="00306115" w:rsidRDefault="001C3A6C">
      <w:pPr>
        <w:pStyle w:val="HeadingAwalDaftarIsiLampiran"/>
        <w:numPr>
          <w:ilvl w:val="0"/>
          <w:numId w:val="82"/>
        </w:numPr>
        <w:ind w:left="1701" w:hanging="567"/>
      </w:pPr>
      <w:r w:rsidRPr="00306115">
        <w:t>Risiko Reputasi</w:t>
      </w:r>
    </w:p>
    <w:p w14:paraId="7CC1734D" w14:textId="77777777" w:rsidR="00A778DC" w:rsidRPr="00306115" w:rsidRDefault="00A778DC">
      <w:pPr>
        <w:pStyle w:val="HeadingAwalDaftarIsiLampiran"/>
        <w:numPr>
          <w:ilvl w:val="0"/>
          <w:numId w:val="90"/>
        </w:numPr>
        <w:ind w:left="2268" w:hanging="567"/>
      </w:pPr>
      <w:r w:rsidRPr="00306115">
        <w:t>Tujuan</w:t>
      </w:r>
    </w:p>
    <w:p w14:paraId="197A47D2" w14:textId="074287A8" w:rsidR="00F96CC1" w:rsidRPr="00306115" w:rsidRDefault="00F96CC1" w:rsidP="00F96CC1">
      <w:pPr>
        <w:pStyle w:val="HeadingAwalDaftarIsiLampiran"/>
        <w:numPr>
          <w:ilvl w:val="0"/>
          <w:numId w:val="0"/>
        </w:numPr>
        <w:ind w:left="2268"/>
      </w:pPr>
      <w:r w:rsidRPr="00306115">
        <w:t>Tujuan utama Manajemen Risiko untuk Risiko Reputasi adalah untuk mengantisipasi dan meminimalkan dampak negatif dari kejadian-kejadian yang dianggap dapat merugikan reputasi Manajer Investasi.</w:t>
      </w:r>
    </w:p>
    <w:p w14:paraId="247147D0" w14:textId="77777777" w:rsidR="00A778DC" w:rsidRPr="00306115" w:rsidRDefault="00A778DC">
      <w:pPr>
        <w:pStyle w:val="HeadingAwalDaftarIsiLampiran"/>
        <w:numPr>
          <w:ilvl w:val="0"/>
          <w:numId w:val="90"/>
        </w:numPr>
        <w:ind w:left="2268" w:hanging="567"/>
      </w:pPr>
      <w:r w:rsidRPr="00306115">
        <w:t>Penerapan Manajemen Risiko</w:t>
      </w:r>
    </w:p>
    <w:p w14:paraId="0FB4E385" w14:textId="5B0228D6" w:rsidR="00F96CC1" w:rsidRPr="00306115" w:rsidRDefault="00F96CC1" w:rsidP="00F96CC1">
      <w:pPr>
        <w:pStyle w:val="HeadingAwalDaftarIsiLampiran"/>
        <w:numPr>
          <w:ilvl w:val="0"/>
          <w:numId w:val="0"/>
        </w:numPr>
        <w:ind w:left="2268"/>
      </w:pPr>
      <w:r w:rsidRPr="00306115">
        <w:t>Penerapan Manajemen Risiko untuk Risiko Reputasi disesuaikan dengan ukuran, kompleksitas usaha, dan kemampuan Manajer Investasi.</w:t>
      </w:r>
      <w:r w:rsidRPr="00306115">
        <w:rPr>
          <w:lang w:val="en-GB"/>
        </w:rPr>
        <w:t xml:space="preserve"> </w:t>
      </w:r>
      <w:r w:rsidRPr="00306115">
        <w:t xml:space="preserve">Secara umum dalam </w:t>
      </w:r>
      <w:r w:rsidRPr="00306115">
        <w:lastRenderedPageBreak/>
        <w:t>prinsip penerapan Manajemen Risiko untuk Risiko Reputasi, paling sedikit mencakup:</w:t>
      </w:r>
    </w:p>
    <w:p w14:paraId="09DAA971" w14:textId="481D603A" w:rsidR="00F96CC1" w:rsidRPr="00306115" w:rsidRDefault="00F96CC1">
      <w:pPr>
        <w:pStyle w:val="HeadingAwalDaftarIsiLampiran"/>
        <w:numPr>
          <w:ilvl w:val="0"/>
          <w:numId w:val="217"/>
        </w:numPr>
        <w:ind w:left="2835" w:hanging="567"/>
      </w:pPr>
      <w:r w:rsidRPr="00306115">
        <w:t xml:space="preserve">Pengawasan </w:t>
      </w:r>
      <w:r w:rsidRPr="00306115">
        <w:rPr>
          <w:lang w:val="en-GB"/>
        </w:rPr>
        <w:t>A</w:t>
      </w:r>
      <w:r w:rsidRPr="00306115">
        <w:t>ktif Direksi dan Dewan Komisaris</w:t>
      </w:r>
    </w:p>
    <w:p w14:paraId="7010BE78" w14:textId="66F97440" w:rsidR="00F96CC1" w:rsidRPr="00306115" w:rsidRDefault="00F96CC1" w:rsidP="00F96CC1">
      <w:pPr>
        <w:pStyle w:val="HeadingAwalDaftarIsiLampiran"/>
        <w:numPr>
          <w:ilvl w:val="0"/>
          <w:numId w:val="0"/>
        </w:numPr>
        <w:ind w:left="2835"/>
      </w:pPr>
      <w:r w:rsidRPr="00306115">
        <w:t>Dalam melakukan penerapan Manajemen Risiko melalui pengawasan aktif Direksi dan Dewan Komisaris untuk Risiko Reputasi, selain melaksanakan pengawasan aktif sebagaimana dimaksud Romawi I huruf A, pada setiap aspek Manajer Investasi harus menambahkan penerapan:</w:t>
      </w:r>
    </w:p>
    <w:p w14:paraId="63B9CD38" w14:textId="7ECEA88B" w:rsidR="00F96CC1" w:rsidRPr="00306115" w:rsidRDefault="00F96CC1">
      <w:pPr>
        <w:pStyle w:val="HeadingAwalDaftarIsiLampiran"/>
        <w:numPr>
          <w:ilvl w:val="0"/>
          <w:numId w:val="218"/>
        </w:numPr>
        <w:ind w:left="3402" w:hanging="567"/>
      </w:pPr>
      <w:r w:rsidRPr="00306115">
        <w:t>Kewenangan dan Tanggung Jawab Direksi dan Dewan Komisaris</w:t>
      </w:r>
    </w:p>
    <w:p w14:paraId="651E014F" w14:textId="2F29B412" w:rsidR="00F96CC1" w:rsidRPr="00306115" w:rsidRDefault="00F96CC1">
      <w:pPr>
        <w:pStyle w:val="HeadingAwalDaftarIsiLampiran"/>
        <w:numPr>
          <w:ilvl w:val="0"/>
          <w:numId w:val="219"/>
        </w:numPr>
        <w:ind w:left="3969" w:hanging="567"/>
      </w:pPr>
      <w:r w:rsidRPr="00306115">
        <w:t xml:space="preserve">Direksi dan Dewan Komisaris harus memberikan perhatian terhadap pelaksanaan Manajemen Risiko untuk Risiko Reputasi oleh unit-unit terkait antara lain </w:t>
      </w:r>
      <w:r w:rsidRPr="00306115">
        <w:rPr>
          <w:i/>
          <w:iCs/>
        </w:rPr>
        <w:t>corporate secretary</w:t>
      </w:r>
      <w:r w:rsidRPr="00306115">
        <w:t xml:space="preserve">, </w:t>
      </w:r>
      <w:r w:rsidRPr="00306115">
        <w:rPr>
          <w:lang w:val="en-GB"/>
        </w:rPr>
        <w:t>hubungan masyarakat (</w:t>
      </w:r>
      <w:r w:rsidRPr="00306115">
        <w:t>humas</w:t>
      </w:r>
      <w:r w:rsidRPr="00306115">
        <w:rPr>
          <w:lang w:val="en-GB"/>
        </w:rPr>
        <w:t>)</w:t>
      </w:r>
      <w:r w:rsidRPr="00306115">
        <w:t xml:space="preserve">, </w:t>
      </w:r>
      <w:r w:rsidRPr="00306115">
        <w:rPr>
          <w:lang w:val="en-GB"/>
        </w:rPr>
        <w:t xml:space="preserve">dan </w:t>
      </w:r>
      <w:r w:rsidRPr="00306115">
        <w:rPr>
          <w:i/>
          <w:iCs/>
        </w:rPr>
        <w:t>investor relation</w:t>
      </w:r>
      <w:r w:rsidRPr="00306115">
        <w:t>.</w:t>
      </w:r>
    </w:p>
    <w:p w14:paraId="59ECA4C6" w14:textId="5F8DFDFC" w:rsidR="00F96CC1" w:rsidRPr="00306115" w:rsidRDefault="00F96CC1">
      <w:pPr>
        <w:pStyle w:val="HeadingAwalDaftarIsiLampiran"/>
        <w:numPr>
          <w:ilvl w:val="0"/>
          <w:numId w:val="219"/>
        </w:numPr>
        <w:ind w:left="3969" w:hanging="567"/>
      </w:pPr>
      <w:r w:rsidRPr="00306115">
        <w:t>Direksi harus memastikan bahwa terdapat unit kerja atau fungsi yang memiliki kewenangan dan tanggung jawab untuk melakukan pemantauan dan pengendalian eksposur Risiko Reputasi, antara lain melalui pemantauan media dan pengelolaan penanganan keluhan nasabah, termasuk analisis akar masalah dan tindakan perbaikan.</w:t>
      </w:r>
    </w:p>
    <w:p w14:paraId="18811C12" w14:textId="265522C0" w:rsidR="00F96CC1" w:rsidRPr="00306115" w:rsidRDefault="00F96CC1">
      <w:pPr>
        <w:pStyle w:val="HeadingAwalDaftarIsiLampiran"/>
        <w:numPr>
          <w:ilvl w:val="0"/>
          <w:numId w:val="219"/>
        </w:numPr>
        <w:ind w:left="3969" w:hanging="567"/>
      </w:pPr>
      <w:r w:rsidRPr="00306115">
        <w:t>Direksi harus menetapkan satuan kerja atau fungsi yang memiliki kewenangan dan tanggung jawab untuk memberikan informasi kepada nasabah dan pemangku kepentingan Manajer Investasi</w:t>
      </w:r>
      <w:r w:rsidRPr="00306115">
        <w:rPr>
          <w:lang w:val="en-GB"/>
        </w:rPr>
        <w:t>,</w:t>
      </w:r>
      <w:r w:rsidRPr="00306115">
        <w:t xml:space="preserve"> terkait dengan aktivitas kegiatan usaha Manajer Investasi dalam rangka mengendalikan Risiko Reputasi.</w:t>
      </w:r>
    </w:p>
    <w:p w14:paraId="755BFA65" w14:textId="1C9404C2" w:rsidR="00F96CC1" w:rsidRPr="00306115" w:rsidRDefault="00F96CC1">
      <w:pPr>
        <w:pStyle w:val="HeadingAwalDaftarIsiLampiran"/>
        <w:numPr>
          <w:ilvl w:val="0"/>
          <w:numId w:val="218"/>
        </w:numPr>
        <w:ind w:left="3402" w:hanging="567"/>
      </w:pPr>
      <w:r w:rsidRPr="00306115">
        <w:t>Sumber Daya Manusia</w:t>
      </w:r>
    </w:p>
    <w:p w14:paraId="08A36096" w14:textId="609BCDBE" w:rsidR="00F96CC1" w:rsidRPr="00306115" w:rsidRDefault="00F96CC1" w:rsidP="00F96CC1">
      <w:pPr>
        <w:pStyle w:val="HeadingAwalDaftarIsiLampiran"/>
        <w:numPr>
          <w:ilvl w:val="0"/>
          <w:numId w:val="0"/>
        </w:numPr>
        <w:ind w:left="3402"/>
      </w:pPr>
      <w:r w:rsidRPr="00306115">
        <w:t xml:space="preserve">Kecukupan </w:t>
      </w:r>
      <w:r w:rsidR="00683B70" w:rsidRPr="00306115">
        <w:t xml:space="preserve">sumber daya manusia </w:t>
      </w:r>
      <w:r w:rsidRPr="00306115">
        <w:t>untuk Risiko Reputasi mengacu pada cakupan penerapan secara umum sebagaimana</w:t>
      </w:r>
      <w:r w:rsidR="00683B70" w:rsidRPr="00306115">
        <w:t xml:space="preserve"> dimaksud</w:t>
      </w:r>
      <w:r w:rsidRPr="00306115">
        <w:t xml:space="preserve"> pada </w:t>
      </w:r>
      <w:r w:rsidR="00683B70" w:rsidRPr="00306115">
        <w:t xml:space="preserve">Romawi </w:t>
      </w:r>
      <w:r w:rsidRPr="00306115">
        <w:t>I</w:t>
      </w:r>
      <w:r w:rsidR="00683B70" w:rsidRPr="00306115">
        <w:t xml:space="preserve"> huruf </w:t>
      </w:r>
      <w:r w:rsidRPr="00306115">
        <w:t>A</w:t>
      </w:r>
      <w:r w:rsidR="00683B70" w:rsidRPr="00306115">
        <w:t xml:space="preserve"> angka </w:t>
      </w:r>
      <w:r w:rsidRPr="00306115">
        <w:t>2</w:t>
      </w:r>
      <w:r w:rsidR="00683B70" w:rsidRPr="00306115">
        <w:t>.</w:t>
      </w:r>
    </w:p>
    <w:p w14:paraId="5AF6285E" w14:textId="6F432C5E" w:rsidR="00F96CC1" w:rsidRPr="00306115" w:rsidRDefault="00F96CC1">
      <w:pPr>
        <w:pStyle w:val="HeadingAwalDaftarIsiLampiran"/>
        <w:numPr>
          <w:ilvl w:val="0"/>
          <w:numId w:val="218"/>
        </w:numPr>
        <w:ind w:left="3402" w:hanging="567"/>
      </w:pPr>
      <w:r w:rsidRPr="00306115">
        <w:t>Organisasi Manajemen Risiko</w:t>
      </w:r>
    </w:p>
    <w:p w14:paraId="1FB53913" w14:textId="7088A428" w:rsidR="00683B70" w:rsidRPr="00306115" w:rsidRDefault="00683B70">
      <w:pPr>
        <w:pStyle w:val="HeadingAwalDaftarIsiLampiran"/>
        <w:numPr>
          <w:ilvl w:val="0"/>
          <w:numId w:val="220"/>
        </w:numPr>
        <w:ind w:left="3969" w:hanging="567"/>
      </w:pPr>
      <w:r w:rsidRPr="00306115">
        <w:t>Seluruh pegawai Manajer Investasi harus menjadi bagian dari struktur pelaksana Manajemen Risiko untuk Risiko Reputasi, mengingat reputasi merupakan hasil dari seluruh aktivitas kegiatan usaha Manajer Investasi.</w:t>
      </w:r>
    </w:p>
    <w:p w14:paraId="587C865C" w14:textId="5DDF2866" w:rsidR="00683B70" w:rsidRPr="00306115" w:rsidRDefault="00683B70">
      <w:pPr>
        <w:pStyle w:val="HeadingAwalDaftarIsiLampiran"/>
        <w:numPr>
          <w:ilvl w:val="0"/>
          <w:numId w:val="220"/>
        </w:numPr>
        <w:ind w:left="3969" w:hanging="567"/>
      </w:pPr>
      <w:r w:rsidRPr="00306115">
        <w:t xml:space="preserve">Unit kerja yang berkaitan langsung dengan pengelolaan Risiko Reputasi antara lain </w:t>
      </w:r>
      <w:r w:rsidRPr="00306115">
        <w:rPr>
          <w:i/>
          <w:iCs/>
        </w:rPr>
        <w:t>corporate secretary</w:t>
      </w:r>
      <w:r w:rsidRPr="00306115">
        <w:t xml:space="preserve">, humas, </w:t>
      </w:r>
      <w:r w:rsidRPr="00306115">
        <w:rPr>
          <w:lang w:val="en-GB"/>
        </w:rPr>
        <w:t xml:space="preserve">dan/atau </w:t>
      </w:r>
      <w:r w:rsidRPr="00306115">
        <w:rPr>
          <w:i/>
          <w:iCs/>
        </w:rPr>
        <w:t>investor relation</w:t>
      </w:r>
      <w:r w:rsidRPr="00306115">
        <w:t>. Unit kerja tersebut bertanggung jawab antara lain:</w:t>
      </w:r>
    </w:p>
    <w:p w14:paraId="73286BB3" w14:textId="441A471A" w:rsidR="00683B70" w:rsidRPr="00306115" w:rsidRDefault="00683B70">
      <w:pPr>
        <w:pStyle w:val="HeadingAwalDaftarIsiLampiran"/>
        <w:numPr>
          <w:ilvl w:val="0"/>
          <w:numId w:val="221"/>
        </w:numPr>
        <w:ind w:left="4536" w:hanging="567"/>
      </w:pPr>
      <w:r w:rsidRPr="00306115">
        <w:t xml:space="preserve">menjalankan fungsi kehumasan dan menindaklanjuti pemberitaan negatif atau kejadian lainnya yang memengaruhi reputasi Manajer </w:t>
      </w:r>
      <w:r w:rsidRPr="00306115">
        <w:lastRenderedPageBreak/>
        <w:t>Investasi dan dapat menyebabkan kerugian Manajer Investasi; dan</w:t>
      </w:r>
    </w:p>
    <w:p w14:paraId="01EFBA02" w14:textId="6CD5E80D" w:rsidR="00683B70" w:rsidRPr="00306115" w:rsidRDefault="00683B70">
      <w:pPr>
        <w:pStyle w:val="HeadingAwalDaftarIsiLampiran"/>
        <w:numPr>
          <w:ilvl w:val="0"/>
          <w:numId w:val="221"/>
        </w:numPr>
        <w:ind w:left="4536" w:hanging="567"/>
      </w:pPr>
      <w:r w:rsidRPr="00306115">
        <w:t>mengomunikasikan informasi yang dibutuhkan pemangku kepentingan antara lain pemerintah, nasabah, masyarakat, dan pemangku kepentingan lainnya.</w:t>
      </w:r>
    </w:p>
    <w:p w14:paraId="291E6ABE" w14:textId="53B49196" w:rsidR="00F96CC1" w:rsidRPr="00306115" w:rsidRDefault="00F96CC1">
      <w:pPr>
        <w:pStyle w:val="HeadingAwalDaftarIsiLampiran"/>
        <w:numPr>
          <w:ilvl w:val="0"/>
          <w:numId w:val="217"/>
        </w:numPr>
        <w:ind w:left="2835" w:hanging="567"/>
      </w:pPr>
      <w:r w:rsidRPr="00306115">
        <w:t xml:space="preserve">Kecukupan </w:t>
      </w:r>
      <w:r w:rsidRPr="00306115">
        <w:rPr>
          <w:lang w:val="en-GB"/>
        </w:rPr>
        <w:t>K</w:t>
      </w:r>
      <w:r w:rsidRPr="00306115">
        <w:t xml:space="preserve">ebijakan dan </w:t>
      </w:r>
      <w:r w:rsidRPr="00306115">
        <w:rPr>
          <w:lang w:val="en-GB"/>
        </w:rPr>
        <w:t>P</w:t>
      </w:r>
      <w:r w:rsidRPr="00306115">
        <w:t>rosedur Manajemen Risiko</w:t>
      </w:r>
    </w:p>
    <w:p w14:paraId="1B337C68" w14:textId="3FB79CE1" w:rsidR="00683B70" w:rsidRPr="00306115" w:rsidRDefault="00683B70" w:rsidP="00683B70">
      <w:pPr>
        <w:pStyle w:val="HeadingAwalDaftarIsiLampiran"/>
        <w:numPr>
          <w:ilvl w:val="0"/>
          <w:numId w:val="0"/>
        </w:numPr>
        <w:ind w:left="2835"/>
      </w:pPr>
      <w:r w:rsidRPr="00306115">
        <w:t>Dalam melaksanakan kebijakan dan prosedur Manajemen Risiko serta penetapan limit risiko untuk Risiko Reputasi, selain melaksanakan kebijakan dan prosedur Manajemen Risiko serta penetapan limit risiko sebagaimana dimaksud pada Romawi I huruf B,</w:t>
      </w:r>
      <w:r w:rsidR="009A5EE9" w:rsidRPr="00306115">
        <w:t xml:space="preserve"> </w:t>
      </w:r>
      <w:r w:rsidRPr="00306115">
        <w:t>Manajer Investasi harus menambahkan penerapan:</w:t>
      </w:r>
    </w:p>
    <w:p w14:paraId="56AD6803" w14:textId="38B7BB80" w:rsidR="00683B70" w:rsidRPr="00306115" w:rsidRDefault="00683B70">
      <w:pPr>
        <w:pStyle w:val="HeadingAwalDaftarIsiLampiran"/>
        <w:numPr>
          <w:ilvl w:val="0"/>
          <w:numId w:val="222"/>
        </w:numPr>
        <w:ind w:left="3402" w:hanging="567"/>
      </w:pPr>
      <w:r w:rsidRPr="00306115">
        <w:t>Kebijakan dan Prosedur</w:t>
      </w:r>
    </w:p>
    <w:p w14:paraId="7C121392" w14:textId="44DEDA57" w:rsidR="00683B70" w:rsidRPr="00306115" w:rsidRDefault="00683B70">
      <w:pPr>
        <w:pStyle w:val="HeadingAwalDaftarIsiLampiran"/>
        <w:numPr>
          <w:ilvl w:val="0"/>
          <w:numId w:val="223"/>
        </w:numPr>
        <w:ind w:left="3969" w:hanging="567"/>
      </w:pPr>
      <w:r w:rsidRPr="00306115">
        <w:t>Dalam kebijakan Manajemen Risiko untuk Risiko Reputasi, Manajer Investasi harus memastikan bahwa setiap prosedur tertulis memenuhi prinsip-prinsip transparansi dalam rangka meningkatkan kualitas pelayanan kepada nasabah dan pemangku kepentingan lainnya. Prosedur tersebut harus sejalan dengan ketentuan dan/atau peraturan perundang-undangan yang mengatur mengenai perlindungan konsumen. Contoh dari prosedur tersebut antara lain terkait penanganan pengaduan dan hak jawab.</w:t>
      </w:r>
    </w:p>
    <w:p w14:paraId="0A539167" w14:textId="6A4FC811" w:rsidR="00683B70" w:rsidRPr="00306115" w:rsidRDefault="00683B70">
      <w:pPr>
        <w:pStyle w:val="HeadingAwalDaftarIsiLampiran"/>
        <w:numPr>
          <w:ilvl w:val="0"/>
          <w:numId w:val="223"/>
        </w:numPr>
        <w:ind w:left="3969" w:hanging="567"/>
      </w:pPr>
      <w:r w:rsidRPr="00306115">
        <w:t>Manajer Investasi harus memiliki dan melaksanakan kebijakan komunikasi yang tepat dalam rangka menghadapi berita atau publikasi yang bersifat negatif atau mencegah informasi yang cenderung kontraproduktif, antara lain dengan cara menerapkan strategi penggunaan media yang efektif untuk menghadapi berita negatif.</w:t>
      </w:r>
    </w:p>
    <w:p w14:paraId="5414D316" w14:textId="170D444D" w:rsidR="00683B70" w:rsidRPr="00306115" w:rsidRDefault="00683B70">
      <w:pPr>
        <w:pStyle w:val="HeadingAwalDaftarIsiLampiran"/>
        <w:numPr>
          <w:ilvl w:val="0"/>
          <w:numId w:val="223"/>
        </w:numPr>
        <w:ind w:left="3969" w:hanging="567"/>
      </w:pPr>
      <w:r w:rsidRPr="00306115">
        <w:t xml:space="preserve">Manajer Investasi harus mempunyai protokol khusus untuk pengelolaan reputasi dalam menghadapi kejadian yang meningkatkan Risiko Reputasi secara signifikan dalam waktu singkat, sehingga dapat dengan cepat mengantisipasi </w:t>
      </w:r>
      <w:r w:rsidRPr="00306115">
        <w:rPr>
          <w:lang w:val="en-GB"/>
        </w:rPr>
        <w:t xml:space="preserve">terjadinya </w:t>
      </w:r>
      <w:r w:rsidRPr="00306115">
        <w:t>Risiko Reputasi pada saat krisis.</w:t>
      </w:r>
    </w:p>
    <w:p w14:paraId="6ABEC4F2" w14:textId="298B5D86" w:rsidR="00683B70" w:rsidRPr="00306115" w:rsidRDefault="00683B70">
      <w:pPr>
        <w:pStyle w:val="HeadingAwalDaftarIsiLampiran"/>
        <w:numPr>
          <w:ilvl w:val="0"/>
          <w:numId w:val="222"/>
        </w:numPr>
        <w:ind w:left="3402" w:hanging="567"/>
      </w:pPr>
      <w:r w:rsidRPr="00306115">
        <w:t>Strategi Manajemen Risiko</w:t>
      </w:r>
    </w:p>
    <w:p w14:paraId="71B3DCD4" w14:textId="73020BF8" w:rsidR="00683B70" w:rsidRPr="00306115" w:rsidRDefault="00683B70" w:rsidP="00683B70">
      <w:pPr>
        <w:pStyle w:val="HeadingAwalDaftarIsiLampiran"/>
        <w:numPr>
          <w:ilvl w:val="0"/>
          <w:numId w:val="0"/>
        </w:numPr>
        <w:ind w:left="3402"/>
      </w:pPr>
      <w:r w:rsidRPr="00306115">
        <w:t>Penyusunan strategi Manajemen Risiko untuk Risiko Reputasi mengacu pada cakupan penerapan secara umum sebagaimana pada dimaksud pada Romawi I huruf B angka 2.</w:t>
      </w:r>
    </w:p>
    <w:p w14:paraId="3B0AE2D2" w14:textId="3A9918D5" w:rsidR="00683B70" w:rsidRPr="00306115" w:rsidRDefault="00683B70">
      <w:pPr>
        <w:pStyle w:val="HeadingAwalDaftarIsiLampiran"/>
        <w:numPr>
          <w:ilvl w:val="0"/>
          <w:numId w:val="222"/>
        </w:numPr>
        <w:ind w:left="3402" w:hanging="567"/>
      </w:pPr>
      <w:r w:rsidRPr="00306115">
        <w:t>Tingkat Risiko yang akan Diambil (</w:t>
      </w:r>
      <w:r w:rsidRPr="00306115">
        <w:rPr>
          <w:i/>
          <w:iCs/>
        </w:rPr>
        <w:t>Risk Appetite</w:t>
      </w:r>
      <w:r w:rsidRPr="00306115">
        <w:t>) dan Toleransi Risiko (</w:t>
      </w:r>
      <w:r w:rsidRPr="00306115">
        <w:rPr>
          <w:i/>
          <w:iCs/>
        </w:rPr>
        <w:t>Risk Tolerance</w:t>
      </w:r>
      <w:r w:rsidRPr="00306115">
        <w:t>)</w:t>
      </w:r>
    </w:p>
    <w:p w14:paraId="41B44935" w14:textId="020A41C7" w:rsidR="00683B70" w:rsidRPr="00306115" w:rsidRDefault="00683B70" w:rsidP="00683B70">
      <w:pPr>
        <w:pStyle w:val="HeadingAwalDaftarIsiLampiran"/>
        <w:numPr>
          <w:ilvl w:val="0"/>
          <w:numId w:val="0"/>
        </w:numPr>
        <w:ind w:left="3402"/>
      </w:pPr>
      <w:r w:rsidRPr="00306115">
        <w:t xml:space="preserve">Penetapan tingkat risiko yang akan diambil dan toleransi risiko untuk Risiko Reputasi mengacu pada cakupan penerapan secara umum </w:t>
      </w:r>
      <w:r w:rsidRPr="00306115">
        <w:lastRenderedPageBreak/>
        <w:t>sebagaimana dimaksud pada Romawi I huruf B angka 3.</w:t>
      </w:r>
    </w:p>
    <w:p w14:paraId="11E70EFB" w14:textId="748BD5DD" w:rsidR="00683B70" w:rsidRPr="00306115" w:rsidRDefault="00683B70">
      <w:pPr>
        <w:pStyle w:val="HeadingAwalDaftarIsiLampiran"/>
        <w:numPr>
          <w:ilvl w:val="0"/>
          <w:numId w:val="222"/>
        </w:numPr>
        <w:ind w:left="3402" w:hanging="567"/>
      </w:pPr>
      <w:r w:rsidRPr="00306115">
        <w:t>Limit</w:t>
      </w:r>
    </w:p>
    <w:p w14:paraId="74F5376A" w14:textId="6020A7DC" w:rsidR="00683B70" w:rsidRPr="00306115" w:rsidRDefault="00683B70" w:rsidP="00683B70">
      <w:pPr>
        <w:pStyle w:val="HeadingAwalDaftarIsiLampiran"/>
        <w:numPr>
          <w:ilvl w:val="0"/>
          <w:numId w:val="0"/>
        </w:numPr>
        <w:ind w:left="3402"/>
      </w:pPr>
      <w:r w:rsidRPr="00306115">
        <w:t>Limit Risiko Reputasi secara umum bukan merupakan limit yang dapat dikuantifikasikan secara finansial, karena dampak reputasi bersifat kualitatif dan tidak langsung terhadap kondisi keuangan perusahaan.</w:t>
      </w:r>
    </w:p>
    <w:p w14:paraId="77CE3EF9" w14:textId="30922CAB" w:rsidR="00683B70" w:rsidRPr="00306115" w:rsidRDefault="00683B70" w:rsidP="00683B70">
      <w:pPr>
        <w:pStyle w:val="HeadingAwalDaftarIsiLampiran"/>
        <w:numPr>
          <w:ilvl w:val="0"/>
          <w:numId w:val="0"/>
        </w:numPr>
        <w:ind w:left="3402"/>
      </w:pPr>
      <w:r w:rsidRPr="00306115">
        <w:t>Penetapan limit untuk Risiko Reputasi mengacu pada cakupan penerapan secara umum sebagaimana dimaksud pada Romawi I huruf B angka 4.</w:t>
      </w:r>
    </w:p>
    <w:p w14:paraId="6FA0E45D" w14:textId="0F28B2A1" w:rsidR="00F96CC1" w:rsidRPr="00306115" w:rsidRDefault="00F96CC1">
      <w:pPr>
        <w:pStyle w:val="HeadingAwalDaftarIsiLampiran"/>
        <w:numPr>
          <w:ilvl w:val="0"/>
          <w:numId w:val="217"/>
        </w:numPr>
        <w:ind w:left="2835" w:hanging="567"/>
      </w:pPr>
      <w:r w:rsidRPr="00306115">
        <w:t xml:space="preserve">Kecukupan </w:t>
      </w:r>
      <w:r w:rsidRPr="00306115">
        <w:rPr>
          <w:lang w:val="en-GB"/>
        </w:rPr>
        <w:t>P</w:t>
      </w:r>
      <w:r w:rsidRPr="00306115">
        <w:t xml:space="preserve">roses </w:t>
      </w:r>
      <w:r w:rsidRPr="00306115">
        <w:rPr>
          <w:lang w:val="en-GB"/>
        </w:rPr>
        <w:t>I</w:t>
      </w:r>
      <w:r w:rsidRPr="00306115">
        <w:t xml:space="preserve">dentifikasi, </w:t>
      </w:r>
      <w:r w:rsidRPr="00306115">
        <w:rPr>
          <w:lang w:val="en-GB"/>
        </w:rPr>
        <w:t>P</w:t>
      </w:r>
      <w:r w:rsidRPr="00306115">
        <w:t xml:space="preserve">engukuran, </w:t>
      </w:r>
      <w:r w:rsidRPr="00306115">
        <w:rPr>
          <w:lang w:val="en-GB"/>
        </w:rPr>
        <w:t>P</w:t>
      </w:r>
      <w:r w:rsidRPr="00306115">
        <w:t xml:space="preserve">emantauan, dan </w:t>
      </w:r>
      <w:r w:rsidRPr="00306115">
        <w:rPr>
          <w:lang w:val="en-GB"/>
        </w:rPr>
        <w:t>P</w:t>
      </w:r>
      <w:r w:rsidRPr="00306115">
        <w:t>engendalian Risiko</w:t>
      </w:r>
    </w:p>
    <w:p w14:paraId="551841B4" w14:textId="2759835C" w:rsidR="00683B70" w:rsidRPr="00306115" w:rsidRDefault="00683B70" w:rsidP="00683B70">
      <w:pPr>
        <w:pStyle w:val="HeadingAwalDaftarIsiLampiran"/>
        <w:numPr>
          <w:ilvl w:val="0"/>
          <w:numId w:val="0"/>
        </w:numPr>
        <w:ind w:left="2835"/>
      </w:pPr>
      <w:r w:rsidRPr="00306115">
        <w:t xml:space="preserve">Dalam melakukan penerapan Manajemen Risiko melalui proses identifikasi, pengukuran, pemantauan, dan pengendalian risiko, serta sistem informasi Manajemen Risiko untuk Risiko Reputasi, selain melaksanakan proses sebagaimana </w:t>
      </w:r>
      <w:r w:rsidR="00D963FA" w:rsidRPr="00306115">
        <w:t>dimaksud pada Romawi I huruf C,</w:t>
      </w:r>
      <w:r w:rsidRPr="00306115">
        <w:t xml:space="preserve"> pada setiap proses Manajer Investasi harus menambahkan penerapan</w:t>
      </w:r>
      <w:r w:rsidR="00D963FA" w:rsidRPr="00306115">
        <w:t>:</w:t>
      </w:r>
    </w:p>
    <w:p w14:paraId="3A249776" w14:textId="1F2E96F0" w:rsidR="00D963FA" w:rsidRPr="00306115" w:rsidRDefault="00D963FA">
      <w:pPr>
        <w:pStyle w:val="HeadingAwalDaftarIsiLampiran"/>
        <w:numPr>
          <w:ilvl w:val="0"/>
          <w:numId w:val="224"/>
        </w:numPr>
        <w:ind w:left="3402" w:hanging="567"/>
      </w:pPr>
      <w:r w:rsidRPr="00306115">
        <w:t>Identifikasi dan Pengukuran Risiko</w:t>
      </w:r>
    </w:p>
    <w:p w14:paraId="0B64623C" w14:textId="6A5BE1FA" w:rsidR="004647CC" w:rsidRPr="00306115" w:rsidRDefault="004647CC">
      <w:pPr>
        <w:pStyle w:val="HeadingAwalDaftarIsiLampiran"/>
        <w:numPr>
          <w:ilvl w:val="0"/>
          <w:numId w:val="225"/>
        </w:numPr>
        <w:ind w:left="3969" w:hanging="567"/>
      </w:pPr>
      <w:r w:rsidRPr="00306115">
        <w:t xml:space="preserve">Manajer Investasi harus mencatat dan menatausahakan setiap kejadian yang terkait dengan Risiko Reputasi termasuk jumlah potensi kerugian dalam suatu </w:t>
      </w:r>
      <w:r w:rsidRPr="00306115">
        <w:rPr>
          <w:lang w:val="en-GB"/>
        </w:rPr>
        <w:t>pusat</w:t>
      </w:r>
      <w:r w:rsidRPr="00306115">
        <w:t xml:space="preserve"> data. Pencatatan dan penatausahaan data tersebut disusun dalam suatu data stastistik yang dapat digunakan untuk memproyeksikan potensi kerugian pada suatu periode dan aktivitas tertentu Manajer Investasi.</w:t>
      </w:r>
    </w:p>
    <w:p w14:paraId="2D315FAD" w14:textId="09E95C4E" w:rsidR="004647CC" w:rsidRPr="00306115" w:rsidRDefault="004647CC">
      <w:pPr>
        <w:pStyle w:val="HeadingAwalDaftarIsiLampiran"/>
        <w:numPr>
          <w:ilvl w:val="0"/>
          <w:numId w:val="225"/>
        </w:numPr>
        <w:ind w:left="3969" w:hanging="567"/>
      </w:pPr>
      <w:r w:rsidRPr="00306115">
        <w:t>Manajer Investasi dapat menggunakan beberapa sumber informasi untuk mengidentifikasi dan mengukur dampak dari Risiko Reputasi antara lain pemberitaan media massa, situs web Manajer Investasi dan hasil analisis jejaring sosial, pengaduan nasabah melalui layanan nasabah, serta kuesioner kepuasan nasabah.</w:t>
      </w:r>
    </w:p>
    <w:p w14:paraId="1D9A07D3" w14:textId="01AF18EC" w:rsidR="00D963FA" w:rsidRPr="00306115" w:rsidRDefault="00D963FA">
      <w:pPr>
        <w:pStyle w:val="HeadingAwalDaftarIsiLampiran"/>
        <w:numPr>
          <w:ilvl w:val="0"/>
          <w:numId w:val="224"/>
        </w:numPr>
        <w:ind w:left="3402" w:hanging="567"/>
      </w:pPr>
      <w:r w:rsidRPr="00306115">
        <w:t>Pemantauan Risiko</w:t>
      </w:r>
    </w:p>
    <w:p w14:paraId="71A622E6" w14:textId="590F7522" w:rsidR="004647CC" w:rsidRPr="00306115" w:rsidRDefault="004647CC" w:rsidP="004647CC">
      <w:pPr>
        <w:pStyle w:val="HeadingAwalDaftarIsiLampiran"/>
        <w:numPr>
          <w:ilvl w:val="0"/>
          <w:numId w:val="0"/>
        </w:numPr>
        <w:ind w:left="3402"/>
      </w:pPr>
      <w:r w:rsidRPr="00306115">
        <w:t>Pelaksanaan pemantauan untuk Risiko Reputasi mengacu pada cakupan penerapan secara umum sebagaimana dimaksud pada Romawi I huruf C angka 2.</w:t>
      </w:r>
    </w:p>
    <w:p w14:paraId="0B5A2931" w14:textId="1D12107E" w:rsidR="00D963FA" w:rsidRPr="00306115" w:rsidRDefault="00D963FA">
      <w:pPr>
        <w:pStyle w:val="HeadingAwalDaftarIsiLampiran"/>
        <w:numPr>
          <w:ilvl w:val="0"/>
          <w:numId w:val="224"/>
        </w:numPr>
        <w:ind w:left="3402" w:hanging="567"/>
      </w:pPr>
      <w:r w:rsidRPr="00306115">
        <w:t>Pengendalian Risiko</w:t>
      </w:r>
    </w:p>
    <w:p w14:paraId="52E1C615" w14:textId="3496545A" w:rsidR="004647CC" w:rsidRPr="00306115" w:rsidRDefault="004647CC">
      <w:pPr>
        <w:pStyle w:val="HeadingAwalDaftarIsiLampiran"/>
        <w:numPr>
          <w:ilvl w:val="0"/>
          <w:numId w:val="226"/>
        </w:numPr>
        <w:ind w:left="3969" w:hanging="567"/>
      </w:pPr>
      <w:r w:rsidRPr="00306115">
        <w:t>Manajer Investasi harus segera menindaklanjuti dan mengatasi adanya keluhan nasabah dan pemberitaan media massa terutama yang berkaitan dengan gugatan hukum atau hal lain yang dapat meningkatkan eksposur Risiko Reputasi.</w:t>
      </w:r>
    </w:p>
    <w:p w14:paraId="4BBC8B62" w14:textId="15124EB7" w:rsidR="004647CC" w:rsidRPr="00306115" w:rsidRDefault="004647CC">
      <w:pPr>
        <w:pStyle w:val="HeadingAwalDaftarIsiLampiran"/>
        <w:numPr>
          <w:ilvl w:val="0"/>
          <w:numId w:val="226"/>
        </w:numPr>
        <w:ind w:left="3969" w:hanging="567"/>
      </w:pPr>
      <w:r w:rsidRPr="00306115">
        <w:t xml:space="preserve">Manajer Investasi harus mengembangkan mekanisme yang andal dalam melakukan tindakan pengendalian Risiko Reputasi </w:t>
      </w:r>
      <w:r w:rsidRPr="00306115">
        <w:lastRenderedPageBreak/>
        <w:t>yang efektif. Secara umum, pengendalian Risiko Reputasi dapat dilakukan melalui 2 (dua) hal:</w:t>
      </w:r>
    </w:p>
    <w:p w14:paraId="30DACC94" w14:textId="4F907D30" w:rsidR="004647CC" w:rsidRPr="00306115" w:rsidRDefault="004647CC">
      <w:pPr>
        <w:pStyle w:val="HeadingAwalDaftarIsiLampiran"/>
        <w:numPr>
          <w:ilvl w:val="0"/>
          <w:numId w:val="227"/>
        </w:numPr>
        <w:ind w:left="4536" w:hanging="567"/>
      </w:pPr>
      <w:r w:rsidRPr="00306115">
        <w:t>pencegahan terjadinya kejadian yang menimbulkan Risiko Reputasi, yang secara umum dilakukan melalui serangkaian aktivitas sebagai berikut:</w:t>
      </w:r>
    </w:p>
    <w:p w14:paraId="52A59A80" w14:textId="2D6B2926" w:rsidR="004647CC" w:rsidRPr="00306115" w:rsidRDefault="004647CC">
      <w:pPr>
        <w:pStyle w:val="HeadingAwalDaftarIsiLampiran"/>
        <w:numPr>
          <w:ilvl w:val="0"/>
          <w:numId w:val="228"/>
        </w:numPr>
        <w:ind w:left="5103" w:hanging="425"/>
      </w:pPr>
      <w:r w:rsidRPr="00306115">
        <w:t>tanggung jawab sosial perusahaan (</w:t>
      </w:r>
      <w:r w:rsidRPr="00306115">
        <w:rPr>
          <w:i/>
          <w:iCs/>
        </w:rPr>
        <w:t>corporate social responsibility</w:t>
      </w:r>
      <w:r w:rsidRPr="00306115">
        <w:t>), merupakan serangkaian aktivitas yang dilakukan Manajer Investasi untuk pemberdayaan masyarakat dalam bentuk kegiatan ekonomi atau sosial</w:t>
      </w:r>
      <w:r w:rsidRPr="00306115">
        <w:rPr>
          <w:lang w:val="en-GB"/>
        </w:rPr>
        <w:t>,</w:t>
      </w:r>
      <w:r w:rsidRPr="00306115">
        <w:t xml:space="preserve"> yang diharapkan dapat membangun reputasi positif dari pemangku kepentingan terhadap Manajer Investasi; dan</w:t>
      </w:r>
    </w:p>
    <w:p w14:paraId="0B518521" w14:textId="6192BF81" w:rsidR="004647CC" w:rsidRPr="00306115" w:rsidRDefault="004647CC">
      <w:pPr>
        <w:pStyle w:val="HeadingAwalDaftarIsiLampiran"/>
        <w:numPr>
          <w:ilvl w:val="0"/>
          <w:numId w:val="228"/>
        </w:numPr>
        <w:ind w:left="5103" w:hanging="425"/>
      </w:pPr>
      <w:r w:rsidRPr="00306115">
        <w:t>komunikasi atau edukasi secara rutin kepada pemangku kepentingan dalam rangka membentuk reputasi positif dari pemangku kepentingan.</w:t>
      </w:r>
    </w:p>
    <w:p w14:paraId="31F2CC09" w14:textId="7C4EBAC1" w:rsidR="004647CC" w:rsidRPr="00306115" w:rsidRDefault="004647CC">
      <w:pPr>
        <w:pStyle w:val="HeadingAwalDaftarIsiLampiran"/>
        <w:numPr>
          <w:ilvl w:val="0"/>
          <w:numId w:val="227"/>
        </w:numPr>
        <w:ind w:left="4536" w:hanging="567"/>
      </w:pPr>
      <w:r w:rsidRPr="00306115">
        <w:t>pemulihan reputasi Manajer Investasi setelah terjadi kejadian yang menimbulkan Risiko Reputasi, yaitu seluruh tindak lanjut Manajer Investasi untuk memulihkan reputasi dan mencegah terjadinya pemburukan reputasi Manajer Investasi.</w:t>
      </w:r>
    </w:p>
    <w:p w14:paraId="2DE304C3" w14:textId="206CD3C2" w:rsidR="004647CC" w:rsidRPr="00306115" w:rsidRDefault="004647CC">
      <w:pPr>
        <w:pStyle w:val="HeadingAwalDaftarIsiLampiran"/>
        <w:numPr>
          <w:ilvl w:val="0"/>
          <w:numId w:val="226"/>
        </w:numPr>
        <w:ind w:left="3969" w:hanging="567"/>
      </w:pPr>
      <w:r w:rsidRPr="00306115">
        <w:t>Mitigasi Risiko Reputasi maupun kejadian yang menimbulkan Risiko Reputasi dilakukan dengan mempertimbangkan materialitas permasalahan dan biaya. Meskipun demikian, Risiko Reputasi dapat diterima sepanjang masih sesuai dengan tingkat risiko yang akan diambil.</w:t>
      </w:r>
    </w:p>
    <w:p w14:paraId="68F9A59C" w14:textId="070404CC" w:rsidR="004647CC" w:rsidRPr="00306115" w:rsidRDefault="004647CC">
      <w:pPr>
        <w:pStyle w:val="HeadingAwalDaftarIsiLampiran"/>
        <w:numPr>
          <w:ilvl w:val="0"/>
          <w:numId w:val="226"/>
        </w:numPr>
        <w:ind w:left="3969" w:hanging="567"/>
      </w:pPr>
      <w:r w:rsidRPr="00306115">
        <w:t>Dalam rangka pengendalian Risiko Reputasi yang lebih besar pada masa depan, tindakan pencegahan dan pemulihan Risiko Reputasi yang telah dilakukan perlu diikuti dengan perbaikan pada kelemahan pengendalian yang memicu terjadinya Risiko Reputasi.</w:t>
      </w:r>
    </w:p>
    <w:p w14:paraId="1498C490" w14:textId="3DBAFCF2" w:rsidR="00D963FA" w:rsidRPr="00306115" w:rsidRDefault="00D963FA">
      <w:pPr>
        <w:pStyle w:val="HeadingAwalDaftarIsiLampiran"/>
        <w:numPr>
          <w:ilvl w:val="0"/>
          <w:numId w:val="224"/>
        </w:numPr>
        <w:ind w:left="3402" w:hanging="567"/>
      </w:pPr>
      <w:r w:rsidRPr="00306115">
        <w:t>Sistem Informasi Manajemen Risiko</w:t>
      </w:r>
    </w:p>
    <w:p w14:paraId="618FDAF0" w14:textId="7B95680E" w:rsidR="004647CC" w:rsidRPr="00306115" w:rsidRDefault="004647CC" w:rsidP="004647CC">
      <w:pPr>
        <w:pStyle w:val="HeadingAwalDaftarIsiLampiran"/>
        <w:numPr>
          <w:ilvl w:val="0"/>
          <w:numId w:val="0"/>
        </w:numPr>
        <w:ind w:left="3402"/>
      </w:pPr>
      <w:r w:rsidRPr="00306115">
        <w:t xml:space="preserve">Manajer Investasi harus memiliki prosedur atau mekanisme pelaporan secara reguler atas Risiko Reputasi atau kejadian yang menimbulkan Risiko Reputasi, termasuk jumlah potensi kerugian. Pencatatan dan penatausahaan data tersebut disusun  dalam  suatu  data  stastistik yang antara lain dapat digunakan untuk memantau setiap kejadian yang dapat menimbulkan Risiko Reputasi dan  </w:t>
      </w:r>
      <w:r w:rsidRPr="00306115">
        <w:lastRenderedPageBreak/>
        <w:t>memproyeksikan potensi kerugian pada suatu periode dan aktivitas tertentu Manajer Investasi.</w:t>
      </w:r>
    </w:p>
    <w:p w14:paraId="4986951D" w14:textId="716D6F5A" w:rsidR="004647CC" w:rsidRPr="00306115" w:rsidRDefault="00F96CC1">
      <w:pPr>
        <w:pStyle w:val="HeadingAwalDaftarIsiLampiran"/>
        <w:numPr>
          <w:ilvl w:val="0"/>
          <w:numId w:val="217"/>
        </w:numPr>
        <w:ind w:left="2835" w:hanging="567"/>
      </w:pPr>
      <w:r w:rsidRPr="00306115">
        <w:t xml:space="preserve">Sistem </w:t>
      </w:r>
      <w:r w:rsidRPr="00306115">
        <w:rPr>
          <w:lang w:val="en-GB"/>
        </w:rPr>
        <w:t>P</w:t>
      </w:r>
      <w:r w:rsidRPr="00306115">
        <w:t xml:space="preserve">engendalian </w:t>
      </w:r>
      <w:r w:rsidRPr="00306115">
        <w:rPr>
          <w:lang w:val="en-GB"/>
        </w:rPr>
        <w:t>I</w:t>
      </w:r>
      <w:r w:rsidRPr="00306115">
        <w:t xml:space="preserve">nternal </w:t>
      </w:r>
      <w:r w:rsidRPr="00306115">
        <w:rPr>
          <w:lang w:val="en-GB"/>
        </w:rPr>
        <w:t>yang  Menyeluruh</w:t>
      </w:r>
    </w:p>
    <w:p w14:paraId="4991BF01" w14:textId="0E55BED1" w:rsidR="004647CC" w:rsidRPr="00306115" w:rsidRDefault="004647CC" w:rsidP="004647CC">
      <w:pPr>
        <w:pStyle w:val="HeadingAwalDaftarIsiLampiran"/>
        <w:numPr>
          <w:ilvl w:val="0"/>
          <w:numId w:val="0"/>
        </w:numPr>
        <w:ind w:left="2835"/>
      </w:pPr>
      <w:r w:rsidRPr="00306115">
        <w:t>Pelaksanaan sistem pengendalian intern</w:t>
      </w:r>
      <w:r w:rsidRPr="00306115">
        <w:rPr>
          <w:lang w:val="en-GB"/>
        </w:rPr>
        <w:t>al</w:t>
      </w:r>
      <w:r w:rsidRPr="00306115">
        <w:t xml:space="preserve"> untuk Risiko Reputasi mengacu pada cakupan penerapan secara umum sebagaimana dimaksud pada Romawi I huruf D.</w:t>
      </w:r>
    </w:p>
    <w:p w14:paraId="389098FF" w14:textId="5A022BD7" w:rsidR="001C3A6C" w:rsidRPr="00306115" w:rsidRDefault="001C3A6C">
      <w:pPr>
        <w:pStyle w:val="HeadingAwalDaftarIsiLampiran"/>
        <w:numPr>
          <w:ilvl w:val="0"/>
          <w:numId w:val="82"/>
        </w:numPr>
        <w:ind w:left="1701" w:hanging="567"/>
      </w:pPr>
      <w:r w:rsidRPr="00306115">
        <w:t>Risiko Strategis</w:t>
      </w:r>
    </w:p>
    <w:p w14:paraId="7A1FE2D4" w14:textId="77777777" w:rsidR="00A778DC" w:rsidRPr="00306115" w:rsidRDefault="00A778DC">
      <w:pPr>
        <w:pStyle w:val="HeadingAwalDaftarIsiLampiran"/>
        <w:numPr>
          <w:ilvl w:val="0"/>
          <w:numId w:val="91"/>
        </w:numPr>
        <w:ind w:left="2268" w:hanging="567"/>
      </w:pPr>
      <w:r w:rsidRPr="00306115">
        <w:t>Tujuan</w:t>
      </w:r>
    </w:p>
    <w:p w14:paraId="0F43F3E3" w14:textId="094130B7" w:rsidR="004647CC" w:rsidRPr="00306115" w:rsidRDefault="004647CC" w:rsidP="004647CC">
      <w:pPr>
        <w:pStyle w:val="HeadingAwalDaftarIsiLampiran"/>
        <w:numPr>
          <w:ilvl w:val="0"/>
          <w:numId w:val="0"/>
        </w:numPr>
        <w:ind w:left="2268"/>
      </w:pPr>
      <w:r w:rsidRPr="00306115">
        <w:t>Tujuan utama Manajemen Risiko untuk Risiko Strategis adalah untuk memastikan bahwa proses Manajemen Risiko dapat</w:t>
      </w:r>
      <w:r w:rsidRPr="00306115">
        <w:rPr>
          <w:lang w:val="en-GB"/>
        </w:rPr>
        <w:t xml:space="preserve"> mengantisipasi dan</w:t>
      </w:r>
      <w:r w:rsidRPr="00306115">
        <w:t xml:space="preserve"> meminimalkan kemungkinan dampak negatif dari ketidaktepatan pengambilan keputusan strategis dan kegagalan dalam mengantisipasi perubahan lingkungan bisnis.</w:t>
      </w:r>
    </w:p>
    <w:p w14:paraId="2E750189" w14:textId="49937CC0" w:rsidR="00A778DC" w:rsidRPr="00306115" w:rsidRDefault="00A778DC">
      <w:pPr>
        <w:pStyle w:val="HeadingAwalDaftarIsiLampiran"/>
        <w:numPr>
          <w:ilvl w:val="0"/>
          <w:numId w:val="91"/>
        </w:numPr>
        <w:ind w:left="2268" w:hanging="567"/>
      </w:pPr>
      <w:r w:rsidRPr="00306115">
        <w:t>Penerapan Manajemen Risiko</w:t>
      </w:r>
    </w:p>
    <w:p w14:paraId="3A0DD227" w14:textId="6A187493" w:rsidR="004647CC" w:rsidRPr="00306115" w:rsidRDefault="004647CC" w:rsidP="004647CC">
      <w:pPr>
        <w:pStyle w:val="HeadingAwalDaftarIsiLampiran"/>
        <w:numPr>
          <w:ilvl w:val="0"/>
          <w:numId w:val="0"/>
        </w:numPr>
        <w:ind w:left="2268"/>
      </w:pPr>
      <w:r w:rsidRPr="00306115">
        <w:t>Penerapan Manajemen Risiko untuk Risiko Strategis disesuaikan dengan ukuran, kompleksitas usaha, dan kemampuan Manajer Investasi. Secara umum dalam prinsip penerapan Manajemen Risiko untuk Risiko Strategis, paling sedikit mencakup:</w:t>
      </w:r>
    </w:p>
    <w:p w14:paraId="10DB69B1" w14:textId="023ABBED" w:rsidR="004647CC" w:rsidRPr="00306115" w:rsidRDefault="004647CC">
      <w:pPr>
        <w:pStyle w:val="HeadingAwalDaftarIsiLampiran"/>
        <w:numPr>
          <w:ilvl w:val="0"/>
          <w:numId w:val="229"/>
        </w:numPr>
        <w:ind w:left="2835" w:hanging="567"/>
      </w:pPr>
      <w:r w:rsidRPr="00306115">
        <w:t xml:space="preserve">Pengawasan </w:t>
      </w:r>
      <w:r w:rsidRPr="00306115">
        <w:rPr>
          <w:lang w:val="en-GB"/>
        </w:rPr>
        <w:t>A</w:t>
      </w:r>
      <w:r w:rsidRPr="00306115">
        <w:t>ktif Direksi dan Dewan Komisaris</w:t>
      </w:r>
    </w:p>
    <w:p w14:paraId="59ADC3D4" w14:textId="4D81207D" w:rsidR="004647CC" w:rsidRPr="00306115" w:rsidRDefault="004647CC" w:rsidP="004647CC">
      <w:pPr>
        <w:pStyle w:val="HeadingAwalDaftarIsiLampiran"/>
        <w:numPr>
          <w:ilvl w:val="0"/>
          <w:numId w:val="0"/>
        </w:numPr>
        <w:ind w:left="2835"/>
      </w:pPr>
      <w:r w:rsidRPr="00306115">
        <w:t>Dalam melakukan penerapan Manajemen Risiko melalui pengawasan  aktif  Direksi  dan  Dewan  Komisaris  untuk Risiko Strategis, selain melaksanakan pengawasan aktif sebagaimana dimaksud pada Romawi I huruf A, Manajer Investasi harus menambahkan penerapan:</w:t>
      </w:r>
    </w:p>
    <w:p w14:paraId="7695E2CF" w14:textId="54E14E70" w:rsidR="004647CC" w:rsidRPr="00306115" w:rsidRDefault="00D10FFB">
      <w:pPr>
        <w:pStyle w:val="HeadingAwalDaftarIsiLampiran"/>
        <w:numPr>
          <w:ilvl w:val="0"/>
          <w:numId w:val="231"/>
        </w:numPr>
        <w:ind w:left="3402" w:hanging="567"/>
      </w:pPr>
      <w:r w:rsidRPr="00306115">
        <w:t>Kewenangan dan Tanggung Jawab Direksi dan Dewan Komisaris</w:t>
      </w:r>
    </w:p>
    <w:p w14:paraId="5F79E065" w14:textId="4CBC9EB8" w:rsidR="009C2D95" w:rsidRPr="00306115" w:rsidRDefault="009C2D95">
      <w:pPr>
        <w:pStyle w:val="HeadingAwalDaftarIsiLampiran"/>
        <w:numPr>
          <w:ilvl w:val="0"/>
          <w:numId w:val="232"/>
        </w:numPr>
        <w:ind w:left="3969" w:hanging="567"/>
      </w:pPr>
      <w:r w:rsidRPr="00306115">
        <w:rPr>
          <w:lang w:val="en-GB"/>
        </w:rPr>
        <w:t xml:space="preserve">Direksi </w:t>
      </w:r>
      <w:r w:rsidRPr="00306115">
        <w:t>menyusun</w:t>
      </w:r>
      <w:r w:rsidRPr="00306115">
        <w:rPr>
          <w:lang w:val="en-GB"/>
        </w:rPr>
        <w:t xml:space="preserve"> rencana bisnis dengan memperhatikan rencana strategis Manajer Investasi serta penerapan Manajemen Risiko. Rencana Bisnis dimaksud disetujui dan diawasi pelakasanaannya oleh Dewan Komisaris.</w:t>
      </w:r>
    </w:p>
    <w:p w14:paraId="54C2B593" w14:textId="19AE8DD6" w:rsidR="009C2D95" w:rsidRPr="00306115" w:rsidRDefault="00BC5675">
      <w:pPr>
        <w:pStyle w:val="HeadingAwalDaftarIsiLampiran"/>
        <w:numPr>
          <w:ilvl w:val="0"/>
          <w:numId w:val="232"/>
        </w:numPr>
        <w:ind w:left="3969" w:hanging="567"/>
      </w:pPr>
      <w:r w:rsidRPr="00306115">
        <w:t>Direksi bertanggung jawab dalam penerapan Manajemen Risiko untuk Risiko Strategis yang mencakup:</w:t>
      </w:r>
    </w:p>
    <w:p w14:paraId="5D2C3FF3" w14:textId="0A2B829C" w:rsidR="00BC5675" w:rsidRPr="00306115" w:rsidRDefault="00393619">
      <w:pPr>
        <w:pStyle w:val="HeadingAwalDaftarIsiLampiran"/>
        <w:numPr>
          <w:ilvl w:val="0"/>
          <w:numId w:val="233"/>
        </w:numPr>
        <w:ind w:left="4536" w:hanging="567"/>
      </w:pPr>
      <w:r w:rsidRPr="00306115">
        <w:t xml:space="preserve">menjamin bahwa </w:t>
      </w:r>
      <w:r w:rsidRPr="00306115">
        <w:rPr>
          <w:lang w:val="en-GB"/>
        </w:rPr>
        <w:t>rencana bisnis</w:t>
      </w:r>
      <w:r w:rsidRPr="00306115">
        <w:t xml:space="preserve"> yang didalamnya termasuk </w:t>
      </w:r>
      <w:r w:rsidRPr="00306115">
        <w:rPr>
          <w:lang w:val="en-GB"/>
        </w:rPr>
        <w:t>rencana</w:t>
      </w:r>
      <w:r w:rsidRPr="00306115">
        <w:t xml:space="preserve"> strategis</w:t>
      </w:r>
      <w:r w:rsidRPr="00306115">
        <w:rPr>
          <w:lang w:val="en-GB"/>
        </w:rPr>
        <w:t xml:space="preserve"> disusun dengan telah memperhatikan visi dan misi</w:t>
      </w:r>
      <w:r w:rsidRPr="00306115">
        <w:t>, arah</w:t>
      </w:r>
      <w:r w:rsidRPr="00306115">
        <w:rPr>
          <w:lang w:val="en-GB"/>
        </w:rPr>
        <w:t xml:space="preserve"> pengembangan</w:t>
      </w:r>
      <w:r w:rsidRPr="00306115">
        <w:t xml:space="preserve"> </w:t>
      </w:r>
      <w:r w:rsidRPr="00306115">
        <w:rPr>
          <w:lang w:val="en-GB"/>
        </w:rPr>
        <w:t>usaha</w:t>
      </w:r>
      <w:r w:rsidRPr="00306115">
        <w:t xml:space="preserve">, faktor internal dan eksternal yang dapat memengaruhi kelangsungan usaha Manajer Investasi, prinsip kehati-hatian, dan </w:t>
      </w:r>
      <w:r w:rsidRPr="00306115">
        <w:rPr>
          <w:lang w:val="en-GB"/>
        </w:rPr>
        <w:t>profil risiko</w:t>
      </w:r>
      <w:r w:rsidRPr="00306115">
        <w:t xml:space="preserve"> Manajer Investasi;</w:t>
      </w:r>
    </w:p>
    <w:p w14:paraId="69FB687A" w14:textId="0C668614" w:rsidR="00393619" w:rsidRPr="00306115" w:rsidRDefault="00CF0072">
      <w:pPr>
        <w:pStyle w:val="HeadingAwalDaftarIsiLampiran"/>
        <w:numPr>
          <w:ilvl w:val="0"/>
          <w:numId w:val="233"/>
        </w:numPr>
        <w:ind w:left="4536" w:hanging="567"/>
      </w:pPr>
      <w:r w:rsidRPr="00306115">
        <w:rPr>
          <w:lang w:val="en-GB"/>
        </w:rPr>
        <w:t>melakukan pemantauan dan kaji ulang atau evaluasi atas rencana strategis dan rencana bisnis secara berkala dalam rangka memastikan kesesuaian dengan perkembangan lingkungan usaha; dan</w:t>
      </w:r>
    </w:p>
    <w:p w14:paraId="2ACD552C" w14:textId="75293F1C" w:rsidR="00CF0072" w:rsidRPr="00306115" w:rsidRDefault="000C3E82">
      <w:pPr>
        <w:pStyle w:val="HeadingAwalDaftarIsiLampiran"/>
        <w:numPr>
          <w:ilvl w:val="0"/>
          <w:numId w:val="233"/>
        </w:numPr>
        <w:ind w:left="4536" w:hanging="567"/>
      </w:pPr>
      <w:r w:rsidRPr="00306115">
        <w:lastRenderedPageBreak/>
        <w:t xml:space="preserve">memastikan bahwa </w:t>
      </w:r>
      <w:r w:rsidRPr="00306115">
        <w:rPr>
          <w:lang w:val="en-GB"/>
        </w:rPr>
        <w:t>infra</w:t>
      </w:r>
      <w:r w:rsidRPr="00306115">
        <w:t>struktur, kondisi keuangan, dan kompetensi sumber daya manusia yang ada di Manajer Investasi telah sesuai dan memadai untuk mendukung implementasi</w:t>
      </w:r>
      <w:r w:rsidRPr="00306115">
        <w:rPr>
          <w:lang w:val="en-GB"/>
        </w:rPr>
        <w:t xml:space="preserve"> rencana</w:t>
      </w:r>
      <w:r w:rsidRPr="00306115">
        <w:t xml:space="preserve"> strategi</w:t>
      </w:r>
      <w:r w:rsidRPr="00306115">
        <w:rPr>
          <w:lang w:val="en-GB"/>
        </w:rPr>
        <w:t>s</w:t>
      </w:r>
      <w:r w:rsidRPr="00306115">
        <w:t xml:space="preserve"> yang ditetapkan.</w:t>
      </w:r>
    </w:p>
    <w:p w14:paraId="086E896F" w14:textId="4F4F8DA0" w:rsidR="000C3E82" w:rsidRPr="00306115" w:rsidRDefault="00CC38B6">
      <w:pPr>
        <w:pStyle w:val="HeadingAwalDaftarIsiLampiran"/>
        <w:numPr>
          <w:ilvl w:val="0"/>
          <w:numId w:val="232"/>
        </w:numPr>
        <w:ind w:left="3969" w:hanging="567"/>
      </w:pPr>
      <w:r w:rsidRPr="00306115">
        <w:t xml:space="preserve">Direksi harus secara aktif </w:t>
      </w:r>
      <w:r w:rsidRPr="00306115">
        <w:rPr>
          <w:lang w:val="en-GB"/>
        </w:rPr>
        <w:t xml:space="preserve">melakukan pemantauan atas </w:t>
      </w:r>
      <w:r w:rsidRPr="00306115">
        <w:t xml:space="preserve">kondisi internal </w:t>
      </w:r>
      <w:r w:rsidRPr="00306115">
        <w:rPr>
          <w:lang w:val="en-GB"/>
        </w:rPr>
        <w:t xml:space="preserve">dan eksternal </w:t>
      </w:r>
      <w:r w:rsidRPr="00306115">
        <w:t>yang secara langsung atau tidak langsung memengaruhi strategi usaha Manajer Investasi yang telah ditetapkan.</w:t>
      </w:r>
    </w:p>
    <w:p w14:paraId="2111A150" w14:textId="087B78CC" w:rsidR="00CC38B6" w:rsidRPr="00306115" w:rsidRDefault="00127BD3">
      <w:pPr>
        <w:pStyle w:val="HeadingAwalDaftarIsiLampiran"/>
        <w:numPr>
          <w:ilvl w:val="0"/>
          <w:numId w:val="232"/>
        </w:numPr>
        <w:ind w:left="3969" w:hanging="567"/>
      </w:pPr>
      <w:r w:rsidRPr="00306115">
        <w:t xml:space="preserve">Direksi harus menetapkan </w:t>
      </w:r>
      <w:r w:rsidRPr="00306115">
        <w:rPr>
          <w:lang w:val="en-GB"/>
        </w:rPr>
        <w:t xml:space="preserve">unit kerja </w:t>
      </w:r>
      <w:r w:rsidRPr="00306115">
        <w:t xml:space="preserve">atau fungsi yang memiliki kewenangan dan tanggung jawab yang mendukung pelaksanaan rencana strategis dan </w:t>
      </w:r>
      <w:r w:rsidRPr="00306115">
        <w:rPr>
          <w:lang w:val="en-GB"/>
        </w:rPr>
        <w:t>r</w:t>
      </w:r>
      <w:r w:rsidRPr="00306115">
        <w:t xml:space="preserve">encana </w:t>
      </w:r>
      <w:r w:rsidRPr="00306115">
        <w:rPr>
          <w:lang w:val="en-GB"/>
        </w:rPr>
        <w:t>b</w:t>
      </w:r>
      <w:r w:rsidRPr="00306115">
        <w:t>isnis.</w:t>
      </w:r>
    </w:p>
    <w:p w14:paraId="6DA7982D" w14:textId="6CE5E107" w:rsidR="00D10FFB" w:rsidRPr="00306115" w:rsidRDefault="0013423E">
      <w:pPr>
        <w:pStyle w:val="HeadingAwalDaftarIsiLampiran"/>
        <w:numPr>
          <w:ilvl w:val="0"/>
          <w:numId w:val="231"/>
        </w:numPr>
        <w:ind w:left="3402" w:hanging="567"/>
      </w:pPr>
      <w:r w:rsidRPr="00306115">
        <w:t>Sumber Daya Manusia</w:t>
      </w:r>
    </w:p>
    <w:p w14:paraId="22C0F185" w14:textId="5E8A2132" w:rsidR="00F72C8C" w:rsidRPr="00306115" w:rsidRDefault="00F72C8C" w:rsidP="00F72C8C">
      <w:pPr>
        <w:pStyle w:val="HeadingAwalDaftarIsiLampiran"/>
        <w:numPr>
          <w:ilvl w:val="0"/>
          <w:numId w:val="0"/>
        </w:numPr>
        <w:ind w:left="3402"/>
      </w:pPr>
      <w:r w:rsidRPr="00306115">
        <w:t>Kecukupan sumber daya manusia untuk Risiko Strategis mengacu pada cakupan penerapan secara umum sebagaimana dimaksud pada Romawi I huruf A angka 2.</w:t>
      </w:r>
    </w:p>
    <w:p w14:paraId="2905AC3B" w14:textId="4ACED528" w:rsidR="0013423E" w:rsidRPr="00306115" w:rsidRDefault="00C6015C">
      <w:pPr>
        <w:pStyle w:val="HeadingAwalDaftarIsiLampiran"/>
        <w:numPr>
          <w:ilvl w:val="0"/>
          <w:numId w:val="231"/>
        </w:numPr>
        <w:ind w:left="3402" w:hanging="567"/>
      </w:pPr>
      <w:r w:rsidRPr="00306115">
        <w:t>Organisasi Manajemen Risiko</w:t>
      </w:r>
    </w:p>
    <w:p w14:paraId="68F4295D" w14:textId="4E1B1111" w:rsidR="00F72C8C" w:rsidRPr="00306115" w:rsidRDefault="00982C87">
      <w:pPr>
        <w:pStyle w:val="HeadingAwalDaftarIsiLampiran"/>
        <w:numPr>
          <w:ilvl w:val="0"/>
          <w:numId w:val="234"/>
        </w:numPr>
        <w:ind w:left="3969" w:hanging="567"/>
      </w:pPr>
      <w:r w:rsidRPr="00306115">
        <w:t xml:space="preserve">Seluruh unit kerja </w:t>
      </w:r>
      <w:r w:rsidRPr="00306115">
        <w:rPr>
          <w:lang w:val="en-GB"/>
        </w:rPr>
        <w:t>di Manajer Investasi</w:t>
      </w:r>
      <w:r w:rsidRPr="00306115">
        <w:t xml:space="preserve"> bertanggung jawab membantu Direksi </w:t>
      </w:r>
      <w:r w:rsidRPr="00306115">
        <w:rPr>
          <w:lang w:val="en-GB"/>
        </w:rPr>
        <w:t xml:space="preserve">dalam melaksanakan rencana strategis </w:t>
      </w:r>
      <w:r w:rsidRPr="00306115">
        <w:t>secara efektif.</w:t>
      </w:r>
    </w:p>
    <w:p w14:paraId="395FB20E" w14:textId="65C070AB" w:rsidR="00982C87" w:rsidRPr="00306115" w:rsidRDefault="00353375">
      <w:pPr>
        <w:pStyle w:val="HeadingAwalDaftarIsiLampiran"/>
        <w:numPr>
          <w:ilvl w:val="0"/>
          <w:numId w:val="234"/>
        </w:numPr>
        <w:ind w:left="3969" w:hanging="567"/>
      </w:pPr>
      <w:r w:rsidRPr="00306115">
        <w:t>Pelaksanaan</w:t>
      </w:r>
      <w:r w:rsidRPr="00306115">
        <w:rPr>
          <w:lang w:val="en-GB"/>
        </w:rPr>
        <w:t xml:space="preserve"> rencana strategis paling sedikit memperhatikan praktik Manajemen Risiko telah konsisten </w:t>
      </w:r>
      <w:r w:rsidRPr="00306115">
        <w:t>dengan kerangka Manajemen Risiko untuk Risiko Strategis secara keseluruhan.</w:t>
      </w:r>
    </w:p>
    <w:p w14:paraId="399DFDDA" w14:textId="72419A36" w:rsidR="00353375" w:rsidRPr="00306115" w:rsidRDefault="000E545A">
      <w:pPr>
        <w:pStyle w:val="HeadingAwalDaftarIsiLampiran"/>
        <w:numPr>
          <w:ilvl w:val="0"/>
          <w:numId w:val="234"/>
        </w:numPr>
        <w:ind w:left="3969" w:hanging="567"/>
      </w:pPr>
      <w:r w:rsidRPr="00306115">
        <w:t xml:space="preserve">Fungsi </w:t>
      </w:r>
      <w:r w:rsidRPr="00306115">
        <w:rPr>
          <w:lang w:val="en-GB"/>
        </w:rPr>
        <w:t>M</w:t>
      </w:r>
      <w:r w:rsidRPr="00306115">
        <w:t xml:space="preserve">anajemen </w:t>
      </w:r>
      <w:r w:rsidRPr="00306115">
        <w:rPr>
          <w:lang w:val="en-GB"/>
        </w:rPr>
        <w:t>R</w:t>
      </w:r>
      <w:r w:rsidRPr="00306115">
        <w:t>isiko bertanggung jawab dalam proses Manajemen Risiko untuk Risiko Strategis paling sedikit</w:t>
      </w:r>
      <w:r w:rsidRPr="00306115">
        <w:rPr>
          <w:lang w:val="en-GB"/>
        </w:rPr>
        <w:t xml:space="preserve"> memastikan penyusunan dan pelaksanaan rencana strategis sesuai dengan profil risiko Manajer Investasi.</w:t>
      </w:r>
    </w:p>
    <w:p w14:paraId="27D909E6" w14:textId="1B2F00BD" w:rsidR="004647CC" w:rsidRPr="00306115" w:rsidRDefault="004647CC">
      <w:pPr>
        <w:pStyle w:val="HeadingAwalDaftarIsiLampiran"/>
        <w:numPr>
          <w:ilvl w:val="0"/>
          <w:numId w:val="229"/>
        </w:numPr>
        <w:ind w:left="2835" w:hanging="567"/>
      </w:pPr>
      <w:r w:rsidRPr="00306115">
        <w:t xml:space="preserve">Kecukupan </w:t>
      </w:r>
      <w:r w:rsidRPr="00306115">
        <w:rPr>
          <w:lang w:val="en-GB"/>
        </w:rPr>
        <w:t>K</w:t>
      </w:r>
      <w:r w:rsidRPr="00306115">
        <w:t xml:space="preserve">ebijakan dan </w:t>
      </w:r>
      <w:r w:rsidRPr="00306115">
        <w:rPr>
          <w:lang w:val="en-GB"/>
        </w:rPr>
        <w:t>P</w:t>
      </w:r>
      <w:r w:rsidRPr="00306115">
        <w:t>rosedur Manajemen Risiko</w:t>
      </w:r>
    </w:p>
    <w:p w14:paraId="6F4BE0C7" w14:textId="7BD43FD0" w:rsidR="005E1742" w:rsidRPr="00306115" w:rsidRDefault="005E1742" w:rsidP="005E1742">
      <w:pPr>
        <w:pStyle w:val="HeadingAwalDaftarIsiLampiran"/>
        <w:numPr>
          <w:ilvl w:val="0"/>
          <w:numId w:val="0"/>
        </w:numPr>
        <w:ind w:left="2835"/>
      </w:pPr>
      <w:r w:rsidRPr="00306115">
        <w:t>Dalam melaksanakan kebijakan dan prosedur Manajemen Risiko serta penetapan limit Risiko untuk Risiko Strategis, selain melaksanakan kebijakan dan prosedur Manajemen Risiko serta penetapan limit risiko sebagaimana dimaksud pada Romawi I huruf B, Manajer Investasi harus menambahkan penerapan:</w:t>
      </w:r>
    </w:p>
    <w:p w14:paraId="6E544250" w14:textId="3359ABAD" w:rsidR="005E1742" w:rsidRPr="00306115" w:rsidRDefault="005E1742">
      <w:pPr>
        <w:pStyle w:val="HeadingAwalDaftarIsiLampiran"/>
        <w:numPr>
          <w:ilvl w:val="0"/>
          <w:numId w:val="235"/>
        </w:numPr>
        <w:ind w:left="3402" w:hanging="567"/>
      </w:pPr>
      <w:r w:rsidRPr="00306115">
        <w:t xml:space="preserve">Kebijakan </w:t>
      </w:r>
      <w:r w:rsidR="00211037" w:rsidRPr="00306115">
        <w:t>dan Prosedur</w:t>
      </w:r>
    </w:p>
    <w:p w14:paraId="21380401" w14:textId="1D871967" w:rsidR="00E36CF5" w:rsidRPr="00306115" w:rsidRDefault="00643A81">
      <w:pPr>
        <w:pStyle w:val="HeadingAwalDaftarIsiLampiran"/>
        <w:numPr>
          <w:ilvl w:val="0"/>
          <w:numId w:val="236"/>
        </w:numPr>
        <w:ind w:left="3969" w:hanging="567"/>
      </w:pPr>
      <w:r w:rsidRPr="00306115">
        <w:t>Manajer Investasi harus memiliki kebijakan dan prosedur</w:t>
      </w:r>
      <w:r w:rsidRPr="00306115">
        <w:rPr>
          <w:lang w:val="en-GB"/>
        </w:rPr>
        <w:t xml:space="preserve"> dalam menentukan strategi pengembangan bisnis yang dituangkan </w:t>
      </w:r>
      <w:r w:rsidRPr="00306115">
        <w:t>dalam</w:t>
      </w:r>
      <w:r w:rsidRPr="00306115">
        <w:rPr>
          <w:lang w:val="en-GB"/>
        </w:rPr>
        <w:t xml:space="preserve"> rencana bisnis.</w:t>
      </w:r>
    </w:p>
    <w:p w14:paraId="37C6DDA9" w14:textId="02CEA0A0" w:rsidR="00643A81" w:rsidRPr="00306115" w:rsidRDefault="007E0920">
      <w:pPr>
        <w:pStyle w:val="HeadingAwalDaftarIsiLampiran"/>
        <w:numPr>
          <w:ilvl w:val="0"/>
          <w:numId w:val="236"/>
        </w:numPr>
        <w:ind w:left="3969" w:hanging="567"/>
      </w:pPr>
      <w:r w:rsidRPr="00306115">
        <w:t xml:space="preserve">Manajer Investasi harus memiliki prosedur untuk mengukur </w:t>
      </w:r>
      <w:r w:rsidRPr="00306115">
        <w:rPr>
          <w:lang w:val="en-GB"/>
        </w:rPr>
        <w:t xml:space="preserve"> realisasi</w:t>
      </w:r>
      <w:r w:rsidRPr="00306115">
        <w:t xml:space="preserve"> yang dicapai dari </w:t>
      </w:r>
      <w:r w:rsidRPr="00306115">
        <w:rPr>
          <w:lang w:val="en-GB"/>
        </w:rPr>
        <w:t xml:space="preserve">strategi pengembangan bisnis yang terdapat dalam rencana bisnis, </w:t>
      </w:r>
      <w:r w:rsidRPr="00306115">
        <w:t xml:space="preserve">serta </w:t>
      </w:r>
      <w:r w:rsidRPr="00306115">
        <w:lastRenderedPageBreak/>
        <w:t xml:space="preserve">prosedur persetujuan atas perubahan signifikan yang dilakukan terhadap rencana strategis dan/atau </w:t>
      </w:r>
      <w:r w:rsidRPr="00306115">
        <w:rPr>
          <w:lang w:val="en-GB"/>
        </w:rPr>
        <w:t>rencana bisnis.</w:t>
      </w:r>
    </w:p>
    <w:p w14:paraId="0722E91E" w14:textId="08D6A253" w:rsidR="00211037" w:rsidRPr="00306115" w:rsidRDefault="00226535">
      <w:pPr>
        <w:pStyle w:val="HeadingAwalDaftarIsiLampiran"/>
        <w:numPr>
          <w:ilvl w:val="0"/>
          <w:numId w:val="235"/>
        </w:numPr>
        <w:ind w:left="3402" w:hanging="567"/>
      </w:pPr>
      <w:r w:rsidRPr="00306115">
        <w:t>Strategi Manajemen Risiko</w:t>
      </w:r>
    </w:p>
    <w:p w14:paraId="51278433" w14:textId="7B0B0DFC" w:rsidR="00310841" w:rsidRPr="00306115" w:rsidRDefault="00310841">
      <w:pPr>
        <w:pStyle w:val="HeadingAwalDaftarIsiLampiran"/>
        <w:numPr>
          <w:ilvl w:val="0"/>
          <w:numId w:val="237"/>
        </w:numPr>
        <w:ind w:left="3969" w:hanging="567"/>
      </w:pPr>
      <w:r w:rsidRPr="00306115">
        <w:t>Dalam penyusunan strategi, Manajer Investasi harus mengevaluasi posisi Manajer Investasi di industri, dalam hal ini Manajer Investasi paling sedikit perlu:</w:t>
      </w:r>
    </w:p>
    <w:p w14:paraId="7C290B0C" w14:textId="012E9A5C" w:rsidR="00310841" w:rsidRPr="00306115" w:rsidRDefault="00132B30">
      <w:pPr>
        <w:pStyle w:val="HeadingAwalDaftarIsiLampiran"/>
        <w:numPr>
          <w:ilvl w:val="0"/>
          <w:numId w:val="238"/>
        </w:numPr>
        <w:ind w:left="4536" w:hanging="567"/>
      </w:pPr>
      <w:r w:rsidRPr="00306115">
        <w:t xml:space="preserve">memahami kondisi lingkungan bisnis, ekonomi, dan industri pengelolaan investasi dimana Manajer Investasi beroperasi, termasuk bagaimana dampak perubahan lingkungan terhadap bisnis, produk, </w:t>
      </w:r>
      <w:r w:rsidRPr="00306115">
        <w:rPr>
          <w:lang w:val="en-GB"/>
        </w:rPr>
        <w:t xml:space="preserve">dan </w:t>
      </w:r>
      <w:r w:rsidRPr="00306115">
        <w:t>teknologi</w:t>
      </w:r>
      <w:r w:rsidRPr="00306115">
        <w:rPr>
          <w:lang w:val="en-GB"/>
        </w:rPr>
        <w:t xml:space="preserve"> Manajer Investasi;</w:t>
      </w:r>
    </w:p>
    <w:p w14:paraId="1A99A099" w14:textId="760C8C7A" w:rsidR="00132B30" w:rsidRPr="00306115" w:rsidRDefault="00656EB3">
      <w:pPr>
        <w:pStyle w:val="HeadingAwalDaftarIsiLampiran"/>
        <w:numPr>
          <w:ilvl w:val="0"/>
          <w:numId w:val="238"/>
        </w:numPr>
        <w:ind w:left="4536" w:hanging="567"/>
      </w:pPr>
      <w:r w:rsidRPr="00306115">
        <w:t>mengukur kekuatan dan kelemahan Manajer Investasi untuk menentukan daya saing</w:t>
      </w:r>
      <w:r w:rsidRPr="00306115">
        <w:rPr>
          <w:lang w:val="en-GB"/>
        </w:rPr>
        <w:t xml:space="preserve"> dan</w:t>
      </w:r>
      <w:r w:rsidRPr="00306115">
        <w:t xml:space="preserve"> menilai kesiapan infrastruktur serta ketersediaan sumber daya bagi kebutuhan bisnis saat ini dan mendatang; dan</w:t>
      </w:r>
    </w:p>
    <w:p w14:paraId="006CC58D" w14:textId="68D5EE51" w:rsidR="00656EB3" w:rsidRPr="00306115" w:rsidRDefault="00927F14">
      <w:pPr>
        <w:pStyle w:val="HeadingAwalDaftarIsiLampiran"/>
        <w:numPr>
          <w:ilvl w:val="0"/>
          <w:numId w:val="238"/>
        </w:numPr>
        <w:ind w:left="4536" w:hanging="567"/>
      </w:pPr>
      <w:r w:rsidRPr="00306115">
        <w:t>menganalis</w:t>
      </w:r>
      <w:r w:rsidRPr="00306115">
        <w:rPr>
          <w:lang w:val="en-GB"/>
        </w:rPr>
        <w:t>is</w:t>
      </w:r>
      <w:r w:rsidRPr="00306115">
        <w:t xml:space="preserve"> seluruh alternatif strategi yang tersedia setelah mempertimbangkan tujuan strategis serta toleransi risiko Manajer Investasi. Kedalaman dan cakupan analis</w:t>
      </w:r>
      <w:r w:rsidRPr="00306115">
        <w:rPr>
          <w:lang w:val="en-GB"/>
        </w:rPr>
        <w:t>is</w:t>
      </w:r>
      <w:r w:rsidRPr="00306115">
        <w:t xml:space="preserve"> harus sejalan dengan ukuran, kompleksitas usaha, dan kemampuan Manajer Investasi.</w:t>
      </w:r>
    </w:p>
    <w:p w14:paraId="7C0D81DF" w14:textId="4EBCB1B3" w:rsidR="00927F14" w:rsidRPr="00306115" w:rsidRDefault="00946DA8">
      <w:pPr>
        <w:pStyle w:val="HeadingAwalDaftarIsiLampiran"/>
        <w:numPr>
          <w:ilvl w:val="0"/>
          <w:numId w:val="237"/>
        </w:numPr>
        <w:ind w:left="3969" w:hanging="567"/>
      </w:pPr>
      <w:r w:rsidRPr="00306115">
        <w:t xml:space="preserve">Manajer Investasi menetapkan secara tertulis </w:t>
      </w:r>
      <w:r w:rsidRPr="00306115">
        <w:rPr>
          <w:lang w:val="en-GB"/>
        </w:rPr>
        <w:t>r</w:t>
      </w:r>
      <w:r w:rsidRPr="00306115">
        <w:t xml:space="preserve">encana </w:t>
      </w:r>
      <w:r w:rsidRPr="00306115">
        <w:rPr>
          <w:lang w:val="en-GB"/>
        </w:rPr>
        <w:t>s</w:t>
      </w:r>
      <w:r w:rsidRPr="00306115">
        <w:t>trategis dan rencana bisnis, serta memastikan realisasinya melalui pelaksanaan yang terukur.</w:t>
      </w:r>
    </w:p>
    <w:p w14:paraId="0ECACA9B" w14:textId="42A5E5BB" w:rsidR="00946DA8" w:rsidRPr="00306115" w:rsidRDefault="00560834">
      <w:pPr>
        <w:pStyle w:val="HeadingAwalDaftarIsiLampiran"/>
        <w:numPr>
          <w:ilvl w:val="0"/>
          <w:numId w:val="237"/>
        </w:numPr>
        <w:ind w:left="3969" w:hanging="567"/>
      </w:pPr>
      <w:r w:rsidRPr="00306115">
        <w:t>Rencana strategis dan rencana bisnis tersebut harus dievaluasi dan disesuaikan dalam hal terdapat penyimpangan dari target yang akan dicapai akibat perubahan eksternal dan internal yang signifikan.</w:t>
      </w:r>
    </w:p>
    <w:p w14:paraId="33836CB3" w14:textId="76B16B58" w:rsidR="00560834" w:rsidRPr="00306115" w:rsidRDefault="005A0B78">
      <w:pPr>
        <w:pStyle w:val="HeadingAwalDaftarIsiLampiran"/>
        <w:numPr>
          <w:ilvl w:val="0"/>
          <w:numId w:val="237"/>
        </w:numPr>
        <w:ind w:left="3969" w:hanging="567"/>
      </w:pPr>
      <w:r w:rsidRPr="00306115">
        <w:t xml:space="preserve">Dalam hal Manajer Investasi berencana menerapkan strategi yang bersifat jangka panjang dan berkelanjutan, maka Manajer Investasi harus menyiapkan rencana suksesi manajerial yang memadai agar pelaksanaan strategi berlangsung </w:t>
      </w:r>
      <w:r w:rsidRPr="00306115">
        <w:rPr>
          <w:lang w:val="en-GB"/>
        </w:rPr>
        <w:t xml:space="preserve">secara </w:t>
      </w:r>
      <w:r w:rsidRPr="00306115">
        <w:t>berkesinambungan dan efektif.</w:t>
      </w:r>
    </w:p>
    <w:p w14:paraId="59929643" w14:textId="6DDF615F" w:rsidR="005A0B78" w:rsidRPr="00306115" w:rsidRDefault="00C31DCC">
      <w:pPr>
        <w:pStyle w:val="HeadingAwalDaftarIsiLampiran"/>
        <w:numPr>
          <w:ilvl w:val="0"/>
          <w:numId w:val="237"/>
        </w:numPr>
        <w:ind w:left="3969" w:hanging="567"/>
      </w:pPr>
      <w:r w:rsidRPr="00306115">
        <w:t>Manajer Investasi harus memiliki sumber pendanaan yang mencukupi untuk mendukung penerapan rencana strategis.</w:t>
      </w:r>
    </w:p>
    <w:p w14:paraId="7F9BA015" w14:textId="1DA04772" w:rsidR="00226535" w:rsidRPr="00306115" w:rsidRDefault="00E36CF5">
      <w:pPr>
        <w:pStyle w:val="HeadingAwalDaftarIsiLampiran"/>
        <w:numPr>
          <w:ilvl w:val="0"/>
          <w:numId w:val="235"/>
        </w:numPr>
        <w:ind w:left="3402" w:hanging="567"/>
      </w:pPr>
      <w:r w:rsidRPr="00306115">
        <w:t>Tingkat Risiko yang akan Diambil (</w:t>
      </w:r>
      <w:r w:rsidRPr="00306115">
        <w:rPr>
          <w:i/>
          <w:iCs/>
        </w:rPr>
        <w:t>Risk Appetite</w:t>
      </w:r>
      <w:r w:rsidRPr="00306115">
        <w:t>) dan Toleransi Risiko (</w:t>
      </w:r>
      <w:r w:rsidRPr="00306115">
        <w:rPr>
          <w:i/>
          <w:iCs/>
        </w:rPr>
        <w:t>Risk Tolerance</w:t>
      </w:r>
      <w:r w:rsidRPr="00306115">
        <w:t>)</w:t>
      </w:r>
    </w:p>
    <w:p w14:paraId="7F3C9CD6" w14:textId="742853F4" w:rsidR="00C921F8" w:rsidRPr="00306115" w:rsidRDefault="00C921F8" w:rsidP="00C921F8">
      <w:pPr>
        <w:pStyle w:val="HeadingAwalDaftarIsiLampiran"/>
        <w:numPr>
          <w:ilvl w:val="0"/>
          <w:numId w:val="0"/>
        </w:numPr>
        <w:ind w:left="3402"/>
      </w:pPr>
      <w:r w:rsidRPr="00306115">
        <w:t>Penetapan tingkat risiko yang akan diambil dan toleransi risiko untuk Risiko Strategis mengacu pada cakupan penerapan secara umum sebagaimana dimaksud pada Romawi I huruf B angka 3.</w:t>
      </w:r>
    </w:p>
    <w:p w14:paraId="75B62CAA" w14:textId="55224B34" w:rsidR="00E36CF5" w:rsidRPr="00306115" w:rsidRDefault="00E36CF5">
      <w:pPr>
        <w:pStyle w:val="HeadingAwalDaftarIsiLampiran"/>
        <w:numPr>
          <w:ilvl w:val="0"/>
          <w:numId w:val="235"/>
        </w:numPr>
        <w:ind w:left="3402" w:hanging="567"/>
      </w:pPr>
      <w:r w:rsidRPr="00306115">
        <w:t>Limit</w:t>
      </w:r>
    </w:p>
    <w:p w14:paraId="5C6F93B9" w14:textId="4624DF31" w:rsidR="0039351F" w:rsidRPr="00306115" w:rsidRDefault="0039351F" w:rsidP="0039351F">
      <w:pPr>
        <w:pStyle w:val="HeadingAwalDaftarIsiLampiran"/>
        <w:numPr>
          <w:ilvl w:val="0"/>
          <w:numId w:val="0"/>
        </w:numPr>
        <w:ind w:left="3402"/>
      </w:pPr>
      <w:r w:rsidRPr="00306115">
        <w:lastRenderedPageBreak/>
        <w:t xml:space="preserve">Limit Risiko Strategis secara umum mencakup batas penyimpangan dari rencana strategis yang ditetapkan. Penyimpangan tersebut dapat berupa adanya deviasi target </w:t>
      </w:r>
      <w:r w:rsidRPr="00306115">
        <w:rPr>
          <w:i/>
          <w:iCs/>
        </w:rPr>
        <w:t>output</w:t>
      </w:r>
      <w:r w:rsidRPr="00306115">
        <w:t xml:space="preserve"> yang dikeluarkan </w:t>
      </w:r>
      <w:r w:rsidRPr="00306115">
        <w:rPr>
          <w:lang w:val="en-GB"/>
        </w:rPr>
        <w:t xml:space="preserve">atau target </w:t>
      </w:r>
      <w:r w:rsidRPr="00306115">
        <w:t>waktu penyelesaian.</w:t>
      </w:r>
    </w:p>
    <w:p w14:paraId="1A514390" w14:textId="72594E0F" w:rsidR="004647CC" w:rsidRPr="00306115" w:rsidRDefault="004647CC">
      <w:pPr>
        <w:pStyle w:val="HeadingAwalDaftarIsiLampiran"/>
        <w:numPr>
          <w:ilvl w:val="0"/>
          <w:numId w:val="229"/>
        </w:numPr>
        <w:ind w:left="2835" w:hanging="567"/>
      </w:pPr>
      <w:r w:rsidRPr="00306115">
        <w:t xml:space="preserve">Kecukupkan </w:t>
      </w:r>
      <w:r w:rsidRPr="00306115">
        <w:rPr>
          <w:lang w:val="en-GB"/>
        </w:rPr>
        <w:t>P</w:t>
      </w:r>
      <w:r w:rsidRPr="00306115">
        <w:t xml:space="preserve">roses </w:t>
      </w:r>
      <w:r w:rsidRPr="00306115">
        <w:rPr>
          <w:lang w:val="en-GB"/>
        </w:rPr>
        <w:t>I</w:t>
      </w:r>
      <w:r w:rsidRPr="00306115">
        <w:t xml:space="preserve">dentifikasi, </w:t>
      </w:r>
      <w:r w:rsidRPr="00306115">
        <w:rPr>
          <w:lang w:val="en-GB"/>
        </w:rPr>
        <w:t>P</w:t>
      </w:r>
      <w:r w:rsidRPr="00306115">
        <w:t xml:space="preserve">engukuran, </w:t>
      </w:r>
      <w:r w:rsidRPr="00306115">
        <w:rPr>
          <w:lang w:val="en-GB"/>
        </w:rPr>
        <w:t>P</w:t>
      </w:r>
      <w:r w:rsidRPr="00306115">
        <w:t xml:space="preserve">emantauan, dan </w:t>
      </w:r>
      <w:r w:rsidRPr="00306115">
        <w:rPr>
          <w:lang w:val="en-GB"/>
        </w:rPr>
        <w:t>P</w:t>
      </w:r>
      <w:r w:rsidRPr="00306115">
        <w:t>engendalian Risiko</w:t>
      </w:r>
    </w:p>
    <w:p w14:paraId="22398F30" w14:textId="1914B825" w:rsidR="0086699B" w:rsidRPr="00306115" w:rsidRDefault="0086699B" w:rsidP="0086699B">
      <w:pPr>
        <w:pStyle w:val="HeadingAwalDaftarIsiLampiran"/>
        <w:numPr>
          <w:ilvl w:val="0"/>
          <w:numId w:val="0"/>
        </w:numPr>
        <w:ind w:left="2835"/>
      </w:pPr>
      <w:r w:rsidRPr="00306115">
        <w:t xml:space="preserve">Dalam melakukan penerapan Manajemen Risiko melalui proses identifikasi, pengukuran, pemantauan, dan pengendalian risiko, serta sistem informasi Manajemen Risiko untuk Risiko Strategis, selain melaksanakan proses sebagaimana dimaksud pada Romawi I huruf C, Manajer Investasi harus </w:t>
      </w:r>
      <w:r w:rsidR="009F4841" w:rsidRPr="00306115">
        <w:t>menambahkan penerapan</w:t>
      </w:r>
      <w:r w:rsidRPr="00306115">
        <w:t>:</w:t>
      </w:r>
    </w:p>
    <w:p w14:paraId="699AFE3B" w14:textId="33F566A4" w:rsidR="002473D4" w:rsidRPr="00306115" w:rsidRDefault="002473D4">
      <w:pPr>
        <w:pStyle w:val="HeadingAwalDaftarIsiLampiran"/>
        <w:numPr>
          <w:ilvl w:val="0"/>
          <w:numId w:val="239"/>
        </w:numPr>
        <w:ind w:left="3402" w:hanging="567"/>
      </w:pPr>
      <w:r w:rsidRPr="00306115">
        <w:t>Identifikasi dan Pengukuran Risiko</w:t>
      </w:r>
    </w:p>
    <w:p w14:paraId="5BBBF71A" w14:textId="74388DC1" w:rsidR="00DF6FDB" w:rsidRPr="00306115" w:rsidRDefault="001C7C98">
      <w:pPr>
        <w:pStyle w:val="HeadingAwalDaftarIsiLampiran"/>
        <w:numPr>
          <w:ilvl w:val="0"/>
          <w:numId w:val="240"/>
        </w:numPr>
        <w:ind w:left="3969" w:hanging="567"/>
      </w:pPr>
      <w:r w:rsidRPr="00306115">
        <w:t>Manajer Investasi harus mengidentifikasi penyebab yang berpengaruh signifikan terhadap pelaksanaan strategi perusahaan, serta mengukur seberapa besar potensi dampak terhadap keberhasilan pelaksanaan strategi tersebut.</w:t>
      </w:r>
    </w:p>
    <w:p w14:paraId="671A77E4" w14:textId="66EE69A8" w:rsidR="001C7C98" w:rsidRPr="00306115" w:rsidRDefault="00F74ED6">
      <w:pPr>
        <w:pStyle w:val="HeadingAwalDaftarIsiLampiran"/>
        <w:numPr>
          <w:ilvl w:val="0"/>
          <w:numId w:val="240"/>
        </w:numPr>
        <w:ind w:left="3969" w:hanging="567"/>
      </w:pPr>
      <w:r w:rsidRPr="00306115">
        <w:t xml:space="preserve">Dalam mengukur Risiko Strategis, dapat antara lain menggunakan indikator atau parameter berupa presentase realisasi dari strategi pengembangan bisnis dalam </w:t>
      </w:r>
      <w:r w:rsidRPr="00306115">
        <w:rPr>
          <w:lang w:val="en-GB"/>
        </w:rPr>
        <w:t>r</w:t>
      </w:r>
      <w:r w:rsidRPr="00306115">
        <w:t xml:space="preserve">encana </w:t>
      </w:r>
      <w:r w:rsidRPr="00306115">
        <w:rPr>
          <w:lang w:val="en-GB"/>
        </w:rPr>
        <w:t>b</w:t>
      </w:r>
      <w:r w:rsidRPr="00306115">
        <w:t>isnis.</w:t>
      </w:r>
    </w:p>
    <w:p w14:paraId="48F3D78B" w14:textId="72666D30" w:rsidR="00F74ED6" w:rsidRPr="00306115" w:rsidRDefault="00DB0031">
      <w:pPr>
        <w:pStyle w:val="HeadingAwalDaftarIsiLampiran"/>
        <w:numPr>
          <w:ilvl w:val="0"/>
          <w:numId w:val="240"/>
        </w:numPr>
        <w:ind w:left="3969" w:hanging="567"/>
      </w:pPr>
      <w:r w:rsidRPr="00306115">
        <w:t xml:space="preserve">Dalam hal hasil identifikasi dan/atau pengukuran risiko atas Risiko Strategis menunjukkan bahwa tingkat Risiko Strategis berpotensi melampaui toleransi risiko dan kemampuan Manajer Investasi dalam menyerap risiko, Manajer Investasi harus memiliki </w:t>
      </w:r>
      <w:r w:rsidRPr="00306115">
        <w:rPr>
          <w:i/>
          <w:iCs/>
        </w:rPr>
        <w:t>backup plan</w:t>
      </w:r>
      <w:r w:rsidRPr="00306115">
        <w:t xml:space="preserve"> atau strategi untuk mengantisipasi perubahan atau pergeseran fokus bisnis dan penundaan keputusan investasi yang bersifat strategis.</w:t>
      </w:r>
    </w:p>
    <w:p w14:paraId="22074624" w14:textId="14B10E25" w:rsidR="002473D4" w:rsidRPr="00306115" w:rsidRDefault="002473D4">
      <w:pPr>
        <w:pStyle w:val="HeadingAwalDaftarIsiLampiran"/>
        <w:numPr>
          <w:ilvl w:val="0"/>
          <w:numId w:val="239"/>
        </w:numPr>
        <w:ind w:left="3402" w:hanging="567"/>
      </w:pPr>
      <w:r w:rsidRPr="00306115">
        <w:t>Pemantauan Risiko</w:t>
      </w:r>
    </w:p>
    <w:p w14:paraId="1C9C4A34" w14:textId="70F7C77F" w:rsidR="00322796" w:rsidRPr="00306115" w:rsidRDefault="00322796">
      <w:pPr>
        <w:pStyle w:val="HeadingAwalDaftarIsiLampiran"/>
        <w:numPr>
          <w:ilvl w:val="0"/>
          <w:numId w:val="241"/>
        </w:numPr>
        <w:ind w:left="3969" w:hanging="567"/>
      </w:pPr>
      <w:r w:rsidRPr="00306115">
        <w:t xml:space="preserve">Manajer Investasi harus melakukan pemantauan Risiko Strategis secara berkelanjutan, dengan memperhatikan pengalaman capaian maupun ketidakberhasilan pada masa lalu, guna melihat penyimpangan realisasi pelaksanaan strategi pengembangan usaha yang mungkin terjadi dari </w:t>
      </w:r>
      <w:r w:rsidRPr="00306115">
        <w:rPr>
          <w:lang w:val="en-GB"/>
        </w:rPr>
        <w:t>r</w:t>
      </w:r>
      <w:r w:rsidRPr="00306115">
        <w:t xml:space="preserve">encana </w:t>
      </w:r>
      <w:r w:rsidRPr="00306115">
        <w:rPr>
          <w:lang w:val="en-GB"/>
        </w:rPr>
        <w:t>b</w:t>
      </w:r>
      <w:r w:rsidRPr="00306115">
        <w:t>isnis maupun rencana strategis yang telah ditetapkan.</w:t>
      </w:r>
    </w:p>
    <w:p w14:paraId="4F99CB68" w14:textId="0F7A1F47" w:rsidR="00322796" w:rsidRPr="00306115" w:rsidRDefault="006A08FC">
      <w:pPr>
        <w:pStyle w:val="HeadingAwalDaftarIsiLampiran"/>
        <w:numPr>
          <w:ilvl w:val="0"/>
          <w:numId w:val="241"/>
        </w:numPr>
        <w:ind w:left="3969" w:hanging="567"/>
      </w:pPr>
      <w:r w:rsidRPr="00306115">
        <w:t xml:space="preserve">Mekanisme pemantauan yang dilakukan harus dapat menghasilkan laporan eksposur Risiko Strategis, sebagai dasar dilakukan tindakan perbaikan yang diperlukan </w:t>
      </w:r>
      <w:r w:rsidRPr="00306115">
        <w:rPr>
          <w:lang w:val="en-GB"/>
        </w:rPr>
        <w:t xml:space="preserve">atau </w:t>
      </w:r>
      <w:r w:rsidRPr="00306115">
        <w:t xml:space="preserve">peninjauan kembali atas rencana strategis atau </w:t>
      </w:r>
      <w:r w:rsidRPr="00306115">
        <w:rPr>
          <w:lang w:val="en-GB"/>
        </w:rPr>
        <w:t>r</w:t>
      </w:r>
      <w:r w:rsidRPr="00306115">
        <w:t xml:space="preserve">encana </w:t>
      </w:r>
      <w:r w:rsidRPr="00306115">
        <w:rPr>
          <w:lang w:val="en-GB"/>
        </w:rPr>
        <w:t>b</w:t>
      </w:r>
      <w:r w:rsidRPr="00306115">
        <w:t>isnis.</w:t>
      </w:r>
    </w:p>
    <w:p w14:paraId="46785596" w14:textId="109A934F" w:rsidR="002473D4" w:rsidRPr="00306115" w:rsidRDefault="002473D4">
      <w:pPr>
        <w:pStyle w:val="HeadingAwalDaftarIsiLampiran"/>
        <w:numPr>
          <w:ilvl w:val="0"/>
          <w:numId w:val="239"/>
        </w:numPr>
        <w:ind w:left="3402" w:hanging="567"/>
      </w:pPr>
      <w:r w:rsidRPr="00306115">
        <w:t>Pengendalian Risiko</w:t>
      </w:r>
    </w:p>
    <w:p w14:paraId="0278FF9D" w14:textId="4ADFAC83" w:rsidR="007E1E5D" w:rsidRPr="00306115" w:rsidRDefault="007E1E5D">
      <w:pPr>
        <w:pStyle w:val="HeadingAwalDaftarIsiLampiran"/>
        <w:numPr>
          <w:ilvl w:val="0"/>
          <w:numId w:val="242"/>
        </w:numPr>
        <w:ind w:left="3969" w:hanging="567"/>
      </w:pPr>
      <w:r w:rsidRPr="00306115">
        <w:t xml:space="preserve">Manajer Investasi harus melakukan pengendalian atas Risiko Strategis, sesuai </w:t>
      </w:r>
      <w:r w:rsidRPr="00306115">
        <w:lastRenderedPageBreak/>
        <w:t xml:space="preserve">dengan tahapan pelaksanaan rencana strategis dan/atau </w:t>
      </w:r>
      <w:r w:rsidRPr="00306115">
        <w:rPr>
          <w:lang w:val="en-GB"/>
        </w:rPr>
        <w:t>r</w:t>
      </w:r>
      <w:r w:rsidRPr="00306115">
        <w:t xml:space="preserve">encana </w:t>
      </w:r>
      <w:r w:rsidRPr="00306115">
        <w:rPr>
          <w:lang w:val="en-GB"/>
        </w:rPr>
        <w:t>b</w:t>
      </w:r>
      <w:r w:rsidRPr="00306115">
        <w:t>isnis yang telah ditetapkan.</w:t>
      </w:r>
    </w:p>
    <w:p w14:paraId="6E3DE251" w14:textId="4D8B4C11" w:rsidR="007E1E5D" w:rsidRPr="00306115" w:rsidRDefault="00010008">
      <w:pPr>
        <w:pStyle w:val="HeadingAwalDaftarIsiLampiran"/>
        <w:numPr>
          <w:ilvl w:val="0"/>
          <w:numId w:val="242"/>
        </w:numPr>
        <w:ind w:left="3969" w:hanging="567"/>
      </w:pPr>
      <w:r w:rsidRPr="00306115">
        <w:t xml:space="preserve">Dalam penerapan pengendalian Risiko Strategis, Manajer Investasi dapat mengembangkan mekanisme dalam rangka memastikan akuntabilitas dalam setiap proses pelaksanaan rencana strategis dan/atau </w:t>
      </w:r>
      <w:r w:rsidRPr="00306115">
        <w:rPr>
          <w:lang w:val="en-GB"/>
        </w:rPr>
        <w:t>r</w:t>
      </w:r>
      <w:r w:rsidRPr="00306115">
        <w:t xml:space="preserve">encana </w:t>
      </w:r>
      <w:r w:rsidRPr="00306115">
        <w:rPr>
          <w:lang w:val="en-GB"/>
        </w:rPr>
        <w:t>b</w:t>
      </w:r>
      <w:r w:rsidRPr="00306115">
        <w:t>isnis. Mekanisme tersebut harus disetujui dan dikaji ulang secara berkala oleh Direksi untuk memastikan kesesuaiannya secara berkelanjutan.</w:t>
      </w:r>
    </w:p>
    <w:p w14:paraId="190A7E31" w14:textId="6FE1D48A" w:rsidR="002473D4" w:rsidRPr="00306115" w:rsidRDefault="002473D4">
      <w:pPr>
        <w:pStyle w:val="HeadingAwalDaftarIsiLampiran"/>
        <w:numPr>
          <w:ilvl w:val="0"/>
          <w:numId w:val="239"/>
        </w:numPr>
        <w:ind w:left="3402" w:hanging="567"/>
      </w:pPr>
      <w:r w:rsidRPr="00306115">
        <w:t>Sistem Informasi Manajemen Risiko</w:t>
      </w:r>
    </w:p>
    <w:p w14:paraId="57D852B1" w14:textId="345A6D75" w:rsidR="005F666A" w:rsidRPr="00306115" w:rsidRDefault="005F666A">
      <w:pPr>
        <w:pStyle w:val="HeadingAwalDaftarIsiLampiran"/>
        <w:numPr>
          <w:ilvl w:val="0"/>
          <w:numId w:val="243"/>
        </w:numPr>
        <w:ind w:left="3969" w:hanging="567"/>
      </w:pPr>
      <w:r w:rsidRPr="00306115">
        <w:t xml:space="preserve">Manajer Investasi harus memastikan bahwa sistem informasi manajemen risiko yang dimiliki telah memadai dalam rangka mendukung proses perencanaan, pengambilan keputusan strategis, serta pemantauan progres implementasi rencana strategis dan/atau </w:t>
      </w:r>
      <w:r w:rsidR="008A2BEA" w:rsidRPr="00306115">
        <w:rPr>
          <w:lang w:val="en-GB"/>
        </w:rPr>
        <w:t>r</w:t>
      </w:r>
      <w:r w:rsidR="008A2BEA" w:rsidRPr="00306115">
        <w:t xml:space="preserve">encana </w:t>
      </w:r>
      <w:r w:rsidR="008A2BEA" w:rsidRPr="00306115">
        <w:rPr>
          <w:lang w:val="en-GB"/>
        </w:rPr>
        <w:t>b</w:t>
      </w:r>
      <w:r w:rsidR="008A2BEA" w:rsidRPr="00306115">
        <w:t>isnis</w:t>
      </w:r>
      <w:r w:rsidRPr="00306115">
        <w:t>.</w:t>
      </w:r>
    </w:p>
    <w:p w14:paraId="38A59391" w14:textId="41C71C42" w:rsidR="005F666A" w:rsidRPr="00306115" w:rsidRDefault="00D061B9">
      <w:pPr>
        <w:pStyle w:val="HeadingAwalDaftarIsiLampiran"/>
        <w:numPr>
          <w:ilvl w:val="0"/>
          <w:numId w:val="243"/>
        </w:numPr>
        <w:ind w:left="3969" w:hanging="567"/>
      </w:pPr>
      <w:r w:rsidRPr="00306115">
        <w:t xml:space="preserve">Unit kerja atau fungsi yang melaksanakan Manajemen Risiko untuk Risiko Strategis bertanggung jawab memastikan bahwa penetapan dan pelaksanaan </w:t>
      </w:r>
      <w:r w:rsidRPr="00306115">
        <w:rPr>
          <w:lang w:val="en-GB"/>
        </w:rPr>
        <w:t>r</w:t>
      </w:r>
      <w:r w:rsidRPr="00306115">
        <w:t xml:space="preserve">encana </w:t>
      </w:r>
      <w:r w:rsidRPr="00306115">
        <w:rPr>
          <w:lang w:val="en-GB"/>
        </w:rPr>
        <w:t>s</w:t>
      </w:r>
      <w:r w:rsidRPr="00306115">
        <w:t xml:space="preserve">trategis dan/atau </w:t>
      </w:r>
      <w:r w:rsidR="008A2BEA" w:rsidRPr="00306115">
        <w:rPr>
          <w:lang w:val="en-GB"/>
        </w:rPr>
        <w:t>r</w:t>
      </w:r>
      <w:r w:rsidR="008A2BEA" w:rsidRPr="00306115">
        <w:t xml:space="preserve">encana </w:t>
      </w:r>
      <w:r w:rsidR="008A2BEA" w:rsidRPr="00306115">
        <w:rPr>
          <w:lang w:val="en-GB"/>
        </w:rPr>
        <w:t>b</w:t>
      </w:r>
      <w:r w:rsidR="008A2BEA" w:rsidRPr="00306115">
        <w:t xml:space="preserve">isnis </w:t>
      </w:r>
      <w:r w:rsidRPr="00306115">
        <w:t xml:space="preserve">disajikan secara memadai melalui sistem informasi </w:t>
      </w:r>
      <w:r w:rsidR="000B5C6C" w:rsidRPr="00306115">
        <w:t>M</w:t>
      </w:r>
      <w:r w:rsidRPr="00306115">
        <w:t xml:space="preserve">anajemen </w:t>
      </w:r>
      <w:r w:rsidR="000B5C6C" w:rsidRPr="00306115">
        <w:t>R</w:t>
      </w:r>
      <w:r w:rsidRPr="00306115">
        <w:t>isiko, sehingga menghasilkan informasi dan laporan eksposur Risiko Strategis yang akurat dan tepat waktu, yang dapat digunakan untuk pengambilan keputusan oleh Direksi dan Dewan Komisaris</w:t>
      </w:r>
      <w:r w:rsidR="00BC5038" w:rsidRPr="00306115">
        <w:t>.</w:t>
      </w:r>
    </w:p>
    <w:p w14:paraId="3D5DFA8A" w14:textId="45A399FC" w:rsidR="00BC5038" w:rsidRPr="00306115" w:rsidRDefault="004647CC">
      <w:pPr>
        <w:pStyle w:val="HeadingAwalDaftarIsiLampiran"/>
        <w:numPr>
          <w:ilvl w:val="0"/>
          <w:numId w:val="229"/>
        </w:numPr>
        <w:ind w:left="2835" w:hanging="567"/>
      </w:pPr>
      <w:r w:rsidRPr="00306115">
        <w:t xml:space="preserve">Sistem </w:t>
      </w:r>
      <w:r w:rsidRPr="00306115">
        <w:rPr>
          <w:lang w:val="en-GB"/>
        </w:rPr>
        <w:t>P</w:t>
      </w:r>
      <w:r w:rsidRPr="00306115">
        <w:t xml:space="preserve">engendalian </w:t>
      </w:r>
      <w:r w:rsidRPr="00306115">
        <w:rPr>
          <w:lang w:val="en-GB"/>
        </w:rPr>
        <w:t>I</w:t>
      </w:r>
      <w:r w:rsidRPr="00306115">
        <w:t xml:space="preserve">nternal </w:t>
      </w:r>
      <w:r w:rsidRPr="00306115">
        <w:rPr>
          <w:lang w:val="en-GB"/>
        </w:rPr>
        <w:t>yang Menyeluruh</w:t>
      </w:r>
    </w:p>
    <w:p w14:paraId="05B8949C" w14:textId="4D7847DF" w:rsidR="00BC5038" w:rsidRPr="00306115" w:rsidRDefault="008D7CEA" w:rsidP="00BC5038">
      <w:pPr>
        <w:pStyle w:val="HeadingAwalDaftarIsiLampiran"/>
        <w:numPr>
          <w:ilvl w:val="0"/>
          <w:numId w:val="0"/>
        </w:numPr>
        <w:ind w:left="2835"/>
      </w:pPr>
      <w:r w:rsidRPr="00306115">
        <w:t xml:space="preserve">Kecukupan sistem pengendalian internal dalam penerapan Manajemen Risiko untuk Risiko Strategis mengacu pada cakupan penerapan secara umum sebagaimana </w:t>
      </w:r>
      <w:r w:rsidR="00564F43" w:rsidRPr="00306115">
        <w:t xml:space="preserve">dimaksud </w:t>
      </w:r>
      <w:r w:rsidRPr="00306115">
        <w:t xml:space="preserve">pada </w:t>
      </w:r>
      <w:r w:rsidR="00564F43" w:rsidRPr="00306115">
        <w:t xml:space="preserve">Romawi </w:t>
      </w:r>
      <w:r w:rsidRPr="00306115">
        <w:t>I</w:t>
      </w:r>
      <w:r w:rsidR="00564F43" w:rsidRPr="00306115">
        <w:t xml:space="preserve"> huruf </w:t>
      </w:r>
      <w:r w:rsidRPr="00306115">
        <w:t>D</w:t>
      </w:r>
      <w:r w:rsidR="00564F43" w:rsidRPr="00306115">
        <w:t>.</w:t>
      </w:r>
    </w:p>
    <w:p w14:paraId="0A153136" w14:textId="7B482F4B" w:rsidR="001C3A6C" w:rsidRPr="00306115" w:rsidRDefault="001C3A6C">
      <w:pPr>
        <w:pStyle w:val="HeadingAwalDaftarIsiLampiran"/>
        <w:numPr>
          <w:ilvl w:val="0"/>
          <w:numId w:val="82"/>
        </w:numPr>
        <w:ind w:left="1701" w:hanging="567"/>
      </w:pPr>
      <w:r w:rsidRPr="00306115">
        <w:t>Risiko Investasi</w:t>
      </w:r>
    </w:p>
    <w:p w14:paraId="1C9158E3" w14:textId="77777777" w:rsidR="00A778DC" w:rsidRPr="00306115" w:rsidRDefault="00A778DC">
      <w:pPr>
        <w:pStyle w:val="HeadingAwalDaftarIsiLampiran"/>
        <w:numPr>
          <w:ilvl w:val="0"/>
          <w:numId w:val="92"/>
        </w:numPr>
        <w:ind w:left="2268" w:hanging="567"/>
      </w:pPr>
      <w:r w:rsidRPr="00306115">
        <w:t>Tujuan</w:t>
      </w:r>
    </w:p>
    <w:p w14:paraId="4C8F4B24" w14:textId="6284EE2D" w:rsidR="002508E7" w:rsidRPr="00306115" w:rsidRDefault="002508E7" w:rsidP="002508E7">
      <w:pPr>
        <w:pStyle w:val="HeadingAwalDaftarIsiLampiran"/>
        <w:numPr>
          <w:ilvl w:val="0"/>
          <w:numId w:val="0"/>
        </w:numPr>
        <w:ind w:left="2268"/>
      </w:pPr>
      <w:r w:rsidRPr="00306115">
        <w:t>Tujuan utama Manajemen Risiko untuk Risiko Investasi adalah untuk melindungi kondisi keuangan dan kelangsungan operasional Manajer Investasi</w:t>
      </w:r>
      <w:r w:rsidRPr="00306115">
        <w:rPr>
          <w:lang w:val="en-GB"/>
        </w:rPr>
        <w:t xml:space="preserve">, </w:t>
      </w:r>
      <w:r w:rsidRPr="00306115">
        <w:t>serta meminimalkan potensi kerugian dari penempatan investasi untuk kepentingan sendiri yang dapat mempengaruhi likuiditas dan profitabilitas Manajer Investasi.</w:t>
      </w:r>
    </w:p>
    <w:p w14:paraId="0F0BCC7E" w14:textId="77777777" w:rsidR="00A778DC" w:rsidRPr="00306115" w:rsidRDefault="00A778DC">
      <w:pPr>
        <w:pStyle w:val="HeadingAwalDaftarIsiLampiran"/>
        <w:numPr>
          <w:ilvl w:val="0"/>
          <w:numId w:val="92"/>
        </w:numPr>
        <w:ind w:left="2268" w:hanging="567"/>
      </w:pPr>
      <w:r w:rsidRPr="00306115">
        <w:t>Penerapan Manajemen Risiko</w:t>
      </w:r>
    </w:p>
    <w:p w14:paraId="6BFF0047" w14:textId="498784B8" w:rsidR="002508E7" w:rsidRPr="00306115" w:rsidRDefault="006D5B76" w:rsidP="006D5B76">
      <w:pPr>
        <w:pStyle w:val="HeadingAwalDaftarIsiLampiran"/>
        <w:numPr>
          <w:ilvl w:val="0"/>
          <w:numId w:val="0"/>
        </w:numPr>
        <w:ind w:left="2268"/>
      </w:pPr>
      <w:r w:rsidRPr="00306115">
        <w:t>Penerapan Manajemen Risiko untuk Risiko Investasi disesuaikan dengan ukuran,  kompleksitas usaha, dan kemampuan</w:t>
      </w:r>
      <w:r w:rsidRPr="00306115">
        <w:rPr>
          <w:b/>
          <w:bCs/>
          <w:i/>
          <w:iCs/>
        </w:rPr>
        <w:t xml:space="preserve"> </w:t>
      </w:r>
      <w:r w:rsidRPr="00306115">
        <w:t>Manajer Investasi. Secara umum dalam prinsip penerapan Manajemen Risiko untuk Risiko Investasi, paling sedikit mencakup:</w:t>
      </w:r>
    </w:p>
    <w:p w14:paraId="59AD6A73" w14:textId="42938C00" w:rsidR="004647CC" w:rsidRPr="00306115" w:rsidRDefault="004647CC">
      <w:pPr>
        <w:pStyle w:val="HeadingAwalDaftarIsiLampiran"/>
        <w:numPr>
          <w:ilvl w:val="0"/>
          <w:numId w:val="230"/>
        </w:numPr>
        <w:ind w:left="2835" w:hanging="567"/>
      </w:pPr>
      <w:r w:rsidRPr="00306115">
        <w:t xml:space="preserve">Pengawasan </w:t>
      </w:r>
      <w:r w:rsidRPr="00306115">
        <w:rPr>
          <w:lang w:val="en-GB"/>
        </w:rPr>
        <w:t>A</w:t>
      </w:r>
      <w:r w:rsidRPr="00306115">
        <w:t>ktif Direksi dan Dewan Komisaris</w:t>
      </w:r>
    </w:p>
    <w:p w14:paraId="6ACD486C" w14:textId="2788E5F1" w:rsidR="00A43364" w:rsidRPr="00306115" w:rsidRDefault="00A43364" w:rsidP="00A43364">
      <w:pPr>
        <w:pStyle w:val="HeadingAwalDaftarIsiLampiran"/>
        <w:numPr>
          <w:ilvl w:val="0"/>
          <w:numId w:val="0"/>
        </w:numPr>
        <w:ind w:left="2835"/>
      </w:pPr>
      <w:r w:rsidRPr="00306115">
        <w:t xml:space="preserve">Dalam melakukan penerapan Manajemen Risiko melalui pengawasan  aktif  Direksi  dan  Dewan  </w:t>
      </w:r>
      <w:r w:rsidRPr="00306115">
        <w:lastRenderedPageBreak/>
        <w:t>Komisaris untuk Risiko Investasi, selain melaksanakan pengawasan aktif sebagaimana dimaksud pada Romawi I huruf A, Manajer Investasi harus menambahkan penerapan</w:t>
      </w:r>
      <w:r w:rsidR="00DC3402" w:rsidRPr="00306115">
        <w:t>:</w:t>
      </w:r>
    </w:p>
    <w:p w14:paraId="42059594" w14:textId="058C217F" w:rsidR="00DC3402" w:rsidRPr="00306115" w:rsidRDefault="00DC3402">
      <w:pPr>
        <w:pStyle w:val="HeadingAwalDaftarIsiLampiran"/>
        <w:numPr>
          <w:ilvl w:val="0"/>
          <w:numId w:val="244"/>
        </w:numPr>
        <w:ind w:left="3402" w:hanging="567"/>
      </w:pPr>
      <w:r w:rsidRPr="00306115">
        <w:t xml:space="preserve">Kewenangan </w:t>
      </w:r>
      <w:r w:rsidR="00C449B9" w:rsidRPr="00306115">
        <w:t>dan Tanggung Jawab Direksi dan Dewan Komisaris</w:t>
      </w:r>
    </w:p>
    <w:p w14:paraId="149353E4" w14:textId="4CDFB4A3" w:rsidR="001071AC" w:rsidRPr="00306115" w:rsidRDefault="0036749E">
      <w:pPr>
        <w:pStyle w:val="HeadingAwalDaftarIsiLampiran"/>
        <w:numPr>
          <w:ilvl w:val="0"/>
          <w:numId w:val="245"/>
        </w:numPr>
        <w:ind w:left="3969" w:hanging="567"/>
      </w:pPr>
      <w:r w:rsidRPr="00306115">
        <w:t xml:space="preserve">Direksi dan Dewan Komisaris harus memastikan bahwa Manajemen Risiko untuk Risiko Investasi dilakukan secara efektif dan terdokumentasi dengan memadai pada seluruh tahapan kegiatan penempatan investasi untuk kepentingan sendiri, guna menghindari pengambilan eksposur yang tidak sejalan dengan </w:t>
      </w:r>
      <w:r w:rsidRPr="00306115">
        <w:rPr>
          <w:i/>
          <w:iCs/>
        </w:rPr>
        <w:t>risk appetite</w:t>
      </w:r>
      <w:r w:rsidRPr="00306115">
        <w:t xml:space="preserve"> Manajer Investasi, potensi kerugian yang material terhadap kondisi keuangan, serta gangguan terhadap kelangsungan operasional Manajer Investasi.</w:t>
      </w:r>
    </w:p>
    <w:p w14:paraId="52E7E483" w14:textId="7DC478B4" w:rsidR="0036749E" w:rsidRPr="00306115" w:rsidRDefault="00BC5365">
      <w:pPr>
        <w:pStyle w:val="HeadingAwalDaftarIsiLampiran"/>
        <w:numPr>
          <w:ilvl w:val="0"/>
          <w:numId w:val="245"/>
        </w:numPr>
        <w:ind w:left="3969" w:hanging="567"/>
      </w:pPr>
      <w:r w:rsidRPr="00306115">
        <w:t>Direksi harus secara berkala meninjau risiko dan kinerja portofolio investasi yang dilakukan untuk kepentingan Manajer Investasi sendiri dan memastikan dampak yang ditimbulkan oleh Risiko Investasi telah ditindaklanjuti.</w:t>
      </w:r>
    </w:p>
    <w:p w14:paraId="388B07CC" w14:textId="6B7FC3C4" w:rsidR="00BC5365" w:rsidRPr="00306115" w:rsidRDefault="00A93849">
      <w:pPr>
        <w:pStyle w:val="HeadingAwalDaftarIsiLampiran"/>
        <w:numPr>
          <w:ilvl w:val="0"/>
          <w:numId w:val="245"/>
        </w:numPr>
        <w:ind w:left="3969" w:hanging="567"/>
      </w:pPr>
      <w:r w:rsidRPr="00306115">
        <w:t>Dewan Komisaris melakukan pengawasan atas pelaksanaan Manajemen Risiko untuk Risiko Investasi oleh Direksi, termasuk melalui pembahasan berkala atas laporan risiko dan kinerja portofolio investasi yang dilakukan untuk kepentingan Manajer Investasi sendiri serta kecukupan tindak lanjut yang dilakukan Direksi.</w:t>
      </w:r>
    </w:p>
    <w:p w14:paraId="4C6AF979" w14:textId="56F84104" w:rsidR="00C449B9" w:rsidRPr="00306115" w:rsidRDefault="00C449B9">
      <w:pPr>
        <w:pStyle w:val="HeadingAwalDaftarIsiLampiran"/>
        <w:numPr>
          <w:ilvl w:val="0"/>
          <w:numId w:val="244"/>
        </w:numPr>
        <w:ind w:left="3402" w:hanging="567"/>
      </w:pPr>
      <w:r w:rsidRPr="00306115">
        <w:t>Sumber Daya Manusia</w:t>
      </w:r>
    </w:p>
    <w:p w14:paraId="43F2A448" w14:textId="01C07336" w:rsidR="00BC5ACC" w:rsidRPr="00306115" w:rsidRDefault="00BC5ACC" w:rsidP="00BC5ACC">
      <w:pPr>
        <w:pStyle w:val="HeadingAwalDaftarIsiLampiran"/>
        <w:numPr>
          <w:ilvl w:val="0"/>
          <w:numId w:val="0"/>
        </w:numPr>
        <w:ind w:left="3402"/>
      </w:pPr>
      <w:r w:rsidRPr="00306115">
        <w:t>Kecukupan sumber daya manusia untuk Risiko Investasi mengacu pada cakupan penerapan secara umum sebagaimana dimaksud pada Romawi I huruf A angka 2.</w:t>
      </w:r>
    </w:p>
    <w:p w14:paraId="791E748C" w14:textId="47EA099A" w:rsidR="00C449B9" w:rsidRPr="00306115" w:rsidRDefault="001071AC">
      <w:pPr>
        <w:pStyle w:val="HeadingAwalDaftarIsiLampiran"/>
        <w:numPr>
          <w:ilvl w:val="0"/>
          <w:numId w:val="244"/>
        </w:numPr>
        <w:ind w:left="3402" w:hanging="567"/>
      </w:pPr>
      <w:r w:rsidRPr="00306115">
        <w:t>Organisasi Manajemen Risiko</w:t>
      </w:r>
    </w:p>
    <w:p w14:paraId="21C57414" w14:textId="325106B0" w:rsidR="00BC5ACC" w:rsidRPr="00306115" w:rsidRDefault="00067AA5">
      <w:pPr>
        <w:pStyle w:val="HeadingAwalDaftarIsiLampiran"/>
        <w:numPr>
          <w:ilvl w:val="0"/>
          <w:numId w:val="246"/>
        </w:numPr>
        <w:ind w:left="3969" w:hanging="567"/>
      </w:pPr>
      <w:r w:rsidRPr="00306115">
        <w:t xml:space="preserve">Manajer Investasi memiliki fungsi investasi yang memiliki tugas, kewenangan, dan tanggung jawab paling sedikit </w:t>
      </w:r>
      <w:r w:rsidR="00451E74" w:rsidRPr="00306115">
        <w:t xml:space="preserve">sesuai dengan ketentuan </w:t>
      </w:r>
      <w:r w:rsidR="00045108" w:rsidRPr="00306115">
        <w:t xml:space="preserve">yang </w:t>
      </w:r>
      <w:r w:rsidRPr="00306115">
        <w:t xml:space="preserve">diatur </w:t>
      </w:r>
      <w:r w:rsidR="00451E74" w:rsidRPr="00306115">
        <w:t>pada</w:t>
      </w:r>
      <w:r w:rsidR="00451E74" w:rsidRPr="00306115">
        <w:rPr>
          <w:strike/>
        </w:rPr>
        <w:t xml:space="preserve"> </w:t>
      </w:r>
      <w:r w:rsidR="00A03D78" w:rsidRPr="00306115">
        <w:t xml:space="preserve">Peraturan Otoritas Jasa Keuangan </w:t>
      </w:r>
      <w:r w:rsidRPr="00306115">
        <w:t xml:space="preserve">mengenai </w:t>
      </w:r>
      <w:r w:rsidR="00A03D78" w:rsidRPr="00306115">
        <w:t xml:space="preserve">pedoman </w:t>
      </w:r>
      <w:r w:rsidRPr="00306115">
        <w:t>pelaksanaan fungsi</w:t>
      </w:r>
      <w:r w:rsidR="00A03D78" w:rsidRPr="00306115">
        <w:t>-fungsi</w:t>
      </w:r>
      <w:r w:rsidRPr="00306115">
        <w:t xml:space="preserve"> Manajer Investasi</w:t>
      </w:r>
      <w:r w:rsidR="008E720E" w:rsidRPr="00306115">
        <w:t>.</w:t>
      </w:r>
    </w:p>
    <w:p w14:paraId="44D5AE2C" w14:textId="068E9DA2" w:rsidR="008E720E" w:rsidRPr="00306115" w:rsidRDefault="00A85084">
      <w:pPr>
        <w:pStyle w:val="HeadingAwalDaftarIsiLampiran"/>
        <w:numPr>
          <w:ilvl w:val="0"/>
          <w:numId w:val="246"/>
        </w:numPr>
        <w:ind w:left="3969" w:hanging="567"/>
      </w:pPr>
      <w:r w:rsidRPr="00306115">
        <w:t>Fungsi investasi yang dilakukan oleh tim pengelola investasi yang didasarkan atas arahan komite investasi juga bertanggung jawab atas pengelolaan investasi yang dilakukan untuk kepentingan Manajer Investasi sendiri</w:t>
      </w:r>
      <w:r w:rsidRPr="00306115">
        <w:rPr>
          <w:lang w:val="en-GB"/>
        </w:rPr>
        <w:t xml:space="preserve"> dengan memperhatikan dan mendahulukan kepentingan Produk Investasi.</w:t>
      </w:r>
    </w:p>
    <w:p w14:paraId="6CD9997D" w14:textId="77777777" w:rsidR="004647CC" w:rsidRPr="00306115" w:rsidRDefault="004647CC">
      <w:pPr>
        <w:pStyle w:val="HeadingAwalDaftarIsiLampiran"/>
        <w:numPr>
          <w:ilvl w:val="0"/>
          <w:numId w:val="230"/>
        </w:numPr>
        <w:ind w:left="2835" w:hanging="567"/>
      </w:pPr>
      <w:r w:rsidRPr="00306115">
        <w:t>Kecukupan Kebijakan dan Prosedur Manajemen Risiko</w:t>
      </w:r>
    </w:p>
    <w:p w14:paraId="1E672DF8" w14:textId="00F34DC4" w:rsidR="00153B23" w:rsidRPr="00306115" w:rsidRDefault="00153B23" w:rsidP="00153B23">
      <w:pPr>
        <w:pStyle w:val="HeadingAwalDaftarIsiLampiran"/>
        <w:numPr>
          <w:ilvl w:val="0"/>
          <w:numId w:val="0"/>
        </w:numPr>
        <w:ind w:left="2835"/>
      </w:pPr>
      <w:r w:rsidRPr="00306115">
        <w:lastRenderedPageBreak/>
        <w:t xml:space="preserve">Dalam melaksanakan kebijakan dan prosedur Manajemen Risiko serta penetapan limit Risiko untuk Risiko Investasi, selain melaksanakan kebijakan dan prosedur Manajemen Risiko serta penetapan limit Risiko </w:t>
      </w:r>
      <w:r w:rsidR="00CA34E8" w:rsidRPr="00306115">
        <w:t>sebagaimana dimaksud pada Romawi I huruf B,</w:t>
      </w:r>
      <w:r w:rsidRPr="00306115">
        <w:t xml:space="preserve"> Manajer Investasi harus menambahkan penerapan:</w:t>
      </w:r>
    </w:p>
    <w:p w14:paraId="37755B59" w14:textId="02044E2B" w:rsidR="00153B23" w:rsidRPr="00306115" w:rsidRDefault="00153B23">
      <w:pPr>
        <w:pStyle w:val="HeadingAwalDaftarIsiLampiran"/>
        <w:numPr>
          <w:ilvl w:val="0"/>
          <w:numId w:val="247"/>
        </w:numPr>
        <w:ind w:left="3402" w:hanging="567"/>
      </w:pPr>
      <w:r w:rsidRPr="00306115">
        <w:t>Kebijakan dan Prosedur</w:t>
      </w:r>
    </w:p>
    <w:p w14:paraId="478226AC" w14:textId="104D38FF" w:rsidR="00CA34E8" w:rsidRPr="00306115" w:rsidRDefault="0068560D" w:rsidP="00CA34E8">
      <w:pPr>
        <w:pStyle w:val="HeadingAwalDaftarIsiLampiran"/>
        <w:numPr>
          <w:ilvl w:val="0"/>
          <w:numId w:val="0"/>
        </w:numPr>
        <w:ind w:left="3402"/>
      </w:pPr>
      <w:r w:rsidRPr="00306115">
        <w:t>Manajer Investasi harus memiliki kebijakan dan prosedur dalam pengelolaan investasi yang dilakukan untuk kepentingan Manajer Investasi sendiri yang disusun selaras dengan kebijakan dan prosedur Manajemen Risiko atas risiko lainnya, baik pada Produk Investasi maupun entitas Manajer Investasi.</w:t>
      </w:r>
    </w:p>
    <w:p w14:paraId="3DF2FA53" w14:textId="4EA40D4B" w:rsidR="00153B23" w:rsidRPr="00306115" w:rsidRDefault="00F35A99">
      <w:pPr>
        <w:pStyle w:val="HeadingAwalDaftarIsiLampiran"/>
        <w:numPr>
          <w:ilvl w:val="0"/>
          <w:numId w:val="247"/>
        </w:numPr>
        <w:ind w:left="3402" w:hanging="567"/>
      </w:pPr>
      <w:r w:rsidRPr="00306115">
        <w:t>Strategi Manajemen Risiko</w:t>
      </w:r>
    </w:p>
    <w:p w14:paraId="09044323" w14:textId="54485C1A" w:rsidR="006C25C4" w:rsidRPr="00306115" w:rsidRDefault="006C25C4" w:rsidP="006C25C4">
      <w:pPr>
        <w:pStyle w:val="HeadingAwalDaftarIsiLampiran"/>
        <w:numPr>
          <w:ilvl w:val="0"/>
          <w:numId w:val="0"/>
        </w:numPr>
        <w:ind w:left="3402"/>
      </w:pPr>
      <w:r w:rsidRPr="00306115">
        <w:t>Dalam menetapkan strategi Manajemen Risiko untuk Risiko Investasi, Manajer Investasi harus mempertimbangkan kebijakan, strategi, dan tujuan investasi yang dilakukan untuk kepentingan Manajer Investasi sendiri</w:t>
      </w:r>
      <w:r w:rsidR="001F7B6D" w:rsidRPr="00306115">
        <w:t>,</w:t>
      </w:r>
    </w:p>
    <w:p w14:paraId="1517B3E0" w14:textId="023E625C" w:rsidR="00F35A99" w:rsidRPr="00306115" w:rsidRDefault="00CA34E8">
      <w:pPr>
        <w:pStyle w:val="HeadingAwalDaftarIsiLampiran"/>
        <w:numPr>
          <w:ilvl w:val="0"/>
          <w:numId w:val="247"/>
        </w:numPr>
        <w:ind w:left="3402" w:hanging="567"/>
      </w:pPr>
      <w:r w:rsidRPr="00306115">
        <w:t>Tingkat Risiko yang akan Diambil (</w:t>
      </w:r>
      <w:r w:rsidRPr="00306115">
        <w:rPr>
          <w:i/>
          <w:iCs/>
        </w:rPr>
        <w:t>Risk Appetite</w:t>
      </w:r>
      <w:r w:rsidRPr="00306115">
        <w:t>) dan Toleransi Risiko (</w:t>
      </w:r>
      <w:r w:rsidRPr="00306115">
        <w:rPr>
          <w:i/>
          <w:iCs/>
        </w:rPr>
        <w:t>Risk Tolerance</w:t>
      </w:r>
      <w:r w:rsidRPr="00306115">
        <w:t>)</w:t>
      </w:r>
    </w:p>
    <w:p w14:paraId="28CD867F" w14:textId="4A29B1D9" w:rsidR="001F7B6D" w:rsidRPr="00306115" w:rsidRDefault="001F7B6D" w:rsidP="001F7B6D">
      <w:pPr>
        <w:pStyle w:val="HeadingAwalDaftarIsiLampiran"/>
        <w:numPr>
          <w:ilvl w:val="0"/>
          <w:numId w:val="0"/>
        </w:numPr>
        <w:ind w:left="3402"/>
      </w:pPr>
      <w:r w:rsidRPr="00306115">
        <w:t>Penetapan tingkat Risiko yang akan diambil dan toleransi Risiko untuk Risiko Investasi mengacu pada cakupan penerapan secara umum sebagaimana dimaksud pada Romawi I huruf B angka 3.</w:t>
      </w:r>
    </w:p>
    <w:p w14:paraId="4EC2674D" w14:textId="288644AF" w:rsidR="00CA34E8" w:rsidRPr="00306115" w:rsidRDefault="00CA34E8">
      <w:pPr>
        <w:pStyle w:val="HeadingAwalDaftarIsiLampiran"/>
        <w:numPr>
          <w:ilvl w:val="0"/>
          <w:numId w:val="247"/>
        </w:numPr>
        <w:ind w:left="3402" w:hanging="567"/>
      </w:pPr>
      <w:r w:rsidRPr="00306115">
        <w:t>Limit</w:t>
      </w:r>
    </w:p>
    <w:p w14:paraId="7693A12C" w14:textId="7F746022" w:rsidR="0061046C" w:rsidRPr="00306115" w:rsidRDefault="0061046C" w:rsidP="0061046C">
      <w:pPr>
        <w:pStyle w:val="HeadingAwalDaftarIsiLampiran"/>
        <w:numPr>
          <w:ilvl w:val="0"/>
          <w:numId w:val="0"/>
        </w:numPr>
        <w:ind w:left="3402"/>
      </w:pPr>
      <w:r w:rsidRPr="00306115">
        <w:t>Limit Risiko Investasi secara umum antara lain terkait dengan batasan potensi kerugian terhadap kondisi keuangan Manajer Investasi yang dapat mempengaruhi likuiditas dan profitabilitas Manajer Investasi.</w:t>
      </w:r>
    </w:p>
    <w:p w14:paraId="72E236D6" w14:textId="08C851BA" w:rsidR="004647CC" w:rsidRPr="00306115" w:rsidRDefault="004647CC">
      <w:pPr>
        <w:pStyle w:val="HeadingAwalDaftarIsiLampiran"/>
        <w:numPr>
          <w:ilvl w:val="0"/>
          <w:numId w:val="230"/>
        </w:numPr>
        <w:ind w:left="2835" w:hanging="567"/>
      </w:pPr>
      <w:r w:rsidRPr="00306115">
        <w:t>Kecukupkan Proses Identifikasi, Pengukuran, Pemantauan, dan Pengendalian Risiko</w:t>
      </w:r>
    </w:p>
    <w:p w14:paraId="086A62D2" w14:textId="4849C3E0" w:rsidR="008625A5" w:rsidRPr="00306115" w:rsidRDefault="008625A5" w:rsidP="008625A5">
      <w:pPr>
        <w:pStyle w:val="HeadingAwalDaftarIsiLampiran"/>
        <w:numPr>
          <w:ilvl w:val="0"/>
          <w:numId w:val="0"/>
        </w:numPr>
        <w:ind w:left="2835"/>
      </w:pPr>
      <w:r w:rsidRPr="00306115">
        <w:t xml:space="preserve">Dalam melakukan penerapan Manajemen Risiko melalui proses identifikasi, pengukuran, pemantauan, dan pengendalian risiko, serta sistem informasi Manajemen Risiko untuk Risiko Investasi, selain melaksanakan proses sebagaimana </w:t>
      </w:r>
      <w:r w:rsidR="00E22B6A" w:rsidRPr="00306115">
        <w:t>dimaksud pada Romawi I huruf C,</w:t>
      </w:r>
      <w:r w:rsidRPr="00306115">
        <w:t xml:space="preserve"> Manajer Investasi harus </w:t>
      </w:r>
      <w:r w:rsidR="0076058D" w:rsidRPr="00306115">
        <w:t>menambahkan penerapan:</w:t>
      </w:r>
    </w:p>
    <w:p w14:paraId="19BB68AD" w14:textId="134D62CD" w:rsidR="002860CD" w:rsidRPr="00306115" w:rsidRDefault="002860CD">
      <w:pPr>
        <w:pStyle w:val="HeadingAwalDaftarIsiLampiran"/>
        <w:numPr>
          <w:ilvl w:val="0"/>
          <w:numId w:val="248"/>
        </w:numPr>
        <w:ind w:left="3402" w:hanging="567"/>
      </w:pPr>
      <w:r w:rsidRPr="00306115">
        <w:t xml:space="preserve">Identifikasi </w:t>
      </w:r>
      <w:r w:rsidR="0099323B" w:rsidRPr="00306115">
        <w:t>Risiko</w:t>
      </w:r>
    </w:p>
    <w:p w14:paraId="4D6DEE8E" w14:textId="6739F8CB" w:rsidR="004603FE" w:rsidRPr="00306115" w:rsidRDefault="004603FE">
      <w:pPr>
        <w:pStyle w:val="HeadingAwalDaftarIsiLampiran"/>
        <w:numPr>
          <w:ilvl w:val="0"/>
          <w:numId w:val="249"/>
        </w:numPr>
        <w:ind w:left="3969" w:hanging="567"/>
      </w:pPr>
      <w:r w:rsidRPr="00306115">
        <w:t>Manajer Investasi harus memiliki metode untuk melakukan identifikasi Risiko Investasi atas penempatan investasi yang dilakukan untuk kepentingan Manajer Investasi sendiri, termasuk identifikasi atas portofolio Efek yang memiliki kesamaan atau keterkaitan dengan portofolio Efek pada Produk Investasi nasabah, guna menghindari pelanggaran terhadap ketentuan mengenai perilaku Manajer Investasi.</w:t>
      </w:r>
    </w:p>
    <w:p w14:paraId="47504E2E" w14:textId="24E93685" w:rsidR="004603FE" w:rsidRPr="00306115" w:rsidRDefault="00E25E6A">
      <w:pPr>
        <w:pStyle w:val="HeadingAwalDaftarIsiLampiran"/>
        <w:numPr>
          <w:ilvl w:val="0"/>
          <w:numId w:val="249"/>
        </w:numPr>
        <w:ind w:left="3969" w:hanging="567"/>
      </w:pPr>
      <w:r w:rsidRPr="00306115">
        <w:lastRenderedPageBreak/>
        <w:t xml:space="preserve">Dalam melakukan identifikasi Risiko </w:t>
      </w:r>
      <w:r w:rsidRPr="00306115">
        <w:rPr>
          <w:lang w:val="en-GB"/>
        </w:rPr>
        <w:t>Investasi</w:t>
      </w:r>
      <w:r w:rsidRPr="00306115">
        <w:t>, Manajer Investasi juga harus melakukan analisis terhadap eksposur risiko lain yang dapat meningkatkan Risiko Investasi, baik risiko pada Produk Investasi maupun risiko pada Manajer Investasi itu sendiri, guna mendapatkan gambaran keterkaitan secara komprehensif dan konsisten dengan kerangka Manajemen Risiko secara menyeluruh</w:t>
      </w:r>
    </w:p>
    <w:p w14:paraId="2A46F07C" w14:textId="54A7196C" w:rsidR="0099323B" w:rsidRPr="00306115" w:rsidRDefault="0099323B">
      <w:pPr>
        <w:pStyle w:val="HeadingAwalDaftarIsiLampiran"/>
        <w:numPr>
          <w:ilvl w:val="0"/>
          <w:numId w:val="248"/>
        </w:numPr>
        <w:ind w:left="3402" w:hanging="567"/>
      </w:pPr>
      <w:r w:rsidRPr="00306115">
        <w:t>Pengukuran Risiko</w:t>
      </w:r>
    </w:p>
    <w:p w14:paraId="091FBBD0" w14:textId="3503363F" w:rsidR="00A01759" w:rsidRPr="00306115" w:rsidRDefault="00A01759">
      <w:pPr>
        <w:pStyle w:val="HeadingAwalDaftarIsiLampiran"/>
        <w:numPr>
          <w:ilvl w:val="0"/>
          <w:numId w:val="250"/>
        </w:numPr>
        <w:ind w:left="3969" w:hanging="567"/>
      </w:pPr>
      <w:r w:rsidRPr="00306115">
        <w:t>Manajer Investasi harus memiliki metode untuk melakukan pengukuran Risiko Investasi secara berkala, yang dapat menggambarkan tingkat risiko atas penurunan nilai investasi yang dilakukan untuk kepentingan sendiri serta</w:t>
      </w:r>
      <w:r w:rsidRPr="00306115">
        <w:rPr>
          <w:lang w:val="en-GB"/>
        </w:rPr>
        <w:t xml:space="preserve"> potensi</w:t>
      </w:r>
      <w:r w:rsidRPr="00306115">
        <w:t xml:space="preserve"> dampak</w:t>
      </w:r>
      <w:r w:rsidRPr="00306115">
        <w:rPr>
          <w:lang w:val="en-GB"/>
        </w:rPr>
        <w:t>nya</w:t>
      </w:r>
      <w:r w:rsidRPr="00306115">
        <w:t xml:space="preserve"> terhadap kondisi keuangan Manajer Investasi.</w:t>
      </w:r>
    </w:p>
    <w:p w14:paraId="086D6715" w14:textId="40780AC6" w:rsidR="00A01759" w:rsidRPr="00306115" w:rsidRDefault="00D426F0">
      <w:pPr>
        <w:pStyle w:val="HeadingAwalDaftarIsiLampiran"/>
        <w:numPr>
          <w:ilvl w:val="0"/>
          <w:numId w:val="250"/>
        </w:numPr>
        <w:ind w:left="3969" w:hanging="567"/>
      </w:pPr>
      <w:r w:rsidRPr="00306115">
        <w:t>Metode pengukuran yang digunakan disesuaikan dengan ukuran, kompleksitas usaha, dan kemampuan Manajer Investasi.</w:t>
      </w:r>
    </w:p>
    <w:p w14:paraId="642B4D98" w14:textId="3E437FF7" w:rsidR="0099323B" w:rsidRPr="00306115" w:rsidRDefault="0099323B">
      <w:pPr>
        <w:pStyle w:val="HeadingAwalDaftarIsiLampiran"/>
        <w:numPr>
          <w:ilvl w:val="0"/>
          <w:numId w:val="248"/>
        </w:numPr>
        <w:ind w:left="3402" w:hanging="567"/>
      </w:pPr>
      <w:r w:rsidRPr="00306115">
        <w:t>Pemantauan Risiko</w:t>
      </w:r>
    </w:p>
    <w:p w14:paraId="3DB04643" w14:textId="3A92B282" w:rsidR="009B4A79" w:rsidRPr="00306115" w:rsidRDefault="009B4A79">
      <w:pPr>
        <w:pStyle w:val="HeadingAwalDaftarIsiLampiran"/>
        <w:numPr>
          <w:ilvl w:val="0"/>
          <w:numId w:val="251"/>
        </w:numPr>
        <w:ind w:left="3969" w:hanging="567"/>
      </w:pPr>
      <w:r w:rsidRPr="00306115">
        <w:t>Proses pemantauan Risiko Investasi harus dilakukan secara berkesinambungan untuk menilai perubahan profil Risiko Investasi yang melekat pada investasi yang dilakukan untuk kepentingan Manajer Investasi sendiri.</w:t>
      </w:r>
    </w:p>
    <w:p w14:paraId="5C2933A8" w14:textId="4E39326F" w:rsidR="009B4A79" w:rsidRPr="00306115" w:rsidRDefault="009D4896">
      <w:pPr>
        <w:pStyle w:val="HeadingAwalDaftarIsiLampiran"/>
        <w:numPr>
          <w:ilvl w:val="0"/>
          <w:numId w:val="251"/>
        </w:numPr>
        <w:ind w:left="3969" w:hanging="567"/>
      </w:pPr>
      <w:r w:rsidRPr="00306115">
        <w:t>Pemantauan Risiko Investasi dapat dilakukan dengan mengintegrasikan terhadap sistem perdagangan atau pengelolaan investasi yang dimiliki Manajer Investasi, sehingga informasi mengenai eksposur Risiko Investasi dapat disajikan secara akurat</w:t>
      </w:r>
      <w:r w:rsidRPr="00306115">
        <w:rPr>
          <w:lang w:val="en-GB"/>
        </w:rPr>
        <w:t xml:space="preserve"> dan </w:t>
      </w:r>
      <w:r w:rsidRPr="00306115">
        <w:t>utuh kepada Direksi.</w:t>
      </w:r>
    </w:p>
    <w:p w14:paraId="1CB583C2" w14:textId="5A7F61D7" w:rsidR="0099323B" w:rsidRPr="00306115" w:rsidRDefault="0099323B">
      <w:pPr>
        <w:pStyle w:val="HeadingAwalDaftarIsiLampiran"/>
        <w:numPr>
          <w:ilvl w:val="0"/>
          <w:numId w:val="248"/>
        </w:numPr>
        <w:ind w:left="3402" w:hanging="567"/>
      </w:pPr>
      <w:r w:rsidRPr="00306115">
        <w:t>Pengendalian Risiko</w:t>
      </w:r>
    </w:p>
    <w:p w14:paraId="0BDD6029" w14:textId="782C92B4" w:rsidR="0043354F" w:rsidRPr="00306115" w:rsidRDefault="0043354F">
      <w:pPr>
        <w:pStyle w:val="HeadingAwalDaftarIsiLampiran"/>
        <w:numPr>
          <w:ilvl w:val="0"/>
          <w:numId w:val="252"/>
        </w:numPr>
        <w:ind w:left="3969" w:hanging="567"/>
      </w:pPr>
      <w:r w:rsidRPr="00306115">
        <w:t xml:space="preserve">Proses pengendalian Risiko Investasi dilakukan dengan </w:t>
      </w:r>
      <w:r w:rsidRPr="00306115">
        <w:rPr>
          <w:lang w:val="en-GB"/>
        </w:rPr>
        <w:t xml:space="preserve">tujuan </w:t>
      </w:r>
      <w:r w:rsidRPr="00306115">
        <w:t xml:space="preserve">menjaga eksposur Risiko Investasi agar tetap berada dalam batas </w:t>
      </w:r>
      <w:r w:rsidRPr="00306115">
        <w:rPr>
          <w:i/>
          <w:iCs/>
        </w:rPr>
        <w:t>risk appetite</w:t>
      </w:r>
      <w:r w:rsidRPr="00306115">
        <w:t xml:space="preserve"> dan </w:t>
      </w:r>
      <w:r w:rsidRPr="00306115">
        <w:rPr>
          <w:i/>
          <w:iCs/>
        </w:rPr>
        <w:t>risk tolerance</w:t>
      </w:r>
      <w:r w:rsidRPr="00306115">
        <w:t xml:space="preserve"> Manajer Investasi, antara lain melalui penyesuaian posisi investasi, peninjauan kembali strategi investasi, dan/atau tindakan korektif lainnya.</w:t>
      </w:r>
    </w:p>
    <w:p w14:paraId="190B8886" w14:textId="12FE4E02" w:rsidR="0043354F" w:rsidRPr="00306115" w:rsidRDefault="001C56A0">
      <w:pPr>
        <w:pStyle w:val="HeadingAwalDaftarIsiLampiran"/>
        <w:numPr>
          <w:ilvl w:val="0"/>
          <w:numId w:val="252"/>
        </w:numPr>
        <w:ind w:left="3969" w:hanging="567"/>
      </w:pPr>
      <w:r w:rsidRPr="00306115">
        <w:t>Pengendalian Risiko Investasi dilakukan dengan menerapkan strategi investasi yang efektif dan prinsip kehati-hatian, antara lain melalui diversifikasi portofolio, penetapan dan pemantauan limit, serta metode lain yang dianggap memadai untuk mengelola Risiko Investasi.</w:t>
      </w:r>
    </w:p>
    <w:p w14:paraId="470A0FBA" w14:textId="544132AA" w:rsidR="0099323B" w:rsidRPr="00306115" w:rsidRDefault="0099323B">
      <w:pPr>
        <w:pStyle w:val="HeadingAwalDaftarIsiLampiran"/>
        <w:numPr>
          <w:ilvl w:val="0"/>
          <w:numId w:val="248"/>
        </w:numPr>
        <w:ind w:left="3402" w:hanging="567"/>
      </w:pPr>
      <w:r w:rsidRPr="00306115">
        <w:t>Sistem Informasi Manajemen Risiko</w:t>
      </w:r>
    </w:p>
    <w:p w14:paraId="2FDF399F" w14:textId="64ACAAC2" w:rsidR="004B4785" w:rsidRPr="00306115" w:rsidRDefault="004B4785">
      <w:pPr>
        <w:pStyle w:val="HeadingAwalDaftarIsiLampiran"/>
        <w:numPr>
          <w:ilvl w:val="0"/>
          <w:numId w:val="253"/>
        </w:numPr>
        <w:ind w:left="3969" w:hanging="567"/>
      </w:pPr>
      <w:r w:rsidRPr="00306115">
        <w:t xml:space="preserve">Manajer Investasi harus memiliki sistem informasi Manajemen Risiko yang memadai dan andal untuk mendukung pelaksanaan </w:t>
      </w:r>
      <w:r w:rsidRPr="00306115">
        <w:lastRenderedPageBreak/>
        <w:t>proses identifikasi, pengukuran, pemantauan, dan pengendalian, serta pelaporan Risiko Investasi.</w:t>
      </w:r>
    </w:p>
    <w:p w14:paraId="131AC9CB" w14:textId="29AC8C7B" w:rsidR="004B4785" w:rsidRPr="00306115" w:rsidRDefault="00607935">
      <w:pPr>
        <w:pStyle w:val="HeadingAwalDaftarIsiLampiran"/>
        <w:numPr>
          <w:ilvl w:val="0"/>
          <w:numId w:val="253"/>
        </w:numPr>
        <w:ind w:left="3969" w:hanging="567"/>
      </w:pPr>
      <w:r w:rsidRPr="00306115">
        <w:t xml:space="preserve">Sistem informasi </w:t>
      </w:r>
      <w:r w:rsidRPr="00306115">
        <w:rPr>
          <w:lang w:val="en-GB"/>
        </w:rPr>
        <w:t>M</w:t>
      </w:r>
      <w:r w:rsidRPr="00306115">
        <w:t xml:space="preserve">anajemen Risiko Investasi paling sedikit harus dapat mengkuantifikasi eksposur risiko, menyediakan informasi secara </w:t>
      </w:r>
      <w:r w:rsidRPr="00306115">
        <w:rPr>
          <w:i/>
          <w:iCs/>
        </w:rPr>
        <w:t>real time basis</w:t>
      </w:r>
      <w:r w:rsidRPr="00306115">
        <w:t>, dan dapat digunakan untuk memperkirakan potensi kerugian khususnya pada kondisi keuangan Manajer Investasi.</w:t>
      </w:r>
    </w:p>
    <w:p w14:paraId="64FFA11B" w14:textId="3C98B590" w:rsidR="004647CC" w:rsidRPr="00306115" w:rsidRDefault="004647CC">
      <w:pPr>
        <w:pStyle w:val="HeadingAwalDaftarIsiLampiran"/>
        <w:numPr>
          <w:ilvl w:val="0"/>
          <w:numId w:val="230"/>
        </w:numPr>
        <w:ind w:left="2835" w:hanging="567"/>
      </w:pPr>
      <w:r w:rsidRPr="00306115">
        <w:t>Sistem Pengendalian Internal yang Menyeluruh</w:t>
      </w:r>
    </w:p>
    <w:p w14:paraId="57D03C33" w14:textId="63D9644C" w:rsidR="00130183" w:rsidRPr="00306115" w:rsidRDefault="00130183" w:rsidP="00130183">
      <w:pPr>
        <w:pStyle w:val="HeadingAwalDaftarIsiLampiran"/>
        <w:numPr>
          <w:ilvl w:val="0"/>
          <w:numId w:val="0"/>
        </w:numPr>
        <w:ind w:left="2835"/>
      </w:pPr>
      <w:r w:rsidRPr="00306115">
        <w:t>Kecukupan sistem pengendalian internal dalam penerapan Manajemen Risiko untuk Risiko Investasi mengacu pada cakupan penerapan secara umum sebagaimana dimaksud pada Romawi I huruf D.</w:t>
      </w:r>
    </w:p>
    <w:p w14:paraId="68371D28" w14:textId="77777777" w:rsidR="00A35F6A" w:rsidRPr="00306115" w:rsidRDefault="00A35F6A" w:rsidP="00A35F6A">
      <w:pPr>
        <w:tabs>
          <w:tab w:val="left" w:pos="9071"/>
        </w:tabs>
        <w:spacing w:after="0" w:line="240" w:lineRule="auto"/>
        <w:ind w:left="4536"/>
        <w:rPr>
          <w:noProof/>
          <w:color w:val="000000" w:themeColor="text1"/>
          <w:szCs w:val="24"/>
        </w:rPr>
      </w:pPr>
    </w:p>
    <w:p w14:paraId="67D13BB8" w14:textId="77777777" w:rsidR="00A35F6A" w:rsidRPr="00306115" w:rsidRDefault="00A35F6A" w:rsidP="00A35F6A">
      <w:pPr>
        <w:tabs>
          <w:tab w:val="left" w:pos="9071"/>
        </w:tabs>
        <w:spacing w:after="0" w:line="240" w:lineRule="auto"/>
        <w:ind w:left="4536"/>
        <w:rPr>
          <w:noProof/>
          <w:color w:val="000000" w:themeColor="text1"/>
          <w:szCs w:val="24"/>
        </w:rPr>
      </w:pPr>
    </w:p>
    <w:p w14:paraId="7CF354DE" w14:textId="77777777" w:rsidR="00A35F6A" w:rsidRPr="00306115" w:rsidRDefault="00A35F6A" w:rsidP="00A35F6A">
      <w:pPr>
        <w:tabs>
          <w:tab w:val="left" w:pos="9071"/>
        </w:tabs>
        <w:spacing w:after="0" w:line="240" w:lineRule="auto"/>
        <w:ind w:left="4536"/>
        <w:rPr>
          <w:noProof/>
          <w:color w:val="000000" w:themeColor="text1"/>
          <w:szCs w:val="24"/>
        </w:rPr>
      </w:pPr>
    </w:p>
    <w:p w14:paraId="44D1C8C4" w14:textId="77777777" w:rsidR="00A35F6A" w:rsidRPr="00306115" w:rsidRDefault="00A35F6A" w:rsidP="00A35F6A">
      <w:pPr>
        <w:tabs>
          <w:tab w:val="left" w:pos="9071"/>
        </w:tabs>
        <w:spacing w:after="0" w:line="240" w:lineRule="auto"/>
        <w:ind w:left="4536"/>
        <w:rPr>
          <w:noProof/>
          <w:color w:val="000000" w:themeColor="text1"/>
          <w:szCs w:val="24"/>
        </w:rPr>
      </w:pPr>
    </w:p>
    <w:p w14:paraId="5D117281" w14:textId="1E0BC6AE" w:rsidR="00A35F6A" w:rsidRPr="00306115" w:rsidRDefault="00A35F6A" w:rsidP="00A35F6A">
      <w:pPr>
        <w:tabs>
          <w:tab w:val="left" w:pos="9071"/>
        </w:tabs>
        <w:spacing w:after="0" w:line="240" w:lineRule="auto"/>
        <w:ind w:left="4536"/>
        <w:rPr>
          <w:noProof/>
          <w:color w:val="000000" w:themeColor="text1"/>
          <w:szCs w:val="24"/>
        </w:rPr>
      </w:pPr>
      <w:r w:rsidRPr="00306115">
        <w:rPr>
          <w:noProof/>
          <w:color w:val="000000" w:themeColor="text1"/>
          <w:szCs w:val="24"/>
        </w:rPr>
        <w:t>Ditetapkan di Jakarta</w:t>
      </w:r>
    </w:p>
    <w:p w14:paraId="01629842" w14:textId="77777777" w:rsidR="00A35F6A" w:rsidRPr="00306115" w:rsidRDefault="00A35F6A" w:rsidP="00A35F6A">
      <w:pPr>
        <w:tabs>
          <w:tab w:val="left" w:pos="9071"/>
        </w:tabs>
        <w:spacing w:after="0" w:line="240" w:lineRule="auto"/>
        <w:ind w:left="4536"/>
        <w:rPr>
          <w:noProof/>
          <w:color w:val="000000" w:themeColor="text1"/>
          <w:szCs w:val="24"/>
        </w:rPr>
      </w:pPr>
      <w:r w:rsidRPr="00306115">
        <w:rPr>
          <w:noProof/>
          <w:color w:val="000000" w:themeColor="text1"/>
          <w:szCs w:val="24"/>
        </w:rPr>
        <w:t>pada tanggal …</w:t>
      </w:r>
    </w:p>
    <w:p w14:paraId="3E77C3D7" w14:textId="77777777" w:rsidR="00A35F6A" w:rsidRPr="00306115" w:rsidRDefault="00A35F6A" w:rsidP="00A35F6A">
      <w:pPr>
        <w:tabs>
          <w:tab w:val="left" w:pos="9071"/>
        </w:tabs>
        <w:spacing w:after="0" w:line="240" w:lineRule="auto"/>
        <w:ind w:left="4536"/>
        <w:rPr>
          <w:noProof/>
          <w:color w:val="000000" w:themeColor="text1"/>
          <w:szCs w:val="24"/>
        </w:rPr>
      </w:pPr>
    </w:p>
    <w:p w14:paraId="13A0DADD" w14:textId="77777777" w:rsidR="00A35F6A" w:rsidRPr="00306115" w:rsidRDefault="00A35F6A" w:rsidP="00A35F6A">
      <w:pPr>
        <w:tabs>
          <w:tab w:val="left" w:pos="9071"/>
        </w:tabs>
        <w:spacing w:after="0" w:line="240" w:lineRule="auto"/>
        <w:ind w:left="4536"/>
        <w:rPr>
          <w:noProof/>
          <w:color w:val="000000" w:themeColor="text1"/>
          <w:szCs w:val="24"/>
        </w:rPr>
      </w:pPr>
      <w:r w:rsidRPr="00306115">
        <w:rPr>
          <w:noProof/>
          <w:color w:val="000000" w:themeColor="text1"/>
          <w:szCs w:val="24"/>
        </w:rPr>
        <w:t>KEPALA</w:t>
      </w:r>
      <w:r w:rsidRPr="00306115">
        <w:rPr>
          <w:noProof/>
          <w:color w:val="000000" w:themeColor="text1"/>
          <w:szCs w:val="24"/>
          <w:lang w:val="en-US"/>
        </w:rPr>
        <w:t xml:space="preserve"> </w:t>
      </w:r>
      <w:r w:rsidRPr="00306115">
        <w:rPr>
          <w:noProof/>
          <w:color w:val="000000" w:themeColor="text1"/>
          <w:szCs w:val="24"/>
        </w:rPr>
        <w:t>EKSEKUTIF PENGAWAS PASAR MODAL, KEUANGAN DERIVATIF, DAN BURSA KARBON</w:t>
      </w:r>
    </w:p>
    <w:p w14:paraId="1CF9015E" w14:textId="77777777" w:rsidR="00A35F6A" w:rsidRPr="00306115" w:rsidRDefault="00A35F6A" w:rsidP="00A35F6A">
      <w:pPr>
        <w:tabs>
          <w:tab w:val="left" w:pos="9071"/>
        </w:tabs>
        <w:spacing w:after="0" w:line="240" w:lineRule="auto"/>
        <w:ind w:left="4536"/>
        <w:rPr>
          <w:noProof/>
          <w:color w:val="000000" w:themeColor="text1"/>
          <w:szCs w:val="24"/>
        </w:rPr>
      </w:pPr>
      <w:r w:rsidRPr="00306115">
        <w:rPr>
          <w:noProof/>
          <w:color w:val="000000" w:themeColor="text1"/>
          <w:szCs w:val="24"/>
        </w:rPr>
        <w:t>OTORITAS JASA KEUANGAN</w:t>
      </w:r>
    </w:p>
    <w:p w14:paraId="17B625A7" w14:textId="77777777" w:rsidR="00A35F6A" w:rsidRPr="00306115" w:rsidRDefault="00A35F6A" w:rsidP="00A35F6A">
      <w:pPr>
        <w:tabs>
          <w:tab w:val="left" w:pos="9071"/>
        </w:tabs>
        <w:spacing w:after="0" w:line="240" w:lineRule="auto"/>
        <w:ind w:left="4536"/>
        <w:rPr>
          <w:noProof/>
          <w:color w:val="000000" w:themeColor="text1"/>
          <w:szCs w:val="24"/>
        </w:rPr>
      </w:pPr>
      <w:r w:rsidRPr="00306115">
        <w:rPr>
          <w:noProof/>
          <w:color w:val="000000" w:themeColor="text1"/>
          <w:szCs w:val="24"/>
          <w:lang w:val="en-US"/>
        </w:rPr>
        <w:t>REPUBLIK INDONESIA</w:t>
      </w:r>
      <w:r w:rsidRPr="00306115">
        <w:rPr>
          <w:noProof/>
          <w:color w:val="000000" w:themeColor="text1"/>
          <w:szCs w:val="24"/>
        </w:rPr>
        <w:t>,</w:t>
      </w:r>
    </w:p>
    <w:p w14:paraId="41CF3B7A" w14:textId="77777777" w:rsidR="00A35F6A" w:rsidRPr="00306115" w:rsidRDefault="00A35F6A" w:rsidP="00A35F6A">
      <w:pPr>
        <w:spacing w:after="0" w:line="240" w:lineRule="auto"/>
        <w:ind w:left="5245" w:right="26"/>
        <w:rPr>
          <w:noProof/>
          <w:color w:val="000000" w:themeColor="text1"/>
          <w:szCs w:val="24"/>
        </w:rPr>
      </w:pPr>
    </w:p>
    <w:p w14:paraId="46299FEC" w14:textId="77777777" w:rsidR="00A35F6A" w:rsidRPr="00306115" w:rsidRDefault="00A35F6A" w:rsidP="00A35F6A">
      <w:pPr>
        <w:spacing w:after="0" w:line="240" w:lineRule="auto"/>
        <w:ind w:left="5245" w:right="26"/>
        <w:rPr>
          <w:noProof/>
          <w:color w:val="000000" w:themeColor="text1"/>
          <w:szCs w:val="24"/>
        </w:rPr>
      </w:pPr>
    </w:p>
    <w:p w14:paraId="0FAE15B9" w14:textId="77777777" w:rsidR="009C4162" w:rsidRPr="00306115" w:rsidRDefault="009C4162" w:rsidP="00A35F6A">
      <w:pPr>
        <w:spacing w:after="0" w:line="240" w:lineRule="auto"/>
        <w:ind w:left="5245" w:right="26"/>
        <w:rPr>
          <w:noProof/>
          <w:color w:val="000000" w:themeColor="text1"/>
          <w:szCs w:val="24"/>
        </w:rPr>
      </w:pPr>
    </w:p>
    <w:p w14:paraId="7BD0E46E" w14:textId="77777777" w:rsidR="009C4162" w:rsidRPr="00306115" w:rsidRDefault="009C4162" w:rsidP="00A35F6A">
      <w:pPr>
        <w:spacing w:after="0" w:line="240" w:lineRule="auto"/>
        <w:ind w:left="5245" w:right="26"/>
        <w:rPr>
          <w:noProof/>
          <w:color w:val="000000" w:themeColor="text1"/>
          <w:szCs w:val="24"/>
        </w:rPr>
      </w:pPr>
    </w:p>
    <w:p w14:paraId="45E8EA17" w14:textId="77777777" w:rsidR="00A35F6A" w:rsidRPr="00306115" w:rsidRDefault="00A35F6A" w:rsidP="00A35F6A">
      <w:pPr>
        <w:spacing w:after="0" w:line="240" w:lineRule="auto"/>
        <w:ind w:left="5245" w:right="26"/>
        <w:rPr>
          <w:noProof/>
          <w:color w:val="000000" w:themeColor="text1"/>
          <w:szCs w:val="24"/>
        </w:rPr>
      </w:pPr>
    </w:p>
    <w:p w14:paraId="7D308AFC" w14:textId="77777777" w:rsidR="001358DC" w:rsidRPr="00306115" w:rsidRDefault="00A35F6A" w:rsidP="00A35F6A">
      <w:pPr>
        <w:tabs>
          <w:tab w:val="left" w:pos="8910"/>
        </w:tabs>
        <w:spacing w:after="0" w:line="240" w:lineRule="auto"/>
        <w:ind w:left="4536"/>
        <w:jc w:val="center"/>
        <w:rPr>
          <w:noProof/>
          <w:color w:val="000000" w:themeColor="text1"/>
          <w:szCs w:val="24"/>
        </w:rPr>
        <w:sectPr w:rsidR="001358DC" w:rsidRPr="00306115" w:rsidSect="003A3967">
          <w:headerReference w:type="first" r:id="rId14"/>
          <w:pgSz w:w="11907" w:h="18711" w:code="41"/>
          <w:pgMar w:top="1418" w:right="1418" w:bottom="1418" w:left="1418" w:header="709" w:footer="709" w:gutter="0"/>
          <w:pgNumType w:fmt="numberInDash" w:start="2"/>
          <w:cols w:space="708"/>
          <w:titlePg/>
          <w:docGrid w:linePitch="360"/>
        </w:sectPr>
      </w:pPr>
      <w:r w:rsidRPr="00306115">
        <w:rPr>
          <w:noProof/>
          <w:color w:val="000000" w:themeColor="text1"/>
          <w:szCs w:val="24"/>
        </w:rPr>
        <w:t>HASAN FAWZI</w:t>
      </w:r>
    </w:p>
    <w:p w14:paraId="13694787" w14:textId="7D4B5983" w:rsidR="00A35F6A" w:rsidRPr="00306115" w:rsidRDefault="00BC01BE" w:rsidP="00BC01BE">
      <w:pPr>
        <w:tabs>
          <w:tab w:val="left" w:pos="8910"/>
        </w:tabs>
        <w:spacing w:after="0" w:line="240" w:lineRule="auto"/>
        <w:rPr>
          <w:noProof/>
          <w:color w:val="000000" w:themeColor="text1"/>
          <w:szCs w:val="24"/>
        </w:rPr>
      </w:pPr>
      <w:r w:rsidRPr="00306115">
        <w:rPr>
          <w:rFonts w:eastAsia="MS Mincho" w:cs="Arial"/>
          <w:b/>
          <w:noProof/>
          <w:color w:val="000000" w:themeColor="text1"/>
          <w:lang w:eastAsia="id-ID"/>
        </w:rPr>
        <w:lastRenderedPageBreak/>
        <w:drawing>
          <wp:anchor distT="0" distB="0" distL="114300" distR="114300" simplePos="0" relativeHeight="251669506" behindDoc="1" locked="0" layoutInCell="1" allowOverlap="1" wp14:anchorId="4EB5E1D0" wp14:editId="0054149F">
            <wp:simplePos x="0" y="0"/>
            <wp:positionH relativeFrom="margin">
              <wp:align>left</wp:align>
            </wp:positionH>
            <wp:positionV relativeFrom="paragraph">
              <wp:posOffset>0</wp:posOffset>
            </wp:positionV>
            <wp:extent cx="2333625" cy="1009650"/>
            <wp:effectExtent l="0" t="0" r="9525" b="0"/>
            <wp:wrapSquare wrapText="bothSides"/>
            <wp:docPr id="1847503571" name="Picture 1847503571" descr="A logo with a red and white letter x&#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A logo with a red and white letter x&#10;&#10;AI-generated content may be incorrect."/>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33625"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7ACCDA" w14:textId="77777777" w:rsidR="00A35F6A" w:rsidRPr="00306115" w:rsidRDefault="00A35F6A" w:rsidP="00130183">
      <w:pPr>
        <w:pStyle w:val="HeadingAwalDaftarIsiLampiran"/>
        <w:numPr>
          <w:ilvl w:val="0"/>
          <w:numId w:val="0"/>
        </w:numPr>
        <w:ind w:left="2835"/>
      </w:pPr>
    </w:p>
    <w:p w14:paraId="26C15632" w14:textId="77777777" w:rsidR="0037786D" w:rsidRPr="00306115" w:rsidRDefault="0037786D" w:rsidP="006A1B87">
      <w:pPr>
        <w:pStyle w:val="HeadingAwalDaftarIsiLampiran"/>
        <w:numPr>
          <w:ilvl w:val="0"/>
          <w:numId w:val="0"/>
        </w:numPr>
        <w:ind w:left="567"/>
      </w:pPr>
    </w:p>
    <w:p w14:paraId="4294D2A3" w14:textId="77777777" w:rsidR="009E793A" w:rsidRPr="00306115" w:rsidRDefault="009E793A" w:rsidP="006A1B87">
      <w:pPr>
        <w:pStyle w:val="HeadingAwalDaftarIsiLampiran"/>
        <w:numPr>
          <w:ilvl w:val="0"/>
          <w:numId w:val="0"/>
        </w:numPr>
        <w:ind w:left="567"/>
      </w:pPr>
    </w:p>
    <w:p w14:paraId="528E142A" w14:textId="77777777" w:rsidR="00BC01BE" w:rsidRPr="00306115" w:rsidRDefault="00BC01BE" w:rsidP="006A1B87">
      <w:pPr>
        <w:pStyle w:val="HeadingAwalDaftarIsiLampiran"/>
        <w:numPr>
          <w:ilvl w:val="0"/>
          <w:numId w:val="0"/>
        </w:numPr>
        <w:ind w:left="567"/>
      </w:pPr>
    </w:p>
    <w:p w14:paraId="69FA3F95" w14:textId="77777777" w:rsidR="00BC01BE" w:rsidRPr="00306115" w:rsidRDefault="00BC01BE" w:rsidP="006A1B87">
      <w:pPr>
        <w:pStyle w:val="HeadingAwalDaftarIsiLampiran"/>
        <w:numPr>
          <w:ilvl w:val="0"/>
          <w:numId w:val="0"/>
        </w:numPr>
        <w:ind w:left="567"/>
      </w:pPr>
    </w:p>
    <w:p w14:paraId="278601AE" w14:textId="77777777" w:rsidR="00BC01BE" w:rsidRPr="00306115" w:rsidRDefault="00BC01BE" w:rsidP="006A1B87">
      <w:pPr>
        <w:pStyle w:val="HeadingAwalDaftarIsiLampiran"/>
        <w:numPr>
          <w:ilvl w:val="0"/>
          <w:numId w:val="0"/>
        </w:numPr>
        <w:ind w:left="567"/>
      </w:pPr>
    </w:p>
    <w:p w14:paraId="7315C042" w14:textId="77777777" w:rsidR="00BC01BE" w:rsidRPr="00306115" w:rsidRDefault="00BC01BE" w:rsidP="006A1B87">
      <w:pPr>
        <w:pStyle w:val="HeadingAwalDaftarIsiLampiran"/>
        <w:numPr>
          <w:ilvl w:val="0"/>
          <w:numId w:val="0"/>
        </w:numPr>
        <w:ind w:left="567"/>
      </w:pPr>
    </w:p>
    <w:p w14:paraId="00082D61" w14:textId="77777777" w:rsidR="00BC01BE" w:rsidRPr="00306115" w:rsidRDefault="00BC01BE" w:rsidP="006A1B87">
      <w:pPr>
        <w:pStyle w:val="HeadingAwalDaftarIsiLampiran"/>
        <w:numPr>
          <w:ilvl w:val="0"/>
          <w:numId w:val="0"/>
        </w:numPr>
        <w:ind w:left="567"/>
      </w:pPr>
    </w:p>
    <w:p w14:paraId="54C19C62" w14:textId="58B10177" w:rsidR="00BC01BE" w:rsidRPr="00306115" w:rsidRDefault="00BC01BE" w:rsidP="00BC01BE">
      <w:pPr>
        <w:tabs>
          <w:tab w:val="left" w:pos="8910"/>
        </w:tabs>
        <w:spacing w:after="0" w:line="240" w:lineRule="auto"/>
        <w:ind w:right="26"/>
        <w:rPr>
          <w:noProof/>
          <w:color w:val="000000" w:themeColor="text1"/>
          <w:szCs w:val="24"/>
        </w:rPr>
      </w:pPr>
      <w:r w:rsidRPr="00306115">
        <w:rPr>
          <w:noProof/>
          <w:color w:val="000000" w:themeColor="text1"/>
          <w:szCs w:val="24"/>
        </w:rPr>
        <w:t>LAMPIRAN III</w:t>
      </w:r>
    </w:p>
    <w:p w14:paraId="229933A5" w14:textId="77777777" w:rsidR="00BC01BE" w:rsidRPr="00306115" w:rsidRDefault="00BC01BE" w:rsidP="00BC01BE">
      <w:pPr>
        <w:tabs>
          <w:tab w:val="left" w:pos="8910"/>
        </w:tabs>
        <w:spacing w:after="0" w:line="240" w:lineRule="auto"/>
        <w:ind w:right="26"/>
        <w:rPr>
          <w:noProof/>
          <w:color w:val="000000" w:themeColor="text1"/>
          <w:szCs w:val="24"/>
        </w:rPr>
      </w:pPr>
      <w:r w:rsidRPr="00306115">
        <w:rPr>
          <w:noProof/>
          <w:color w:val="000000" w:themeColor="text1"/>
          <w:szCs w:val="24"/>
        </w:rPr>
        <w:t>PERATURAN ANGGOTA DEWAN KOMISIONER OTORITAS JASA KEUANGAN</w:t>
      </w:r>
    </w:p>
    <w:p w14:paraId="6A5F1276" w14:textId="77777777" w:rsidR="00BC01BE" w:rsidRPr="00306115" w:rsidRDefault="00BC01BE" w:rsidP="00BC01BE">
      <w:pPr>
        <w:tabs>
          <w:tab w:val="left" w:pos="8910"/>
        </w:tabs>
        <w:spacing w:after="0" w:line="240" w:lineRule="auto"/>
        <w:ind w:right="26"/>
        <w:rPr>
          <w:noProof/>
          <w:color w:val="000000" w:themeColor="text1"/>
          <w:szCs w:val="24"/>
        </w:rPr>
      </w:pPr>
      <w:r w:rsidRPr="00306115">
        <w:rPr>
          <w:noProof/>
          <w:color w:val="000000" w:themeColor="text1"/>
          <w:szCs w:val="24"/>
        </w:rPr>
        <w:t>REPUBLIK INDONESIA</w:t>
      </w:r>
    </w:p>
    <w:p w14:paraId="5C542AAF" w14:textId="77777777" w:rsidR="00BC01BE" w:rsidRPr="00306115" w:rsidRDefault="00BC01BE" w:rsidP="00BC01BE">
      <w:pPr>
        <w:tabs>
          <w:tab w:val="left" w:pos="8910"/>
        </w:tabs>
        <w:spacing w:after="0" w:line="240" w:lineRule="auto"/>
        <w:ind w:right="26"/>
        <w:rPr>
          <w:noProof/>
          <w:color w:val="000000" w:themeColor="text1"/>
          <w:szCs w:val="24"/>
        </w:rPr>
      </w:pPr>
      <w:r w:rsidRPr="00306115">
        <w:rPr>
          <w:noProof/>
          <w:color w:val="000000" w:themeColor="text1"/>
          <w:szCs w:val="24"/>
        </w:rPr>
        <w:t>NOMOR ...TAHUN ...</w:t>
      </w:r>
    </w:p>
    <w:p w14:paraId="23F6520B" w14:textId="77777777" w:rsidR="00BC01BE" w:rsidRPr="00306115" w:rsidRDefault="00BC01BE" w:rsidP="00BC01BE">
      <w:pPr>
        <w:tabs>
          <w:tab w:val="left" w:pos="8910"/>
        </w:tabs>
        <w:spacing w:after="0" w:line="240" w:lineRule="auto"/>
        <w:ind w:right="26"/>
        <w:rPr>
          <w:noProof/>
          <w:color w:val="000000" w:themeColor="text1"/>
          <w:szCs w:val="24"/>
        </w:rPr>
      </w:pPr>
      <w:r w:rsidRPr="00306115">
        <w:rPr>
          <w:noProof/>
          <w:color w:val="000000" w:themeColor="text1"/>
          <w:szCs w:val="24"/>
        </w:rPr>
        <w:t>TENTANG</w:t>
      </w:r>
    </w:p>
    <w:p w14:paraId="3BB63B00" w14:textId="77777777" w:rsidR="00BC01BE" w:rsidRPr="00306115" w:rsidRDefault="00BC01BE" w:rsidP="00BC01BE">
      <w:pPr>
        <w:spacing w:after="0" w:line="240" w:lineRule="auto"/>
        <w:rPr>
          <w:noProof/>
          <w:color w:val="000000" w:themeColor="text1"/>
          <w:szCs w:val="24"/>
          <w:lang w:val="en-US"/>
        </w:rPr>
      </w:pPr>
      <w:r w:rsidRPr="00306115">
        <w:rPr>
          <w:noProof/>
          <w:color w:val="000000" w:themeColor="text1"/>
          <w:szCs w:val="24"/>
        </w:rPr>
        <w:t xml:space="preserve">PEDOMAN PENERAPAN MANAJEMEN RISIKO DAN PENILAIAN </w:t>
      </w:r>
      <w:r w:rsidRPr="00306115">
        <w:rPr>
          <w:noProof/>
          <w:color w:val="000000" w:themeColor="text1"/>
          <w:szCs w:val="24"/>
        </w:rPr>
        <w:br/>
        <w:t xml:space="preserve">TINGKAT KESEHATAN MANAJER </w:t>
      </w:r>
      <w:r w:rsidRPr="00306115">
        <w:rPr>
          <w:noProof/>
          <w:color w:val="000000" w:themeColor="text1"/>
          <w:szCs w:val="24"/>
          <w:lang w:val="en-US"/>
        </w:rPr>
        <w:t>INVESTASI</w:t>
      </w:r>
    </w:p>
    <w:p w14:paraId="7F7A0C5C" w14:textId="77777777" w:rsidR="00BC01BE" w:rsidRPr="00306115" w:rsidRDefault="00BC01BE" w:rsidP="006A1B87">
      <w:pPr>
        <w:pStyle w:val="HeadingAwalDaftarIsiLampiran"/>
        <w:numPr>
          <w:ilvl w:val="0"/>
          <w:numId w:val="0"/>
        </w:numPr>
        <w:ind w:left="567"/>
        <w:sectPr w:rsidR="00BC01BE" w:rsidRPr="00306115" w:rsidSect="003A3967">
          <w:headerReference w:type="first" r:id="rId15"/>
          <w:pgSz w:w="11907" w:h="18711" w:code="41"/>
          <w:pgMar w:top="1418" w:right="1418" w:bottom="1418" w:left="1418" w:header="709" w:footer="709" w:gutter="0"/>
          <w:pgNumType w:fmt="numberInDash" w:start="2"/>
          <w:cols w:space="708"/>
          <w:titlePg/>
          <w:docGrid w:linePitch="360"/>
        </w:sectPr>
      </w:pPr>
    </w:p>
    <w:p w14:paraId="7702B1A6" w14:textId="77777777" w:rsidR="00BF3333" w:rsidRPr="00306115" w:rsidRDefault="00D017FA" w:rsidP="00B71D00">
      <w:pPr>
        <w:pStyle w:val="HeadingAwalDaftarIsiLampiran"/>
        <w:numPr>
          <w:ilvl w:val="0"/>
          <w:numId w:val="0"/>
        </w:numPr>
        <w:jc w:val="center"/>
        <w:rPr>
          <w:b/>
          <w:bCs/>
        </w:rPr>
      </w:pPr>
      <w:r w:rsidRPr="00306115">
        <w:rPr>
          <w:b/>
          <w:bCs/>
        </w:rPr>
        <w:lastRenderedPageBreak/>
        <w:t xml:space="preserve">PEDOMAN PELAKSANAAN PENILAIAN PROFIL </w:t>
      </w:r>
      <w:r w:rsidR="00CD13F8" w:rsidRPr="00306115">
        <w:rPr>
          <w:b/>
          <w:bCs/>
        </w:rPr>
        <w:t xml:space="preserve">LIKUIDITAS ASET </w:t>
      </w:r>
    </w:p>
    <w:p w14:paraId="70E3E990" w14:textId="37A0B894" w:rsidR="00B71D00" w:rsidRPr="00306115" w:rsidRDefault="00CD13F8" w:rsidP="00B71D00">
      <w:pPr>
        <w:pStyle w:val="HeadingAwalDaftarIsiLampiran"/>
        <w:numPr>
          <w:ilvl w:val="0"/>
          <w:numId w:val="0"/>
        </w:numPr>
        <w:jc w:val="center"/>
        <w:rPr>
          <w:b/>
          <w:bCs/>
        </w:rPr>
      </w:pPr>
      <w:r w:rsidRPr="00306115">
        <w:rPr>
          <w:b/>
          <w:bCs/>
        </w:rPr>
        <w:t>DAN</w:t>
      </w:r>
      <w:r w:rsidR="00BF3333" w:rsidRPr="00306115">
        <w:rPr>
          <w:b/>
          <w:bCs/>
        </w:rPr>
        <w:t xml:space="preserve"> </w:t>
      </w:r>
      <w:r w:rsidRPr="00306115">
        <w:rPr>
          <w:b/>
          <w:bCs/>
          <w:i/>
          <w:iCs/>
        </w:rPr>
        <w:t xml:space="preserve">STRESS </w:t>
      </w:r>
      <w:r w:rsidR="00BC434A" w:rsidRPr="00306115">
        <w:rPr>
          <w:b/>
          <w:bCs/>
          <w:i/>
          <w:iCs/>
        </w:rPr>
        <w:t>TEST</w:t>
      </w:r>
      <w:r w:rsidR="00770336" w:rsidRPr="00306115">
        <w:rPr>
          <w:b/>
          <w:bCs/>
          <w:i/>
          <w:iCs/>
        </w:rPr>
        <w:t>ING</w:t>
      </w:r>
      <w:r w:rsidRPr="00306115">
        <w:rPr>
          <w:b/>
          <w:bCs/>
        </w:rPr>
        <w:t xml:space="preserve"> PRODUK INVESTASI</w:t>
      </w:r>
    </w:p>
    <w:p w14:paraId="448090FE" w14:textId="77777777" w:rsidR="00E1594E" w:rsidRPr="00306115" w:rsidRDefault="00E1594E" w:rsidP="00E1594E">
      <w:pPr>
        <w:pStyle w:val="HeadingAwalDaftarIsiLampiran"/>
        <w:numPr>
          <w:ilvl w:val="0"/>
          <w:numId w:val="0"/>
        </w:numPr>
      </w:pPr>
    </w:p>
    <w:p w14:paraId="46C4C7C8" w14:textId="30B51334" w:rsidR="00831FDC" w:rsidRPr="00306115" w:rsidRDefault="00491AA6" w:rsidP="00831FDC">
      <w:pPr>
        <w:pStyle w:val="HeadingAwalDaftarIsiLampiran"/>
        <w:numPr>
          <w:ilvl w:val="0"/>
          <w:numId w:val="0"/>
        </w:numPr>
        <w:ind w:firstLine="567"/>
      </w:pPr>
      <w:r w:rsidRPr="00306115">
        <w:t>S</w:t>
      </w:r>
      <w:r w:rsidR="00831FDC" w:rsidRPr="00306115">
        <w:t xml:space="preserve">elain </w:t>
      </w:r>
      <w:r w:rsidR="009B64C8" w:rsidRPr="00306115">
        <w:t xml:space="preserve">menerapkan </w:t>
      </w:r>
      <w:r w:rsidR="006710A6" w:rsidRPr="00306115">
        <w:t>Manajemen Risiko</w:t>
      </w:r>
      <w:r w:rsidR="00B861D9" w:rsidRPr="00306115">
        <w:t xml:space="preserve"> untuk Risiko</w:t>
      </w:r>
      <w:r w:rsidR="00B1241B" w:rsidRPr="00306115">
        <w:t xml:space="preserve"> </w:t>
      </w:r>
      <w:r w:rsidR="0078444F" w:rsidRPr="00306115">
        <w:t>Likuiditas Produk Investasi</w:t>
      </w:r>
      <w:r w:rsidR="0019474E" w:rsidRPr="00306115">
        <w:t xml:space="preserve"> sebagaimana dimaksud pada Lampiran II </w:t>
      </w:r>
      <w:r w:rsidR="002B7A4C" w:rsidRPr="00306115">
        <w:t>r</w:t>
      </w:r>
      <w:r w:rsidR="0019474E" w:rsidRPr="00306115">
        <w:t xml:space="preserve">omawi II </w:t>
      </w:r>
      <w:r w:rsidR="002B7A4C" w:rsidRPr="00306115">
        <w:t>huruf A angka 2 huruf c</w:t>
      </w:r>
      <w:r w:rsidR="00A33538" w:rsidRPr="00306115">
        <w:t>,</w:t>
      </w:r>
      <w:r w:rsidRPr="00306115">
        <w:t xml:space="preserve"> Manajer Investasi yang mengelola Produk Investasi bersifat terbuka</w:t>
      </w:r>
      <w:r w:rsidR="00A33538" w:rsidRPr="00306115">
        <w:t xml:space="preserve"> </w:t>
      </w:r>
      <w:r w:rsidR="003A7111" w:rsidRPr="00306115">
        <w:t xml:space="preserve">wajib menerapkan </w:t>
      </w:r>
      <w:r w:rsidR="0024333B" w:rsidRPr="00306115">
        <w:t xml:space="preserve">penilaian </w:t>
      </w:r>
      <w:r w:rsidR="008A733B" w:rsidRPr="00306115">
        <w:t xml:space="preserve">profil likuiditas aset dan </w:t>
      </w:r>
      <w:r w:rsidR="008A733B" w:rsidRPr="00306115">
        <w:rPr>
          <w:i/>
          <w:iCs/>
        </w:rPr>
        <w:t>stress testing</w:t>
      </w:r>
      <w:r w:rsidR="008A733B" w:rsidRPr="00306115">
        <w:t xml:space="preserve"> Produk Investasi</w:t>
      </w:r>
      <w:r w:rsidR="00510272" w:rsidRPr="00306115">
        <w:t xml:space="preserve"> sebagai berikut:</w:t>
      </w:r>
    </w:p>
    <w:p w14:paraId="55BA9D82" w14:textId="77777777" w:rsidR="00B71D00" w:rsidRPr="00306115" w:rsidRDefault="00B71D00" w:rsidP="00B71D00">
      <w:pPr>
        <w:pStyle w:val="HeadingAwalDaftarIsiLampiran"/>
        <w:numPr>
          <w:ilvl w:val="0"/>
          <w:numId w:val="0"/>
        </w:numPr>
        <w:jc w:val="center"/>
      </w:pPr>
    </w:p>
    <w:p w14:paraId="4AE088E6" w14:textId="1B2A673A" w:rsidR="00BC01BE" w:rsidRPr="00306115" w:rsidRDefault="00DD5DFA" w:rsidP="00751B3D">
      <w:pPr>
        <w:pStyle w:val="HeadingAwalDaftarIsiLampiran"/>
        <w:numPr>
          <w:ilvl w:val="7"/>
          <w:numId w:val="19"/>
        </w:numPr>
        <w:ind w:left="567" w:hanging="567"/>
      </w:pPr>
      <w:r w:rsidRPr="00306115">
        <w:t>Penilaian Secara Bulanan atas Profil Likuiditas Aset dalam Portofolio Produk Investasi</w:t>
      </w:r>
    </w:p>
    <w:p w14:paraId="5B6C49A5" w14:textId="20681378" w:rsidR="00510272" w:rsidRPr="00306115" w:rsidRDefault="00510272" w:rsidP="00510272">
      <w:pPr>
        <w:pStyle w:val="HeadingAwalDaftarIsiLampiran"/>
        <w:numPr>
          <w:ilvl w:val="0"/>
          <w:numId w:val="0"/>
        </w:numPr>
        <w:ind w:left="567" w:firstLine="567"/>
      </w:pPr>
      <w:r w:rsidRPr="00306115">
        <w:t>Dalam pelaksanaan penilaian profil likuiditas aset dalam portofolio Produk Investasi, Manajer Investasi menilai profil likuiditas (seberapa cepat aset dalam portofolio Produk Investasi ditransaksikan untuk memenuhi kebutuhan likuiditas Produk Investasi).</w:t>
      </w:r>
    </w:p>
    <w:p w14:paraId="0735318F" w14:textId="55710CD3" w:rsidR="005271AD" w:rsidRPr="00306115" w:rsidRDefault="005271AD" w:rsidP="00510272">
      <w:pPr>
        <w:pStyle w:val="HeadingAwalDaftarIsiLampiran"/>
        <w:numPr>
          <w:ilvl w:val="0"/>
          <w:numId w:val="0"/>
        </w:numPr>
        <w:ind w:left="567" w:firstLine="567"/>
      </w:pPr>
      <w:r w:rsidRPr="00306115">
        <w:t xml:space="preserve">Dalam melakukan penilaian atas profil likuiditas aset, Manajer Investasi melakukan klasifikasi aset dalam portofolio investasi menjadi beberapa </w:t>
      </w:r>
      <w:r w:rsidRPr="00306115">
        <w:rPr>
          <w:i/>
          <w:iCs/>
        </w:rPr>
        <w:t>bucket</w:t>
      </w:r>
      <w:r w:rsidRPr="00306115">
        <w:t xml:space="preserve"> dalam kategori “</w:t>
      </w:r>
      <w:r w:rsidRPr="00306115">
        <w:rPr>
          <w:i/>
          <w:iCs/>
        </w:rPr>
        <w:t>highly liquid</w:t>
      </w:r>
      <w:r w:rsidRPr="00306115">
        <w:t>”,</w:t>
      </w:r>
      <w:r w:rsidR="00D725CB" w:rsidRPr="00306115">
        <w:t xml:space="preserve"> </w:t>
      </w:r>
      <w:r w:rsidRPr="00306115">
        <w:t>”</w:t>
      </w:r>
      <w:r w:rsidRPr="00306115">
        <w:rPr>
          <w:i/>
          <w:iCs/>
        </w:rPr>
        <w:t>moderately liquid</w:t>
      </w:r>
      <w:r w:rsidRPr="00306115">
        <w:t>”,</w:t>
      </w:r>
      <w:r w:rsidR="00D725CB" w:rsidRPr="00306115">
        <w:t xml:space="preserve"> </w:t>
      </w:r>
      <w:r w:rsidRPr="00306115">
        <w:t>“</w:t>
      </w:r>
      <w:r w:rsidRPr="00306115">
        <w:rPr>
          <w:i/>
          <w:iCs/>
        </w:rPr>
        <w:t>less liquid</w:t>
      </w:r>
      <w:r w:rsidRPr="00306115">
        <w:t>”, dan “</w:t>
      </w:r>
      <w:r w:rsidRPr="00306115">
        <w:rPr>
          <w:i/>
          <w:iCs/>
        </w:rPr>
        <w:t>Illiquid</w:t>
      </w:r>
      <w:r w:rsidRPr="00306115">
        <w:t xml:space="preserve">”. Klasifikasi tersebut dilakukan dengan memperhatikan seberapa cepat aset dalam portofolio investasi dikonversi menjadi </w:t>
      </w:r>
      <w:r w:rsidRPr="00306115">
        <w:rPr>
          <w:i/>
          <w:iCs/>
        </w:rPr>
        <w:t xml:space="preserve">cash </w:t>
      </w:r>
      <w:r w:rsidRPr="00306115">
        <w:t>untuk memenuhi kebutuhan likuiditas Produk Investasi.</w:t>
      </w:r>
    </w:p>
    <w:p w14:paraId="23235D99" w14:textId="139DAF26" w:rsidR="00552140" w:rsidRPr="00306115" w:rsidRDefault="00552140" w:rsidP="00201F7E">
      <w:pPr>
        <w:pStyle w:val="HeadingAwalDaftarIsiLampiran"/>
        <w:numPr>
          <w:ilvl w:val="0"/>
          <w:numId w:val="0"/>
        </w:numPr>
        <w:ind w:left="567" w:firstLine="567"/>
      </w:pPr>
      <w:r w:rsidRPr="00306115">
        <w:t>Dalam menentukan kategori dimaksud, Manajer Investasi dapat memperhatikan beberapa faktor, sebagai contoh ilustrasi:</w:t>
      </w:r>
    </w:p>
    <w:tbl>
      <w:tblPr>
        <w:tblStyle w:val="TableGrid"/>
        <w:tblW w:w="0" w:type="auto"/>
        <w:tblInd w:w="567" w:type="dxa"/>
        <w:tblLook w:val="04A0" w:firstRow="1" w:lastRow="0" w:firstColumn="1" w:lastColumn="0" w:noHBand="0" w:noVBand="1"/>
      </w:tblPr>
      <w:tblGrid>
        <w:gridCol w:w="2972"/>
        <w:gridCol w:w="5522"/>
      </w:tblGrid>
      <w:tr w:rsidR="00EF4E6E" w:rsidRPr="00306115" w14:paraId="226E0569" w14:textId="77777777" w:rsidTr="005454DA">
        <w:tc>
          <w:tcPr>
            <w:tcW w:w="8494" w:type="dxa"/>
            <w:gridSpan w:val="2"/>
            <w:shd w:val="clear" w:color="auto" w:fill="EE0000"/>
          </w:tcPr>
          <w:p w14:paraId="5601E9AA" w14:textId="2C141FEE" w:rsidR="00EF4E6E" w:rsidRPr="00F3762E" w:rsidRDefault="00EF4E6E" w:rsidP="00EF4E6E">
            <w:pPr>
              <w:pStyle w:val="HeadingAwalDaftarIsiLampiran"/>
              <w:numPr>
                <w:ilvl w:val="0"/>
                <w:numId w:val="0"/>
              </w:numPr>
              <w:jc w:val="center"/>
              <w:rPr>
                <w:color w:val="FFFFFF" w:themeColor="background1"/>
              </w:rPr>
            </w:pPr>
            <w:r w:rsidRPr="00F3762E">
              <w:rPr>
                <w:color w:val="FFFFFF" w:themeColor="background1"/>
              </w:rPr>
              <w:t>Contoh Faktor yang Dipertimbangkan</w:t>
            </w:r>
          </w:p>
        </w:tc>
      </w:tr>
      <w:tr w:rsidR="00201F7E" w:rsidRPr="00306115" w14:paraId="329F3143" w14:textId="77777777" w:rsidTr="005454DA">
        <w:tc>
          <w:tcPr>
            <w:tcW w:w="2972" w:type="dxa"/>
          </w:tcPr>
          <w:p w14:paraId="71D26123" w14:textId="64D428B3" w:rsidR="00201F7E" w:rsidRPr="00306115" w:rsidRDefault="00EF4E6E" w:rsidP="00201F7E">
            <w:pPr>
              <w:pStyle w:val="HeadingAwalDaftarIsiLampiran"/>
              <w:numPr>
                <w:ilvl w:val="0"/>
                <w:numId w:val="0"/>
              </w:numPr>
            </w:pPr>
            <w:r w:rsidRPr="00306115">
              <w:t>Efek Bersifat Ekuitas</w:t>
            </w:r>
          </w:p>
        </w:tc>
        <w:tc>
          <w:tcPr>
            <w:tcW w:w="5522" w:type="dxa"/>
          </w:tcPr>
          <w:p w14:paraId="2EE56D4F" w14:textId="7F401691" w:rsidR="00201F7E" w:rsidRPr="00306115" w:rsidRDefault="00175ECF" w:rsidP="00175ECF">
            <w:pPr>
              <w:rPr>
                <w:i/>
                <w:iCs/>
                <w:color w:val="000000" w:themeColor="text1"/>
              </w:rPr>
            </w:pPr>
            <w:r w:rsidRPr="00306115">
              <w:rPr>
                <w:rStyle w:val="fontstyle01"/>
                <w:i w:val="0"/>
                <w:iCs w:val="0"/>
                <w:color w:val="000000" w:themeColor="text1"/>
              </w:rPr>
              <w:t>Kapitalisasi Pasar, Volume Perdagangan, Frekuensi Perdagangan, dll</w:t>
            </w:r>
          </w:p>
        </w:tc>
      </w:tr>
      <w:tr w:rsidR="00201F7E" w:rsidRPr="00306115" w14:paraId="2CE5F99A" w14:textId="77777777" w:rsidTr="005454DA">
        <w:tc>
          <w:tcPr>
            <w:tcW w:w="2972" w:type="dxa"/>
          </w:tcPr>
          <w:p w14:paraId="2031AEB5" w14:textId="7A571353" w:rsidR="00201F7E" w:rsidRPr="00306115" w:rsidRDefault="00EF4E6E" w:rsidP="00201F7E">
            <w:pPr>
              <w:pStyle w:val="HeadingAwalDaftarIsiLampiran"/>
              <w:numPr>
                <w:ilvl w:val="0"/>
                <w:numId w:val="0"/>
              </w:numPr>
            </w:pPr>
            <w:r w:rsidRPr="00306115">
              <w:t>Efek Bersifat Utang</w:t>
            </w:r>
          </w:p>
        </w:tc>
        <w:tc>
          <w:tcPr>
            <w:tcW w:w="5522" w:type="dxa"/>
          </w:tcPr>
          <w:p w14:paraId="2D0827A7" w14:textId="5305A887" w:rsidR="00201F7E" w:rsidRPr="00306115" w:rsidRDefault="00175ECF" w:rsidP="00175ECF">
            <w:pPr>
              <w:rPr>
                <w:i/>
                <w:iCs/>
                <w:color w:val="000000" w:themeColor="text1"/>
              </w:rPr>
            </w:pPr>
            <w:r w:rsidRPr="00306115">
              <w:rPr>
                <w:rStyle w:val="fontstyle01"/>
                <w:i w:val="0"/>
                <w:iCs w:val="0"/>
                <w:color w:val="000000" w:themeColor="text1"/>
              </w:rPr>
              <w:t xml:space="preserve">Tipe penerbit, Nilai/size Penerbitan, Mata Uang, Peringkat, </w:t>
            </w:r>
            <w:r w:rsidRPr="00306115">
              <w:rPr>
                <w:rStyle w:val="fontstyle21"/>
                <w:rFonts w:ascii="Bookman Old Style" w:hAnsi="Bookman Old Style"/>
                <w:i w:val="0"/>
                <w:iCs w:val="0"/>
                <w:color w:val="000000" w:themeColor="text1"/>
              </w:rPr>
              <w:t>Bid-Offer Spread</w:t>
            </w:r>
            <w:r w:rsidRPr="00306115">
              <w:rPr>
                <w:rStyle w:val="fontstyle01"/>
                <w:i w:val="0"/>
                <w:iCs w:val="0"/>
                <w:color w:val="000000" w:themeColor="text1"/>
              </w:rPr>
              <w:t>, dll</w:t>
            </w:r>
          </w:p>
        </w:tc>
      </w:tr>
    </w:tbl>
    <w:p w14:paraId="0CFF5CC1" w14:textId="77777777" w:rsidR="00201F7E" w:rsidRPr="00306115" w:rsidRDefault="00201F7E" w:rsidP="00201F7E">
      <w:pPr>
        <w:pStyle w:val="HeadingAwalDaftarIsiLampiran"/>
        <w:numPr>
          <w:ilvl w:val="0"/>
          <w:numId w:val="0"/>
        </w:numPr>
        <w:ind w:left="567"/>
      </w:pPr>
    </w:p>
    <w:p w14:paraId="7E880457" w14:textId="4049BF8B" w:rsidR="003B6040" w:rsidRPr="00306115" w:rsidRDefault="001021E2" w:rsidP="001021E2">
      <w:pPr>
        <w:pStyle w:val="HeadingAwalDaftarIsiLampiran"/>
        <w:numPr>
          <w:ilvl w:val="0"/>
          <w:numId w:val="0"/>
        </w:numPr>
        <w:ind w:left="567" w:firstLine="567"/>
      </w:pPr>
      <w:r w:rsidRPr="00306115">
        <w:t>Contoh ilustrasi praktik penilaian yang dapat dilakukan adalah sebagai berikut:</w:t>
      </w:r>
    </w:p>
    <w:p w14:paraId="12C4A410" w14:textId="40F85AC3" w:rsidR="00DD5DFA" w:rsidRPr="00306115" w:rsidRDefault="001D1EE7" w:rsidP="00DD5DFA">
      <w:pPr>
        <w:pStyle w:val="HeadingAwalDaftarIsiLampiran"/>
        <w:numPr>
          <w:ilvl w:val="0"/>
          <w:numId w:val="0"/>
        </w:numPr>
        <w:ind w:left="567"/>
      </w:pPr>
      <w:r w:rsidRPr="00306115">
        <w:drawing>
          <wp:inline distT="0" distB="0" distL="0" distR="0" wp14:anchorId="12BEB014" wp14:editId="63F3746B">
            <wp:extent cx="5398936" cy="2754390"/>
            <wp:effectExtent l="0" t="0" r="0" b="8255"/>
            <wp:docPr id="10829868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986861" name=""/>
                    <pic:cNvPicPr/>
                  </pic:nvPicPr>
                  <pic:blipFill rotWithShape="1">
                    <a:blip r:embed="rId16"/>
                    <a:srcRect r="3647"/>
                    <a:stretch>
                      <a:fillRect/>
                    </a:stretch>
                  </pic:blipFill>
                  <pic:spPr bwMode="auto">
                    <a:xfrm>
                      <a:off x="0" y="0"/>
                      <a:ext cx="5401610" cy="2755754"/>
                    </a:xfrm>
                    <a:prstGeom prst="rect">
                      <a:avLst/>
                    </a:prstGeom>
                    <a:ln>
                      <a:noFill/>
                    </a:ln>
                    <a:extLst>
                      <a:ext uri="{53640926-AAD7-44D8-BBD7-CCE9431645EC}">
                        <a14:shadowObscured xmlns:a14="http://schemas.microsoft.com/office/drawing/2010/main"/>
                      </a:ext>
                    </a:extLst>
                  </pic:spPr>
                </pic:pic>
              </a:graphicData>
            </a:graphic>
          </wp:inline>
        </w:drawing>
      </w:r>
    </w:p>
    <w:p w14:paraId="5F3FC8B2" w14:textId="71B35588" w:rsidR="005454DA" w:rsidRPr="00306115" w:rsidRDefault="00CA3FFF" w:rsidP="00CA3FFF">
      <w:pPr>
        <w:pStyle w:val="HeadingAwalDaftarIsiLampiran"/>
        <w:numPr>
          <w:ilvl w:val="0"/>
          <w:numId w:val="0"/>
        </w:numPr>
        <w:ind w:left="567" w:firstLine="567"/>
      </w:pPr>
      <w:r w:rsidRPr="00306115">
        <w:t>Asumsi dan penilaian yang dilakukan Manajer Investasi harus konsisten dengan menggunakan parameter dan pendekatan yang dapat dipertanggungjawabkan.</w:t>
      </w:r>
    </w:p>
    <w:p w14:paraId="005336C5" w14:textId="06139F38" w:rsidR="00CA3FFF" w:rsidRPr="00306115" w:rsidRDefault="00CA3FFF" w:rsidP="00CA3FFF">
      <w:pPr>
        <w:pStyle w:val="HeadingAwalDaftarIsiLampiran"/>
        <w:numPr>
          <w:ilvl w:val="0"/>
          <w:numId w:val="0"/>
        </w:numPr>
        <w:ind w:left="567" w:firstLine="567"/>
      </w:pPr>
      <w:r w:rsidRPr="00306115">
        <w:t>Setelah dilakukan penilaian kondisi per masing-masing Produk Investasi, Manajer Investasi melakukan analisis dan membuat kesimpulan menyeluruh atas kondisi seluruh Produk Investasi yang dilakukan penilaian.</w:t>
      </w:r>
    </w:p>
    <w:p w14:paraId="031E6D39" w14:textId="77777777" w:rsidR="00AA7700" w:rsidRPr="00306115" w:rsidRDefault="00AA7700" w:rsidP="00DD5DFA">
      <w:pPr>
        <w:pStyle w:val="HeadingAwalDaftarIsiLampiran"/>
        <w:numPr>
          <w:ilvl w:val="0"/>
          <w:numId w:val="0"/>
        </w:numPr>
        <w:ind w:left="567"/>
      </w:pPr>
    </w:p>
    <w:p w14:paraId="1618FFF4" w14:textId="68A25AC6" w:rsidR="00751B3D" w:rsidRPr="00306115" w:rsidRDefault="00DD5DFA" w:rsidP="00751B3D">
      <w:pPr>
        <w:pStyle w:val="HeadingAwalDaftarIsiLampiran"/>
        <w:numPr>
          <w:ilvl w:val="7"/>
          <w:numId w:val="19"/>
        </w:numPr>
        <w:ind w:left="567" w:hanging="567"/>
      </w:pPr>
      <w:r w:rsidRPr="00306115">
        <w:lastRenderedPageBreak/>
        <w:t>Penilaian Secara Bulanan atas Profil Likuiditas Pemenuhan Kewajiban dalam Portofolio Produk Investasi</w:t>
      </w:r>
    </w:p>
    <w:p w14:paraId="5CB9FBDA" w14:textId="0BC30B7F" w:rsidR="00EF208F" w:rsidRPr="00306115" w:rsidRDefault="00EF208F" w:rsidP="000A74D2">
      <w:pPr>
        <w:pStyle w:val="HeadingAwalDaftarIsiLampiran"/>
        <w:numPr>
          <w:ilvl w:val="0"/>
          <w:numId w:val="0"/>
        </w:numPr>
        <w:ind w:left="567" w:firstLine="567"/>
        <w:rPr>
          <w:i/>
          <w:iCs/>
        </w:rPr>
      </w:pPr>
      <w:r w:rsidRPr="00306115">
        <w:t xml:space="preserve">Dalam melakukan penilaian profil likuiditas yang dikaitkan dengan pemenuhan kewajiban, Manajer Investasi dapat mengembangkan </w:t>
      </w:r>
      <w:r w:rsidRPr="00306115">
        <w:rPr>
          <w:i/>
          <w:iCs/>
        </w:rPr>
        <w:t>dashboard</w:t>
      </w:r>
      <w:r w:rsidRPr="00306115">
        <w:t xml:space="preserve"> matriks </w:t>
      </w:r>
      <w:r w:rsidR="003F31A9" w:rsidRPr="00306115">
        <w:t>R</w:t>
      </w:r>
      <w:r w:rsidRPr="00306115">
        <w:t xml:space="preserve">isiko </w:t>
      </w:r>
      <w:r w:rsidR="003F31A9" w:rsidRPr="00306115">
        <w:t>L</w:t>
      </w:r>
      <w:r w:rsidRPr="00306115">
        <w:t>ikuiditas</w:t>
      </w:r>
      <w:r w:rsidR="003F31A9" w:rsidRPr="00306115">
        <w:t xml:space="preserve"> Produk Investasi</w:t>
      </w:r>
      <w:r w:rsidRPr="00306115">
        <w:t xml:space="preserve"> dengan menggunakan metode yang sesuai dengan metrik yang dibangun atau indikator likuiditas dalam berbagai skenario, seperti: jumlah hari</w:t>
      </w:r>
      <w:r w:rsidR="003F31A9" w:rsidRPr="00306115">
        <w:t xml:space="preserve">, </w:t>
      </w:r>
      <w:r w:rsidRPr="00306115">
        <w:t>biaya untuk melikuidasi aset</w:t>
      </w:r>
      <w:r w:rsidR="003F31A9" w:rsidRPr="00306115">
        <w:t xml:space="preserve">. Dan </w:t>
      </w:r>
      <w:r w:rsidRPr="00306115">
        <w:t xml:space="preserve">rasio </w:t>
      </w:r>
      <w:r w:rsidR="00A33C3B" w:rsidRPr="00306115">
        <w:rPr>
          <w:i/>
          <w:iCs/>
        </w:rPr>
        <w:t>redemption</w:t>
      </w:r>
      <w:r w:rsidRPr="00306115">
        <w:t xml:space="preserve"> (</w:t>
      </w:r>
      <w:r w:rsidR="00A33C3B" w:rsidRPr="00306115">
        <w:rPr>
          <w:i/>
          <w:iCs/>
        </w:rPr>
        <w:t>redemption</w:t>
      </w:r>
      <w:r w:rsidRPr="00306115">
        <w:rPr>
          <w:i/>
          <w:iCs/>
        </w:rPr>
        <w:t xml:space="preserve"> coverage ratio/liquid asset per </w:t>
      </w:r>
      <w:r w:rsidR="00A33C3B" w:rsidRPr="00306115">
        <w:rPr>
          <w:i/>
          <w:iCs/>
        </w:rPr>
        <w:t>redemption</w:t>
      </w:r>
      <w:r w:rsidR="00EA422A" w:rsidRPr="00306115">
        <w:t>)</w:t>
      </w:r>
      <w:r w:rsidR="000A74D2" w:rsidRPr="00306115">
        <w:rPr>
          <w:i/>
          <w:iCs/>
        </w:rPr>
        <w:t>.</w:t>
      </w:r>
    </w:p>
    <w:p w14:paraId="0850A29C" w14:textId="09DDE188" w:rsidR="00EA422A" w:rsidRPr="00306115" w:rsidRDefault="00DC568B" w:rsidP="000A74D2">
      <w:pPr>
        <w:pStyle w:val="HeadingAwalDaftarIsiLampiran"/>
        <w:numPr>
          <w:ilvl w:val="0"/>
          <w:numId w:val="0"/>
        </w:numPr>
        <w:ind w:left="567" w:firstLine="567"/>
      </w:pPr>
      <w:r w:rsidRPr="00306115">
        <w:t>Dalam melakukan penilaian pada aspek ini konsentrasi investor dan pola dari transaksi yang dilakukan investor juga kiranya menjadi aspek yang diperhatikan.</w:t>
      </w:r>
    </w:p>
    <w:p w14:paraId="1BBCE29B" w14:textId="091F8E2C" w:rsidR="00DC568B" w:rsidRPr="00306115" w:rsidRDefault="00DC568B" w:rsidP="000A74D2">
      <w:pPr>
        <w:pStyle w:val="HeadingAwalDaftarIsiLampiran"/>
        <w:numPr>
          <w:ilvl w:val="0"/>
          <w:numId w:val="0"/>
        </w:numPr>
        <w:ind w:left="567" w:firstLine="567"/>
      </w:pPr>
      <w:r w:rsidRPr="00306115">
        <w:t>Asumsi dan penilaian yang dilakukan Manajer Investasi harus konsisten dengan menggunakan parameter dan pendekatan yang dapat dipertanggungjawabkan.</w:t>
      </w:r>
    </w:p>
    <w:p w14:paraId="156E45ED" w14:textId="77777777" w:rsidR="005A10AE" w:rsidRPr="00306115" w:rsidRDefault="005A10AE" w:rsidP="000A74D2">
      <w:pPr>
        <w:pStyle w:val="HeadingAwalDaftarIsiLampiran"/>
        <w:numPr>
          <w:ilvl w:val="0"/>
          <w:numId w:val="0"/>
        </w:numPr>
        <w:ind w:left="567" w:firstLine="567"/>
      </w:pPr>
    </w:p>
    <w:p w14:paraId="3845918A" w14:textId="3AB38E7E" w:rsidR="00DC568B" w:rsidRPr="00306115" w:rsidRDefault="00D45EB4" w:rsidP="000A74D2">
      <w:pPr>
        <w:pStyle w:val="HeadingAwalDaftarIsiLampiran"/>
        <w:numPr>
          <w:ilvl w:val="0"/>
          <w:numId w:val="0"/>
        </w:numPr>
        <w:ind w:left="567" w:firstLine="567"/>
      </w:pPr>
      <w:r w:rsidRPr="00306115">
        <w:drawing>
          <wp:anchor distT="0" distB="0" distL="114300" distR="114300" simplePos="0" relativeHeight="251670530" behindDoc="0" locked="0" layoutInCell="1" allowOverlap="1" wp14:anchorId="627A9AD7" wp14:editId="0F943E92">
            <wp:simplePos x="0" y="0"/>
            <wp:positionH relativeFrom="margin">
              <wp:posOffset>313055</wp:posOffset>
            </wp:positionH>
            <wp:positionV relativeFrom="margin">
              <wp:posOffset>3799840</wp:posOffset>
            </wp:positionV>
            <wp:extent cx="5462270" cy="2910840"/>
            <wp:effectExtent l="0" t="0" r="5080" b="3810"/>
            <wp:wrapSquare wrapText="bothSides"/>
            <wp:docPr id="15770484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048410" name=""/>
                    <pic:cNvPicPr/>
                  </pic:nvPicPr>
                  <pic:blipFill rotWithShape="1">
                    <a:blip r:embed="rId17">
                      <a:extLst>
                        <a:ext uri="{28A0092B-C50C-407E-A947-70E740481C1C}">
                          <a14:useLocalDpi xmlns:a14="http://schemas.microsoft.com/office/drawing/2010/main" val="0"/>
                        </a:ext>
                      </a:extLst>
                    </a:blip>
                    <a:srcRect r="5165"/>
                    <a:stretch>
                      <a:fillRect/>
                    </a:stretch>
                  </pic:blipFill>
                  <pic:spPr bwMode="auto">
                    <a:xfrm>
                      <a:off x="0" y="0"/>
                      <a:ext cx="5462270" cy="2910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DC568B" w:rsidRPr="00306115">
        <w:t>Contoh ilustrasi praktik penilaian yang dapat dilakukan adalah sebagai berikut:</w:t>
      </w:r>
    </w:p>
    <w:p w14:paraId="3E1C34F9" w14:textId="08EEBE0B" w:rsidR="00DC568B" w:rsidRPr="00306115" w:rsidRDefault="00DC568B" w:rsidP="000A74D2">
      <w:pPr>
        <w:pStyle w:val="HeadingAwalDaftarIsiLampiran"/>
        <w:numPr>
          <w:ilvl w:val="0"/>
          <w:numId w:val="0"/>
        </w:numPr>
        <w:ind w:left="567" w:firstLine="567"/>
      </w:pPr>
    </w:p>
    <w:p w14:paraId="755AC3AD" w14:textId="3985FC79" w:rsidR="00DD5DFA" w:rsidRPr="00306115" w:rsidRDefault="00FA2637" w:rsidP="003F31A9">
      <w:pPr>
        <w:pStyle w:val="HeadingAwalDaftarIsiLampiran"/>
        <w:numPr>
          <w:ilvl w:val="0"/>
          <w:numId w:val="0"/>
        </w:numPr>
        <w:ind w:left="567" w:firstLine="567"/>
      </w:pPr>
      <w:r w:rsidRPr="00306115">
        <w:t xml:space="preserve">Setelah dilakukan penilaian kondisi per masing-masing </w:t>
      </w:r>
      <w:r w:rsidR="00905C92" w:rsidRPr="00306115">
        <w:t>P</w:t>
      </w:r>
      <w:r w:rsidRPr="00306115">
        <w:t>roduk</w:t>
      </w:r>
      <w:r w:rsidR="00905C92" w:rsidRPr="00306115">
        <w:t xml:space="preserve"> Investasi</w:t>
      </w:r>
      <w:r w:rsidRPr="00306115">
        <w:t>, Manajer Investasi melakukan analisis dan membuat kesimpulan menyeluruh atas kondisi seluruh Produk Investasi yang dilakukan penilaian</w:t>
      </w:r>
      <w:r w:rsidR="00967611" w:rsidRPr="00306115">
        <w:t>.</w:t>
      </w:r>
    </w:p>
    <w:p w14:paraId="16A74617" w14:textId="77777777" w:rsidR="00967611" w:rsidRPr="00306115" w:rsidRDefault="00967611" w:rsidP="00967611">
      <w:pPr>
        <w:pStyle w:val="HeadingAwalDaftarIsiLampiran"/>
        <w:numPr>
          <w:ilvl w:val="0"/>
          <w:numId w:val="0"/>
        </w:numPr>
        <w:ind w:left="720" w:hanging="360"/>
      </w:pPr>
    </w:p>
    <w:p w14:paraId="54A0647A" w14:textId="786F3839" w:rsidR="00DD5DFA" w:rsidRPr="00306115" w:rsidRDefault="00DD5DFA" w:rsidP="00967611">
      <w:pPr>
        <w:pStyle w:val="HeadingAwalDaftarIsiLampiran"/>
        <w:numPr>
          <w:ilvl w:val="7"/>
          <w:numId w:val="19"/>
        </w:numPr>
        <w:ind w:left="567" w:hanging="567"/>
        <w:rPr>
          <w:i/>
          <w:iCs/>
        </w:rPr>
      </w:pPr>
      <w:r w:rsidRPr="00306115">
        <w:rPr>
          <w:i/>
          <w:iCs/>
        </w:rPr>
        <w:t>Stress Testing</w:t>
      </w:r>
    </w:p>
    <w:p w14:paraId="60726F23" w14:textId="773F9518" w:rsidR="00B109F4" w:rsidRPr="00306115" w:rsidRDefault="00B109F4">
      <w:pPr>
        <w:pStyle w:val="HeadingAwalDaftarIsiLampiran"/>
        <w:numPr>
          <w:ilvl w:val="0"/>
          <w:numId w:val="426"/>
        </w:numPr>
        <w:ind w:left="1134" w:hanging="567"/>
      </w:pPr>
      <w:r w:rsidRPr="00306115">
        <w:rPr>
          <w:i/>
          <w:iCs/>
        </w:rPr>
        <w:t>Stress Testing</w:t>
      </w:r>
      <w:r w:rsidRPr="00306115">
        <w:t xml:space="preserve"> Secara Umum</w:t>
      </w:r>
    </w:p>
    <w:p w14:paraId="172A01FB" w14:textId="321990ED" w:rsidR="00967611" w:rsidRPr="00306115" w:rsidRDefault="00967611" w:rsidP="00B109F4">
      <w:pPr>
        <w:pStyle w:val="HeadingAwalDaftarIsiLampiran"/>
        <w:numPr>
          <w:ilvl w:val="0"/>
          <w:numId w:val="0"/>
        </w:numPr>
        <w:ind w:left="1134" w:firstLine="567"/>
      </w:pPr>
      <w:r w:rsidRPr="00306115">
        <w:t xml:space="preserve">Dalam melakukan pengelolaan dan manajemen risiko yang efektif, Manajer Investasi melakukan </w:t>
      </w:r>
      <w:r w:rsidRPr="00306115">
        <w:rPr>
          <w:i/>
          <w:iCs/>
        </w:rPr>
        <w:t xml:space="preserve">stress test </w:t>
      </w:r>
      <w:r w:rsidRPr="00306115">
        <w:t xml:space="preserve">yang merupakan satu kesatuan dalam kerangka manajemen risiko. </w:t>
      </w:r>
      <w:r w:rsidRPr="00306115">
        <w:rPr>
          <w:i/>
          <w:iCs/>
        </w:rPr>
        <w:t xml:space="preserve">Stress test </w:t>
      </w:r>
      <w:r w:rsidRPr="00306115">
        <w:t>dapat memberikan analisis secara umum mengenai dampak/guncangan yang mungkin terjadi pada indikator-indikator tertentu baik pada kondisi masing-masing produk investasi atau secara keseluruhan.</w:t>
      </w:r>
    </w:p>
    <w:p w14:paraId="4E040C98" w14:textId="3F5A7E7E" w:rsidR="00967611" w:rsidRPr="00306115" w:rsidRDefault="00E87939" w:rsidP="00B109F4">
      <w:pPr>
        <w:pStyle w:val="HeadingAwalDaftarIsiLampiran"/>
        <w:numPr>
          <w:ilvl w:val="0"/>
          <w:numId w:val="0"/>
        </w:numPr>
        <w:ind w:left="1134" w:firstLine="567"/>
      </w:pPr>
      <w:r w:rsidRPr="00306115">
        <w:t xml:space="preserve">Pelaksanaan </w:t>
      </w:r>
      <w:r w:rsidRPr="00306115">
        <w:rPr>
          <w:i/>
          <w:iCs/>
        </w:rPr>
        <w:t xml:space="preserve">stress test </w:t>
      </w:r>
      <w:r w:rsidRPr="00306115">
        <w:t xml:space="preserve">ini kiranya menjadi bagian dari kebijakan dan prosedur </w:t>
      </w:r>
      <w:r w:rsidR="00905C92" w:rsidRPr="00306115">
        <w:t>M</w:t>
      </w:r>
      <w:r w:rsidRPr="00306115">
        <w:t xml:space="preserve">anajemen </w:t>
      </w:r>
      <w:r w:rsidR="00905C92" w:rsidRPr="00306115">
        <w:t>R</w:t>
      </w:r>
      <w:r w:rsidRPr="00306115">
        <w:t>isiko yang secara berkelanjutan dilakukan oleh Manajer Investasi.</w:t>
      </w:r>
    </w:p>
    <w:p w14:paraId="41C387DB" w14:textId="01EB8169" w:rsidR="00E87939" w:rsidRPr="00306115" w:rsidRDefault="00E87939" w:rsidP="00B109F4">
      <w:pPr>
        <w:pStyle w:val="HeadingAwalDaftarIsiLampiran"/>
        <w:numPr>
          <w:ilvl w:val="0"/>
          <w:numId w:val="0"/>
        </w:numPr>
        <w:ind w:left="1134" w:firstLine="567"/>
      </w:pPr>
      <w:r w:rsidRPr="00306115">
        <w:t xml:space="preserve">Pelaksanaan aktivitas ini dilakukan untuk mengidentifikasi risiko yang mungkin timbul, mengukur dan menganalisis eksposur risiko dalam kondisi tertentu baik kondisi normal atau pun luar biasa, serta menentukan langkah mitigasi yang diperlukan. Atas </w:t>
      </w:r>
      <w:r w:rsidRPr="00306115">
        <w:lastRenderedPageBreak/>
        <w:t xml:space="preserve">rangkaian tersebut, proses </w:t>
      </w:r>
      <w:r w:rsidRPr="00306115">
        <w:rPr>
          <w:i/>
          <w:iCs/>
        </w:rPr>
        <w:t xml:space="preserve">back testing </w:t>
      </w:r>
      <w:r w:rsidRPr="00306115">
        <w:t>dilakukan untuk mengevaluasi desain, parameter, level sensitivitas, batasan/toleransi risiko atau pun kebijakan mitigasi yang dilakukan.</w:t>
      </w:r>
    </w:p>
    <w:p w14:paraId="68C97879" w14:textId="38D358BD" w:rsidR="004C4E44" w:rsidRPr="00306115" w:rsidRDefault="004C4E44" w:rsidP="00B109F4">
      <w:pPr>
        <w:pStyle w:val="HeadingAwalDaftarIsiLampiran"/>
        <w:numPr>
          <w:ilvl w:val="0"/>
          <w:numId w:val="0"/>
        </w:numPr>
        <w:ind w:left="1134" w:firstLine="567"/>
      </w:pPr>
      <w:r w:rsidRPr="00306115">
        <w:t>Contoh identifikasi risiko yang terkait dengan instrumen investasi dalam Produk Investasi:</w:t>
      </w:r>
    </w:p>
    <w:tbl>
      <w:tblPr>
        <w:tblStyle w:val="TableGrid"/>
        <w:tblW w:w="0" w:type="auto"/>
        <w:tblInd w:w="1129" w:type="dxa"/>
        <w:tblLook w:val="04A0" w:firstRow="1" w:lastRow="0" w:firstColumn="1" w:lastColumn="0" w:noHBand="0" w:noVBand="1"/>
      </w:tblPr>
      <w:tblGrid>
        <w:gridCol w:w="2410"/>
        <w:gridCol w:w="2410"/>
        <w:gridCol w:w="3112"/>
      </w:tblGrid>
      <w:tr w:rsidR="00F50095" w:rsidRPr="00306115" w14:paraId="29FF6B6C" w14:textId="77777777" w:rsidTr="00B109F4">
        <w:tc>
          <w:tcPr>
            <w:tcW w:w="2410" w:type="dxa"/>
            <w:shd w:val="clear" w:color="auto" w:fill="EE0000"/>
          </w:tcPr>
          <w:p w14:paraId="32EC77E9" w14:textId="709BDB59" w:rsidR="00F50095" w:rsidRPr="00F3762E" w:rsidRDefault="00F50095" w:rsidP="00F832C9">
            <w:pPr>
              <w:pStyle w:val="HeadingAwalDaftarIsiLampiran"/>
              <w:numPr>
                <w:ilvl w:val="0"/>
                <w:numId w:val="0"/>
              </w:numPr>
              <w:jc w:val="center"/>
              <w:rPr>
                <w:color w:val="FFFFFF" w:themeColor="background1"/>
              </w:rPr>
            </w:pPr>
            <w:r w:rsidRPr="00F3762E">
              <w:rPr>
                <w:color w:val="FFFFFF" w:themeColor="background1"/>
              </w:rPr>
              <w:t>Instrumen</w:t>
            </w:r>
          </w:p>
        </w:tc>
        <w:tc>
          <w:tcPr>
            <w:tcW w:w="2410" w:type="dxa"/>
            <w:shd w:val="clear" w:color="auto" w:fill="EE0000"/>
          </w:tcPr>
          <w:p w14:paraId="34C0FDFC" w14:textId="797557FB" w:rsidR="00F50095" w:rsidRPr="00F3762E" w:rsidRDefault="00F50095" w:rsidP="00F832C9">
            <w:pPr>
              <w:pStyle w:val="HeadingAwalDaftarIsiLampiran"/>
              <w:numPr>
                <w:ilvl w:val="0"/>
                <w:numId w:val="0"/>
              </w:numPr>
              <w:jc w:val="center"/>
              <w:rPr>
                <w:color w:val="FFFFFF" w:themeColor="background1"/>
              </w:rPr>
            </w:pPr>
            <w:r w:rsidRPr="00F3762E">
              <w:rPr>
                <w:color w:val="FFFFFF" w:themeColor="background1"/>
              </w:rPr>
              <w:t>Faktor Risiko</w:t>
            </w:r>
          </w:p>
        </w:tc>
        <w:tc>
          <w:tcPr>
            <w:tcW w:w="3112" w:type="dxa"/>
            <w:shd w:val="clear" w:color="auto" w:fill="EE0000"/>
          </w:tcPr>
          <w:p w14:paraId="6ADC8C4E" w14:textId="21BCE9DB" w:rsidR="00F50095" w:rsidRPr="00F3762E" w:rsidRDefault="00F50095" w:rsidP="00F832C9">
            <w:pPr>
              <w:pStyle w:val="HeadingAwalDaftarIsiLampiran"/>
              <w:numPr>
                <w:ilvl w:val="0"/>
                <w:numId w:val="0"/>
              </w:numPr>
              <w:jc w:val="center"/>
              <w:rPr>
                <w:color w:val="FFFFFF" w:themeColor="background1"/>
              </w:rPr>
            </w:pPr>
            <w:r w:rsidRPr="00F3762E">
              <w:rPr>
                <w:color w:val="FFFFFF" w:themeColor="background1"/>
              </w:rPr>
              <w:t>Indikator Risiko</w:t>
            </w:r>
          </w:p>
        </w:tc>
      </w:tr>
      <w:tr w:rsidR="00F50095" w:rsidRPr="00306115" w14:paraId="135A0879" w14:textId="77777777" w:rsidTr="00B109F4">
        <w:tc>
          <w:tcPr>
            <w:tcW w:w="2410" w:type="dxa"/>
          </w:tcPr>
          <w:p w14:paraId="77B51973" w14:textId="77777777" w:rsidR="00F50095" w:rsidRPr="00306115" w:rsidRDefault="00F50095" w:rsidP="00F50095">
            <w:pPr>
              <w:rPr>
                <w:color w:val="000000" w:themeColor="text1"/>
              </w:rPr>
            </w:pPr>
            <w:r w:rsidRPr="00306115">
              <w:rPr>
                <w:rStyle w:val="fontstyle01"/>
                <w:i w:val="0"/>
                <w:iCs w:val="0"/>
                <w:color w:val="000000" w:themeColor="text1"/>
              </w:rPr>
              <w:t>Equity instrument</w:t>
            </w:r>
          </w:p>
          <w:p w14:paraId="46C8D50B" w14:textId="77777777" w:rsidR="00F50095" w:rsidRPr="00306115" w:rsidRDefault="00F50095" w:rsidP="004C4E44">
            <w:pPr>
              <w:pStyle w:val="HeadingAwalDaftarIsiLampiran"/>
              <w:numPr>
                <w:ilvl w:val="0"/>
                <w:numId w:val="0"/>
              </w:numPr>
            </w:pPr>
          </w:p>
        </w:tc>
        <w:tc>
          <w:tcPr>
            <w:tcW w:w="2410" w:type="dxa"/>
          </w:tcPr>
          <w:p w14:paraId="7C44C9CE" w14:textId="77777777" w:rsidR="00F832C9" w:rsidRPr="00306115" w:rsidRDefault="00F832C9" w:rsidP="00F832C9">
            <w:pPr>
              <w:pStyle w:val="ListParagraph"/>
              <w:numPr>
                <w:ilvl w:val="0"/>
                <w:numId w:val="18"/>
              </w:numPr>
              <w:ind w:left="426" w:right="142" w:hanging="284"/>
              <w:rPr>
                <w:rStyle w:val="fontstyle01"/>
                <w:i w:val="0"/>
                <w:iCs w:val="0"/>
                <w:color w:val="000000" w:themeColor="text1"/>
                <w:szCs w:val="22"/>
              </w:rPr>
            </w:pPr>
            <w:r w:rsidRPr="00306115">
              <w:rPr>
                <w:rStyle w:val="fontstyle01"/>
                <w:i w:val="0"/>
                <w:iCs w:val="0"/>
                <w:color w:val="000000" w:themeColor="text1"/>
              </w:rPr>
              <w:t>Equity risk</w:t>
            </w:r>
          </w:p>
          <w:p w14:paraId="37512DCA" w14:textId="77777777" w:rsidR="00F832C9" w:rsidRPr="00306115" w:rsidRDefault="00F832C9" w:rsidP="00F832C9">
            <w:pPr>
              <w:pStyle w:val="ListParagraph"/>
              <w:numPr>
                <w:ilvl w:val="0"/>
                <w:numId w:val="18"/>
              </w:numPr>
              <w:ind w:left="426" w:right="142" w:hanging="284"/>
              <w:rPr>
                <w:rStyle w:val="fontstyle01"/>
                <w:i w:val="0"/>
                <w:iCs w:val="0"/>
                <w:color w:val="000000" w:themeColor="text1"/>
                <w:szCs w:val="22"/>
              </w:rPr>
            </w:pPr>
            <w:r w:rsidRPr="00306115">
              <w:rPr>
                <w:rStyle w:val="fontstyle01"/>
                <w:i w:val="0"/>
                <w:iCs w:val="0"/>
                <w:color w:val="000000" w:themeColor="text1"/>
              </w:rPr>
              <w:t>Volatility risk</w:t>
            </w:r>
          </w:p>
          <w:p w14:paraId="087FCEEE" w14:textId="77777777" w:rsidR="00F832C9" w:rsidRPr="00306115" w:rsidRDefault="00F832C9" w:rsidP="00F832C9">
            <w:pPr>
              <w:pStyle w:val="ListParagraph"/>
              <w:numPr>
                <w:ilvl w:val="0"/>
                <w:numId w:val="18"/>
              </w:numPr>
              <w:ind w:left="426" w:right="142" w:hanging="284"/>
              <w:rPr>
                <w:rStyle w:val="fontstyle01"/>
                <w:i w:val="0"/>
                <w:iCs w:val="0"/>
                <w:color w:val="000000" w:themeColor="text1"/>
                <w:szCs w:val="22"/>
              </w:rPr>
            </w:pPr>
            <w:r w:rsidRPr="00306115">
              <w:rPr>
                <w:rStyle w:val="fontstyle01"/>
                <w:i w:val="0"/>
                <w:iCs w:val="0"/>
                <w:color w:val="000000" w:themeColor="text1"/>
              </w:rPr>
              <w:t>Liquidity risk</w:t>
            </w:r>
          </w:p>
          <w:p w14:paraId="3C587BCC" w14:textId="354DE610" w:rsidR="00F832C9" w:rsidRPr="00306115" w:rsidRDefault="00F832C9" w:rsidP="00F832C9">
            <w:pPr>
              <w:pStyle w:val="ListParagraph"/>
              <w:numPr>
                <w:ilvl w:val="0"/>
                <w:numId w:val="18"/>
              </w:numPr>
              <w:ind w:left="426" w:right="142" w:hanging="284"/>
              <w:rPr>
                <w:i/>
                <w:iCs/>
                <w:color w:val="000000" w:themeColor="text1"/>
              </w:rPr>
            </w:pPr>
            <w:r w:rsidRPr="00306115">
              <w:rPr>
                <w:rStyle w:val="fontstyle01"/>
                <w:i w:val="0"/>
                <w:iCs w:val="0"/>
                <w:color w:val="000000" w:themeColor="text1"/>
              </w:rPr>
              <w:t>Counterparty risk</w:t>
            </w:r>
          </w:p>
          <w:p w14:paraId="21A1D36D" w14:textId="77777777" w:rsidR="00F50095" w:rsidRPr="00306115" w:rsidRDefault="00F50095" w:rsidP="004C4E44">
            <w:pPr>
              <w:pStyle w:val="HeadingAwalDaftarIsiLampiran"/>
              <w:numPr>
                <w:ilvl w:val="0"/>
                <w:numId w:val="0"/>
              </w:numPr>
            </w:pPr>
          </w:p>
        </w:tc>
        <w:tc>
          <w:tcPr>
            <w:tcW w:w="3112" w:type="dxa"/>
          </w:tcPr>
          <w:p w14:paraId="7144CF58" w14:textId="77777777" w:rsidR="00F50095" w:rsidRPr="00306115" w:rsidRDefault="00B83205" w:rsidP="00B83205">
            <w:pPr>
              <w:pStyle w:val="HeadingAwalDaftarIsiLampiran"/>
              <w:numPr>
                <w:ilvl w:val="0"/>
                <w:numId w:val="18"/>
              </w:numPr>
              <w:ind w:left="426" w:right="142" w:hanging="284"/>
            </w:pPr>
            <w:r w:rsidRPr="00306115">
              <w:t>Exposure</w:t>
            </w:r>
          </w:p>
          <w:p w14:paraId="7AA26EA8" w14:textId="77777777" w:rsidR="00B83205" w:rsidRPr="00306115" w:rsidRDefault="00B83205" w:rsidP="00B83205">
            <w:pPr>
              <w:pStyle w:val="HeadingAwalDaftarIsiLampiran"/>
              <w:numPr>
                <w:ilvl w:val="0"/>
                <w:numId w:val="18"/>
              </w:numPr>
              <w:ind w:left="426" w:right="142" w:hanging="284"/>
            </w:pPr>
            <w:r w:rsidRPr="00306115">
              <w:t>Volatility</w:t>
            </w:r>
          </w:p>
          <w:p w14:paraId="625E1D31" w14:textId="77777777" w:rsidR="00B83205" w:rsidRPr="00306115" w:rsidRDefault="00B83205" w:rsidP="00B83205">
            <w:pPr>
              <w:pStyle w:val="HeadingAwalDaftarIsiLampiran"/>
              <w:numPr>
                <w:ilvl w:val="0"/>
                <w:numId w:val="18"/>
              </w:numPr>
              <w:ind w:left="426" w:right="142" w:hanging="284"/>
            </w:pPr>
            <w:r w:rsidRPr="00306115">
              <w:t>VaR</w:t>
            </w:r>
          </w:p>
          <w:p w14:paraId="347A04DC" w14:textId="0D5992B9" w:rsidR="00B83205" w:rsidRPr="00306115" w:rsidRDefault="00B83205" w:rsidP="00B83205">
            <w:pPr>
              <w:pStyle w:val="HeadingAwalDaftarIsiLampiran"/>
              <w:numPr>
                <w:ilvl w:val="0"/>
                <w:numId w:val="18"/>
              </w:numPr>
              <w:ind w:left="426" w:right="142" w:hanging="284"/>
            </w:pPr>
            <w:r w:rsidRPr="00306115">
              <w:t>Cvar</w:t>
            </w:r>
          </w:p>
          <w:p w14:paraId="02D0057C" w14:textId="77777777" w:rsidR="00B83205" w:rsidRPr="00306115" w:rsidRDefault="00B83205" w:rsidP="00B83205">
            <w:pPr>
              <w:pStyle w:val="HeadingAwalDaftarIsiLampiran"/>
              <w:numPr>
                <w:ilvl w:val="0"/>
                <w:numId w:val="18"/>
              </w:numPr>
              <w:ind w:left="426" w:right="142" w:hanging="284"/>
            </w:pPr>
            <w:r w:rsidRPr="00306115">
              <w:t>Sensi</w:t>
            </w:r>
            <w:r w:rsidR="00456C60" w:rsidRPr="00306115">
              <w:t>tivity</w:t>
            </w:r>
          </w:p>
          <w:p w14:paraId="5838BA90" w14:textId="1DFEB9A4" w:rsidR="00456C60" w:rsidRPr="00306115" w:rsidRDefault="00456C60" w:rsidP="00456C60">
            <w:pPr>
              <w:pStyle w:val="HeadingAwalDaftarIsiLampiran"/>
              <w:numPr>
                <w:ilvl w:val="0"/>
                <w:numId w:val="18"/>
              </w:numPr>
              <w:ind w:left="426" w:right="142" w:hanging="284"/>
            </w:pPr>
            <w:r w:rsidRPr="00306115">
              <w:t>Country risk score (jika relevan)</w:t>
            </w:r>
          </w:p>
        </w:tc>
      </w:tr>
      <w:tr w:rsidR="00F50095" w:rsidRPr="00306115" w14:paraId="42FB8F52" w14:textId="77777777" w:rsidTr="00B109F4">
        <w:tc>
          <w:tcPr>
            <w:tcW w:w="2410" w:type="dxa"/>
          </w:tcPr>
          <w:p w14:paraId="0003BB7D" w14:textId="4F625574" w:rsidR="00F50095" w:rsidRPr="00306115" w:rsidRDefault="00F50095" w:rsidP="00F50095">
            <w:pPr>
              <w:rPr>
                <w:i/>
                <w:iCs/>
                <w:color w:val="000000" w:themeColor="text1"/>
              </w:rPr>
            </w:pPr>
            <w:r w:rsidRPr="00306115">
              <w:rPr>
                <w:rStyle w:val="fontstyle01"/>
                <w:i w:val="0"/>
                <w:iCs w:val="0"/>
                <w:color w:val="000000" w:themeColor="text1"/>
              </w:rPr>
              <w:t>Fixed income instrument</w:t>
            </w:r>
          </w:p>
        </w:tc>
        <w:tc>
          <w:tcPr>
            <w:tcW w:w="2410" w:type="dxa"/>
          </w:tcPr>
          <w:p w14:paraId="71E617AF" w14:textId="77777777" w:rsidR="00F832C9" w:rsidRPr="00306115" w:rsidRDefault="00F832C9" w:rsidP="00F832C9">
            <w:pPr>
              <w:pStyle w:val="ListParagraph"/>
              <w:numPr>
                <w:ilvl w:val="0"/>
                <w:numId w:val="18"/>
              </w:numPr>
              <w:ind w:left="426" w:right="142" w:hanging="284"/>
              <w:rPr>
                <w:i/>
                <w:iCs/>
                <w:color w:val="000000" w:themeColor="text1"/>
              </w:rPr>
            </w:pPr>
            <w:r w:rsidRPr="00306115">
              <w:rPr>
                <w:rStyle w:val="fontstyle01"/>
                <w:i w:val="0"/>
                <w:iCs w:val="0"/>
                <w:color w:val="000000" w:themeColor="text1"/>
              </w:rPr>
              <w:t>Interest rate risk</w:t>
            </w:r>
          </w:p>
          <w:p w14:paraId="6F89902D" w14:textId="01B85936" w:rsidR="00F832C9" w:rsidRPr="00306115" w:rsidRDefault="00F832C9" w:rsidP="00F832C9">
            <w:pPr>
              <w:pStyle w:val="ListParagraph"/>
              <w:numPr>
                <w:ilvl w:val="0"/>
                <w:numId w:val="18"/>
              </w:numPr>
              <w:ind w:left="426" w:right="142" w:hanging="284"/>
              <w:rPr>
                <w:rStyle w:val="fontstyle01"/>
                <w:i w:val="0"/>
                <w:iCs w:val="0"/>
                <w:color w:val="000000" w:themeColor="text1"/>
                <w:szCs w:val="22"/>
              </w:rPr>
            </w:pPr>
            <w:r w:rsidRPr="00306115">
              <w:rPr>
                <w:rStyle w:val="fontstyle01"/>
                <w:i w:val="0"/>
                <w:iCs w:val="0"/>
                <w:color w:val="000000" w:themeColor="text1"/>
              </w:rPr>
              <w:t>Credit risk</w:t>
            </w:r>
          </w:p>
          <w:p w14:paraId="0B6D10CD" w14:textId="77777777" w:rsidR="00F832C9" w:rsidRPr="00306115" w:rsidRDefault="00F832C9" w:rsidP="00F832C9">
            <w:pPr>
              <w:pStyle w:val="ListParagraph"/>
              <w:numPr>
                <w:ilvl w:val="0"/>
                <w:numId w:val="18"/>
              </w:numPr>
              <w:ind w:left="426" w:right="142" w:hanging="284"/>
              <w:rPr>
                <w:rStyle w:val="fontstyle01"/>
                <w:i w:val="0"/>
                <w:iCs w:val="0"/>
                <w:color w:val="000000" w:themeColor="text1"/>
                <w:szCs w:val="22"/>
              </w:rPr>
            </w:pPr>
            <w:r w:rsidRPr="00306115">
              <w:rPr>
                <w:rStyle w:val="fontstyle01"/>
                <w:i w:val="0"/>
                <w:iCs w:val="0"/>
                <w:color w:val="000000" w:themeColor="text1"/>
              </w:rPr>
              <w:t>Liquidity risk</w:t>
            </w:r>
          </w:p>
          <w:p w14:paraId="2A3C605C" w14:textId="5C7E1F0A" w:rsidR="00F50095" w:rsidRPr="00306115" w:rsidRDefault="00F832C9" w:rsidP="00F832C9">
            <w:pPr>
              <w:pStyle w:val="ListParagraph"/>
              <w:numPr>
                <w:ilvl w:val="0"/>
                <w:numId w:val="18"/>
              </w:numPr>
              <w:ind w:left="426" w:right="142" w:hanging="284"/>
              <w:rPr>
                <w:i/>
                <w:iCs/>
                <w:color w:val="000000" w:themeColor="text1"/>
              </w:rPr>
            </w:pPr>
            <w:r w:rsidRPr="00306115">
              <w:rPr>
                <w:rStyle w:val="fontstyle01"/>
                <w:i w:val="0"/>
                <w:iCs w:val="0"/>
                <w:color w:val="000000" w:themeColor="text1"/>
              </w:rPr>
              <w:t>Counterparty risk</w:t>
            </w:r>
          </w:p>
        </w:tc>
        <w:tc>
          <w:tcPr>
            <w:tcW w:w="3112" w:type="dxa"/>
          </w:tcPr>
          <w:p w14:paraId="3FB12435" w14:textId="77777777" w:rsidR="00456C60" w:rsidRPr="00306115" w:rsidRDefault="00456C60" w:rsidP="00456C60">
            <w:pPr>
              <w:pStyle w:val="HeadingAwalDaftarIsiLampiran"/>
              <w:numPr>
                <w:ilvl w:val="0"/>
                <w:numId w:val="18"/>
              </w:numPr>
              <w:ind w:left="426" w:right="142" w:hanging="284"/>
            </w:pPr>
            <w:r w:rsidRPr="00306115">
              <w:t>Exposure</w:t>
            </w:r>
          </w:p>
          <w:p w14:paraId="09C6D761" w14:textId="77777777" w:rsidR="00456C60" w:rsidRPr="00306115" w:rsidRDefault="00456C60" w:rsidP="00456C60">
            <w:pPr>
              <w:pStyle w:val="HeadingAwalDaftarIsiLampiran"/>
              <w:numPr>
                <w:ilvl w:val="0"/>
                <w:numId w:val="18"/>
              </w:numPr>
              <w:ind w:left="426" w:right="142" w:hanging="284"/>
            </w:pPr>
            <w:r w:rsidRPr="00306115">
              <w:t>Volatility</w:t>
            </w:r>
          </w:p>
          <w:p w14:paraId="2C415AB6" w14:textId="77777777" w:rsidR="00456C60" w:rsidRPr="00306115" w:rsidRDefault="00456C60" w:rsidP="00456C60">
            <w:pPr>
              <w:pStyle w:val="HeadingAwalDaftarIsiLampiran"/>
              <w:numPr>
                <w:ilvl w:val="0"/>
                <w:numId w:val="18"/>
              </w:numPr>
              <w:ind w:left="426" w:right="142" w:hanging="284"/>
            </w:pPr>
            <w:r w:rsidRPr="00306115">
              <w:t>VaR</w:t>
            </w:r>
          </w:p>
          <w:p w14:paraId="747ADBC8" w14:textId="77777777" w:rsidR="00456C60" w:rsidRPr="00306115" w:rsidRDefault="00456C60" w:rsidP="00456C60">
            <w:pPr>
              <w:pStyle w:val="HeadingAwalDaftarIsiLampiran"/>
              <w:numPr>
                <w:ilvl w:val="0"/>
                <w:numId w:val="18"/>
              </w:numPr>
              <w:ind w:left="426" w:right="142" w:hanging="284"/>
            </w:pPr>
            <w:r w:rsidRPr="00306115">
              <w:t>Cvar</w:t>
            </w:r>
          </w:p>
          <w:p w14:paraId="63B9C2F7" w14:textId="77777777" w:rsidR="00F50095" w:rsidRPr="00306115" w:rsidRDefault="00456C60" w:rsidP="00456C60">
            <w:pPr>
              <w:pStyle w:val="HeadingAwalDaftarIsiLampiran"/>
              <w:numPr>
                <w:ilvl w:val="0"/>
                <w:numId w:val="18"/>
              </w:numPr>
              <w:ind w:left="426" w:right="142" w:hanging="284"/>
            </w:pPr>
            <w:r w:rsidRPr="00306115">
              <w:t>Sensitivity</w:t>
            </w:r>
          </w:p>
          <w:p w14:paraId="69497ADE" w14:textId="27951E92" w:rsidR="00456C60" w:rsidRPr="00306115" w:rsidRDefault="00456C60" w:rsidP="00456C60">
            <w:pPr>
              <w:pStyle w:val="HeadingAwalDaftarIsiLampiran"/>
              <w:numPr>
                <w:ilvl w:val="0"/>
                <w:numId w:val="18"/>
              </w:numPr>
              <w:ind w:left="426" w:right="142" w:hanging="284"/>
            </w:pPr>
            <w:r w:rsidRPr="00306115">
              <w:t>Leverage</w:t>
            </w:r>
          </w:p>
        </w:tc>
      </w:tr>
      <w:tr w:rsidR="00F50095" w:rsidRPr="00306115" w14:paraId="692DC831" w14:textId="77777777" w:rsidTr="00B109F4">
        <w:tc>
          <w:tcPr>
            <w:tcW w:w="2410" w:type="dxa"/>
          </w:tcPr>
          <w:p w14:paraId="47B617E7" w14:textId="52D7AE41" w:rsidR="00F50095" w:rsidRPr="00306115" w:rsidRDefault="00F50095" w:rsidP="004C4E44">
            <w:pPr>
              <w:pStyle w:val="HeadingAwalDaftarIsiLampiran"/>
              <w:numPr>
                <w:ilvl w:val="0"/>
                <w:numId w:val="0"/>
              </w:numPr>
            </w:pPr>
            <w:r w:rsidRPr="00306115">
              <w:t>Dll.</w:t>
            </w:r>
          </w:p>
        </w:tc>
        <w:tc>
          <w:tcPr>
            <w:tcW w:w="2410" w:type="dxa"/>
          </w:tcPr>
          <w:p w14:paraId="2FBFCDF7" w14:textId="77777777" w:rsidR="00F50095" w:rsidRPr="00306115" w:rsidRDefault="00F50095" w:rsidP="004C4E44">
            <w:pPr>
              <w:pStyle w:val="HeadingAwalDaftarIsiLampiran"/>
              <w:numPr>
                <w:ilvl w:val="0"/>
                <w:numId w:val="0"/>
              </w:numPr>
            </w:pPr>
          </w:p>
        </w:tc>
        <w:tc>
          <w:tcPr>
            <w:tcW w:w="3112" w:type="dxa"/>
          </w:tcPr>
          <w:p w14:paraId="6C4D366C" w14:textId="77777777" w:rsidR="00F50095" w:rsidRPr="00306115" w:rsidRDefault="00F50095" w:rsidP="004C4E44">
            <w:pPr>
              <w:pStyle w:val="HeadingAwalDaftarIsiLampiran"/>
              <w:numPr>
                <w:ilvl w:val="0"/>
                <w:numId w:val="0"/>
              </w:numPr>
            </w:pPr>
          </w:p>
        </w:tc>
      </w:tr>
    </w:tbl>
    <w:p w14:paraId="6348B6E3" w14:textId="77777777" w:rsidR="004C4E44" w:rsidRPr="00306115" w:rsidRDefault="004C4E44" w:rsidP="004C4E44">
      <w:pPr>
        <w:pStyle w:val="HeadingAwalDaftarIsiLampiran"/>
        <w:numPr>
          <w:ilvl w:val="0"/>
          <w:numId w:val="0"/>
        </w:numPr>
        <w:ind w:left="1134" w:hanging="567"/>
      </w:pPr>
    </w:p>
    <w:p w14:paraId="27A6805B" w14:textId="6DF7D43A" w:rsidR="00C70293" w:rsidRPr="00306115" w:rsidRDefault="00C70293" w:rsidP="00B109F4">
      <w:pPr>
        <w:pStyle w:val="HeadingAwalDaftarIsiLampiran"/>
        <w:numPr>
          <w:ilvl w:val="0"/>
          <w:numId w:val="0"/>
        </w:numPr>
        <w:ind w:left="1134" w:firstLine="567"/>
      </w:pPr>
      <w:r w:rsidRPr="00306115">
        <w:t xml:space="preserve">Dalam melakukan penyusunan kebijakan dan prosedur </w:t>
      </w:r>
      <w:r w:rsidRPr="00306115">
        <w:rPr>
          <w:i/>
          <w:iCs/>
        </w:rPr>
        <w:t>stress test</w:t>
      </w:r>
      <w:r w:rsidRPr="00306115">
        <w:t>,</w:t>
      </w:r>
      <w:r w:rsidR="00737416" w:rsidRPr="00306115">
        <w:t xml:space="preserve"> </w:t>
      </w:r>
      <w:r w:rsidRPr="00306115">
        <w:t>Manajer Investasi membuat kebijakan yang antara lain memuat:</w:t>
      </w:r>
    </w:p>
    <w:p w14:paraId="1B2E0870" w14:textId="1A7C588C" w:rsidR="00C70293" w:rsidRPr="00306115" w:rsidRDefault="00031E5B">
      <w:pPr>
        <w:pStyle w:val="HeadingAwalDaftarIsiLampiran"/>
        <w:numPr>
          <w:ilvl w:val="0"/>
          <w:numId w:val="423"/>
        </w:numPr>
        <w:ind w:left="1701" w:hanging="483"/>
        <w:rPr>
          <w:lang w:val="en-ID"/>
        </w:rPr>
      </w:pPr>
      <w:r w:rsidRPr="00306115">
        <w:rPr>
          <w:lang w:val="en-ID"/>
        </w:rPr>
        <w:t xml:space="preserve">pelaksanaan </w:t>
      </w:r>
      <w:r w:rsidRPr="00306115">
        <w:rPr>
          <w:i/>
          <w:iCs/>
          <w:lang w:val="en-ID"/>
        </w:rPr>
        <w:t xml:space="preserve">stress testing </w:t>
      </w:r>
      <w:r w:rsidRPr="00306115">
        <w:rPr>
          <w:lang w:val="en-ID"/>
        </w:rPr>
        <w:t xml:space="preserve">yang dilakukan untuk menilai bagaimana profil likuiditas, atau tingkat </w:t>
      </w:r>
      <w:r w:rsidR="00A33C3B" w:rsidRPr="00306115">
        <w:rPr>
          <w:i/>
          <w:iCs/>
          <w:lang w:val="en-ID"/>
        </w:rPr>
        <w:t>redemption</w:t>
      </w:r>
      <w:r w:rsidRPr="00306115">
        <w:rPr>
          <w:lang w:val="en-ID"/>
        </w:rPr>
        <w:t xml:space="preserve">, dan untuk menilai bagaimana respon </w:t>
      </w:r>
      <w:r w:rsidRPr="00306115">
        <w:t xml:space="preserve">atau kondisi tekanan suatu </w:t>
      </w:r>
      <w:r w:rsidR="005A69C9" w:rsidRPr="00306115">
        <w:t>P</w:t>
      </w:r>
      <w:r w:rsidRPr="00306115">
        <w:t xml:space="preserve">roduk </w:t>
      </w:r>
      <w:r w:rsidR="005A69C9" w:rsidRPr="00306115">
        <w:t>I</w:t>
      </w:r>
      <w:r w:rsidRPr="00306115">
        <w:t>nvestasi ketika dihadapkan dengan berbagai peristiwa yang memberikan tekanan dan situasi pasar;</w:t>
      </w:r>
    </w:p>
    <w:p w14:paraId="0C6C640B" w14:textId="69D9290E" w:rsidR="00031E5B" w:rsidRPr="00306115" w:rsidRDefault="00031E5B">
      <w:pPr>
        <w:pStyle w:val="HeadingAwalDaftarIsiLampiran"/>
        <w:numPr>
          <w:ilvl w:val="0"/>
          <w:numId w:val="423"/>
        </w:numPr>
        <w:ind w:left="1701" w:hanging="483"/>
        <w:rPr>
          <w:lang w:val="en-ID"/>
        </w:rPr>
      </w:pPr>
      <w:r w:rsidRPr="00306115">
        <w:t xml:space="preserve">pelaksanaan </w:t>
      </w:r>
      <w:r w:rsidRPr="00306115">
        <w:rPr>
          <w:i/>
          <w:iCs/>
        </w:rPr>
        <w:t xml:space="preserve">stress testing </w:t>
      </w:r>
      <w:r w:rsidRPr="00306115">
        <w:t xml:space="preserve">yang mendukung dan memperkuat </w:t>
      </w:r>
      <w:r w:rsidRPr="00306115">
        <w:rPr>
          <w:lang w:val="en-ID"/>
        </w:rPr>
        <w:t>kemampuan</w:t>
      </w:r>
      <w:r w:rsidRPr="00306115">
        <w:t xml:space="preserve"> Manajer Investasi dalam mengelola </w:t>
      </w:r>
      <w:r w:rsidR="005A69C9" w:rsidRPr="00306115">
        <w:t>R</w:t>
      </w:r>
      <w:r w:rsidRPr="00306115">
        <w:t xml:space="preserve">isiko </w:t>
      </w:r>
      <w:r w:rsidR="005A69C9" w:rsidRPr="00306115">
        <w:t>L</w:t>
      </w:r>
      <w:r w:rsidRPr="00306115">
        <w:t>ikuiditas</w:t>
      </w:r>
      <w:r w:rsidR="005A69C9" w:rsidRPr="00306115">
        <w:t xml:space="preserve"> Produk Investasi</w:t>
      </w:r>
      <w:r w:rsidRPr="00306115">
        <w:t xml:space="preserve"> secara tepat demi kepentingan terbaik investor. Secara khusus, </w:t>
      </w:r>
      <w:r w:rsidRPr="00306115">
        <w:rPr>
          <w:i/>
          <w:iCs/>
        </w:rPr>
        <w:t xml:space="preserve">stress testing </w:t>
      </w:r>
      <w:r w:rsidRPr="00306115">
        <w:t>digunakan oleh Manajer Investasi untuk menilai:</w:t>
      </w:r>
    </w:p>
    <w:p w14:paraId="307201F5" w14:textId="398902F9" w:rsidR="00031E5B" w:rsidRPr="00306115" w:rsidRDefault="00C54053">
      <w:pPr>
        <w:pStyle w:val="HeadingAwalDaftarIsiLampiran"/>
        <w:numPr>
          <w:ilvl w:val="0"/>
          <w:numId w:val="424"/>
        </w:numPr>
        <w:ind w:left="2268" w:hanging="567"/>
        <w:rPr>
          <w:lang w:val="en-ID"/>
        </w:rPr>
      </w:pPr>
      <w:r w:rsidRPr="00306115">
        <w:rPr>
          <w:lang w:val="en-ID"/>
        </w:rPr>
        <w:t xml:space="preserve">karakteristik likuiditas aset </w:t>
      </w:r>
      <w:r w:rsidR="005A69C9" w:rsidRPr="00306115">
        <w:rPr>
          <w:lang w:val="en-ID"/>
        </w:rPr>
        <w:t>P</w:t>
      </w:r>
      <w:r w:rsidRPr="00306115">
        <w:rPr>
          <w:lang w:val="en-ID"/>
        </w:rPr>
        <w:t xml:space="preserve">roduk </w:t>
      </w:r>
      <w:r w:rsidR="005A69C9" w:rsidRPr="00306115">
        <w:rPr>
          <w:lang w:val="en-ID"/>
        </w:rPr>
        <w:t>I</w:t>
      </w:r>
      <w:r w:rsidRPr="00306115">
        <w:rPr>
          <w:lang w:val="en-ID"/>
        </w:rPr>
        <w:t xml:space="preserve">nvestasi relatif terhadap tingkat </w:t>
      </w:r>
      <w:r w:rsidR="00A33C3B" w:rsidRPr="00306115">
        <w:rPr>
          <w:i/>
          <w:iCs/>
          <w:lang w:val="en-ID"/>
        </w:rPr>
        <w:t>redemption</w:t>
      </w:r>
      <w:r w:rsidRPr="00306115">
        <w:rPr>
          <w:i/>
          <w:iCs/>
          <w:lang w:val="en-ID"/>
        </w:rPr>
        <w:t xml:space="preserve"> </w:t>
      </w:r>
      <w:r w:rsidRPr="00306115">
        <w:rPr>
          <w:lang w:val="en-ID"/>
        </w:rPr>
        <w:t xml:space="preserve">yang dapat diantisipasi oleh </w:t>
      </w:r>
      <w:r w:rsidR="005A69C9" w:rsidRPr="00306115">
        <w:rPr>
          <w:lang w:val="en-ID"/>
        </w:rPr>
        <w:t xml:space="preserve">Produk Investasi </w:t>
      </w:r>
      <w:r w:rsidRPr="00306115">
        <w:rPr>
          <w:lang w:val="en-ID"/>
        </w:rPr>
        <w:t>ketika berada di bawah kondisi pasar yang tertekan;</w:t>
      </w:r>
    </w:p>
    <w:p w14:paraId="3DCC278B" w14:textId="77777777" w:rsidR="00D063B3" w:rsidRPr="00306115" w:rsidRDefault="00C54053">
      <w:pPr>
        <w:pStyle w:val="HeadingAwalDaftarIsiLampiran"/>
        <w:numPr>
          <w:ilvl w:val="0"/>
          <w:numId w:val="424"/>
        </w:numPr>
        <w:ind w:left="2268" w:hanging="567"/>
        <w:rPr>
          <w:lang w:val="en-ID"/>
        </w:rPr>
      </w:pPr>
      <w:r w:rsidRPr="00306115">
        <w:t>kebutuhan penyesuaian komposisi aset;</w:t>
      </w:r>
    </w:p>
    <w:p w14:paraId="2B90172A" w14:textId="57138515" w:rsidR="00C17B58" w:rsidRPr="00306115" w:rsidRDefault="00C54053">
      <w:pPr>
        <w:pStyle w:val="HeadingAwalDaftarIsiLampiran"/>
        <w:numPr>
          <w:ilvl w:val="0"/>
          <w:numId w:val="424"/>
        </w:numPr>
        <w:ind w:left="2268" w:hanging="567"/>
        <w:rPr>
          <w:lang w:val="en-ID"/>
        </w:rPr>
      </w:pPr>
      <w:r w:rsidRPr="00306115">
        <w:rPr>
          <w:lang w:val="en-ID"/>
        </w:rPr>
        <w:t xml:space="preserve">penerapan mekanisme Manajemen Risiko Likuditas </w:t>
      </w:r>
      <w:r w:rsidR="00FE6D58" w:rsidRPr="00306115">
        <w:rPr>
          <w:lang w:val="en-ID"/>
        </w:rPr>
        <w:t xml:space="preserve">Produk Investasi </w:t>
      </w:r>
      <w:r w:rsidRPr="00306115">
        <w:rPr>
          <w:lang w:val="en-ID"/>
        </w:rPr>
        <w:t>dan perencanaan</w:t>
      </w:r>
      <w:r w:rsidR="00D063B3" w:rsidRPr="00306115">
        <w:rPr>
          <w:lang w:val="en-ID"/>
        </w:rPr>
        <w:t xml:space="preserve"> </w:t>
      </w:r>
      <w:r w:rsidRPr="00306115">
        <w:rPr>
          <w:lang w:val="en-ID"/>
        </w:rPr>
        <w:t>kontinjensi yang sesuai</w:t>
      </w:r>
      <w:r w:rsidR="00D063B3" w:rsidRPr="00306115">
        <w:rPr>
          <w:lang w:val="en-ID"/>
        </w:rPr>
        <w:t>; serta</w:t>
      </w:r>
    </w:p>
    <w:p w14:paraId="4768550E" w14:textId="7EDFA2FF" w:rsidR="00D063B3" w:rsidRPr="00306115" w:rsidRDefault="00C17B58">
      <w:pPr>
        <w:pStyle w:val="HeadingAwalDaftarIsiLampiran"/>
        <w:numPr>
          <w:ilvl w:val="0"/>
          <w:numId w:val="424"/>
        </w:numPr>
        <w:ind w:left="2268" w:hanging="567"/>
        <w:rPr>
          <w:lang w:val="en-ID"/>
        </w:rPr>
      </w:pPr>
      <w:r w:rsidRPr="00306115">
        <w:rPr>
          <w:lang w:val="en-ID"/>
        </w:rPr>
        <w:t>kebutuhan respon untuk mengatasi tekanan likuiditas suatu Produk Investasi.</w:t>
      </w:r>
    </w:p>
    <w:p w14:paraId="1B001F53" w14:textId="5EC2BEBD" w:rsidR="00A62B3A" w:rsidRPr="00306115" w:rsidRDefault="00805140">
      <w:pPr>
        <w:pStyle w:val="HeadingAwalDaftarIsiLampiran"/>
        <w:numPr>
          <w:ilvl w:val="0"/>
          <w:numId w:val="423"/>
        </w:numPr>
        <w:ind w:left="1701" w:hanging="483"/>
        <w:rPr>
          <w:lang w:val="en-ID"/>
        </w:rPr>
      </w:pPr>
      <w:r w:rsidRPr="00306115">
        <w:rPr>
          <w:lang w:val="en-ID"/>
        </w:rPr>
        <w:t>p</w:t>
      </w:r>
      <w:r w:rsidR="00A62B3A" w:rsidRPr="00306115">
        <w:rPr>
          <w:lang w:val="en-ID"/>
        </w:rPr>
        <w:t>elaksanaan</w:t>
      </w:r>
      <w:r w:rsidR="00A62B3A" w:rsidRPr="00306115">
        <w:t xml:space="preserve"> </w:t>
      </w:r>
      <w:r w:rsidR="00A62B3A" w:rsidRPr="00306115">
        <w:rPr>
          <w:i/>
          <w:iCs/>
        </w:rPr>
        <w:t xml:space="preserve">stress test </w:t>
      </w:r>
      <w:r w:rsidR="00A62B3A" w:rsidRPr="00306115">
        <w:t>atas kondisi likuditas, dilakukan oleh Manajer Investasi dengan memperhatikan faktor yang terkait ukuran Produk Investasi, strategi dan kebijakan investasi, karakteristik aset dasar, profil investor serta faktor lain yang relevan</w:t>
      </w:r>
      <w:r w:rsidR="00EA20CF" w:rsidRPr="00306115">
        <w:t>;</w:t>
      </w:r>
    </w:p>
    <w:p w14:paraId="5266FC71" w14:textId="2673F50D" w:rsidR="00A62B3A" w:rsidRPr="00306115" w:rsidRDefault="00805140">
      <w:pPr>
        <w:pStyle w:val="HeadingAwalDaftarIsiLampiran"/>
        <w:numPr>
          <w:ilvl w:val="0"/>
          <w:numId w:val="423"/>
        </w:numPr>
        <w:ind w:left="1701" w:hanging="483"/>
        <w:rPr>
          <w:lang w:val="en-ID"/>
        </w:rPr>
      </w:pPr>
      <w:r w:rsidRPr="00306115">
        <w:rPr>
          <w:lang w:val="en-ID"/>
        </w:rPr>
        <w:t>dalam</w:t>
      </w:r>
      <w:r w:rsidRPr="00306115">
        <w:t xml:space="preserve"> melakukan desain atas pelaksanaan </w:t>
      </w:r>
      <w:r w:rsidRPr="00306115">
        <w:rPr>
          <w:i/>
          <w:iCs/>
        </w:rPr>
        <w:t>stress test</w:t>
      </w:r>
      <w:r w:rsidRPr="00306115">
        <w:t>, skenario dibuat Manajer Investasi dengan memperhatikan:</w:t>
      </w:r>
    </w:p>
    <w:p w14:paraId="0F6BD3BD" w14:textId="7D4B024A" w:rsidR="00805140" w:rsidRPr="00306115" w:rsidRDefault="00805140">
      <w:pPr>
        <w:pStyle w:val="HeadingAwalDaftarIsiLampiran"/>
        <w:numPr>
          <w:ilvl w:val="0"/>
          <w:numId w:val="425"/>
        </w:numPr>
        <w:ind w:left="2268" w:hanging="567"/>
        <w:rPr>
          <w:lang w:val="en-ID"/>
        </w:rPr>
      </w:pPr>
      <w:r w:rsidRPr="00306115">
        <w:t>kondisi historis aset dan pasar;</w:t>
      </w:r>
    </w:p>
    <w:p w14:paraId="455C81F2" w14:textId="5421653B" w:rsidR="00805140" w:rsidRPr="00306115" w:rsidRDefault="004D3457">
      <w:pPr>
        <w:pStyle w:val="HeadingAwalDaftarIsiLampiran"/>
        <w:numPr>
          <w:ilvl w:val="0"/>
          <w:numId w:val="425"/>
        </w:numPr>
        <w:ind w:left="2268" w:hanging="567"/>
        <w:rPr>
          <w:lang w:val="en-ID"/>
        </w:rPr>
      </w:pPr>
      <w:r w:rsidRPr="00306115">
        <w:t>skenario dan proyeksi hipotesis di masa depan;</w:t>
      </w:r>
    </w:p>
    <w:p w14:paraId="01E10C26" w14:textId="77777777" w:rsidR="004D3457" w:rsidRPr="00306115" w:rsidRDefault="004D3457">
      <w:pPr>
        <w:pStyle w:val="HeadingAwalDaftarIsiLampiran"/>
        <w:numPr>
          <w:ilvl w:val="0"/>
          <w:numId w:val="425"/>
        </w:numPr>
        <w:ind w:left="2268" w:hanging="567"/>
        <w:rPr>
          <w:lang w:val="en-ID"/>
        </w:rPr>
      </w:pPr>
      <w:r w:rsidRPr="00306115">
        <w:t>skenario memburuknya kondisi likuiditas aset;</w:t>
      </w:r>
    </w:p>
    <w:p w14:paraId="677B3A51" w14:textId="29E83F71" w:rsidR="005131C7" w:rsidRPr="00306115" w:rsidRDefault="004D3457">
      <w:pPr>
        <w:pStyle w:val="HeadingAwalDaftarIsiLampiran"/>
        <w:numPr>
          <w:ilvl w:val="0"/>
          <w:numId w:val="425"/>
        </w:numPr>
        <w:ind w:left="2268" w:hanging="567"/>
        <w:rPr>
          <w:lang w:val="en-ID"/>
        </w:rPr>
      </w:pPr>
      <w:r w:rsidRPr="00306115">
        <w:rPr>
          <w:lang w:val="en-ID"/>
        </w:rPr>
        <w:lastRenderedPageBreak/>
        <w:t xml:space="preserve">sejumlah skenario berbeda yang dapat mencakup tingkat tekanan dari </w:t>
      </w:r>
      <w:r w:rsidR="00522898" w:rsidRPr="00306115">
        <w:rPr>
          <w:lang w:val="en-ID"/>
        </w:rPr>
        <w:t>Produk Investasi</w:t>
      </w:r>
      <w:r w:rsidRPr="00306115">
        <w:rPr>
          <w:lang w:val="en-ID"/>
        </w:rPr>
        <w:t>; dan</w:t>
      </w:r>
    </w:p>
    <w:p w14:paraId="5A00026F" w14:textId="7370E070" w:rsidR="004D3457" w:rsidRPr="00306115" w:rsidRDefault="005131C7">
      <w:pPr>
        <w:pStyle w:val="HeadingAwalDaftarIsiLampiran"/>
        <w:numPr>
          <w:ilvl w:val="0"/>
          <w:numId w:val="425"/>
        </w:numPr>
        <w:ind w:left="2268" w:hanging="567"/>
        <w:rPr>
          <w:lang w:val="en-ID"/>
        </w:rPr>
      </w:pPr>
      <w:r w:rsidRPr="00306115">
        <w:rPr>
          <w:lang w:val="en-ID"/>
        </w:rPr>
        <w:t>kombinasi sejumlah faktor yang dapat meningkatkan tekanan likuiditas.</w:t>
      </w:r>
    </w:p>
    <w:p w14:paraId="14E1DB82" w14:textId="7BB88355" w:rsidR="009A79B6" w:rsidRPr="00306115" w:rsidRDefault="009A79B6">
      <w:pPr>
        <w:pStyle w:val="HeadingAwalDaftarIsiLampiran"/>
        <w:numPr>
          <w:ilvl w:val="0"/>
          <w:numId w:val="423"/>
        </w:numPr>
        <w:ind w:left="1701" w:hanging="483"/>
        <w:rPr>
          <w:lang w:val="en-ID"/>
        </w:rPr>
      </w:pPr>
      <w:r w:rsidRPr="00306115">
        <w:rPr>
          <w:lang w:val="en-ID"/>
        </w:rPr>
        <w:t>pelaksanaan</w:t>
      </w:r>
      <w:r w:rsidRPr="00306115">
        <w:t xml:space="preserve"> </w:t>
      </w:r>
      <w:r w:rsidRPr="00306115">
        <w:rPr>
          <w:i/>
          <w:iCs/>
        </w:rPr>
        <w:t>back testing</w:t>
      </w:r>
      <w:r w:rsidRPr="00306115">
        <w:t xml:space="preserve">, evaluasi berkala termasuk reviu dan persetujuan manajemen untuk memastikan </w:t>
      </w:r>
      <w:r w:rsidRPr="00306115">
        <w:rPr>
          <w:i/>
          <w:iCs/>
        </w:rPr>
        <w:t xml:space="preserve">stress test </w:t>
      </w:r>
      <w:r w:rsidRPr="00306115">
        <w:t xml:space="preserve">dan mitigasi risiko yang dilakukan telah efektif dan relevan dengan kondisi </w:t>
      </w:r>
      <w:r w:rsidR="00522898" w:rsidRPr="00306115">
        <w:rPr>
          <w:lang w:val="en-ID"/>
        </w:rPr>
        <w:t>Produk Investasi</w:t>
      </w:r>
      <w:r w:rsidR="00EA20CF" w:rsidRPr="00306115">
        <w:t>;</w:t>
      </w:r>
    </w:p>
    <w:p w14:paraId="73F1E8A9" w14:textId="04966C81" w:rsidR="009A79B6" w:rsidRPr="00306115" w:rsidRDefault="009A79B6">
      <w:pPr>
        <w:pStyle w:val="HeadingAwalDaftarIsiLampiran"/>
        <w:numPr>
          <w:ilvl w:val="0"/>
          <w:numId w:val="423"/>
        </w:numPr>
        <w:ind w:left="1701" w:hanging="483"/>
        <w:rPr>
          <w:lang w:val="en-ID"/>
        </w:rPr>
      </w:pPr>
      <w:r w:rsidRPr="00306115">
        <w:rPr>
          <w:lang w:val="en-ID"/>
        </w:rPr>
        <w:t xml:space="preserve">dokumentasi atas pelaksanaan </w:t>
      </w:r>
      <w:r w:rsidRPr="00306115">
        <w:rPr>
          <w:i/>
          <w:iCs/>
          <w:lang w:val="en-ID"/>
        </w:rPr>
        <w:t>stress test</w:t>
      </w:r>
      <w:r w:rsidRPr="00306115">
        <w:rPr>
          <w:lang w:val="en-ID"/>
        </w:rPr>
        <w:t xml:space="preserve"> baik dokumentasi terkait metodologi (skenario, asumsi, pertimbangan) yang dipilih, alasan dan pertimbangan skenario </w:t>
      </w:r>
      <w:r w:rsidRPr="00306115">
        <w:rPr>
          <w:i/>
          <w:iCs/>
          <w:lang w:val="en-ID"/>
        </w:rPr>
        <w:t>stress test</w:t>
      </w:r>
      <w:r w:rsidRPr="00306115">
        <w:rPr>
          <w:lang w:val="en-ID"/>
        </w:rPr>
        <w:t xml:space="preserve">, serta hasil pelaksanaan </w:t>
      </w:r>
      <w:r w:rsidRPr="00306115">
        <w:rPr>
          <w:i/>
          <w:iCs/>
          <w:lang w:val="en-ID"/>
        </w:rPr>
        <w:t>stress test</w:t>
      </w:r>
      <w:r w:rsidR="00EA20CF" w:rsidRPr="00306115">
        <w:rPr>
          <w:lang w:val="en-ID"/>
        </w:rPr>
        <w:t>;</w:t>
      </w:r>
    </w:p>
    <w:p w14:paraId="19EA89DD" w14:textId="77777777" w:rsidR="00EA20CF" w:rsidRPr="00306115" w:rsidRDefault="00EA20CF">
      <w:pPr>
        <w:pStyle w:val="HeadingAwalDaftarIsiLampiran"/>
        <w:numPr>
          <w:ilvl w:val="0"/>
          <w:numId w:val="423"/>
        </w:numPr>
        <w:ind w:left="1701" w:hanging="483"/>
        <w:rPr>
          <w:lang w:val="en-ID"/>
        </w:rPr>
      </w:pPr>
      <w:r w:rsidRPr="00306115">
        <w:rPr>
          <w:lang w:val="en-ID"/>
        </w:rPr>
        <w:t>pemantauan</w:t>
      </w:r>
      <w:r w:rsidRPr="00306115">
        <w:t xml:space="preserve"> berkala atas hasil pelaksanaan </w:t>
      </w:r>
      <w:r w:rsidRPr="00306115">
        <w:rPr>
          <w:i/>
          <w:iCs/>
        </w:rPr>
        <w:t>stress test</w:t>
      </w:r>
      <w:r w:rsidRPr="00306115">
        <w:t>; dan</w:t>
      </w:r>
    </w:p>
    <w:p w14:paraId="15A6AEC5" w14:textId="3AF10D4D" w:rsidR="00EA20CF" w:rsidRPr="00306115" w:rsidRDefault="00EA20CF">
      <w:pPr>
        <w:pStyle w:val="HeadingAwalDaftarIsiLampiran"/>
        <w:numPr>
          <w:ilvl w:val="0"/>
          <w:numId w:val="423"/>
        </w:numPr>
        <w:ind w:left="1701" w:hanging="483"/>
        <w:rPr>
          <w:lang w:val="en-ID"/>
        </w:rPr>
      </w:pPr>
      <w:r w:rsidRPr="00306115">
        <w:rPr>
          <w:lang w:val="en-ID"/>
        </w:rPr>
        <w:t>mitigasi risiko dan penentuan kebijakan/</w:t>
      </w:r>
      <w:r w:rsidRPr="00306115">
        <w:rPr>
          <w:i/>
          <w:iCs/>
          <w:lang w:val="en-ID"/>
        </w:rPr>
        <w:t>tools</w:t>
      </w:r>
      <w:r w:rsidRPr="00306115">
        <w:rPr>
          <w:lang w:val="en-ID"/>
        </w:rPr>
        <w:t xml:space="preserve"> mitigasi risiko yang dipilih Manajer Investasi untuk mengatasi risiko ketidaksesuaian likuiditas aset dalam portofolio Produk Investasi dengan kebutuhan pemenuhan pembelian kembali Produk Investasi.</w:t>
      </w:r>
    </w:p>
    <w:p w14:paraId="6FD90057" w14:textId="77777777" w:rsidR="000C5231" w:rsidRPr="00306115" w:rsidRDefault="000C5231" w:rsidP="000C5231">
      <w:pPr>
        <w:pStyle w:val="HeadingAwalDaftarIsiLampiran"/>
        <w:numPr>
          <w:ilvl w:val="0"/>
          <w:numId w:val="0"/>
        </w:numPr>
        <w:ind w:left="1134"/>
        <w:rPr>
          <w:lang w:val="en-ID"/>
        </w:rPr>
      </w:pPr>
    </w:p>
    <w:p w14:paraId="18229E39" w14:textId="60EE9514" w:rsidR="00737416" w:rsidRPr="00306115" w:rsidRDefault="00087295" w:rsidP="00B109F4">
      <w:pPr>
        <w:pStyle w:val="HeadingAwalDaftarIsiLampiran"/>
        <w:numPr>
          <w:ilvl w:val="0"/>
          <w:numId w:val="0"/>
        </w:numPr>
        <w:ind w:left="1134" w:firstLine="567"/>
      </w:pPr>
      <w:r w:rsidRPr="00306115">
        <w:t xml:space="preserve">Langkah awal yang dilakukan, setelah faktor risiko teridentifikasi, Manajer Investasi harus mulai menentukan skenario </w:t>
      </w:r>
      <w:r w:rsidRPr="00306115">
        <w:rPr>
          <w:i/>
          <w:iCs/>
        </w:rPr>
        <w:t>stress test</w:t>
      </w:r>
      <w:r w:rsidRPr="00306115">
        <w:t xml:space="preserve">. Manajer Investasi harus dapat menjelaskan skenario, asumsi, hipotesis yang dipergunakan untuk melakukan </w:t>
      </w:r>
      <w:r w:rsidRPr="00306115">
        <w:rPr>
          <w:i/>
          <w:iCs/>
        </w:rPr>
        <w:t xml:space="preserve">stress test. </w:t>
      </w:r>
      <w:r w:rsidRPr="00306115">
        <w:t xml:space="preserve">Skenario </w:t>
      </w:r>
      <w:r w:rsidRPr="00306115">
        <w:rPr>
          <w:i/>
          <w:iCs/>
        </w:rPr>
        <w:t xml:space="preserve">stress test </w:t>
      </w:r>
      <w:r w:rsidRPr="00306115">
        <w:t xml:space="preserve">yang dilakukan </w:t>
      </w:r>
      <w:r w:rsidR="00737416" w:rsidRPr="00306115">
        <w:t xml:space="preserve">dengan pertimbangan </w:t>
      </w:r>
      <w:r w:rsidR="00F12BDF" w:rsidRPr="00306115">
        <w:t>yang telah diatur dalam Pasal 55 Peraturan Otoritas Jasa Keuangan Nomor 17/POJK.04/2022 tentang Pedoman Perilaku Manajer Investasi.</w:t>
      </w:r>
    </w:p>
    <w:p w14:paraId="2300E8D6" w14:textId="5D3F30A1" w:rsidR="00F12BDF" w:rsidRPr="00306115" w:rsidRDefault="00F12BDF" w:rsidP="00B109F4">
      <w:pPr>
        <w:pStyle w:val="HeadingAwalDaftarIsiLampiran"/>
        <w:numPr>
          <w:ilvl w:val="0"/>
          <w:numId w:val="0"/>
        </w:numPr>
        <w:ind w:left="1134" w:firstLine="567"/>
      </w:pPr>
      <w:r w:rsidRPr="00306115">
        <w:t>Dalam melakukan penetapan skenario historis, pendekatan yang dapat dilakukan adalah dengan memodelkan parameter krisis-krisis sebelumnya dan memperoleh dampak yang mungkin ditimbulkannya terhadap Produk Investasi tersebut (skenario historis). Pendekatan skenario historis seringkali menimbulkan pertanyaan mengenai kemampuan Produk Investasi tersebut dalam menghadapi krisis di masa depan. Berkaitan dengan skenario ini, tidak ada indikasi bahwa krisis di masa depan akan serupa dengan krisis sebelumnya. Selain itu, sulit untuk mereplikasi krisis di masa lalu secara tepat karena data (misalnya dalam kaitannya dengan korelasi historis faktor-faktor risiko) seringkali tidak lengkap, terutama sejak lebih dari satu dekade lalu, dan mungkin menghasilkan skenario yang sangat berbeda.</w:t>
      </w:r>
    </w:p>
    <w:p w14:paraId="26907210" w14:textId="18D39AFA" w:rsidR="00F12BDF" w:rsidRPr="00306115" w:rsidRDefault="00A63BE2" w:rsidP="00B109F4">
      <w:pPr>
        <w:pStyle w:val="HeadingAwalDaftarIsiLampiran"/>
        <w:numPr>
          <w:ilvl w:val="0"/>
          <w:numId w:val="0"/>
        </w:numPr>
        <w:ind w:left="1134" w:firstLine="567"/>
      </w:pPr>
      <w:r w:rsidRPr="00306115">
        <w:t xml:space="preserve">Sebagai alternatif, skenario hipotetis dalam konteks skenario historis dapat dilakukan dengan skenario antisipasi krisis dengan membayangkan parameterparameternya. Skenario-skenario ini harus relatif realistis dan dimungkinkan dibantu dirumuskan dengan bantuan </w:t>
      </w:r>
      <w:r w:rsidRPr="00306115">
        <w:rPr>
          <w:i/>
          <w:iCs/>
        </w:rPr>
        <w:t xml:space="preserve">fund manager </w:t>
      </w:r>
      <w:r w:rsidRPr="00306115">
        <w:t>(fungsi investasi), untuk melengkapi pendekatan yang dilakukan</w:t>
      </w:r>
      <w:r w:rsidR="00B109F4" w:rsidRPr="00306115">
        <w:t>.</w:t>
      </w:r>
    </w:p>
    <w:p w14:paraId="009D235A" w14:textId="77777777" w:rsidR="00B109F4" w:rsidRPr="00306115" w:rsidRDefault="00B109F4" w:rsidP="00B109F4">
      <w:pPr>
        <w:pStyle w:val="HeadingAwalDaftarIsiLampiran"/>
        <w:numPr>
          <w:ilvl w:val="0"/>
          <w:numId w:val="0"/>
        </w:numPr>
        <w:ind w:left="720" w:hanging="360"/>
      </w:pPr>
    </w:p>
    <w:p w14:paraId="0A60ACED" w14:textId="7DDF437D" w:rsidR="00B109F4" w:rsidRPr="00306115" w:rsidRDefault="00B109F4">
      <w:pPr>
        <w:pStyle w:val="HeadingAwalDaftarIsiLampiran"/>
        <w:numPr>
          <w:ilvl w:val="0"/>
          <w:numId w:val="426"/>
        </w:numPr>
        <w:ind w:left="1134" w:hanging="567"/>
      </w:pPr>
      <w:r w:rsidRPr="00306115">
        <w:rPr>
          <w:i/>
          <w:iCs/>
        </w:rPr>
        <w:t>Stress Test</w:t>
      </w:r>
      <w:r w:rsidRPr="00306115">
        <w:t xml:space="preserve"> – Risiko Likuiditas</w:t>
      </w:r>
      <w:r w:rsidR="00622904" w:rsidRPr="00306115">
        <w:t xml:space="preserve"> Produk Investasi</w:t>
      </w:r>
    </w:p>
    <w:p w14:paraId="724490C6" w14:textId="5C6F91A4" w:rsidR="00B109F4" w:rsidRPr="00306115" w:rsidRDefault="00622904" w:rsidP="00622904">
      <w:pPr>
        <w:pStyle w:val="HeadingAwalDaftarIsiLampiran"/>
        <w:numPr>
          <w:ilvl w:val="0"/>
          <w:numId w:val="0"/>
        </w:numPr>
        <w:ind w:left="1134" w:firstLine="567"/>
      </w:pPr>
      <w:r w:rsidRPr="00306115">
        <w:t xml:space="preserve">Risiko </w:t>
      </w:r>
      <w:r w:rsidR="00AF2F88" w:rsidRPr="00306115">
        <w:t>L</w:t>
      </w:r>
      <w:r w:rsidRPr="00306115">
        <w:t xml:space="preserve">ikuiditas </w:t>
      </w:r>
      <w:r w:rsidR="00AF2F88" w:rsidRPr="00306115">
        <w:t xml:space="preserve">Produk Investasi </w:t>
      </w:r>
      <w:r w:rsidRPr="00306115">
        <w:t xml:space="preserve">merupakan risiko yang muncul ketika portofolio investasi dalam </w:t>
      </w:r>
      <w:r w:rsidR="00AF2F88" w:rsidRPr="00306115">
        <w:t>Pr</w:t>
      </w:r>
      <w:r w:rsidRPr="00306115">
        <w:t xml:space="preserve">oduk </w:t>
      </w:r>
      <w:r w:rsidR="00AF2F88" w:rsidRPr="00306115">
        <w:t>I</w:t>
      </w:r>
      <w:r w:rsidRPr="00306115">
        <w:t>nvestasi tidak dapat dijual, dilikuidasi atau dilepas dalam jangka waktu singkat dengan biaya yang terbatas untuk pemenuhan kewajiban Produk Investasi, atau kemampuan Manajer Investasi untuk memenuhi posisi likuiditas Produk Investasi sesuai kewajiban yang diatur berdasarkan kontrak atau peraturan perundang</w:t>
      </w:r>
      <w:r w:rsidR="00AF2F88" w:rsidRPr="00306115">
        <w:t>-undangan</w:t>
      </w:r>
      <w:r w:rsidRPr="00306115">
        <w:t>.</w:t>
      </w:r>
    </w:p>
    <w:p w14:paraId="4AB8E0B2" w14:textId="3C54A883" w:rsidR="00D31F15" w:rsidRPr="00306115" w:rsidRDefault="00622904" w:rsidP="00D31F15">
      <w:pPr>
        <w:pStyle w:val="HeadingAwalDaftarIsiLampiran"/>
        <w:numPr>
          <w:ilvl w:val="0"/>
          <w:numId w:val="0"/>
        </w:numPr>
        <w:ind w:left="1134" w:firstLine="567"/>
      </w:pPr>
      <w:r w:rsidRPr="00306115">
        <w:lastRenderedPageBreak/>
        <w:t xml:space="preserve">Dalam pengukuran </w:t>
      </w:r>
      <w:r w:rsidR="00D31F15" w:rsidRPr="00306115">
        <w:t>Risiko Likuiditas Produk Investasi</w:t>
      </w:r>
      <w:r w:rsidRPr="00306115">
        <w:t xml:space="preserve">, seringkali ditemui kesulitan untuk menggunakan pengukuran tunggal, karena risiko ini dapat muncul akibat adanya </w:t>
      </w:r>
      <w:r w:rsidR="00A33C3B" w:rsidRPr="00306115">
        <w:rPr>
          <w:i/>
          <w:iCs/>
        </w:rPr>
        <w:t>redemption</w:t>
      </w:r>
      <w:r w:rsidRPr="00306115">
        <w:t xml:space="preserve"> yang signifikan, aset yang tidak likuid atau kombinasi kedua nya. Sejumlah pola </w:t>
      </w:r>
      <w:r w:rsidR="00A33C3B" w:rsidRPr="00306115">
        <w:rPr>
          <w:i/>
          <w:iCs/>
        </w:rPr>
        <w:t>redemption</w:t>
      </w:r>
      <w:r w:rsidRPr="00306115">
        <w:t xml:space="preserve"> yang diidentifikasi terkait pengukuran risiko likuiditas ini, antara lain</w:t>
      </w:r>
      <w:r w:rsidR="00D31F15" w:rsidRPr="00306115">
        <w:t>:</w:t>
      </w:r>
    </w:p>
    <w:p w14:paraId="28BA6FBC" w14:textId="00133479" w:rsidR="00DA3E68" w:rsidRPr="00306115" w:rsidRDefault="00A33C3B">
      <w:pPr>
        <w:pStyle w:val="HeadingAwalDaftarIsiLampiran"/>
        <w:numPr>
          <w:ilvl w:val="0"/>
          <w:numId w:val="427"/>
        </w:numPr>
        <w:ind w:left="1701" w:hanging="567"/>
      </w:pPr>
      <w:r w:rsidRPr="00306115">
        <w:rPr>
          <w:i/>
          <w:iCs/>
        </w:rPr>
        <w:t>Redemption</w:t>
      </w:r>
      <w:r w:rsidR="00DA3E68" w:rsidRPr="00306115">
        <w:t xml:space="preserve"> yang Signifikan</w:t>
      </w:r>
    </w:p>
    <w:p w14:paraId="228CF97D" w14:textId="0EDFE619" w:rsidR="00AA1904" w:rsidRPr="00306115" w:rsidRDefault="00AA1904" w:rsidP="00AA1904">
      <w:pPr>
        <w:pStyle w:val="HeadingAwalDaftarIsiLampiran"/>
        <w:numPr>
          <w:ilvl w:val="0"/>
          <w:numId w:val="0"/>
        </w:numPr>
        <w:ind w:left="1701"/>
      </w:pPr>
      <w:r w:rsidRPr="00306115">
        <w:t xml:space="preserve">Simulasi </w:t>
      </w:r>
      <w:r w:rsidRPr="00306115">
        <w:rPr>
          <w:i/>
          <w:iCs/>
        </w:rPr>
        <w:t xml:space="preserve">stress test </w:t>
      </w:r>
      <w:r w:rsidR="00655261" w:rsidRPr="00306115">
        <w:t>R</w:t>
      </w:r>
      <w:r w:rsidRPr="00306115">
        <w:t xml:space="preserve">isiko </w:t>
      </w:r>
      <w:r w:rsidR="00655261" w:rsidRPr="00306115">
        <w:t>L</w:t>
      </w:r>
      <w:r w:rsidRPr="00306115">
        <w:t xml:space="preserve">ikuiditas </w:t>
      </w:r>
      <w:r w:rsidR="00655261" w:rsidRPr="00306115">
        <w:t xml:space="preserve">Produk Investasi </w:t>
      </w:r>
      <w:r w:rsidRPr="00306115">
        <w:t xml:space="preserve">dilakukan dengan menganalisis kondisi Produk Investasi ketika menghadapi berbagai skenario </w:t>
      </w:r>
      <w:r w:rsidR="00A33C3B" w:rsidRPr="00306115">
        <w:rPr>
          <w:i/>
          <w:iCs/>
        </w:rPr>
        <w:t>redemption</w:t>
      </w:r>
      <w:r w:rsidRPr="00306115">
        <w:t xml:space="preserve"> dari investor</w:t>
      </w:r>
      <w:r w:rsidR="00655261" w:rsidRPr="00306115">
        <w:t>.</w:t>
      </w:r>
    </w:p>
    <w:p w14:paraId="6EB7778B" w14:textId="78981D7A" w:rsidR="00DA3E68" w:rsidRPr="00306115" w:rsidRDefault="00A33C3B">
      <w:pPr>
        <w:pStyle w:val="HeadingAwalDaftarIsiLampiran"/>
        <w:numPr>
          <w:ilvl w:val="0"/>
          <w:numId w:val="427"/>
        </w:numPr>
        <w:ind w:left="1701" w:hanging="567"/>
      </w:pPr>
      <w:r w:rsidRPr="00306115">
        <w:rPr>
          <w:i/>
          <w:iCs/>
        </w:rPr>
        <w:t>Redemption</w:t>
      </w:r>
      <w:r w:rsidR="00DA3E68" w:rsidRPr="00306115">
        <w:t xml:space="preserve"> oleh Pemegang Unit/Pemilik Investasi terbesar dalam Produk Investasi</w:t>
      </w:r>
    </w:p>
    <w:p w14:paraId="675824EB" w14:textId="2064C675" w:rsidR="00655261" w:rsidRPr="00306115" w:rsidRDefault="00CE672E" w:rsidP="00655261">
      <w:pPr>
        <w:pStyle w:val="HeadingAwalDaftarIsiLampiran"/>
        <w:numPr>
          <w:ilvl w:val="0"/>
          <w:numId w:val="0"/>
        </w:numPr>
        <w:ind w:left="1701"/>
      </w:pPr>
      <w:r w:rsidRPr="00306115">
        <w:t xml:space="preserve">Simulasi </w:t>
      </w:r>
      <w:r w:rsidRPr="00306115">
        <w:rPr>
          <w:i/>
          <w:iCs/>
        </w:rPr>
        <w:t xml:space="preserve">stress test </w:t>
      </w:r>
      <w:r w:rsidRPr="00306115">
        <w:t xml:space="preserve">Risiko Likuiditas Produk Investasi dilakukan dengan menganalisis kondisi Produk Investasi ketika pemegang unit/pemilik investasi terbesar dalam Produk Investasi melakukan </w:t>
      </w:r>
      <w:r w:rsidR="00A33C3B" w:rsidRPr="00306115">
        <w:rPr>
          <w:i/>
          <w:iCs/>
        </w:rPr>
        <w:t>redemption</w:t>
      </w:r>
      <w:r w:rsidRPr="00306115">
        <w:t xml:space="preserve"> dalam jumlah yang signifikan atau diluar batas </w:t>
      </w:r>
      <w:r w:rsidR="00A33C3B" w:rsidRPr="00306115">
        <w:rPr>
          <w:i/>
          <w:iCs/>
        </w:rPr>
        <w:t>redemption</w:t>
      </w:r>
      <w:r w:rsidRPr="00306115">
        <w:t xml:space="preserve"> harian yang diatur dalam kontrak.</w:t>
      </w:r>
    </w:p>
    <w:p w14:paraId="1CE76DE0" w14:textId="46DD6312" w:rsidR="00DA3E68" w:rsidRPr="00306115" w:rsidRDefault="00A33C3B">
      <w:pPr>
        <w:pStyle w:val="HeadingAwalDaftarIsiLampiran"/>
        <w:numPr>
          <w:ilvl w:val="0"/>
          <w:numId w:val="427"/>
        </w:numPr>
        <w:ind w:left="1701" w:hanging="567"/>
      </w:pPr>
      <w:r w:rsidRPr="00306115">
        <w:rPr>
          <w:i/>
          <w:iCs/>
        </w:rPr>
        <w:t>Redemption</w:t>
      </w:r>
      <w:r w:rsidR="00DA3E68" w:rsidRPr="00306115">
        <w:t xml:space="preserve"> yang Mengacu pada Pola Historical </w:t>
      </w:r>
      <w:r w:rsidRPr="00306115">
        <w:rPr>
          <w:i/>
          <w:iCs/>
        </w:rPr>
        <w:t>Redemption</w:t>
      </w:r>
    </w:p>
    <w:p w14:paraId="4FCF16D9" w14:textId="4C0A3825" w:rsidR="00CE672E" w:rsidRPr="00306115" w:rsidRDefault="00CE672E" w:rsidP="00CE672E">
      <w:pPr>
        <w:pStyle w:val="HeadingAwalDaftarIsiLampiran"/>
        <w:numPr>
          <w:ilvl w:val="0"/>
          <w:numId w:val="0"/>
        </w:numPr>
        <w:ind w:left="1701"/>
      </w:pPr>
      <w:r w:rsidRPr="00306115">
        <w:t xml:space="preserve">Simulasi </w:t>
      </w:r>
      <w:r w:rsidRPr="00306115">
        <w:rPr>
          <w:i/>
          <w:iCs/>
        </w:rPr>
        <w:t xml:space="preserve">stress test </w:t>
      </w:r>
      <w:r w:rsidRPr="00306115">
        <w:t xml:space="preserve">Risiko Likuiditas Produk Investasi dilakukan dengan menganalisis kondisi Produk Investasi ketika disimulasikan menghadapi beragam kondisi </w:t>
      </w:r>
      <w:r w:rsidR="00A33C3B" w:rsidRPr="00306115">
        <w:rPr>
          <w:i/>
          <w:iCs/>
        </w:rPr>
        <w:t>redemption</w:t>
      </w:r>
      <w:r w:rsidRPr="00306115">
        <w:t xml:space="preserve"> dalam jumlah yang signifikan atau diluar batas </w:t>
      </w:r>
      <w:r w:rsidR="00A33C3B" w:rsidRPr="00306115">
        <w:rPr>
          <w:i/>
          <w:iCs/>
        </w:rPr>
        <w:t>redemption</w:t>
      </w:r>
      <w:r w:rsidRPr="00306115">
        <w:t xml:space="preserve"> harian yang diatur dalam kontrak, yang mengacu pada kondisi historis sebelumya atau pun skenario terburuk yang mungkin muncul.</w:t>
      </w:r>
    </w:p>
    <w:p w14:paraId="2C912113" w14:textId="3305861F" w:rsidR="00DA3E68" w:rsidRPr="00306115" w:rsidRDefault="00A33C3B">
      <w:pPr>
        <w:pStyle w:val="HeadingAwalDaftarIsiLampiran"/>
        <w:numPr>
          <w:ilvl w:val="0"/>
          <w:numId w:val="427"/>
        </w:numPr>
        <w:ind w:left="1701" w:hanging="567"/>
      </w:pPr>
      <w:r w:rsidRPr="00306115">
        <w:rPr>
          <w:i/>
          <w:iCs/>
        </w:rPr>
        <w:t>Redemption</w:t>
      </w:r>
      <w:r w:rsidR="00AA1904" w:rsidRPr="00306115">
        <w:t xml:space="preserve"> yang Didasarkan pada Pola Perilaku Investor</w:t>
      </w:r>
    </w:p>
    <w:p w14:paraId="424AD8AA" w14:textId="6D5CCB7C" w:rsidR="003D6AD9" w:rsidRPr="00306115" w:rsidRDefault="003D6AD9" w:rsidP="003D6AD9">
      <w:pPr>
        <w:pStyle w:val="HeadingAwalDaftarIsiLampiran"/>
        <w:numPr>
          <w:ilvl w:val="0"/>
          <w:numId w:val="0"/>
        </w:numPr>
        <w:ind w:left="1701"/>
      </w:pPr>
      <w:r w:rsidRPr="00306115">
        <w:t xml:space="preserve">Simulasi </w:t>
      </w:r>
      <w:r w:rsidRPr="00306115">
        <w:rPr>
          <w:i/>
          <w:iCs/>
        </w:rPr>
        <w:t xml:space="preserve">stress test </w:t>
      </w:r>
      <w:r w:rsidRPr="00306115">
        <w:t xml:space="preserve">Risiko Likuiditas Produk Investasi dilakukan dengan menganalisis kondisi Produk Investasi ketika disimulasikan beragam jenis investor dan beragam pola </w:t>
      </w:r>
      <w:r w:rsidR="00A33C3B" w:rsidRPr="00306115">
        <w:rPr>
          <w:i/>
          <w:iCs/>
        </w:rPr>
        <w:t>redemption</w:t>
      </w:r>
      <w:r w:rsidRPr="00306115">
        <w:t xml:space="preserve"> historis yang dilakukan atas jenis-jenis investor tersebut dibuat seolah melakukan </w:t>
      </w:r>
      <w:r w:rsidR="00A33C3B" w:rsidRPr="00306115">
        <w:rPr>
          <w:i/>
          <w:iCs/>
        </w:rPr>
        <w:t>redemption</w:t>
      </w:r>
      <w:r w:rsidRPr="00306115">
        <w:t xml:space="preserve"> dalam jumlah yang signifikan atau diluar batas </w:t>
      </w:r>
      <w:r w:rsidR="00A33C3B" w:rsidRPr="00306115">
        <w:rPr>
          <w:i/>
          <w:iCs/>
        </w:rPr>
        <w:t>redemption</w:t>
      </w:r>
      <w:r w:rsidRPr="00306115">
        <w:t xml:space="preserve"> harian yang diatur dalam kontrak.</w:t>
      </w:r>
    </w:p>
    <w:p w14:paraId="37469FC2" w14:textId="05E391D4" w:rsidR="003D6AD9" w:rsidRPr="00306115" w:rsidRDefault="00F94C19" w:rsidP="003D6AD9">
      <w:pPr>
        <w:pStyle w:val="HeadingAwalDaftarIsiLampiran"/>
        <w:numPr>
          <w:ilvl w:val="0"/>
          <w:numId w:val="0"/>
        </w:numPr>
        <w:ind w:left="1134" w:firstLine="567"/>
      </w:pPr>
      <w:r w:rsidRPr="00306115">
        <w:drawing>
          <wp:anchor distT="0" distB="0" distL="114300" distR="114300" simplePos="0" relativeHeight="251671554" behindDoc="0" locked="0" layoutInCell="1" allowOverlap="1" wp14:anchorId="57A016E0" wp14:editId="7E9B48EB">
            <wp:simplePos x="0" y="0"/>
            <wp:positionH relativeFrom="margin">
              <wp:align>right</wp:align>
            </wp:positionH>
            <wp:positionV relativeFrom="paragraph">
              <wp:posOffset>363220</wp:posOffset>
            </wp:positionV>
            <wp:extent cx="5069840" cy="897890"/>
            <wp:effectExtent l="0" t="0" r="0" b="0"/>
            <wp:wrapThrough wrapText="bothSides">
              <wp:wrapPolygon edited="0">
                <wp:start x="0" y="0"/>
                <wp:lineTo x="0" y="21081"/>
                <wp:lineTo x="21508" y="21081"/>
                <wp:lineTo x="21508" y="0"/>
                <wp:lineTo x="0" y="0"/>
              </wp:wrapPolygon>
            </wp:wrapThrough>
            <wp:docPr id="5167543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75430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69840" cy="897890"/>
                    </a:xfrm>
                    <a:prstGeom prst="rect">
                      <a:avLst/>
                    </a:prstGeom>
                  </pic:spPr>
                </pic:pic>
              </a:graphicData>
            </a:graphic>
            <wp14:sizeRelH relativeFrom="margin">
              <wp14:pctWidth>0</wp14:pctWidth>
            </wp14:sizeRelH>
            <wp14:sizeRelV relativeFrom="margin">
              <wp14:pctHeight>0</wp14:pctHeight>
            </wp14:sizeRelV>
          </wp:anchor>
        </w:drawing>
      </w:r>
      <w:r w:rsidR="003D6AD9" w:rsidRPr="00306115">
        <w:t xml:space="preserve">Contoh </w:t>
      </w:r>
      <w:r w:rsidR="003D6AD9" w:rsidRPr="00306115">
        <w:rPr>
          <w:i/>
          <w:iCs/>
        </w:rPr>
        <w:t xml:space="preserve">stress test </w:t>
      </w:r>
      <w:r w:rsidRPr="00306115">
        <w:t xml:space="preserve">Risiko Likuiditas Produk Investasi </w:t>
      </w:r>
      <w:r w:rsidR="003D6AD9" w:rsidRPr="00306115">
        <w:t>yang terkait dengan instrumen investasi dalam Produk Investasi</w:t>
      </w:r>
      <w:r w:rsidRPr="00306115">
        <w:t>:</w:t>
      </w:r>
    </w:p>
    <w:p w14:paraId="56B1DC90" w14:textId="77777777" w:rsidR="00D31F15" w:rsidRPr="00306115" w:rsidRDefault="00D31F15" w:rsidP="00D31F15">
      <w:pPr>
        <w:pStyle w:val="HeadingAwalDaftarIsiLampiran"/>
        <w:numPr>
          <w:ilvl w:val="0"/>
          <w:numId w:val="0"/>
        </w:numPr>
        <w:ind w:left="1134" w:firstLine="567"/>
      </w:pPr>
    </w:p>
    <w:p w14:paraId="09106286" w14:textId="7976346D" w:rsidR="00DD5DFA" w:rsidRPr="00306115" w:rsidRDefault="00DD5DFA" w:rsidP="00DD5DFA">
      <w:pPr>
        <w:pStyle w:val="HeadingAwalDaftarIsiLampiran"/>
        <w:numPr>
          <w:ilvl w:val="0"/>
          <w:numId w:val="0"/>
        </w:numPr>
        <w:ind w:left="567"/>
        <w:rPr>
          <w:u w:val="single"/>
        </w:rPr>
      </w:pPr>
    </w:p>
    <w:p w14:paraId="01716A49" w14:textId="7173EBFD" w:rsidR="00B71D00" w:rsidRPr="00306115" w:rsidRDefault="00DD5DFA" w:rsidP="00751B3D">
      <w:pPr>
        <w:pStyle w:val="HeadingAwalDaftarIsiLampiran"/>
        <w:numPr>
          <w:ilvl w:val="7"/>
          <w:numId w:val="19"/>
        </w:numPr>
        <w:ind w:left="567" w:hanging="567"/>
      </w:pPr>
      <w:r w:rsidRPr="00306115">
        <w:t>Mitigasi Risiko</w:t>
      </w:r>
    </w:p>
    <w:p w14:paraId="724986BA" w14:textId="4A270805" w:rsidR="00F94C19" w:rsidRPr="00306115" w:rsidRDefault="00997F46" w:rsidP="00997F46">
      <w:pPr>
        <w:pStyle w:val="HeadingAwalDaftarIsiLampiran"/>
        <w:numPr>
          <w:ilvl w:val="0"/>
          <w:numId w:val="0"/>
        </w:numPr>
        <w:ind w:left="567" w:firstLine="567"/>
      </w:pPr>
      <w:r w:rsidRPr="00306115">
        <w:t xml:space="preserve">Bahwa setelah rangkaian Manajemen Risiko Likuiditas Produk Investasi dilalui, Manajer Investasi harus melakukan pemantauan Risiko Likuiditas Produk Investasi yang dihasilkan secara berkala. Atas kondisi Risiko Likuiditas Produk Investasi yang mengemuka, Manajer Investasi melakukan langkah mitigasi risiko, khususnya atas risiko ketidaksesuaian likuiditas aset dalam portofolio Produk Investasi dengan kebutuhan pemenuhan pembelian kembali Produk Investasi. Atas upaya mitigasi risiko yang dilakukan, Manajer Investasi wajib memperhatikan kontrak, keterbukaan informasi terkait hal ini kepada nasabah. Sejumlah opsi dapat dipilih Manajer Investasi untuk mengatasi risiko ketidaksesuaian likuiditas aset dalam portofolio Produk Investasi dengan kebutuhan pemenuhan pembelian kembali Produk Investasi. Atas setiap </w:t>
      </w:r>
      <w:r w:rsidRPr="00306115">
        <w:lastRenderedPageBreak/>
        <w:t>opsi yang dipilih tersebut, Manajer Investasi wajib memastikan perlakuan yang adil dan wajar kepada seluruh nasabah.</w:t>
      </w:r>
    </w:p>
    <w:p w14:paraId="56EEAF42" w14:textId="77777777" w:rsidR="00B9589B" w:rsidRPr="00306115" w:rsidRDefault="00B9589B" w:rsidP="00997F46">
      <w:pPr>
        <w:pStyle w:val="HeadingAwalDaftarIsiLampiran"/>
        <w:numPr>
          <w:ilvl w:val="0"/>
          <w:numId w:val="0"/>
        </w:numPr>
        <w:ind w:left="567" w:firstLine="567"/>
      </w:pPr>
    </w:p>
    <w:p w14:paraId="5F308FE7" w14:textId="01012426" w:rsidR="00B9589B" w:rsidRPr="00306115" w:rsidRDefault="00B9589B" w:rsidP="00B9589B">
      <w:pPr>
        <w:pStyle w:val="HeadingAwalDaftarIsiLampiran"/>
        <w:numPr>
          <w:ilvl w:val="7"/>
          <w:numId w:val="19"/>
        </w:numPr>
        <w:ind w:left="567" w:hanging="567"/>
      </w:pPr>
      <w:r w:rsidRPr="00306115">
        <w:t>Pelaporan Manajemen Likuiditas Reksa Dana</w:t>
      </w:r>
    </w:p>
    <w:p w14:paraId="2835FB8A" w14:textId="5D8C23B5" w:rsidR="00293C33" w:rsidRPr="00306115" w:rsidRDefault="00FE6313">
      <w:pPr>
        <w:pStyle w:val="HeadingAwalDaftarIsiLampiran"/>
        <w:numPr>
          <w:ilvl w:val="0"/>
          <w:numId w:val="512"/>
        </w:numPr>
        <w:ind w:left="1134" w:hanging="567"/>
      </w:pPr>
      <w:r w:rsidRPr="00306115">
        <w:t xml:space="preserve">Dalam hal Manajer Investasi mengelola Produk Investasi bersifat terbuka, </w:t>
      </w:r>
      <w:r w:rsidR="007C2E1A" w:rsidRPr="00306115">
        <w:t>Manajer Investasi menyampaikan laporan kepada Otoritas Jasa Keuangan.</w:t>
      </w:r>
    </w:p>
    <w:p w14:paraId="1487E079" w14:textId="2621DB42" w:rsidR="005141C0" w:rsidRPr="00306115" w:rsidRDefault="005141C0">
      <w:pPr>
        <w:pStyle w:val="HeadingAwalDaftarIsiLampiran"/>
        <w:numPr>
          <w:ilvl w:val="0"/>
          <w:numId w:val="512"/>
        </w:numPr>
        <w:ind w:left="1134" w:hanging="567"/>
      </w:pPr>
      <w:r w:rsidRPr="00306115">
        <w:t>Penyampaian laporan kepada Otoritas Jasa Keuangan dilakukan secara daring melalui sistem pelaporan Otoritas Jasa Keuangan.</w:t>
      </w:r>
    </w:p>
    <w:p w14:paraId="28D6157D" w14:textId="52170D38" w:rsidR="00B9589B" w:rsidRPr="00306115" w:rsidRDefault="000146DC">
      <w:pPr>
        <w:pStyle w:val="HeadingAwalDaftarIsiLampiran"/>
        <w:numPr>
          <w:ilvl w:val="0"/>
          <w:numId w:val="512"/>
        </w:numPr>
        <w:ind w:left="1134" w:hanging="567"/>
      </w:pPr>
      <w:r w:rsidRPr="00306115">
        <w:t>Laporan sebagaimana dimaksud pada angka 1</w:t>
      </w:r>
      <w:r w:rsidR="00472CDF" w:rsidRPr="00306115">
        <w:t xml:space="preserve"> </w:t>
      </w:r>
      <w:r w:rsidRPr="00306115">
        <w:t xml:space="preserve">berupa </w:t>
      </w:r>
      <w:r w:rsidR="004B0D62" w:rsidRPr="00306115">
        <w:t>hasil penilaian bulanan atas:</w:t>
      </w:r>
    </w:p>
    <w:p w14:paraId="3ABCB2DF" w14:textId="77777777" w:rsidR="004B0D62" w:rsidRPr="00306115" w:rsidRDefault="004B0D62">
      <w:pPr>
        <w:pStyle w:val="HeadingAwalDaftarIsiLampiran"/>
        <w:numPr>
          <w:ilvl w:val="0"/>
          <w:numId w:val="513"/>
        </w:numPr>
        <w:ind w:left="1701" w:hanging="567"/>
      </w:pPr>
      <w:r w:rsidRPr="00306115">
        <w:t>profil likuiditas aset dalam portofolio Produk Investasi yang dikelola untuk kepentingan Produk Investasi;</w:t>
      </w:r>
    </w:p>
    <w:p w14:paraId="0BA9196E" w14:textId="30474F5F" w:rsidR="004B0D62" w:rsidRPr="00306115" w:rsidRDefault="004B0D62">
      <w:pPr>
        <w:pStyle w:val="HeadingAwalDaftarIsiLampiran"/>
        <w:numPr>
          <w:ilvl w:val="0"/>
          <w:numId w:val="513"/>
        </w:numPr>
        <w:ind w:left="1701" w:hanging="567"/>
      </w:pPr>
      <w:r w:rsidRPr="00306115">
        <w:t>profil likuiditas dari kewajiban Produk Investasi; dan</w:t>
      </w:r>
    </w:p>
    <w:p w14:paraId="7191B7FA" w14:textId="4824900C" w:rsidR="004B0D62" w:rsidRPr="00306115" w:rsidRDefault="004B0D62">
      <w:pPr>
        <w:pStyle w:val="HeadingAwalDaftarIsiLampiran"/>
        <w:numPr>
          <w:ilvl w:val="0"/>
          <w:numId w:val="513"/>
        </w:numPr>
        <w:ind w:left="1701" w:hanging="567"/>
      </w:pPr>
      <w:r w:rsidRPr="00306115">
        <w:t xml:space="preserve">profil likuiditas aset atau tingkat kewajiban Produk Investasi dalam merespon berbagai skenario situasi pasar termasuk </w:t>
      </w:r>
      <w:r w:rsidRPr="00306115">
        <w:rPr>
          <w:i/>
          <w:iCs/>
        </w:rPr>
        <w:t>stress testing,</w:t>
      </w:r>
    </w:p>
    <w:p w14:paraId="723D6E59" w14:textId="580808C4" w:rsidR="00526643" w:rsidRPr="00306115" w:rsidRDefault="000D44AA">
      <w:pPr>
        <w:pStyle w:val="HeadingAwalDaftarIsiLampiran"/>
        <w:numPr>
          <w:ilvl w:val="0"/>
          <w:numId w:val="512"/>
        </w:numPr>
        <w:ind w:left="1134" w:hanging="567"/>
      </w:pPr>
      <w:r w:rsidRPr="00306115">
        <w:t xml:space="preserve">Laporan </w:t>
      </w:r>
      <w:r w:rsidR="0072096B" w:rsidRPr="00306115">
        <w:t xml:space="preserve">hasil penilaian bulanan sebagaimana dimaksud pada angka </w:t>
      </w:r>
      <w:r w:rsidR="00202296" w:rsidRPr="00306115">
        <w:t>3</w:t>
      </w:r>
      <w:r w:rsidR="0072096B" w:rsidRPr="00306115">
        <w:t xml:space="preserve"> memuat antara lain:</w:t>
      </w:r>
    </w:p>
    <w:p w14:paraId="71F2A732" w14:textId="475C024B" w:rsidR="0072096B" w:rsidRPr="00306115" w:rsidRDefault="00D379FF">
      <w:pPr>
        <w:pStyle w:val="HeadingAwalDaftarIsiLampiran"/>
        <w:numPr>
          <w:ilvl w:val="0"/>
          <w:numId w:val="514"/>
        </w:numPr>
        <w:ind w:left="1701" w:hanging="567"/>
      </w:pPr>
      <w:r w:rsidRPr="00306115">
        <w:t>likuiditas aset berdasarkan tipe Efek;</w:t>
      </w:r>
    </w:p>
    <w:p w14:paraId="77347EB5" w14:textId="45F06554" w:rsidR="00D379FF" w:rsidRPr="00306115" w:rsidRDefault="00D52C04">
      <w:pPr>
        <w:pStyle w:val="HeadingAwalDaftarIsiLampiran"/>
        <w:numPr>
          <w:ilvl w:val="0"/>
          <w:numId w:val="514"/>
        </w:numPr>
        <w:ind w:left="1701" w:hanging="567"/>
      </w:pPr>
      <w:r w:rsidRPr="00306115">
        <w:t>likuiditas aset Reksa Dana 5 (lima) Efek terbesar;</w:t>
      </w:r>
    </w:p>
    <w:p w14:paraId="79F20A19" w14:textId="267C6E9E" w:rsidR="00D52C04" w:rsidRPr="00306115" w:rsidRDefault="00D52C04">
      <w:pPr>
        <w:pStyle w:val="HeadingAwalDaftarIsiLampiran"/>
        <w:numPr>
          <w:ilvl w:val="0"/>
          <w:numId w:val="514"/>
        </w:numPr>
        <w:ind w:left="1701" w:hanging="567"/>
      </w:pPr>
      <w:r w:rsidRPr="00306115">
        <w:t>likuiditas kewajiban;</w:t>
      </w:r>
    </w:p>
    <w:p w14:paraId="04E99CEA" w14:textId="1B1279D1" w:rsidR="00D52C04" w:rsidRPr="00306115" w:rsidRDefault="00D52C04">
      <w:pPr>
        <w:pStyle w:val="HeadingAwalDaftarIsiLampiran"/>
        <w:numPr>
          <w:ilvl w:val="0"/>
          <w:numId w:val="514"/>
        </w:numPr>
        <w:ind w:left="1701" w:hanging="567"/>
      </w:pPr>
      <w:r w:rsidRPr="00306115">
        <w:t xml:space="preserve">likuiditas </w:t>
      </w:r>
      <w:r w:rsidRPr="00306115">
        <w:rPr>
          <w:i/>
          <w:iCs/>
        </w:rPr>
        <w:t>stress test</w:t>
      </w:r>
      <w:r w:rsidRPr="00306115">
        <w:t xml:space="preserve"> jumlah hari likuidasi; dan</w:t>
      </w:r>
    </w:p>
    <w:p w14:paraId="317F92A1" w14:textId="66501C6E" w:rsidR="00D52C04" w:rsidRPr="00306115" w:rsidRDefault="00D52C04">
      <w:pPr>
        <w:pStyle w:val="HeadingAwalDaftarIsiLampiran"/>
        <w:numPr>
          <w:ilvl w:val="0"/>
          <w:numId w:val="514"/>
        </w:numPr>
        <w:ind w:left="1701" w:hanging="567"/>
      </w:pPr>
      <w:r w:rsidRPr="00306115">
        <w:t xml:space="preserve">likuiditas </w:t>
      </w:r>
      <w:r w:rsidRPr="00306115">
        <w:rPr>
          <w:i/>
          <w:iCs/>
        </w:rPr>
        <w:t>stress test</w:t>
      </w:r>
      <w:r w:rsidRPr="00306115">
        <w:t xml:space="preserve"> detail Efek yang tidak dapat dicairkan dalam rentang 7 (tujuh) hari bursa</w:t>
      </w:r>
      <w:r w:rsidR="00FB4DAD" w:rsidRPr="00306115">
        <w:t>,</w:t>
      </w:r>
    </w:p>
    <w:p w14:paraId="3158F53A" w14:textId="3283BA50" w:rsidR="00FB4DAD" w:rsidRPr="00306115" w:rsidRDefault="00FB4DAD" w:rsidP="00FB4DAD">
      <w:pPr>
        <w:pStyle w:val="HeadingAwalDaftarIsiLampiran"/>
        <w:numPr>
          <w:ilvl w:val="0"/>
          <w:numId w:val="0"/>
        </w:numPr>
        <w:ind w:left="1134"/>
      </w:pPr>
      <w:r w:rsidRPr="00306115">
        <w:t xml:space="preserve">sesuai dengan format </w:t>
      </w:r>
      <w:r w:rsidR="00ED1E79" w:rsidRPr="00306115">
        <w:t>pada sistem pelaporan Otoritas Jasa Keuangan.</w:t>
      </w:r>
    </w:p>
    <w:p w14:paraId="074989B8" w14:textId="6B7D9A0B" w:rsidR="00202296" w:rsidRPr="00306115" w:rsidRDefault="00ED1E79">
      <w:pPr>
        <w:pStyle w:val="HeadingAwalDaftarIsiLampiran"/>
        <w:numPr>
          <w:ilvl w:val="0"/>
          <w:numId w:val="512"/>
        </w:numPr>
        <w:ind w:left="1134" w:hanging="567"/>
      </w:pPr>
      <w:r w:rsidRPr="00306115">
        <w:t>Manajer Investasi menyampaikan l</w:t>
      </w:r>
      <w:r w:rsidR="00FB4DAD" w:rsidRPr="00306115">
        <w:t>aporan hasil penilaian bulanan</w:t>
      </w:r>
      <w:r w:rsidRPr="00306115">
        <w:t xml:space="preserve"> </w:t>
      </w:r>
      <w:r w:rsidR="00FB4DAD" w:rsidRPr="00306115">
        <w:t xml:space="preserve"> sebagaimana dimaksud pada angka 3 </w:t>
      </w:r>
      <w:r w:rsidRPr="00306115">
        <w:t xml:space="preserve">kepada Otoritas Jasa Keuangan </w:t>
      </w:r>
      <w:r w:rsidR="00202296" w:rsidRPr="00306115">
        <w:t>paling lambat pada hari ke-10 (kesepuluh) setelah berakhirnya bulan dimaksud.</w:t>
      </w:r>
    </w:p>
    <w:p w14:paraId="2B351390" w14:textId="77777777" w:rsidR="00202296" w:rsidRPr="00306115" w:rsidRDefault="00202296">
      <w:pPr>
        <w:pStyle w:val="HeadingAwalDaftarIsiLampiran"/>
        <w:numPr>
          <w:ilvl w:val="0"/>
          <w:numId w:val="512"/>
        </w:numPr>
        <w:ind w:left="1134" w:hanging="567"/>
      </w:pPr>
      <w:r w:rsidRPr="00306115">
        <w:t>Dalam hal batas akhir waktu penyampaian laporan sebagaimana dimaksud pada angka 1 jatuh pada hari libur, laporan disampaikan pada 1 (satu) hari kerja berikutnya.</w:t>
      </w:r>
    </w:p>
    <w:p w14:paraId="55904BD4" w14:textId="77777777" w:rsidR="00BC01BE" w:rsidRPr="00306115" w:rsidRDefault="00BC01BE" w:rsidP="006A1B87">
      <w:pPr>
        <w:pStyle w:val="HeadingAwalDaftarIsiLampiran"/>
        <w:numPr>
          <w:ilvl w:val="0"/>
          <w:numId w:val="0"/>
        </w:numPr>
        <w:ind w:left="567"/>
      </w:pPr>
    </w:p>
    <w:p w14:paraId="1BB9E13B" w14:textId="77777777" w:rsidR="00E67066" w:rsidRPr="00306115" w:rsidRDefault="00E67066" w:rsidP="00E67066">
      <w:pPr>
        <w:tabs>
          <w:tab w:val="left" w:pos="9071"/>
        </w:tabs>
        <w:spacing w:after="0" w:line="240" w:lineRule="auto"/>
        <w:ind w:left="4536"/>
        <w:rPr>
          <w:noProof/>
          <w:color w:val="000000" w:themeColor="text1"/>
          <w:szCs w:val="24"/>
        </w:rPr>
      </w:pPr>
      <w:r w:rsidRPr="00306115">
        <w:rPr>
          <w:noProof/>
          <w:color w:val="000000" w:themeColor="text1"/>
          <w:szCs w:val="24"/>
        </w:rPr>
        <w:t>Ditetapkan di Jakarta</w:t>
      </w:r>
    </w:p>
    <w:p w14:paraId="45024669" w14:textId="77777777" w:rsidR="00E67066" w:rsidRPr="00306115" w:rsidRDefault="00E67066" w:rsidP="00E67066">
      <w:pPr>
        <w:tabs>
          <w:tab w:val="left" w:pos="9071"/>
        </w:tabs>
        <w:spacing w:after="0" w:line="240" w:lineRule="auto"/>
        <w:ind w:left="4536"/>
        <w:rPr>
          <w:noProof/>
          <w:color w:val="000000" w:themeColor="text1"/>
          <w:szCs w:val="24"/>
        </w:rPr>
      </w:pPr>
      <w:r w:rsidRPr="00306115">
        <w:rPr>
          <w:noProof/>
          <w:color w:val="000000" w:themeColor="text1"/>
          <w:szCs w:val="24"/>
        </w:rPr>
        <w:t>pada tanggal …</w:t>
      </w:r>
    </w:p>
    <w:p w14:paraId="035409E8" w14:textId="77777777" w:rsidR="00E67066" w:rsidRPr="00306115" w:rsidRDefault="00E67066" w:rsidP="00E67066">
      <w:pPr>
        <w:tabs>
          <w:tab w:val="left" w:pos="9071"/>
        </w:tabs>
        <w:spacing w:after="0" w:line="240" w:lineRule="auto"/>
        <w:ind w:left="4536"/>
        <w:rPr>
          <w:noProof/>
          <w:color w:val="000000" w:themeColor="text1"/>
          <w:szCs w:val="24"/>
        </w:rPr>
      </w:pPr>
    </w:p>
    <w:p w14:paraId="4A0CC200" w14:textId="77777777" w:rsidR="00E67066" w:rsidRPr="00306115" w:rsidRDefault="00E67066" w:rsidP="00E67066">
      <w:pPr>
        <w:tabs>
          <w:tab w:val="left" w:pos="9071"/>
        </w:tabs>
        <w:spacing w:after="0" w:line="240" w:lineRule="auto"/>
        <w:ind w:left="4536"/>
        <w:rPr>
          <w:noProof/>
          <w:color w:val="000000" w:themeColor="text1"/>
          <w:szCs w:val="24"/>
        </w:rPr>
      </w:pPr>
      <w:r w:rsidRPr="00306115">
        <w:rPr>
          <w:noProof/>
          <w:color w:val="000000" w:themeColor="text1"/>
          <w:szCs w:val="24"/>
        </w:rPr>
        <w:t>KEPALA</w:t>
      </w:r>
      <w:r w:rsidRPr="00306115">
        <w:rPr>
          <w:noProof/>
          <w:color w:val="000000" w:themeColor="text1"/>
          <w:szCs w:val="24"/>
          <w:lang w:val="en-US"/>
        </w:rPr>
        <w:t xml:space="preserve"> </w:t>
      </w:r>
      <w:r w:rsidRPr="00306115">
        <w:rPr>
          <w:noProof/>
          <w:color w:val="000000" w:themeColor="text1"/>
          <w:szCs w:val="24"/>
        </w:rPr>
        <w:t>EKSEKUTIF PENGAWAS PASAR MODAL, KEUANGAN DERIVATIF, DAN BURSA KARBON</w:t>
      </w:r>
    </w:p>
    <w:p w14:paraId="667B6719" w14:textId="77777777" w:rsidR="00E67066" w:rsidRPr="00306115" w:rsidRDefault="00E67066" w:rsidP="00E67066">
      <w:pPr>
        <w:tabs>
          <w:tab w:val="left" w:pos="9071"/>
        </w:tabs>
        <w:spacing w:after="0" w:line="240" w:lineRule="auto"/>
        <w:ind w:left="4536"/>
        <w:rPr>
          <w:noProof/>
          <w:color w:val="000000" w:themeColor="text1"/>
          <w:szCs w:val="24"/>
        </w:rPr>
      </w:pPr>
      <w:r w:rsidRPr="00306115">
        <w:rPr>
          <w:noProof/>
          <w:color w:val="000000" w:themeColor="text1"/>
          <w:szCs w:val="24"/>
        </w:rPr>
        <w:t>OTORITAS JASA KEUANGAN</w:t>
      </w:r>
    </w:p>
    <w:p w14:paraId="272F068C" w14:textId="77777777" w:rsidR="00E67066" w:rsidRPr="00306115" w:rsidRDefault="00E67066" w:rsidP="00E67066">
      <w:pPr>
        <w:tabs>
          <w:tab w:val="left" w:pos="9071"/>
        </w:tabs>
        <w:spacing w:after="0" w:line="240" w:lineRule="auto"/>
        <w:ind w:left="4536"/>
        <w:rPr>
          <w:noProof/>
          <w:color w:val="000000" w:themeColor="text1"/>
          <w:szCs w:val="24"/>
        </w:rPr>
      </w:pPr>
      <w:r w:rsidRPr="00306115">
        <w:rPr>
          <w:noProof/>
          <w:color w:val="000000" w:themeColor="text1"/>
          <w:szCs w:val="24"/>
          <w:lang w:val="en-US"/>
        </w:rPr>
        <w:t>REPUBLIK INDONESIA</w:t>
      </w:r>
      <w:r w:rsidRPr="00306115">
        <w:rPr>
          <w:noProof/>
          <w:color w:val="000000" w:themeColor="text1"/>
          <w:szCs w:val="24"/>
        </w:rPr>
        <w:t>,</w:t>
      </w:r>
    </w:p>
    <w:p w14:paraId="521AE1E1" w14:textId="77777777" w:rsidR="00E67066" w:rsidRPr="00306115" w:rsidRDefault="00E67066" w:rsidP="00E67066">
      <w:pPr>
        <w:spacing w:after="0" w:line="240" w:lineRule="auto"/>
        <w:ind w:left="5245" w:right="26"/>
        <w:rPr>
          <w:noProof/>
          <w:color w:val="000000" w:themeColor="text1"/>
          <w:szCs w:val="24"/>
        </w:rPr>
      </w:pPr>
    </w:p>
    <w:p w14:paraId="6C585757" w14:textId="77777777" w:rsidR="00E67066" w:rsidRPr="00306115" w:rsidRDefault="00E67066" w:rsidP="00E67066">
      <w:pPr>
        <w:spacing w:after="0" w:line="240" w:lineRule="auto"/>
        <w:ind w:left="5245" w:right="26"/>
        <w:rPr>
          <w:noProof/>
          <w:color w:val="000000" w:themeColor="text1"/>
          <w:szCs w:val="24"/>
        </w:rPr>
      </w:pPr>
    </w:p>
    <w:p w14:paraId="495C458D" w14:textId="77777777" w:rsidR="00ED1E79" w:rsidRPr="00306115" w:rsidRDefault="00ED1E79" w:rsidP="00E67066">
      <w:pPr>
        <w:spacing w:after="0" w:line="240" w:lineRule="auto"/>
        <w:ind w:left="5245" w:right="26"/>
        <w:rPr>
          <w:noProof/>
          <w:color w:val="000000" w:themeColor="text1"/>
          <w:szCs w:val="24"/>
        </w:rPr>
      </w:pPr>
    </w:p>
    <w:p w14:paraId="141BA64F" w14:textId="77777777" w:rsidR="00E67066" w:rsidRPr="00306115" w:rsidRDefault="00E67066" w:rsidP="00E67066">
      <w:pPr>
        <w:spacing w:after="0" w:line="240" w:lineRule="auto"/>
        <w:ind w:left="5245" w:right="26"/>
        <w:rPr>
          <w:noProof/>
          <w:color w:val="000000" w:themeColor="text1"/>
          <w:szCs w:val="24"/>
        </w:rPr>
      </w:pPr>
    </w:p>
    <w:p w14:paraId="03C7E85D" w14:textId="77777777" w:rsidR="00E67066" w:rsidRPr="00306115" w:rsidRDefault="00E67066" w:rsidP="00E67066">
      <w:pPr>
        <w:tabs>
          <w:tab w:val="left" w:pos="8910"/>
        </w:tabs>
        <w:spacing w:after="0" w:line="240" w:lineRule="auto"/>
        <w:ind w:left="4536"/>
        <w:jc w:val="center"/>
        <w:rPr>
          <w:noProof/>
          <w:color w:val="000000" w:themeColor="text1"/>
          <w:szCs w:val="24"/>
        </w:rPr>
      </w:pPr>
      <w:r w:rsidRPr="00306115">
        <w:rPr>
          <w:noProof/>
          <w:color w:val="000000" w:themeColor="text1"/>
          <w:szCs w:val="24"/>
        </w:rPr>
        <w:t>HASAN FAWZI</w:t>
      </w:r>
    </w:p>
    <w:p w14:paraId="6555C55B" w14:textId="77777777" w:rsidR="00E67066" w:rsidRPr="00306115" w:rsidRDefault="00E67066" w:rsidP="006A1B87">
      <w:pPr>
        <w:pStyle w:val="HeadingAwalDaftarIsiLampiran"/>
        <w:numPr>
          <w:ilvl w:val="0"/>
          <w:numId w:val="0"/>
        </w:numPr>
        <w:ind w:left="567"/>
        <w:sectPr w:rsidR="00E67066" w:rsidRPr="00306115" w:rsidSect="003A3967">
          <w:headerReference w:type="first" r:id="rId19"/>
          <w:pgSz w:w="11907" w:h="18711" w:code="41"/>
          <w:pgMar w:top="1418" w:right="1418" w:bottom="1418" w:left="1418" w:header="709" w:footer="709" w:gutter="0"/>
          <w:pgNumType w:fmt="numberInDash" w:start="2"/>
          <w:cols w:space="708"/>
          <w:titlePg/>
          <w:docGrid w:linePitch="360"/>
        </w:sectPr>
      </w:pPr>
    </w:p>
    <w:p w14:paraId="7A066340" w14:textId="2A758889" w:rsidR="009E793A" w:rsidRPr="00306115" w:rsidRDefault="009E793A" w:rsidP="006A1B87">
      <w:pPr>
        <w:pStyle w:val="HeadingAwalDaftarIsiLampiran"/>
        <w:numPr>
          <w:ilvl w:val="0"/>
          <w:numId w:val="0"/>
        </w:numPr>
        <w:ind w:left="567"/>
      </w:pPr>
      <w:r w:rsidRPr="00306115">
        <w:rPr>
          <w:rFonts w:eastAsia="MS Mincho" w:cs="Arial"/>
          <w:b/>
          <w:lang w:eastAsia="id-ID"/>
        </w:rPr>
        <w:lastRenderedPageBreak/>
        <w:drawing>
          <wp:anchor distT="0" distB="0" distL="114300" distR="114300" simplePos="0" relativeHeight="251662338" behindDoc="1" locked="0" layoutInCell="1" allowOverlap="1" wp14:anchorId="4EF77FE6" wp14:editId="17F8E11F">
            <wp:simplePos x="0" y="0"/>
            <wp:positionH relativeFrom="margin">
              <wp:align>left</wp:align>
            </wp:positionH>
            <wp:positionV relativeFrom="paragraph">
              <wp:posOffset>559</wp:posOffset>
            </wp:positionV>
            <wp:extent cx="2333625" cy="1009650"/>
            <wp:effectExtent l="0" t="0" r="9525" b="0"/>
            <wp:wrapSquare wrapText="bothSides"/>
            <wp:docPr id="649859439" name="Picture 649859439" descr="A logo with a red and white letter x&#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A logo with a red and white letter x&#10;&#10;AI-generated content may be incorrect."/>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33625"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E03DFE" w14:textId="77777777" w:rsidR="009E793A" w:rsidRPr="00306115" w:rsidRDefault="009E793A" w:rsidP="006A1B87">
      <w:pPr>
        <w:pStyle w:val="HeadingAwalDaftarIsiLampiran"/>
        <w:numPr>
          <w:ilvl w:val="0"/>
          <w:numId w:val="0"/>
        </w:numPr>
        <w:ind w:left="567"/>
      </w:pPr>
    </w:p>
    <w:p w14:paraId="774BE068" w14:textId="2B6772D3" w:rsidR="009E793A" w:rsidRPr="00306115" w:rsidRDefault="009E793A" w:rsidP="006A1B87">
      <w:pPr>
        <w:pStyle w:val="HeadingAwalDaftarIsiLampiran"/>
        <w:numPr>
          <w:ilvl w:val="0"/>
          <w:numId w:val="0"/>
        </w:numPr>
        <w:ind w:left="567"/>
      </w:pPr>
    </w:p>
    <w:p w14:paraId="7A2FC752" w14:textId="77777777" w:rsidR="0037786D" w:rsidRPr="00306115" w:rsidRDefault="0037786D" w:rsidP="006A1B87">
      <w:pPr>
        <w:pStyle w:val="HeadingAwalDaftarIsiLampiran"/>
        <w:numPr>
          <w:ilvl w:val="0"/>
          <w:numId w:val="0"/>
        </w:numPr>
        <w:ind w:left="567"/>
      </w:pPr>
    </w:p>
    <w:p w14:paraId="4D32A543" w14:textId="77777777" w:rsidR="009E793A" w:rsidRPr="00306115" w:rsidRDefault="009E793A" w:rsidP="006A1B87">
      <w:pPr>
        <w:pStyle w:val="HeadingAwalDaftarIsiLampiran"/>
        <w:numPr>
          <w:ilvl w:val="0"/>
          <w:numId w:val="0"/>
        </w:numPr>
        <w:ind w:left="567"/>
      </w:pPr>
    </w:p>
    <w:p w14:paraId="761B7CFF" w14:textId="77777777" w:rsidR="009E793A" w:rsidRPr="00306115" w:rsidRDefault="009E793A" w:rsidP="006A1B87">
      <w:pPr>
        <w:pStyle w:val="HeadingAwalDaftarIsiLampiran"/>
        <w:numPr>
          <w:ilvl w:val="0"/>
          <w:numId w:val="0"/>
        </w:numPr>
        <w:ind w:left="567"/>
      </w:pPr>
    </w:p>
    <w:p w14:paraId="21593EF1" w14:textId="77777777" w:rsidR="009E793A" w:rsidRPr="00306115" w:rsidRDefault="009E793A" w:rsidP="006A1B87">
      <w:pPr>
        <w:pStyle w:val="HeadingAwalDaftarIsiLampiran"/>
        <w:numPr>
          <w:ilvl w:val="0"/>
          <w:numId w:val="0"/>
        </w:numPr>
        <w:ind w:left="567"/>
      </w:pPr>
    </w:p>
    <w:p w14:paraId="0F28D366" w14:textId="77777777" w:rsidR="009E793A" w:rsidRPr="00306115" w:rsidRDefault="009E793A" w:rsidP="006A1B87">
      <w:pPr>
        <w:pStyle w:val="HeadingAwalDaftarIsiLampiran"/>
        <w:numPr>
          <w:ilvl w:val="0"/>
          <w:numId w:val="0"/>
        </w:numPr>
        <w:ind w:left="567"/>
      </w:pPr>
    </w:p>
    <w:p w14:paraId="695B71E8" w14:textId="7B4CF9E4" w:rsidR="009E793A" w:rsidRPr="00306115" w:rsidRDefault="009E793A" w:rsidP="009E793A">
      <w:pPr>
        <w:tabs>
          <w:tab w:val="left" w:pos="8910"/>
        </w:tabs>
        <w:spacing w:after="0" w:line="240" w:lineRule="auto"/>
        <w:ind w:right="26"/>
        <w:rPr>
          <w:noProof/>
          <w:color w:val="000000" w:themeColor="text1"/>
          <w:szCs w:val="24"/>
        </w:rPr>
      </w:pPr>
      <w:r w:rsidRPr="00306115">
        <w:rPr>
          <w:noProof/>
          <w:color w:val="000000" w:themeColor="text1"/>
          <w:szCs w:val="24"/>
        </w:rPr>
        <w:t>LAMPIRAN I</w:t>
      </w:r>
      <w:r w:rsidR="001358DC" w:rsidRPr="00306115">
        <w:rPr>
          <w:noProof/>
          <w:color w:val="000000" w:themeColor="text1"/>
          <w:szCs w:val="24"/>
        </w:rPr>
        <w:t>V</w:t>
      </w:r>
    </w:p>
    <w:p w14:paraId="742DBD7A" w14:textId="77777777" w:rsidR="009E793A" w:rsidRPr="00306115" w:rsidRDefault="009E793A" w:rsidP="009E793A">
      <w:pPr>
        <w:tabs>
          <w:tab w:val="left" w:pos="8910"/>
        </w:tabs>
        <w:spacing w:after="0" w:line="240" w:lineRule="auto"/>
        <w:ind w:right="26"/>
        <w:rPr>
          <w:noProof/>
          <w:color w:val="000000" w:themeColor="text1"/>
          <w:szCs w:val="24"/>
        </w:rPr>
      </w:pPr>
      <w:r w:rsidRPr="00306115">
        <w:rPr>
          <w:noProof/>
          <w:color w:val="000000" w:themeColor="text1"/>
          <w:szCs w:val="24"/>
        </w:rPr>
        <w:t>PERATURAN ANGGOTA DEWAN KOMISIONER OTORITAS JASA KEUANGAN</w:t>
      </w:r>
    </w:p>
    <w:p w14:paraId="19CAD640" w14:textId="77777777" w:rsidR="009E793A" w:rsidRPr="00306115" w:rsidRDefault="009E793A" w:rsidP="009E793A">
      <w:pPr>
        <w:tabs>
          <w:tab w:val="left" w:pos="8910"/>
        </w:tabs>
        <w:spacing w:after="0" w:line="240" w:lineRule="auto"/>
        <w:ind w:right="26"/>
        <w:rPr>
          <w:noProof/>
          <w:color w:val="000000" w:themeColor="text1"/>
          <w:szCs w:val="24"/>
        </w:rPr>
      </w:pPr>
      <w:r w:rsidRPr="00306115">
        <w:rPr>
          <w:noProof/>
          <w:color w:val="000000" w:themeColor="text1"/>
          <w:szCs w:val="24"/>
        </w:rPr>
        <w:t>REPUBLIK INDONESIA</w:t>
      </w:r>
    </w:p>
    <w:p w14:paraId="158A2281" w14:textId="77777777" w:rsidR="009E793A" w:rsidRPr="00306115" w:rsidRDefault="009E793A" w:rsidP="009E793A">
      <w:pPr>
        <w:tabs>
          <w:tab w:val="left" w:pos="8910"/>
        </w:tabs>
        <w:spacing w:after="0" w:line="240" w:lineRule="auto"/>
        <w:ind w:right="26"/>
        <w:rPr>
          <w:noProof/>
          <w:color w:val="000000" w:themeColor="text1"/>
          <w:szCs w:val="24"/>
        </w:rPr>
      </w:pPr>
      <w:r w:rsidRPr="00306115">
        <w:rPr>
          <w:noProof/>
          <w:color w:val="000000" w:themeColor="text1"/>
          <w:szCs w:val="24"/>
        </w:rPr>
        <w:t>NOMOR ...TAHUN ...</w:t>
      </w:r>
    </w:p>
    <w:p w14:paraId="6F5A6CC0" w14:textId="77777777" w:rsidR="009E793A" w:rsidRPr="00306115" w:rsidRDefault="009E793A" w:rsidP="009E793A">
      <w:pPr>
        <w:tabs>
          <w:tab w:val="left" w:pos="8910"/>
        </w:tabs>
        <w:spacing w:after="0" w:line="240" w:lineRule="auto"/>
        <w:ind w:right="26"/>
        <w:rPr>
          <w:noProof/>
          <w:color w:val="000000" w:themeColor="text1"/>
          <w:szCs w:val="24"/>
        </w:rPr>
      </w:pPr>
      <w:r w:rsidRPr="00306115">
        <w:rPr>
          <w:noProof/>
          <w:color w:val="000000" w:themeColor="text1"/>
          <w:szCs w:val="24"/>
        </w:rPr>
        <w:t>TENTANG</w:t>
      </w:r>
    </w:p>
    <w:p w14:paraId="7B0B034C" w14:textId="77777777" w:rsidR="009E793A" w:rsidRPr="00306115" w:rsidRDefault="009E793A" w:rsidP="009E793A">
      <w:pPr>
        <w:spacing w:after="0" w:line="240" w:lineRule="auto"/>
        <w:rPr>
          <w:noProof/>
          <w:color w:val="000000" w:themeColor="text1"/>
          <w:szCs w:val="24"/>
          <w:lang w:val="en-US"/>
        </w:rPr>
      </w:pPr>
      <w:r w:rsidRPr="00306115">
        <w:rPr>
          <w:noProof/>
          <w:color w:val="000000" w:themeColor="text1"/>
          <w:szCs w:val="24"/>
        </w:rPr>
        <w:t xml:space="preserve">PEDOMAN PENERAPAN MANAJEMEN RISIKO DAN PENILAIAN </w:t>
      </w:r>
      <w:r w:rsidRPr="00306115">
        <w:rPr>
          <w:noProof/>
          <w:color w:val="000000" w:themeColor="text1"/>
          <w:szCs w:val="24"/>
        </w:rPr>
        <w:br/>
        <w:t xml:space="preserve">TINGKAT KESEHATAN MANAJER </w:t>
      </w:r>
      <w:r w:rsidRPr="00306115">
        <w:rPr>
          <w:noProof/>
          <w:color w:val="000000" w:themeColor="text1"/>
          <w:szCs w:val="24"/>
          <w:lang w:val="en-US"/>
        </w:rPr>
        <w:t>INVESTASI</w:t>
      </w:r>
    </w:p>
    <w:p w14:paraId="70F64602" w14:textId="77777777" w:rsidR="009E793A" w:rsidRPr="00306115" w:rsidRDefault="009E793A" w:rsidP="006A1B87">
      <w:pPr>
        <w:pStyle w:val="HeadingAwalDaftarIsiLampiran"/>
        <w:numPr>
          <w:ilvl w:val="0"/>
          <w:numId w:val="0"/>
        </w:numPr>
        <w:ind w:left="567"/>
        <w:sectPr w:rsidR="009E793A" w:rsidRPr="00306115" w:rsidSect="003A3967">
          <w:headerReference w:type="first" r:id="rId20"/>
          <w:pgSz w:w="11907" w:h="18711" w:code="41"/>
          <w:pgMar w:top="1418" w:right="1418" w:bottom="1418" w:left="1418" w:header="709" w:footer="709" w:gutter="0"/>
          <w:pgNumType w:fmt="numberInDash" w:start="2"/>
          <w:cols w:space="708"/>
          <w:titlePg/>
          <w:docGrid w:linePitch="360"/>
        </w:sectPr>
      </w:pPr>
    </w:p>
    <w:p w14:paraId="5727586D" w14:textId="55BDFCE6" w:rsidR="009E793A" w:rsidRPr="00306115" w:rsidRDefault="003B64B4" w:rsidP="003B64B4">
      <w:pPr>
        <w:pStyle w:val="HeadingAwalDaftarIsiLampiran"/>
        <w:numPr>
          <w:ilvl w:val="0"/>
          <w:numId w:val="0"/>
        </w:numPr>
        <w:jc w:val="center"/>
        <w:rPr>
          <w:b/>
          <w:bCs/>
        </w:rPr>
      </w:pPr>
      <w:r w:rsidRPr="00306115">
        <w:rPr>
          <w:b/>
          <w:bCs/>
        </w:rPr>
        <w:lastRenderedPageBreak/>
        <w:t>PENILAIAN TINGKAT KESEHATAN MANAJER INVESTASI</w:t>
      </w:r>
    </w:p>
    <w:p w14:paraId="1E77501A" w14:textId="77777777" w:rsidR="003B64B4" w:rsidRPr="00306115" w:rsidRDefault="003B64B4" w:rsidP="003B64B4">
      <w:pPr>
        <w:pStyle w:val="HeadingAwalDaftarIsiLampiran"/>
        <w:numPr>
          <w:ilvl w:val="0"/>
          <w:numId w:val="0"/>
        </w:numPr>
        <w:ind w:left="720" w:hanging="360"/>
      </w:pPr>
    </w:p>
    <w:p w14:paraId="4E1529BE" w14:textId="77777777" w:rsidR="008719A1" w:rsidRPr="00306115" w:rsidRDefault="008719A1" w:rsidP="003B64B4">
      <w:pPr>
        <w:pStyle w:val="HeadingAwalDaftarIsiLampiran"/>
        <w:numPr>
          <w:ilvl w:val="0"/>
          <w:numId w:val="0"/>
        </w:numPr>
        <w:ind w:left="720" w:hanging="360"/>
      </w:pPr>
    </w:p>
    <w:p w14:paraId="1AC41D8B" w14:textId="6A34140D" w:rsidR="003B64B4" w:rsidRPr="00306115" w:rsidRDefault="003B64B4" w:rsidP="003B64B4">
      <w:pPr>
        <w:pStyle w:val="HeadingAwalDaftarIsiLampiran"/>
        <w:numPr>
          <w:ilvl w:val="0"/>
          <w:numId w:val="0"/>
        </w:numPr>
        <w:ind w:left="567" w:hanging="567"/>
      </w:pPr>
      <w:r w:rsidRPr="00306115">
        <w:t>Petunjuk Pengisian:</w:t>
      </w:r>
    </w:p>
    <w:p w14:paraId="17F7BAE4" w14:textId="77777777" w:rsidR="003B64B4" w:rsidRPr="00306115" w:rsidRDefault="003B64B4" w:rsidP="003B64B4">
      <w:pPr>
        <w:pStyle w:val="HeadingAwalDaftarIsiLampiran"/>
        <w:numPr>
          <w:ilvl w:val="0"/>
          <w:numId w:val="0"/>
        </w:numPr>
        <w:ind w:left="567" w:hanging="567"/>
      </w:pPr>
    </w:p>
    <w:p w14:paraId="6BF1B17D" w14:textId="4E2B8F09" w:rsidR="003B64B4" w:rsidRPr="00306115" w:rsidRDefault="002D79E6">
      <w:pPr>
        <w:pStyle w:val="HeadingAwalDaftarIsiLampiran"/>
        <w:numPr>
          <w:ilvl w:val="0"/>
          <w:numId w:val="254"/>
        </w:numPr>
        <w:ind w:left="567" w:hanging="567"/>
      </w:pPr>
      <w:r w:rsidRPr="00306115">
        <w:rPr>
          <w:rFonts w:eastAsia="Bookman Old Style" w:cs="Bookman Old Style"/>
        </w:rPr>
        <w:t>Manajer Investasi melakukan penilaian Tingkat Kesehatan Manajer Investasi dengan menggunakan pendekatan risiko yang mencakup penilaian terhadap parameter atau indikator risiko sesuai dengan Lampiran I</w:t>
      </w:r>
      <w:r w:rsidR="00091626" w:rsidRPr="00306115">
        <w:rPr>
          <w:rFonts w:eastAsia="Bookman Old Style" w:cs="Bookman Old Style"/>
        </w:rPr>
        <w:t>V</w:t>
      </w:r>
      <w:r w:rsidR="00945817" w:rsidRPr="00306115">
        <w:rPr>
          <w:rFonts w:eastAsia="Bookman Old Style" w:cs="Bookman Old Style"/>
        </w:rPr>
        <w:t xml:space="preserve"> </w:t>
      </w:r>
      <w:r w:rsidR="00945817" w:rsidRPr="00306115">
        <w:t>yang merupakan bagian tidak terpisahkan dari Peraturan Anggota Dewan Komisioner Otoritas Jasa Keuangan ini</w:t>
      </w:r>
      <w:r w:rsidRPr="00306115">
        <w:rPr>
          <w:rFonts w:eastAsia="Bookman Old Style" w:cs="Bookman Old Style"/>
        </w:rPr>
        <w:t>.</w:t>
      </w:r>
    </w:p>
    <w:p w14:paraId="4154D5F2" w14:textId="3259FA88" w:rsidR="00B875BA" w:rsidRPr="00306115" w:rsidRDefault="00DB0FC8">
      <w:pPr>
        <w:pStyle w:val="HeadingAwalDaftarIsiLampiran"/>
        <w:numPr>
          <w:ilvl w:val="0"/>
          <w:numId w:val="254"/>
        </w:numPr>
        <w:ind w:left="567" w:hanging="567"/>
      </w:pPr>
      <w:r w:rsidRPr="00306115">
        <w:rPr>
          <w:rFonts w:eastAsia="Bookman Old Style" w:cs="Bookman Old Style"/>
        </w:rPr>
        <w:t xml:space="preserve">Parameter atau indikator risiko dalam Lampiran </w:t>
      </w:r>
      <w:r w:rsidR="00091626" w:rsidRPr="00306115">
        <w:rPr>
          <w:rFonts w:eastAsia="Bookman Old Style" w:cs="Bookman Old Style"/>
        </w:rPr>
        <w:t>IV</w:t>
      </w:r>
      <w:r w:rsidR="00EB6BE2" w:rsidRPr="00306115">
        <w:rPr>
          <w:rFonts w:eastAsia="Bookman Old Style" w:cs="Bookman Old Style"/>
        </w:rPr>
        <w:t xml:space="preserve"> </w:t>
      </w:r>
      <w:r w:rsidR="00EB6BE2" w:rsidRPr="00306115">
        <w:t>yang merupakan bagian tidak terpisahkan dari Peraturan Anggota Dewan Komisioner Otoritas Jasa Keuangan ini</w:t>
      </w:r>
      <w:r w:rsidRPr="00306115">
        <w:rPr>
          <w:rFonts w:eastAsia="Bookman Old Style" w:cs="Bookman Old Style"/>
        </w:rPr>
        <w:t>, merupakan standar minimum yang harus digunakan dalam melakukan penilaian Tingkat Kesehatan Manajer Investasi.</w:t>
      </w:r>
    </w:p>
    <w:p w14:paraId="2AF30EE9" w14:textId="5A15FAFE" w:rsidR="009A20E1" w:rsidRPr="00306115" w:rsidRDefault="009A20E1">
      <w:pPr>
        <w:pStyle w:val="HeadingAwalDaftarIsiLampiran"/>
        <w:numPr>
          <w:ilvl w:val="0"/>
          <w:numId w:val="254"/>
        </w:numPr>
        <w:ind w:left="567" w:hanging="567"/>
      </w:pPr>
      <w:r w:rsidRPr="00306115">
        <w:rPr>
          <w:rFonts w:eastAsia="Calibri"/>
          <w:lang w:val="en-ID"/>
        </w:rPr>
        <w:t xml:space="preserve">Penilaian risiko terhadap seluruh Produk Investasi yang dikelola Manajer Investasi menggunakan indikator penilaian risiko sebagaimana tercantum dalam Lampiran </w:t>
      </w:r>
      <w:r w:rsidR="00411A1B" w:rsidRPr="00306115">
        <w:rPr>
          <w:rFonts w:eastAsia="Calibri"/>
          <w:lang w:val="en-ID"/>
        </w:rPr>
        <w:t>IV</w:t>
      </w:r>
      <w:r w:rsidR="00882150" w:rsidRPr="00306115">
        <w:rPr>
          <w:rFonts w:eastAsia="Calibri"/>
          <w:lang w:val="en-ID"/>
        </w:rPr>
        <w:t xml:space="preserve"> </w:t>
      </w:r>
      <w:r w:rsidR="00EB6BE2" w:rsidRPr="00306115">
        <w:t>yang merupakan bagian tidak terpisahkan dari Peraturan Anggota Dewan Komisioner Otoritas Jasa Keuangan ini</w:t>
      </w:r>
      <w:r w:rsidRPr="00306115">
        <w:rPr>
          <w:rFonts w:eastAsia="Calibri"/>
          <w:lang w:val="en-ID"/>
        </w:rPr>
        <w:t>, yang disesuaikan dengan karakteristik instrumen investasi atau karakteristik instrumen dalam Produk Investasi</w:t>
      </w:r>
      <w:r w:rsidR="00E8261A" w:rsidRPr="00306115">
        <w:rPr>
          <w:rFonts w:eastAsia="Calibri"/>
          <w:lang w:val="en-ID"/>
        </w:rPr>
        <w:t>.</w:t>
      </w:r>
    </w:p>
    <w:p w14:paraId="2B41F3FF" w14:textId="5AEBFB99" w:rsidR="00E8261A" w:rsidRPr="00306115" w:rsidRDefault="00E8261A">
      <w:pPr>
        <w:pStyle w:val="HeadingAwalDaftarIsiLampiran"/>
        <w:numPr>
          <w:ilvl w:val="0"/>
          <w:numId w:val="254"/>
        </w:numPr>
        <w:ind w:left="567" w:hanging="567"/>
      </w:pPr>
      <w:r w:rsidRPr="00306115">
        <w:rPr>
          <w:rFonts w:eastAsia="Calibri"/>
        </w:rPr>
        <w:t xml:space="preserve">Dalam hal penilaian risiko Produk Investasi yang dikelola Manajer Investasi tidak memiliki indikator penilaian risiko yang relevan sebagaimana tercantum pada </w:t>
      </w:r>
      <w:r w:rsidRPr="00306115">
        <w:rPr>
          <w:rFonts w:eastAsia="Calibri"/>
          <w:lang w:val="en-ID"/>
        </w:rPr>
        <w:t xml:space="preserve">Lampiran </w:t>
      </w:r>
      <w:r w:rsidR="00EB6BE2" w:rsidRPr="00306115">
        <w:rPr>
          <w:rFonts w:eastAsia="Calibri"/>
          <w:lang w:val="en-ID"/>
        </w:rPr>
        <w:t>IV</w:t>
      </w:r>
      <w:r w:rsidR="005D452E" w:rsidRPr="00306115">
        <w:t xml:space="preserve"> yang merupakan bagian tidak terpisahkan dari Peraturan Anggota Dewan Komisioner Otoritas Jasa Keuangan ini</w:t>
      </w:r>
      <w:r w:rsidRPr="00306115">
        <w:rPr>
          <w:rFonts w:eastAsia="Calibri"/>
        </w:rPr>
        <w:t>, Manajer Investasi dapat melakukan penilaian risiko dengan menggunakan metodologi, indikator penilaian, dan/atau prosedur yang ditetapkan secara internal oleh Manajer Investasi, dengan tetap memperhatikan prinsip kehati-hatian, dan menyampaikan hasil penilaian dimaksud kepada Otoritas Jasa Keuangan.</w:t>
      </w:r>
    </w:p>
    <w:p w14:paraId="6DA80856" w14:textId="77777777" w:rsidR="000F4B53" w:rsidRPr="00306115" w:rsidRDefault="000F4B53">
      <w:pPr>
        <w:pStyle w:val="HeadingAwalDaftarIsiLampiran"/>
        <w:numPr>
          <w:ilvl w:val="0"/>
          <w:numId w:val="254"/>
        </w:numPr>
        <w:ind w:left="567" w:hanging="567"/>
      </w:pPr>
      <w:r w:rsidRPr="00306115">
        <w:rPr>
          <w:rFonts w:eastAsia="Bookman Old Style" w:cs="Bookman Old Style"/>
        </w:rPr>
        <w:t>Manajer Investasi dapat menambah parameter atau indikator lainnya sesuai dengan karakteristik, ukuran, dan kompleksitas usaha Manajer Investasi.</w:t>
      </w:r>
    </w:p>
    <w:p w14:paraId="6931F3C4" w14:textId="3AB7E469" w:rsidR="003B64B4" w:rsidRPr="00306115" w:rsidRDefault="000F4B53">
      <w:pPr>
        <w:pStyle w:val="HeadingAwalDaftarIsiLampiran"/>
        <w:numPr>
          <w:ilvl w:val="0"/>
          <w:numId w:val="254"/>
        </w:numPr>
        <w:ind w:left="567" w:hanging="567"/>
      </w:pPr>
      <w:r w:rsidRPr="00306115">
        <w:rPr>
          <w:rFonts w:eastAsia="Bookman Old Style" w:cs="Bookman Old Style"/>
        </w:rPr>
        <w:t xml:space="preserve">Penilaian dilakukan dengan posisi akhir per 31 Desember yang mencakup penilaian selama 12 (dua belas) bulan terakhir untuk parameter atau indikator pada Lampiran </w:t>
      </w:r>
      <w:r w:rsidR="005D452E" w:rsidRPr="00306115">
        <w:rPr>
          <w:rFonts w:eastAsia="Bookman Old Style" w:cs="Bookman Old Style"/>
        </w:rPr>
        <w:t xml:space="preserve">IV </w:t>
      </w:r>
      <w:r w:rsidR="005D452E" w:rsidRPr="00306115">
        <w:t>yang merupakan bagian tidak terpisahkan dari Peraturan Anggota Dewan Komisioner Otoritas Jasa Keuangan ini</w:t>
      </w:r>
      <w:r w:rsidRPr="00306115">
        <w:rPr>
          <w:rFonts w:eastAsia="Bookman Old Style" w:cs="Bookman Old Style"/>
        </w:rPr>
        <w:t>.</w:t>
      </w:r>
    </w:p>
    <w:p w14:paraId="64A2C279" w14:textId="65A8C182" w:rsidR="000614BC" w:rsidRPr="00306115" w:rsidRDefault="00EE419D">
      <w:pPr>
        <w:pStyle w:val="HeadingAwalDaftarIsiLampiran"/>
        <w:numPr>
          <w:ilvl w:val="0"/>
          <w:numId w:val="254"/>
        </w:numPr>
        <w:ind w:left="567" w:hanging="567"/>
      </w:pPr>
      <w:r w:rsidRPr="00306115">
        <w:rPr>
          <w:rFonts w:eastAsia="Bookman Old Style" w:cs="Bookman Old Style"/>
        </w:rPr>
        <w:t xml:space="preserve">Penilaian </w:t>
      </w:r>
      <w:r w:rsidR="006D3C81" w:rsidRPr="00306115">
        <w:rPr>
          <w:rFonts w:eastAsia="Bookman Old Style" w:cs="Bookman Old Style"/>
        </w:rPr>
        <w:t>r</w:t>
      </w:r>
      <w:r w:rsidRPr="00306115">
        <w:rPr>
          <w:rFonts w:eastAsia="Bookman Old Style" w:cs="Bookman Old Style"/>
        </w:rPr>
        <w:t xml:space="preserve">isiko </w:t>
      </w:r>
      <w:r w:rsidR="006D3C81" w:rsidRPr="00306115">
        <w:rPr>
          <w:rFonts w:eastAsia="Bookman Old Style" w:cs="Bookman Old Style"/>
        </w:rPr>
        <w:t xml:space="preserve">pada </w:t>
      </w:r>
      <w:r w:rsidRPr="00306115">
        <w:rPr>
          <w:rFonts w:eastAsia="Bookman Old Style" w:cs="Bookman Old Style"/>
        </w:rPr>
        <w:t>Produk Investasi</w:t>
      </w:r>
      <w:r w:rsidR="00B076D1" w:rsidRPr="00306115">
        <w:rPr>
          <w:rFonts w:eastAsia="Bookman Old Style" w:cs="Bookman Old Style"/>
        </w:rPr>
        <w:t>:</w:t>
      </w:r>
    </w:p>
    <w:p w14:paraId="4AC75362" w14:textId="78902C1D" w:rsidR="00B076D1" w:rsidRPr="00306115" w:rsidRDefault="006D3C81">
      <w:pPr>
        <w:pStyle w:val="HeadingAwalDaftarIsiLampiran"/>
        <w:numPr>
          <w:ilvl w:val="0"/>
          <w:numId w:val="429"/>
        </w:numPr>
        <w:ind w:left="1134" w:hanging="567"/>
      </w:pPr>
      <w:r w:rsidRPr="00306115">
        <w:t>penilaian atas risiko pada Produk Investasi dilakukan terhadap seluruh Produk Investasi yang dikelola oleh Manajer Investasi;</w:t>
      </w:r>
    </w:p>
    <w:p w14:paraId="713D4817" w14:textId="68D95FB7" w:rsidR="006D3C81" w:rsidRPr="00306115" w:rsidRDefault="002449B1">
      <w:pPr>
        <w:pStyle w:val="HeadingAwalDaftarIsiLampiran"/>
        <w:numPr>
          <w:ilvl w:val="0"/>
          <w:numId w:val="429"/>
        </w:numPr>
        <w:ind w:left="1134" w:hanging="567"/>
      </w:pPr>
      <w:r w:rsidRPr="00306115">
        <w:t>p</w:t>
      </w:r>
      <w:r w:rsidR="00DB2D85" w:rsidRPr="00306115">
        <w:t>ada setiap Produk</w:t>
      </w:r>
      <w:r w:rsidRPr="00306115">
        <w:t xml:space="preserve"> Investasi</w:t>
      </w:r>
      <w:r w:rsidR="00DB2D85" w:rsidRPr="00306115">
        <w:t xml:space="preserve">, Manajer Investasi melakukan penilaian terhadap 3 </w:t>
      </w:r>
      <w:r w:rsidRPr="00306115">
        <w:t xml:space="preserve">(tiga) </w:t>
      </w:r>
      <w:r w:rsidR="00DB2D85" w:rsidRPr="00306115">
        <w:t>jenis risiko, yakni Risiko Pasar, Risiko Likuiditas</w:t>
      </w:r>
      <w:r w:rsidRPr="00306115">
        <w:t xml:space="preserve"> Produk Investasi</w:t>
      </w:r>
      <w:r w:rsidR="00DB2D85" w:rsidRPr="00306115">
        <w:t>, dan Risiko Kredit</w:t>
      </w:r>
      <w:r w:rsidRPr="00306115">
        <w:t>;</w:t>
      </w:r>
    </w:p>
    <w:p w14:paraId="24C73F9D" w14:textId="569A4FF5" w:rsidR="002449B1" w:rsidRPr="00306115" w:rsidRDefault="00FB2218">
      <w:pPr>
        <w:pStyle w:val="HeadingAwalDaftarIsiLampiran"/>
        <w:numPr>
          <w:ilvl w:val="0"/>
          <w:numId w:val="429"/>
        </w:numPr>
        <w:ind w:left="1134" w:hanging="567"/>
      </w:pPr>
      <w:r w:rsidRPr="00306115">
        <w:t>penilaian Risiko Konsentrasi Portofolio Efek dilakukan terhadap keseluruhan instrumen dalam seluruh Produk Investasi yang dimiliki oleh Manajer Investasi;</w:t>
      </w:r>
    </w:p>
    <w:p w14:paraId="36D546F0" w14:textId="4828C2AD" w:rsidR="00FB2218" w:rsidRPr="00306115" w:rsidRDefault="00143FEA">
      <w:pPr>
        <w:pStyle w:val="HeadingAwalDaftarIsiLampiran"/>
        <w:numPr>
          <w:ilvl w:val="0"/>
          <w:numId w:val="429"/>
        </w:numPr>
        <w:ind w:left="1134" w:hanging="567"/>
      </w:pPr>
      <w:r w:rsidRPr="00306115">
        <w:rPr>
          <w:rFonts w:eastAsia="Bookman Old Style" w:cs="Bookman Old Style"/>
        </w:rPr>
        <w:t>penetapan peringkat akhir untuk masing-masing jenis risiko sebagaimana dimaksud pada huruf b dan huruf c dilakukan sebagai berikut:</w:t>
      </w:r>
    </w:p>
    <w:p w14:paraId="35CD3DC4" w14:textId="029F8BCE" w:rsidR="00143FEA" w:rsidRPr="00306115" w:rsidRDefault="00E864B7">
      <w:pPr>
        <w:pStyle w:val="HeadingAwalDaftarIsiLampiran"/>
        <w:numPr>
          <w:ilvl w:val="0"/>
          <w:numId w:val="430"/>
        </w:numPr>
        <w:ind w:left="1701" w:hanging="567"/>
      </w:pPr>
      <w:r w:rsidRPr="00306115">
        <w:rPr>
          <w:rFonts w:eastAsia="Bookman Old Style" w:cs="Bookman Old Style"/>
        </w:rPr>
        <w:t xml:space="preserve">Manajer Investasi menetapkan peringkat Risiko Pasar, Risiko Likuiditas Produk Investasi, dan Risiko Kredit untuk masing-masing Produk Investasi berdasarkan indikator yang paling signifikan memengaruhi eksposur risiko pada Produk Investasi dimaksud, dengan mempertimbangkan antara lain nilai </w:t>
      </w:r>
      <w:r w:rsidRPr="00306115">
        <w:rPr>
          <w:rFonts w:eastAsia="Bookman Old Style" w:cs="Bookman Old Style"/>
        </w:rPr>
        <w:lastRenderedPageBreak/>
        <w:t>indikator tertinggi dan/atau dampak indikator dimaksud terhadap Produk Investasi;</w:t>
      </w:r>
    </w:p>
    <w:p w14:paraId="015C0625" w14:textId="16C5EF1F" w:rsidR="00E864B7" w:rsidRPr="00306115" w:rsidRDefault="003F3A7A">
      <w:pPr>
        <w:pStyle w:val="HeadingAwalDaftarIsiLampiran"/>
        <w:numPr>
          <w:ilvl w:val="0"/>
          <w:numId w:val="430"/>
        </w:numPr>
        <w:ind w:left="1701" w:hanging="567"/>
      </w:pPr>
      <w:r w:rsidRPr="00306115">
        <w:rPr>
          <w:rFonts w:eastAsia="Bookman Old Style" w:cs="Bookman Old Style"/>
        </w:rPr>
        <w:t>Manajer Investasi menetapkan peringkat risiko akhir untuk Risiko Pasar, Risiko Likuiditas Produk Investasi, dan Risiko Kredit berdasarkan Produk Investasi yang paling signifikan memengaruhi eksposur risiko Manajer Investasi secara keseluruhan;</w:t>
      </w:r>
    </w:p>
    <w:p w14:paraId="0BDE09ED" w14:textId="77777777" w:rsidR="00E44CCA" w:rsidRPr="00306115" w:rsidRDefault="007A007E">
      <w:pPr>
        <w:pStyle w:val="HeadingAwalDaftarIsiLampiran"/>
        <w:numPr>
          <w:ilvl w:val="0"/>
          <w:numId w:val="430"/>
        </w:numPr>
        <w:ind w:left="1701" w:hanging="567"/>
      </w:pPr>
      <w:r w:rsidRPr="00306115">
        <w:rPr>
          <w:rFonts w:eastAsia="Bookman Old Style" w:cs="Bookman Old Style"/>
        </w:rPr>
        <w:t>penetapan peringkat sebagaimana dimaksud pada angka 1) dan angka 2) tidak dilakukan melalui penjumlahan, rata-rata, dan/atau perhitungan melalui bobot, namun berdasarkan pertimbangan profesional sebagaimana dimaksud pada angka 1) dan angka 2), dengan memperhatikan</w:t>
      </w:r>
      <w:r w:rsidR="00E44CCA" w:rsidRPr="00306115">
        <w:rPr>
          <w:rFonts w:eastAsia="Bookman Old Style" w:cs="Bookman Old Style"/>
        </w:rPr>
        <w:t>:</w:t>
      </w:r>
    </w:p>
    <w:p w14:paraId="7FBD49AE" w14:textId="77777777" w:rsidR="00E44CCA" w:rsidRPr="00306115" w:rsidRDefault="007A007E">
      <w:pPr>
        <w:pStyle w:val="HeadingAwalDaftarIsiLampiran"/>
        <w:numPr>
          <w:ilvl w:val="0"/>
          <w:numId w:val="431"/>
        </w:numPr>
        <w:ind w:left="2268" w:hanging="567"/>
      </w:pPr>
      <w:r w:rsidRPr="00306115">
        <w:rPr>
          <w:rFonts w:eastAsia="Bookman Old Style" w:cs="Bookman Old Style"/>
        </w:rPr>
        <w:t>kriteria signifikansi indikator sebagaimana dimaksud pada angka 1)</w:t>
      </w:r>
      <w:r w:rsidR="00E44CCA" w:rsidRPr="00306115">
        <w:rPr>
          <w:rFonts w:eastAsia="Bookman Old Style" w:cs="Bookman Old Style"/>
        </w:rPr>
        <w:t xml:space="preserve">; </w:t>
      </w:r>
      <w:r w:rsidRPr="00306115">
        <w:rPr>
          <w:rFonts w:eastAsia="Bookman Old Style" w:cs="Bookman Old Style"/>
        </w:rPr>
        <w:t xml:space="preserve">dan </w:t>
      </w:r>
    </w:p>
    <w:p w14:paraId="2D3A3A86" w14:textId="1BC09E8F" w:rsidR="003F3A7A" w:rsidRPr="00306115" w:rsidRDefault="007A007E">
      <w:pPr>
        <w:pStyle w:val="HeadingAwalDaftarIsiLampiran"/>
        <w:numPr>
          <w:ilvl w:val="0"/>
          <w:numId w:val="431"/>
        </w:numPr>
        <w:ind w:left="2268" w:hanging="567"/>
      </w:pPr>
      <w:r w:rsidRPr="00306115">
        <w:rPr>
          <w:rFonts w:eastAsia="Bookman Old Style" w:cs="Bookman Old Style"/>
        </w:rPr>
        <w:t>kriteria signifikansi Produk Investasi sebagaimana dimaksud pada huruf e</w:t>
      </w:r>
      <w:r w:rsidR="00E44CCA" w:rsidRPr="00306115">
        <w:rPr>
          <w:rFonts w:eastAsia="Bookman Old Style" w:cs="Bookman Old Style"/>
        </w:rPr>
        <w:t>.</w:t>
      </w:r>
    </w:p>
    <w:p w14:paraId="447869BB" w14:textId="42AC38E7" w:rsidR="00610043" w:rsidRPr="00306115" w:rsidRDefault="00EA5401">
      <w:pPr>
        <w:pStyle w:val="HeadingAwalDaftarIsiLampiran"/>
        <w:numPr>
          <w:ilvl w:val="0"/>
          <w:numId w:val="429"/>
        </w:numPr>
        <w:ind w:left="1134" w:hanging="567"/>
      </w:pPr>
      <w:r w:rsidRPr="00306115">
        <w:rPr>
          <w:rFonts w:eastAsia="Bookman Old Style" w:cs="Bookman Old Style"/>
        </w:rPr>
        <w:t>signifikansi indikator dan/atau Produk Investasi sebagaimana dimaksud pada huruf d angka 3) dapat ditentukan antara lain berdasarkan:</w:t>
      </w:r>
    </w:p>
    <w:p w14:paraId="4EE6E889" w14:textId="1E43F0BA" w:rsidR="00EA5401" w:rsidRPr="00306115" w:rsidRDefault="00712E1D">
      <w:pPr>
        <w:pStyle w:val="HeadingAwalDaftarIsiLampiran"/>
        <w:numPr>
          <w:ilvl w:val="0"/>
          <w:numId w:val="432"/>
        </w:numPr>
        <w:ind w:left="1701" w:hanging="567"/>
      </w:pPr>
      <w:r w:rsidRPr="00306115">
        <w:rPr>
          <w:rFonts w:eastAsia="Bookman Old Style" w:cs="Bookman Old Style"/>
        </w:rPr>
        <w:t xml:space="preserve">kontribusi Produk Investasi terhadap total </w:t>
      </w:r>
      <w:r w:rsidRPr="00306115">
        <w:rPr>
          <w:rFonts w:eastAsia="Bookman Old Style" w:cs="Bookman Old Style"/>
          <w:i/>
          <w:iCs/>
        </w:rPr>
        <w:t>Asset Under Management</w:t>
      </w:r>
      <w:r w:rsidRPr="00306115">
        <w:rPr>
          <w:rFonts w:eastAsia="Bookman Old Style" w:cs="Bookman Old Style"/>
        </w:rPr>
        <w:t xml:space="preserve"> (AUM) yang dikelola Manajer Investasi;</w:t>
      </w:r>
    </w:p>
    <w:p w14:paraId="7ABAEE4E" w14:textId="22DC56D5" w:rsidR="00712E1D" w:rsidRPr="00306115" w:rsidRDefault="00394150">
      <w:pPr>
        <w:pStyle w:val="HeadingAwalDaftarIsiLampiran"/>
        <w:numPr>
          <w:ilvl w:val="0"/>
          <w:numId w:val="432"/>
        </w:numPr>
        <w:ind w:left="1701" w:hanging="567"/>
      </w:pPr>
      <w:r w:rsidRPr="00306115">
        <w:rPr>
          <w:rFonts w:eastAsia="Bookman Old Style" w:cs="Bookman Old Style"/>
        </w:rPr>
        <w:t>kontribusi Produk Investasi terhadap pendapatan yang diperoleh Manajer Investasi;</w:t>
      </w:r>
    </w:p>
    <w:p w14:paraId="4E3AB065" w14:textId="5C1E5090" w:rsidR="00394150" w:rsidRPr="00306115" w:rsidRDefault="0076192F">
      <w:pPr>
        <w:pStyle w:val="HeadingAwalDaftarIsiLampiran"/>
        <w:numPr>
          <w:ilvl w:val="0"/>
          <w:numId w:val="432"/>
        </w:numPr>
        <w:ind w:left="1701" w:hanging="567"/>
      </w:pPr>
      <w:r w:rsidRPr="00306115">
        <w:rPr>
          <w:rFonts w:eastAsia="Bookman Old Style" w:cs="Bookman Old Style"/>
        </w:rPr>
        <w:t>keterkaitan Produk Investasi dengan strategi bisnis, risiko secara keseluruhan, dan/atau keberlangsungan usaha (</w:t>
      </w:r>
      <w:r w:rsidRPr="00306115">
        <w:rPr>
          <w:rFonts w:eastAsia="Bookman Old Style" w:cs="Bookman Old Style"/>
          <w:i/>
          <w:iCs/>
        </w:rPr>
        <w:t>going concern</w:t>
      </w:r>
      <w:r w:rsidRPr="00306115">
        <w:rPr>
          <w:rFonts w:eastAsia="Bookman Old Style" w:cs="Bookman Old Style"/>
        </w:rPr>
        <w:t>) Manajer Investasi;</w:t>
      </w:r>
    </w:p>
    <w:p w14:paraId="77B0F4BB" w14:textId="51A8D3AC" w:rsidR="0076192F" w:rsidRPr="00306115" w:rsidRDefault="003E5B93">
      <w:pPr>
        <w:pStyle w:val="HeadingAwalDaftarIsiLampiran"/>
        <w:numPr>
          <w:ilvl w:val="0"/>
          <w:numId w:val="432"/>
        </w:numPr>
        <w:ind w:left="1701" w:hanging="567"/>
      </w:pPr>
      <w:r w:rsidRPr="00306115">
        <w:rPr>
          <w:rFonts w:eastAsia="Bookman Old Style" w:cs="Bookman Old Style"/>
        </w:rPr>
        <w:t xml:space="preserve">sebagai ilustrasi, </w:t>
      </w:r>
      <w:r w:rsidRPr="00306115">
        <w:rPr>
          <w:rFonts w:eastAsia="Bookman Old Style" w:cs="Bookman Old Style"/>
          <w:lang w:val="en-ID"/>
        </w:rPr>
        <w:t>Manajer Investasi mengelola 8 (delapan) Produk Investasi dengan kondisi sebagai berikut:</w:t>
      </w:r>
    </w:p>
    <w:p w14:paraId="39B6A1AC" w14:textId="2DB6E3C5" w:rsidR="003E5B93" w:rsidRPr="00306115" w:rsidRDefault="00617508">
      <w:pPr>
        <w:pStyle w:val="HeadingAwalDaftarIsiLampiran"/>
        <w:numPr>
          <w:ilvl w:val="0"/>
          <w:numId w:val="433"/>
        </w:numPr>
        <w:ind w:left="2268" w:hanging="567"/>
      </w:pPr>
      <w:r w:rsidRPr="00306115">
        <w:rPr>
          <w:rFonts w:eastAsia="Bookman Old Style" w:cs="Bookman Old Style"/>
          <w:lang w:val="en-ID"/>
        </w:rPr>
        <w:t xml:space="preserve">Produk Investasi A dan Produk Investasi B merupakan Reksa Dana Saham dengan AUM masing-masing sebesar Rp3 triliun dan Rp2 triliun, serta bersama-sama menyumbang sekitar 65% dari total pendapatan Manajer Investasi, dengan </w:t>
      </w:r>
      <w:r w:rsidR="007132D9" w:rsidRPr="00306115">
        <w:rPr>
          <w:rFonts w:eastAsia="Bookman Old Style" w:cs="Bookman Old Style"/>
          <w:lang w:val="en-ID"/>
        </w:rPr>
        <w:t>p</w:t>
      </w:r>
      <w:r w:rsidRPr="00306115">
        <w:rPr>
          <w:rFonts w:eastAsia="Bookman Old Style" w:cs="Bookman Old Style"/>
          <w:lang w:val="en-ID"/>
        </w:rPr>
        <w:t xml:space="preserve">eringkat </w:t>
      </w:r>
      <w:r w:rsidR="007132D9" w:rsidRPr="00306115">
        <w:rPr>
          <w:rFonts w:eastAsia="Bookman Old Style" w:cs="Bookman Old Style"/>
          <w:lang w:val="en-ID"/>
        </w:rPr>
        <w:t>r</w:t>
      </w:r>
      <w:r w:rsidRPr="00306115">
        <w:rPr>
          <w:rFonts w:eastAsia="Bookman Old Style" w:cs="Bookman Old Style"/>
          <w:lang w:val="en-ID"/>
        </w:rPr>
        <w:t>isiko</w:t>
      </w:r>
      <w:r w:rsidR="002C218F" w:rsidRPr="00306115">
        <w:rPr>
          <w:rFonts w:eastAsia="Bookman Old Style" w:cs="Bookman Old Style"/>
          <w:lang w:val="en-ID"/>
        </w:rPr>
        <w:t xml:space="preserve"> inheren</w:t>
      </w:r>
      <w:r w:rsidR="00A02221" w:rsidRPr="00306115">
        <w:rPr>
          <w:rFonts w:eastAsia="Bookman Old Style" w:cs="Bookman Old Style"/>
          <w:lang w:val="en-ID"/>
        </w:rPr>
        <w:t xml:space="preserve"> komposit</w:t>
      </w:r>
      <w:r w:rsidRPr="00306115">
        <w:rPr>
          <w:rFonts w:eastAsia="Bookman Old Style" w:cs="Bookman Old Style"/>
          <w:lang w:val="en-ID"/>
        </w:rPr>
        <w:t xml:space="preserve"> masing-masing </w:t>
      </w:r>
      <w:r w:rsidR="003D2E9F" w:rsidRPr="00306115">
        <w:rPr>
          <w:rFonts w:eastAsia="Bookman Old Style" w:cs="Bookman Old Style"/>
          <w:lang w:val="en-ID"/>
        </w:rPr>
        <w:t xml:space="preserve">peringkat </w:t>
      </w:r>
      <w:r w:rsidRPr="00306115">
        <w:rPr>
          <w:rFonts w:eastAsia="Bookman Old Style" w:cs="Bookman Old Style"/>
          <w:lang w:val="en-ID"/>
        </w:rPr>
        <w:t>2</w:t>
      </w:r>
      <w:r w:rsidR="007132D9" w:rsidRPr="00306115">
        <w:rPr>
          <w:rFonts w:eastAsia="Bookman Old Style" w:cs="Bookman Old Style"/>
          <w:lang w:val="en-ID"/>
        </w:rPr>
        <w:t xml:space="preserve"> </w:t>
      </w:r>
      <w:r w:rsidRPr="00306115">
        <w:rPr>
          <w:rFonts w:eastAsia="Bookman Old Style" w:cs="Bookman Old Style"/>
          <w:lang w:val="en-ID"/>
        </w:rPr>
        <w:t xml:space="preserve">dan </w:t>
      </w:r>
      <w:r w:rsidR="003D2E9F" w:rsidRPr="00306115">
        <w:rPr>
          <w:rFonts w:eastAsia="Bookman Old Style" w:cs="Bookman Old Style"/>
          <w:lang w:val="en-ID"/>
        </w:rPr>
        <w:t xml:space="preserve">peringkat </w:t>
      </w:r>
      <w:r w:rsidRPr="00306115">
        <w:rPr>
          <w:rFonts w:eastAsia="Bookman Old Style" w:cs="Bookman Old Style"/>
          <w:lang w:val="en-ID"/>
        </w:rPr>
        <w:t>1;</w:t>
      </w:r>
    </w:p>
    <w:p w14:paraId="411876E7" w14:textId="771B5449" w:rsidR="00617508" w:rsidRPr="00306115" w:rsidRDefault="004001D7">
      <w:pPr>
        <w:pStyle w:val="HeadingAwalDaftarIsiLampiran"/>
        <w:numPr>
          <w:ilvl w:val="0"/>
          <w:numId w:val="433"/>
        </w:numPr>
        <w:ind w:left="2268" w:hanging="567"/>
      </w:pPr>
      <w:r w:rsidRPr="00306115">
        <w:rPr>
          <w:rFonts w:eastAsia="Bookman Old Style" w:cs="Bookman Old Style"/>
          <w:lang w:val="en-ID"/>
        </w:rPr>
        <w:t xml:space="preserve">Produk </w:t>
      </w:r>
      <w:r w:rsidR="008F7B85" w:rsidRPr="00306115">
        <w:rPr>
          <w:rFonts w:eastAsia="Bookman Old Style" w:cs="Bookman Old Style"/>
          <w:lang w:val="en-ID"/>
        </w:rPr>
        <w:t xml:space="preserve">Investasi </w:t>
      </w:r>
      <w:r w:rsidRPr="00306115">
        <w:rPr>
          <w:rFonts w:eastAsia="Bookman Old Style" w:cs="Bookman Old Style"/>
          <w:lang w:val="en-ID"/>
        </w:rPr>
        <w:t xml:space="preserve">C sampai dengan Produk </w:t>
      </w:r>
      <w:r w:rsidR="008F7B85" w:rsidRPr="00306115">
        <w:rPr>
          <w:rFonts w:eastAsia="Bookman Old Style" w:cs="Bookman Old Style"/>
          <w:lang w:val="en-ID"/>
        </w:rPr>
        <w:t xml:space="preserve">Investasi </w:t>
      </w:r>
      <w:r w:rsidRPr="00306115">
        <w:rPr>
          <w:rFonts w:eastAsia="Bookman Old Style" w:cs="Bookman Old Style"/>
          <w:lang w:val="en-ID"/>
        </w:rPr>
        <w:t>H memiliki AUM yang jauh lebih kecil, berkisar Rp20 miliar sampai dengan Rp500 miliar, dengan kontribusi pendapatan yang juga kecil terhadap total pendapatan Manajer Investasi</w:t>
      </w:r>
      <w:r w:rsidR="009C1D10" w:rsidRPr="00306115">
        <w:rPr>
          <w:rFonts w:eastAsia="Bookman Old Style" w:cs="Bookman Old Style"/>
          <w:lang w:val="en-ID"/>
        </w:rPr>
        <w:t>;</w:t>
      </w:r>
    </w:p>
    <w:p w14:paraId="05736D26" w14:textId="33A7E190" w:rsidR="009C1D10" w:rsidRPr="00306115" w:rsidRDefault="009C1D10">
      <w:pPr>
        <w:pStyle w:val="HeadingAwalDaftarIsiLampiran"/>
        <w:numPr>
          <w:ilvl w:val="0"/>
          <w:numId w:val="433"/>
        </w:numPr>
        <w:ind w:left="2268" w:hanging="567"/>
      </w:pPr>
      <w:r w:rsidRPr="00306115">
        <w:rPr>
          <w:rFonts w:eastAsia="Bookman Old Style" w:cs="Bookman Old Style"/>
        </w:rPr>
        <w:t xml:space="preserve">di antara Produk </w:t>
      </w:r>
      <w:r w:rsidR="00F070B5" w:rsidRPr="00306115">
        <w:rPr>
          <w:rFonts w:eastAsia="Bookman Old Style" w:cs="Bookman Old Style"/>
          <w:lang w:val="en-ID"/>
        </w:rPr>
        <w:t xml:space="preserve">Investasi </w:t>
      </w:r>
      <w:r w:rsidRPr="00306115">
        <w:rPr>
          <w:rFonts w:eastAsia="Bookman Old Style" w:cs="Bookman Old Style"/>
        </w:rPr>
        <w:t xml:space="preserve">C sampai dengan Produk </w:t>
      </w:r>
      <w:r w:rsidR="00F070B5" w:rsidRPr="00306115">
        <w:rPr>
          <w:rFonts w:eastAsia="Bookman Old Style" w:cs="Bookman Old Style"/>
          <w:lang w:val="en-ID"/>
        </w:rPr>
        <w:t xml:space="preserve">Investasi </w:t>
      </w:r>
      <w:r w:rsidRPr="00306115">
        <w:rPr>
          <w:rFonts w:eastAsia="Bookman Old Style" w:cs="Bookman Old Style"/>
        </w:rPr>
        <w:t xml:space="preserve">H, Produk </w:t>
      </w:r>
      <w:r w:rsidR="00F070B5" w:rsidRPr="00306115">
        <w:rPr>
          <w:rFonts w:eastAsia="Bookman Old Style" w:cs="Bookman Old Style"/>
          <w:lang w:val="en-ID"/>
        </w:rPr>
        <w:t xml:space="preserve">Investasi </w:t>
      </w:r>
      <w:r w:rsidRPr="00306115">
        <w:rPr>
          <w:rFonts w:eastAsia="Bookman Old Style" w:cs="Bookman Old Style"/>
        </w:rPr>
        <w:t xml:space="preserve">C dan Produk </w:t>
      </w:r>
      <w:r w:rsidR="00F070B5" w:rsidRPr="00306115">
        <w:rPr>
          <w:rFonts w:eastAsia="Bookman Old Style" w:cs="Bookman Old Style"/>
          <w:lang w:val="en-ID"/>
        </w:rPr>
        <w:t xml:space="preserve">Investasi </w:t>
      </w:r>
      <w:r w:rsidRPr="00306115">
        <w:rPr>
          <w:rFonts w:eastAsia="Bookman Old Style" w:cs="Bookman Old Style"/>
        </w:rPr>
        <w:t xml:space="preserve">F dengan AUM di bawah 100 miliar memperoleh </w:t>
      </w:r>
      <w:r w:rsidR="0022783B" w:rsidRPr="00306115">
        <w:rPr>
          <w:rFonts w:eastAsia="Bookman Old Style" w:cs="Bookman Old Style"/>
        </w:rPr>
        <w:t>p</w:t>
      </w:r>
      <w:r w:rsidRPr="00306115">
        <w:rPr>
          <w:rFonts w:eastAsia="Bookman Old Style" w:cs="Bookman Old Style"/>
        </w:rPr>
        <w:t xml:space="preserve">eringkat </w:t>
      </w:r>
      <w:r w:rsidR="0022783B" w:rsidRPr="00306115">
        <w:rPr>
          <w:rFonts w:eastAsia="Bookman Old Style" w:cs="Bookman Old Style"/>
        </w:rPr>
        <w:t>r</w:t>
      </w:r>
      <w:r w:rsidRPr="00306115">
        <w:rPr>
          <w:rFonts w:eastAsia="Bookman Old Style" w:cs="Bookman Old Style"/>
        </w:rPr>
        <w:t xml:space="preserve">isiko </w:t>
      </w:r>
      <w:r w:rsidR="00BD31C7" w:rsidRPr="00306115">
        <w:rPr>
          <w:rFonts w:eastAsia="Bookman Old Style" w:cs="Bookman Old Style"/>
          <w:lang w:val="en-ID"/>
        </w:rPr>
        <w:t xml:space="preserve">inheren komposit </w:t>
      </w:r>
      <w:r w:rsidRPr="00306115">
        <w:rPr>
          <w:rFonts w:eastAsia="Bookman Old Style" w:cs="Bookman Old Style"/>
        </w:rPr>
        <w:t xml:space="preserve">tertinggi, yaitu </w:t>
      </w:r>
      <w:r w:rsidR="003D2E9F" w:rsidRPr="00306115">
        <w:rPr>
          <w:rFonts w:eastAsia="Bookman Old Style" w:cs="Bookman Old Style"/>
        </w:rPr>
        <w:t>p</w:t>
      </w:r>
      <w:r w:rsidRPr="00306115">
        <w:rPr>
          <w:rFonts w:eastAsia="Bookman Old Style" w:cs="Bookman Old Style"/>
        </w:rPr>
        <w:t>eringkat 4</w:t>
      </w:r>
      <w:r w:rsidR="003D2E9F" w:rsidRPr="00306115">
        <w:rPr>
          <w:rFonts w:eastAsia="Bookman Old Style" w:cs="Bookman Old Style"/>
        </w:rPr>
        <w:t xml:space="preserve"> </w:t>
      </w:r>
      <w:r w:rsidRPr="00306115">
        <w:rPr>
          <w:rFonts w:eastAsia="Bookman Old Style" w:cs="Bookman Old Style"/>
        </w:rPr>
        <w:t>dan</w:t>
      </w:r>
      <w:r w:rsidR="003D2E9F" w:rsidRPr="00306115">
        <w:rPr>
          <w:rFonts w:eastAsia="Bookman Old Style" w:cs="Bookman Old Style"/>
        </w:rPr>
        <w:t xml:space="preserve"> </w:t>
      </w:r>
      <w:r w:rsidR="003D2E9F" w:rsidRPr="00306115">
        <w:rPr>
          <w:rFonts w:eastAsia="Bookman Old Style" w:cs="Bookman Old Style"/>
          <w:lang w:val="en-ID"/>
        </w:rPr>
        <w:t>peringkat</w:t>
      </w:r>
      <w:r w:rsidRPr="00306115">
        <w:rPr>
          <w:rFonts w:eastAsia="Bookman Old Style" w:cs="Bookman Old Style"/>
        </w:rPr>
        <w:t xml:space="preserve"> 5</w:t>
      </w:r>
      <w:r w:rsidR="00570800" w:rsidRPr="00306115">
        <w:rPr>
          <w:rFonts w:eastAsia="Bookman Old Style" w:cs="Bookman Old Style"/>
        </w:rPr>
        <w:t>;</w:t>
      </w:r>
    </w:p>
    <w:p w14:paraId="583D562F" w14:textId="6894F0FE" w:rsidR="00570800" w:rsidRPr="00306115" w:rsidRDefault="00570800">
      <w:pPr>
        <w:pStyle w:val="HeadingAwalDaftarIsiLampiran"/>
        <w:numPr>
          <w:ilvl w:val="0"/>
          <w:numId w:val="433"/>
        </w:numPr>
        <w:ind w:left="2268" w:hanging="567"/>
      </w:pPr>
      <w:r w:rsidRPr="00306115">
        <w:rPr>
          <w:rFonts w:eastAsia="Bookman Old Style" w:cs="Bookman Old Style"/>
        </w:rPr>
        <w:t>di antara Produk</w:t>
      </w:r>
      <w:r w:rsidR="00465815" w:rsidRPr="00306115">
        <w:rPr>
          <w:rFonts w:eastAsia="Bookman Old Style" w:cs="Bookman Old Style"/>
          <w:lang w:val="en-ID"/>
        </w:rPr>
        <w:t xml:space="preserve"> Investasi </w:t>
      </w:r>
      <w:r w:rsidRPr="00306115">
        <w:rPr>
          <w:rFonts w:eastAsia="Bookman Old Style" w:cs="Bookman Old Style"/>
        </w:rPr>
        <w:t xml:space="preserve">C sampai dengan Produk </w:t>
      </w:r>
      <w:r w:rsidR="00465815" w:rsidRPr="00306115">
        <w:rPr>
          <w:rFonts w:eastAsia="Bookman Old Style" w:cs="Bookman Old Style"/>
          <w:lang w:val="en-ID"/>
        </w:rPr>
        <w:t xml:space="preserve">Investasi </w:t>
      </w:r>
      <w:r w:rsidRPr="00306115">
        <w:rPr>
          <w:rFonts w:eastAsia="Bookman Old Style" w:cs="Bookman Old Style"/>
        </w:rPr>
        <w:t xml:space="preserve">H, Produk </w:t>
      </w:r>
      <w:r w:rsidR="00465815" w:rsidRPr="00306115">
        <w:rPr>
          <w:rFonts w:eastAsia="Bookman Old Style" w:cs="Bookman Old Style"/>
          <w:lang w:val="en-ID"/>
        </w:rPr>
        <w:t xml:space="preserve">Investasi </w:t>
      </w:r>
      <w:r w:rsidRPr="00306115">
        <w:rPr>
          <w:rFonts w:eastAsia="Bookman Old Style" w:cs="Bookman Old Style"/>
        </w:rPr>
        <w:t xml:space="preserve">C memperoleh </w:t>
      </w:r>
      <w:r w:rsidR="006A744A" w:rsidRPr="00306115">
        <w:rPr>
          <w:rFonts w:eastAsia="Bookman Old Style" w:cs="Bookman Old Style"/>
        </w:rPr>
        <w:t>p</w:t>
      </w:r>
      <w:r w:rsidRPr="00306115">
        <w:rPr>
          <w:rFonts w:eastAsia="Bookman Old Style" w:cs="Bookman Old Style"/>
        </w:rPr>
        <w:t xml:space="preserve">eringkat </w:t>
      </w:r>
      <w:r w:rsidR="006A744A" w:rsidRPr="00306115">
        <w:rPr>
          <w:rFonts w:eastAsia="Bookman Old Style" w:cs="Bookman Old Style"/>
        </w:rPr>
        <w:t>r</w:t>
      </w:r>
      <w:r w:rsidRPr="00306115">
        <w:rPr>
          <w:rFonts w:eastAsia="Bookman Old Style" w:cs="Bookman Old Style"/>
        </w:rPr>
        <w:t xml:space="preserve">isiko 4 dan Produk F—sebuah Reksa Dana Campuran dengan AUM hanya Rp50 miliar—memperoleh </w:t>
      </w:r>
      <w:r w:rsidR="006A744A" w:rsidRPr="00306115">
        <w:rPr>
          <w:rFonts w:eastAsia="Bookman Old Style" w:cs="Bookman Old Style"/>
        </w:rPr>
        <w:t>p</w:t>
      </w:r>
      <w:r w:rsidRPr="00306115">
        <w:rPr>
          <w:rFonts w:eastAsia="Bookman Old Style" w:cs="Bookman Old Style"/>
        </w:rPr>
        <w:t xml:space="preserve">eringkat </w:t>
      </w:r>
      <w:r w:rsidR="006A744A" w:rsidRPr="00306115">
        <w:rPr>
          <w:rFonts w:eastAsia="Bookman Old Style" w:cs="Bookman Old Style"/>
        </w:rPr>
        <w:t>r</w:t>
      </w:r>
      <w:r w:rsidRPr="00306115">
        <w:rPr>
          <w:rFonts w:eastAsia="Bookman Old Style" w:cs="Bookman Old Style"/>
        </w:rPr>
        <w:t xml:space="preserve">isiko </w:t>
      </w:r>
      <w:r w:rsidR="00061EB4" w:rsidRPr="00306115">
        <w:rPr>
          <w:rFonts w:eastAsia="Bookman Old Style" w:cs="Bookman Old Style"/>
          <w:lang w:val="en-ID"/>
        </w:rPr>
        <w:t xml:space="preserve">inheren komposit </w:t>
      </w:r>
      <w:r w:rsidRPr="00306115">
        <w:rPr>
          <w:rFonts w:eastAsia="Bookman Old Style" w:cs="Bookman Old Style"/>
        </w:rPr>
        <w:t xml:space="preserve">tertinggi, yaitu </w:t>
      </w:r>
      <w:r w:rsidR="006A744A" w:rsidRPr="00306115">
        <w:rPr>
          <w:rFonts w:eastAsia="Bookman Old Style" w:cs="Bookman Old Style"/>
        </w:rPr>
        <w:t>p</w:t>
      </w:r>
      <w:r w:rsidRPr="00306115">
        <w:rPr>
          <w:rFonts w:eastAsia="Bookman Old Style" w:cs="Bookman Old Style"/>
        </w:rPr>
        <w:t>eringkat 5;</w:t>
      </w:r>
    </w:p>
    <w:p w14:paraId="1CFAC039" w14:textId="394C20CC" w:rsidR="00570800" w:rsidRPr="00306115" w:rsidRDefault="00C67184">
      <w:pPr>
        <w:pStyle w:val="HeadingAwalDaftarIsiLampiran"/>
        <w:numPr>
          <w:ilvl w:val="0"/>
          <w:numId w:val="433"/>
        </w:numPr>
        <w:ind w:left="2268" w:hanging="567"/>
      </w:pPr>
      <w:r w:rsidRPr="00306115">
        <w:rPr>
          <w:rFonts w:eastAsia="Bookman Old Style" w:cs="Bookman Old Style"/>
          <w:lang w:val="en-ID"/>
        </w:rPr>
        <w:t xml:space="preserve">berdasarkan kontribusi AUM dan pendapatan semata, Produk </w:t>
      </w:r>
      <w:r w:rsidR="006A744A" w:rsidRPr="00306115">
        <w:rPr>
          <w:rFonts w:eastAsia="Bookman Old Style" w:cs="Bookman Old Style"/>
          <w:lang w:val="en-ID"/>
        </w:rPr>
        <w:t xml:space="preserve">Investasi </w:t>
      </w:r>
      <w:r w:rsidRPr="00306115">
        <w:rPr>
          <w:rFonts w:eastAsia="Bookman Old Style" w:cs="Bookman Old Style"/>
          <w:lang w:val="en-ID"/>
        </w:rPr>
        <w:t xml:space="preserve">A dan Produk </w:t>
      </w:r>
      <w:r w:rsidR="006A744A" w:rsidRPr="00306115">
        <w:rPr>
          <w:rFonts w:eastAsia="Bookman Old Style" w:cs="Bookman Old Style"/>
          <w:lang w:val="en-ID"/>
        </w:rPr>
        <w:t xml:space="preserve">Investasi </w:t>
      </w:r>
      <w:r w:rsidRPr="00306115">
        <w:rPr>
          <w:rFonts w:eastAsia="Bookman Old Style" w:cs="Bookman Old Style"/>
          <w:lang w:val="en-ID"/>
        </w:rPr>
        <w:t xml:space="preserve">B tampak sebagai </w:t>
      </w:r>
      <w:r w:rsidR="006A744A" w:rsidRPr="00306115">
        <w:rPr>
          <w:rFonts w:eastAsia="Bookman Old Style" w:cs="Bookman Old Style"/>
          <w:lang w:val="en-ID"/>
        </w:rPr>
        <w:t>P</w:t>
      </w:r>
      <w:r w:rsidRPr="00306115">
        <w:rPr>
          <w:rFonts w:eastAsia="Bookman Old Style" w:cs="Bookman Old Style"/>
          <w:lang w:val="en-ID"/>
        </w:rPr>
        <w:t xml:space="preserve">roduk </w:t>
      </w:r>
      <w:r w:rsidR="006A744A" w:rsidRPr="00306115">
        <w:rPr>
          <w:rFonts w:eastAsia="Bookman Old Style" w:cs="Bookman Old Style"/>
          <w:lang w:val="en-ID"/>
        </w:rPr>
        <w:t xml:space="preserve">Investasi </w:t>
      </w:r>
      <w:r w:rsidRPr="00306115">
        <w:rPr>
          <w:rFonts w:eastAsia="Bookman Old Style" w:cs="Bookman Old Style"/>
          <w:lang w:val="en-ID"/>
        </w:rPr>
        <w:t>yang paling signifikan;</w:t>
      </w:r>
    </w:p>
    <w:p w14:paraId="4673F751" w14:textId="32F8A7C9" w:rsidR="00C67184" w:rsidRPr="00306115" w:rsidRDefault="00037BFD">
      <w:pPr>
        <w:pStyle w:val="HeadingAwalDaftarIsiLampiran"/>
        <w:numPr>
          <w:ilvl w:val="0"/>
          <w:numId w:val="433"/>
        </w:numPr>
        <w:ind w:left="2268" w:hanging="567"/>
      </w:pPr>
      <w:r w:rsidRPr="00306115">
        <w:rPr>
          <w:rFonts w:eastAsia="Bookman Old Style" w:cs="Bookman Old Style"/>
          <w:lang w:val="en-ID"/>
        </w:rPr>
        <w:t>namun demikian, Manajer Investasi perlu turut mempertimbangkan bahwa Produk</w:t>
      </w:r>
      <w:r w:rsidR="006A744A" w:rsidRPr="00306115">
        <w:rPr>
          <w:rFonts w:eastAsia="Bookman Old Style" w:cs="Bookman Old Style"/>
          <w:lang w:val="en-ID"/>
        </w:rPr>
        <w:t xml:space="preserve"> Investasi</w:t>
      </w:r>
      <w:r w:rsidRPr="00306115">
        <w:rPr>
          <w:rFonts w:eastAsia="Bookman Old Style" w:cs="Bookman Old Style"/>
          <w:lang w:val="en-ID"/>
        </w:rPr>
        <w:t xml:space="preserve"> F merupakan bagian dari strategi bisnis Manajer Investasi ke depan, sehingga </w:t>
      </w:r>
      <w:r w:rsidR="006A744A" w:rsidRPr="00306115">
        <w:rPr>
          <w:rFonts w:eastAsia="Bookman Old Style" w:cs="Bookman Old Style"/>
          <w:lang w:val="en-ID"/>
        </w:rPr>
        <w:t>p</w:t>
      </w:r>
      <w:r w:rsidRPr="00306115">
        <w:rPr>
          <w:rFonts w:eastAsia="Bookman Old Style" w:cs="Bookman Old Style"/>
          <w:lang w:val="en-ID"/>
        </w:rPr>
        <w:t>eringkat</w:t>
      </w:r>
      <w:r w:rsidR="00061EB4" w:rsidRPr="00306115">
        <w:rPr>
          <w:rFonts w:eastAsia="Bookman Old Style" w:cs="Bookman Old Style"/>
          <w:lang w:val="en-ID"/>
        </w:rPr>
        <w:t xml:space="preserve"> inheren komposit</w:t>
      </w:r>
      <w:r w:rsidRPr="00306115">
        <w:rPr>
          <w:rFonts w:eastAsia="Bookman Old Style" w:cs="Bookman Old Style"/>
          <w:lang w:val="en-ID"/>
        </w:rPr>
        <w:t xml:space="preserve"> </w:t>
      </w:r>
      <w:r w:rsidR="006A744A" w:rsidRPr="00306115">
        <w:rPr>
          <w:rFonts w:eastAsia="Bookman Old Style" w:cs="Bookman Old Style"/>
          <w:lang w:val="en-ID"/>
        </w:rPr>
        <w:t>r</w:t>
      </w:r>
      <w:r w:rsidRPr="00306115">
        <w:rPr>
          <w:rFonts w:eastAsia="Bookman Old Style" w:cs="Bookman Old Style"/>
          <w:lang w:val="en-ID"/>
        </w:rPr>
        <w:t xml:space="preserve">isiko </w:t>
      </w:r>
      <w:r w:rsidRPr="00306115">
        <w:rPr>
          <w:rFonts w:eastAsia="Bookman Old Style" w:cs="Bookman Old Style"/>
          <w:lang w:val="en-ID"/>
        </w:rPr>
        <w:lastRenderedPageBreak/>
        <w:t xml:space="preserve">yang tinggi pada </w:t>
      </w:r>
      <w:r w:rsidR="006A744A" w:rsidRPr="00306115">
        <w:rPr>
          <w:rFonts w:eastAsia="Bookman Old Style" w:cs="Bookman Old Style"/>
          <w:lang w:val="en-ID"/>
        </w:rPr>
        <w:t>P</w:t>
      </w:r>
      <w:r w:rsidRPr="00306115">
        <w:rPr>
          <w:rFonts w:eastAsia="Bookman Old Style" w:cs="Bookman Old Style"/>
          <w:lang w:val="en-ID"/>
        </w:rPr>
        <w:t>roduk</w:t>
      </w:r>
      <w:r w:rsidR="006A744A" w:rsidRPr="00306115">
        <w:rPr>
          <w:rFonts w:eastAsia="Bookman Old Style" w:cs="Bookman Old Style"/>
          <w:lang w:val="en-ID"/>
        </w:rPr>
        <w:t xml:space="preserve"> Investasi</w:t>
      </w:r>
      <w:r w:rsidRPr="00306115">
        <w:rPr>
          <w:rFonts w:eastAsia="Bookman Old Style" w:cs="Bookman Old Style"/>
          <w:lang w:val="en-ID"/>
        </w:rPr>
        <w:t xml:space="preserve"> tersebut tetap dipertimbangkan sebagai hal yang signifikan, meskipun kontribusinya terhadap AUM dan pendapatan tergolong kecil;</w:t>
      </w:r>
    </w:p>
    <w:p w14:paraId="32F99E20" w14:textId="17183082" w:rsidR="00037BFD" w:rsidRPr="00306115" w:rsidRDefault="008F7B85">
      <w:pPr>
        <w:pStyle w:val="HeadingAwalDaftarIsiLampiran"/>
        <w:numPr>
          <w:ilvl w:val="0"/>
          <w:numId w:val="433"/>
        </w:numPr>
        <w:ind w:left="2268" w:hanging="567"/>
      </w:pPr>
      <w:r w:rsidRPr="00306115">
        <w:rPr>
          <w:rFonts w:eastAsia="Bookman Old Style" w:cs="Bookman Old Style"/>
          <w:lang w:val="en-ID"/>
        </w:rPr>
        <w:t xml:space="preserve">dengan mempertimbangkan seluruh kriteria tersebut secara bersama-sama, Manajer Investasi menetapkan </w:t>
      </w:r>
      <w:r w:rsidR="006A744A" w:rsidRPr="00306115">
        <w:rPr>
          <w:rFonts w:eastAsia="Bookman Old Style" w:cs="Bookman Old Style"/>
          <w:lang w:val="en-ID"/>
        </w:rPr>
        <w:t>p</w:t>
      </w:r>
      <w:r w:rsidRPr="00306115">
        <w:rPr>
          <w:rFonts w:eastAsia="Bookman Old Style" w:cs="Bookman Old Style"/>
          <w:lang w:val="en-ID"/>
        </w:rPr>
        <w:t xml:space="preserve">eringkat </w:t>
      </w:r>
      <w:r w:rsidR="006A744A" w:rsidRPr="00306115">
        <w:rPr>
          <w:rFonts w:eastAsia="Bookman Old Style" w:cs="Bookman Old Style"/>
          <w:lang w:val="en-ID"/>
        </w:rPr>
        <w:t>r</w:t>
      </w:r>
      <w:r w:rsidRPr="00306115">
        <w:rPr>
          <w:rFonts w:eastAsia="Bookman Old Style" w:cs="Bookman Old Style"/>
          <w:lang w:val="en-ID"/>
        </w:rPr>
        <w:t xml:space="preserve">isiko </w:t>
      </w:r>
      <w:r w:rsidR="00061EB4" w:rsidRPr="00306115">
        <w:rPr>
          <w:rFonts w:eastAsia="Bookman Old Style" w:cs="Bookman Old Style"/>
          <w:lang w:val="en-ID"/>
        </w:rPr>
        <w:t xml:space="preserve">inheren komposit </w:t>
      </w:r>
      <w:r w:rsidRPr="00306115">
        <w:rPr>
          <w:rFonts w:eastAsia="Bookman Old Style" w:cs="Bookman Old Style"/>
          <w:lang w:val="en-ID"/>
        </w:rPr>
        <w:t xml:space="preserve">akhir di tingkat Manajer Investasi sebesar </w:t>
      </w:r>
      <w:r w:rsidR="006A744A" w:rsidRPr="00306115">
        <w:rPr>
          <w:rFonts w:eastAsia="Bookman Old Style" w:cs="Bookman Old Style"/>
          <w:lang w:val="en-ID"/>
        </w:rPr>
        <w:t>p</w:t>
      </w:r>
      <w:r w:rsidRPr="00306115">
        <w:rPr>
          <w:rFonts w:eastAsia="Bookman Old Style" w:cs="Bookman Old Style"/>
          <w:lang w:val="en-ID"/>
        </w:rPr>
        <w:t>eringkat 4, tidak semata mengikuti Produk</w:t>
      </w:r>
      <w:r w:rsidR="006A744A" w:rsidRPr="00306115">
        <w:rPr>
          <w:rFonts w:eastAsia="Bookman Old Style" w:cs="Bookman Old Style"/>
          <w:lang w:val="en-ID"/>
        </w:rPr>
        <w:t xml:space="preserve"> Investasi</w:t>
      </w:r>
      <w:r w:rsidRPr="00306115">
        <w:rPr>
          <w:rFonts w:eastAsia="Bookman Old Style" w:cs="Bookman Old Style"/>
          <w:lang w:val="en-ID"/>
        </w:rPr>
        <w:t xml:space="preserve"> A dan Produk </w:t>
      </w:r>
      <w:r w:rsidR="006A744A" w:rsidRPr="00306115">
        <w:rPr>
          <w:rFonts w:eastAsia="Bookman Old Style" w:cs="Bookman Old Style"/>
          <w:lang w:val="en-ID"/>
        </w:rPr>
        <w:t xml:space="preserve">Investasi </w:t>
      </w:r>
      <w:r w:rsidRPr="00306115">
        <w:rPr>
          <w:rFonts w:eastAsia="Bookman Old Style" w:cs="Bookman Old Style"/>
          <w:lang w:val="en-ID"/>
        </w:rPr>
        <w:t xml:space="preserve">B yang memiliki AUM dan </w:t>
      </w:r>
      <w:r w:rsidRPr="00306115">
        <w:rPr>
          <w:rFonts w:eastAsia="Bookman Old Style" w:cs="Bookman Old Style"/>
          <w:i/>
          <w:iCs/>
          <w:lang w:val="en-ID"/>
        </w:rPr>
        <w:t>fee</w:t>
      </w:r>
      <w:r w:rsidRPr="00306115">
        <w:rPr>
          <w:rFonts w:eastAsia="Bookman Old Style" w:cs="Bookman Old Style"/>
          <w:lang w:val="en-ID"/>
        </w:rPr>
        <w:t xml:space="preserve"> terbesar, dan tidak pula secara otomatis mengikuti Produk </w:t>
      </w:r>
      <w:r w:rsidR="006A744A" w:rsidRPr="00306115">
        <w:rPr>
          <w:rFonts w:eastAsia="Bookman Old Style" w:cs="Bookman Old Style"/>
          <w:lang w:val="en-ID"/>
        </w:rPr>
        <w:t xml:space="preserve">Investasi </w:t>
      </w:r>
      <w:r w:rsidRPr="00306115">
        <w:rPr>
          <w:rFonts w:eastAsia="Bookman Old Style" w:cs="Bookman Old Style"/>
          <w:lang w:val="en-ID"/>
        </w:rPr>
        <w:t xml:space="preserve">F yang memiliki </w:t>
      </w:r>
      <w:r w:rsidR="006A744A" w:rsidRPr="00306115">
        <w:rPr>
          <w:rFonts w:eastAsia="Bookman Old Style" w:cs="Bookman Old Style"/>
          <w:lang w:val="en-ID"/>
        </w:rPr>
        <w:t>p</w:t>
      </w:r>
      <w:r w:rsidRPr="00306115">
        <w:rPr>
          <w:rFonts w:eastAsia="Bookman Old Style" w:cs="Bookman Old Style"/>
          <w:lang w:val="en-ID"/>
        </w:rPr>
        <w:t xml:space="preserve">eringkat </w:t>
      </w:r>
      <w:r w:rsidR="006A744A" w:rsidRPr="00306115">
        <w:rPr>
          <w:rFonts w:eastAsia="Bookman Old Style" w:cs="Bookman Old Style"/>
          <w:lang w:val="en-ID"/>
        </w:rPr>
        <w:t>r</w:t>
      </w:r>
      <w:r w:rsidRPr="00306115">
        <w:rPr>
          <w:rFonts w:eastAsia="Bookman Old Style" w:cs="Bookman Old Style"/>
          <w:lang w:val="en-ID"/>
        </w:rPr>
        <w:t xml:space="preserve">isiko </w:t>
      </w:r>
      <w:r w:rsidR="00FE3A70" w:rsidRPr="00306115">
        <w:rPr>
          <w:rFonts w:eastAsia="Bookman Old Style" w:cs="Bookman Old Style"/>
          <w:lang w:val="en-ID"/>
        </w:rPr>
        <w:t xml:space="preserve">inheren komposit </w:t>
      </w:r>
      <w:r w:rsidRPr="00306115">
        <w:rPr>
          <w:rFonts w:eastAsia="Bookman Old Style" w:cs="Bookman Old Style"/>
          <w:lang w:val="en-ID"/>
        </w:rPr>
        <w:t>tertinggi, melainkan berdasarkan pertimbangan atas signifikansi ketiga kriteria tersebut secara menyeluruh</w:t>
      </w:r>
      <w:r w:rsidR="006A744A" w:rsidRPr="00306115">
        <w:rPr>
          <w:rFonts w:eastAsia="Bookman Old Style" w:cs="Bookman Old Style"/>
          <w:lang w:val="en-ID"/>
        </w:rPr>
        <w:t>.</w:t>
      </w:r>
    </w:p>
    <w:p w14:paraId="1E8CAA1A" w14:textId="085A3F98" w:rsidR="00EE419D" w:rsidRPr="00306115" w:rsidRDefault="00452177" w:rsidP="00194AA0">
      <w:pPr>
        <w:pStyle w:val="HeadingAwalDaftarIsiLampiran"/>
        <w:numPr>
          <w:ilvl w:val="0"/>
          <w:numId w:val="254"/>
        </w:numPr>
        <w:ind w:left="567" w:hanging="567"/>
      </w:pPr>
      <w:r w:rsidRPr="00306115">
        <w:rPr>
          <w:rFonts w:eastAsia="Bookman Old Style" w:cs="Bookman Old Style"/>
        </w:rPr>
        <w:t>Penilaian Risiko Pada Manajer Investasi</w:t>
      </w:r>
    </w:p>
    <w:p w14:paraId="6FC5C990" w14:textId="7EF03DD7" w:rsidR="00452177" w:rsidRPr="00306115" w:rsidRDefault="00C81BC0" w:rsidP="00452177">
      <w:pPr>
        <w:pStyle w:val="HeadingAwalDaftarIsiLampiran"/>
        <w:numPr>
          <w:ilvl w:val="0"/>
          <w:numId w:val="0"/>
        </w:numPr>
        <w:ind w:left="567"/>
        <w:rPr>
          <w:rFonts w:eastAsia="Bookman Old Style" w:cs="Bookman Old Style"/>
        </w:rPr>
      </w:pPr>
      <w:r w:rsidRPr="00306115">
        <w:rPr>
          <w:rFonts w:eastAsia="Bookman Old Style" w:cs="Bookman Old Style"/>
        </w:rPr>
        <w:t>Penilaian atas risiko pada Manajer Investasi dilakukan terhadap 6 (enam) jenis risiko, yaitu Risiko Operasional, Risiko Hukum, Risiko Kepatuhan, Risiko Reputasi, Risiko Strategis dan Risiko Investasi</w:t>
      </w:r>
      <w:r w:rsidR="006A744A" w:rsidRPr="00306115">
        <w:rPr>
          <w:rFonts w:eastAsia="Bookman Old Style" w:cs="Bookman Old Style"/>
        </w:rPr>
        <w:t>.</w:t>
      </w:r>
    </w:p>
    <w:p w14:paraId="3C1A2A00" w14:textId="412AD132" w:rsidR="006A744A" w:rsidRPr="00306115" w:rsidRDefault="002E5EFA" w:rsidP="006A744A">
      <w:pPr>
        <w:pStyle w:val="HeadingAwalDaftarIsiLampiran"/>
        <w:numPr>
          <w:ilvl w:val="0"/>
          <w:numId w:val="254"/>
        </w:numPr>
        <w:ind w:left="567" w:hanging="567"/>
      </w:pPr>
      <w:r w:rsidRPr="00306115">
        <w:rPr>
          <w:rFonts w:eastAsia="Bookman Old Style" w:cs="Bookman Old Style"/>
        </w:rPr>
        <w:t xml:space="preserve">Penilaian </w:t>
      </w:r>
      <w:r w:rsidR="00E04A35" w:rsidRPr="00306115">
        <w:rPr>
          <w:rFonts w:eastAsia="Bookman Old Style" w:cs="Bookman Old Style"/>
        </w:rPr>
        <w:t>k</w:t>
      </w:r>
      <w:r w:rsidRPr="00306115">
        <w:rPr>
          <w:rFonts w:eastAsia="Bookman Old Style" w:cs="Bookman Old Style"/>
        </w:rPr>
        <w:t xml:space="preserve">ualitas </w:t>
      </w:r>
      <w:r w:rsidR="00563938" w:rsidRPr="00306115">
        <w:rPr>
          <w:rFonts w:eastAsia="Bookman Old Style" w:cs="Bookman Old Style"/>
        </w:rPr>
        <w:t>p</w:t>
      </w:r>
      <w:r w:rsidRPr="00306115">
        <w:rPr>
          <w:rFonts w:eastAsia="Bookman Old Style" w:cs="Bookman Old Style"/>
        </w:rPr>
        <w:t>enerapan Manajemen</w:t>
      </w:r>
      <w:r w:rsidR="00660199" w:rsidRPr="00306115">
        <w:rPr>
          <w:rFonts w:eastAsia="Bookman Old Style" w:cs="Bookman Old Style"/>
        </w:rPr>
        <w:t xml:space="preserve"> Risiko:</w:t>
      </w:r>
    </w:p>
    <w:p w14:paraId="169AB396" w14:textId="3D565052" w:rsidR="00660199" w:rsidRPr="00306115" w:rsidRDefault="00E04608">
      <w:pPr>
        <w:pStyle w:val="HeadingAwalDaftarIsiLampiran"/>
        <w:numPr>
          <w:ilvl w:val="0"/>
          <w:numId w:val="434"/>
        </w:numPr>
        <w:ind w:left="1134" w:hanging="567"/>
      </w:pPr>
      <w:r w:rsidRPr="00306115">
        <w:rPr>
          <w:rFonts w:eastAsia="Bookman Old Style" w:cs="Bookman Old Style"/>
        </w:rPr>
        <w:t>p</w:t>
      </w:r>
      <w:r w:rsidR="004D449B" w:rsidRPr="00306115">
        <w:rPr>
          <w:rFonts w:eastAsia="Bookman Old Style" w:cs="Bookman Old Style"/>
        </w:rPr>
        <w:t>enilaian kualitas penerapan Manajemen Risiko merupakan penilaian terhadap 4 (empat) aspek yang saling terkait, yaitu:</w:t>
      </w:r>
    </w:p>
    <w:p w14:paraId="6F0C37F1" w14:textId="5A425D2A" w:rsidR="004D449B" w:rsidRPr="00306115" w:rsidRDefault="00E04608">
      <w:pPr>
        <w:pStyle w:val="HeadingAwalDaftarIsiLampiran"/>
        <w:numPr>
          <w:ilvl w:val="0"/>
          <w:numId w:val="435"/>
        </w:numPr>
        <w:ind w:left="1701" w:hanging="567"/>
      </w:pPr>
      <w:r w:rsidRPr="00306115">
        <w:t>t</w:t>
      </w:r>
      <w:r w:rsidR="005E253D" w:rsidRPr="00306115">
        <w:t xml:space="preserve">ata </w:t>
      </w:r>
      <w:r w:rsidRPr="00306115">
        <w:t>k</w:t>
      </w:r>
      <w:r w:rsidR="005E253D" w:rsidRPr="00306115">
        <w:t xml:space="preserve">elola </w:t>
      </w:r>
      <w:r w:rsidR="00466651" w:rsidRPr="00306115">
        <w:t>r</w:t>
      </w:r>
      <w:r w:rsidR="005E253D" w:rsidRPr="00306115">
        <w:t>isiko;</w:t>
      </w:r>
    </w:p>
    <w:p w14:paraId="55029441" w14:textId="0B4F23D7" w:rsidR="005E253D" w:rsidRPr="00306115" w:rsidRDefault="00466651">
      <w:pPr>
        <w:pStyle w:val="HeadingAwalDaftarIsiLampiran"/>
        <w:numPr>
          <w:ilvl w:val="0"/>
          <w:numId w:val="435"/>
        </w:numPr>
        <w:ind w:left="1701" w:hanging="567"/>
      </w:pPr>
      <w:r w:rsidRPr="00306115">
        <w:rPr>
          <w:rFonts w:eastAsia="Bookman Old Style" w:cs="Bookman Old Style"/>
        </w:rPr>
        <w:t>k</w:t>
      </w:r>
      <w:r w:rsidR="00EE4D84" w:rsidRPr="00306115">
        <w:rPr>
          <w:rFonts w:eastAsia="Bookman Old Style" w:cs="Bookman Old Style"/>
        </w:rPr>
        <w:t>erangka Manajemen Risiko;</w:t>
      </w:r>
    </w:p>
    <w:p w14:paraId="7BAF3643" w14:textId="103900D7" w:rsidR="00EE4D84" w:rsidRPr="00306115" w:rsidRDefault="00466651">
      <w:pPr>
        <w:pStyle w:val="HeadingAwalDaftarIsiLampiran"/>
        <w:numPr>
          <w:ilvl w:val="0"/>
          <w:numId w:val="435"/>
        </w:numPr>
        <w:ind w:left="1701" w:hanging="567"/>
      </w:pPr>
      <w:r w:rsidRPr="00306115">
        <w:rPr>
          <w:rFonts w:eastAsia="Bookman Old Style" w:cs="Bookman Old Style"/>
        </w:rPr>
        <w:t>p</w:t>
      </w:r>
      <w:r w:rsidR="00286C51" w:rsidRPr="00306115">
        <w:rPr>
          <w:rFonts w:eastAsia="Bookman Old Style" w:cs="Bookman Old Style"/>
        </w:rPr>
        <w:t>roses Manajemen Risiko,</w:t>
      </w:r>
      <w:r w:rsidR="00286C51" w:rsidRPr="00306115">
        <w:rPr>
          <w:lang w:val="en-US"/>
        </w:rPr>
        <w:t xml:space="preserve"> kecukupan sumber daya manusia, dan kecukupan sistem informasi Manajemen Risiko; dan</w:t>
      </w:r>
    </w:p>
    <w:p w14:paraId="3D1D2E80" w14:textId="763D0EA0" w:rsidR="00286C51" w:rsidRPr="00306115" w:rsidRDefault="00466651">
      <w:pPr>
        <w:pStyle w:val="HeadingAwalDaftarIsiLampiran"/>
        <w:numPr>
          <w:ilvl w:val="0"/>
          <w:numId w:val="435"/>
        </w:numPr>
        <w:ind w:left="1701" w:hanging="567"/>
      </w:pPr>
      <w:r w:rsidRPr="00306115">
        <w:rPr>
          <w:lang w:val="en-US"/>
        </w:rPr>
        <w:t>k</w:t>
      </w:r>
      <w:r w:rsidR="0083094B" w:rsidRPr="00306115">
        <w:rPr>
          <w:lang w:val="en-US"/>
        </w:rPr>
        <w:t>ecukupan sistem pengendalian risiko.</w:t>
      </w:r>
    </w:p>
    <w:p w14:paraId="2F80F8BA" w14:textId="5D7E59F3" w:rsidR="0083094B" w:rsidRPr="00306115" w:rsidRDefault="00466651">
      <w:pPr>
        <w:pStyle w:val="HeadingAwalDaftarIsiLampiran"/>
        <w:numPr>
          <w:ilvl w:val="0"/>
          <w:numId w:val="434"/>
        </w:numPr>
        <w:ind w:left="1134" w:hanging="567"/>
      </w:pPr>
      <w:r w:rsidRPr="00306115">
        <w:rPr>
          <w:rFonts w:eastAsia="Bookman Old Style" w:cs="Bookman Old Style"/>
        </w:rPr>
        <w:t>p</w:t>
      </w:r>
      <w:r w:rsidR="00E04A35" w:rsidRPr="00306115">
        <w:rPr>
          <w:rFonts w:eastAsia="Bookman Old Style" w:cs="Bookman Old Style"/>
        </w:rPr>
        <w:t>enilaian kualitas penerapan Manajemen Risiko dilakukan terhadap 10 (sepuluh) jenis risiko, yaitu Risiko Pasar, Risiko Likuiditas Produk Investasi, Risiko Kredit, Risiko Konsentrasi Portofolio Efek, Risiko Operasional, Risiko Hukum, Risiko Kepatuhan, Risiko Reputasi, Risiko Strategi, dan Risiko Investasi</w:t>
      </w:r>
      <w:r w:rsidRPr="00306115">
        <w:rPr>
          <w:rFonts w:eastAsia="Bookman Old Style" w:cs="Bookman Old Style"/>
        </w:rPr>
        <w:t>.</w:t>
      </w:r>
    </w:p>
    <w:p w14:paraId="2AAE0E23" w14:textId="77777777" w:rsidR="00AD33A4" w:rsidRPr="00306115" w:rsidRDefault="00AD33A4" w:rsidP="003B64B4">
      <w:pPr>
        <w:pStyle w:val="HeadingAwalDaftarIsiLampiran"/>
        <w:numPr>
          <w:ilvl w:val="0"/>
          <w:numId w:val="0"/>
        </w:numPr>
        <w:ind w:left="720" w:hanging="360"/>
      </w:pPr>
    </w:p>
    <w:p w14:paraId="19386D7E" w14:textId="77777777" w:rsidR="005D452E" w:rsidRPr="00306115" w:rsidRDefault="005D452E" w:rsidP="005D452E">
      <w:pPr>
        <w:pStyle w:val="HeadingAwalDaftarIsiLampiran"/>
        <w:numPr>
          <w:ilvl w:val="0"/>
          <w:numId w:val="254"/>
        </w:numPr>
        <w:ind w:left="567" w:hanging="567"/>
        <w:sectPr w:rsidR="005D452E" w:rsidRPr="00306115" w:rsidSect="003A3967">
          <w:headerReference w:type="first" r:id="rId21"/>
          <w:pgSz w:w="11907" w:h="18711" w:code="41"/>
          <w:pgMar w:top="1418" w:right="1418" w:bottom="1418" w:left="1418" w:header="709" w:footer="709" w:gutter="0"/>
          <w:pgNumType w:fmt="numberInDash" w:start="2"/>
          <w:cols w:space="708"/>
          <w:titlePg/>
          <w:docGrid w:linePitch="360"/>
        </w:sectPr>
      </w:pPr>
    </w:p>
    <w:p w14:paraId="2DFED853" w14:textId="67B8ACBE" w:rsidR="00C624C5" w:rsidRPr="00306115" w:rsidRDefault="006329C7">
      <w:pPr>
        <w:pStyle w:val="HeadingAwalDaftarIsiLampiran"/>
        <w:numPr>
          <w:ilvl w:val="0"/>
          <w:numId w:val="255"/>
        </w:numPr>
        <w:tabs>
          <w:tab w:val="left" w:pos="1134"/>
        </w:tabs>
        <w:ind w:left="567" w:hanging="567"/>
      </w:pPr>
      <w:r w:rsidRPr="00306115">
        <w:lastRenderedPageBreak/>
        <w:t>PENILAIAN RISIKO UNTUK RISIKO PASAR</w:t>
      </w:r>
    </w:p>
    <w:p w14:paraId="7A86C413" w14:textId="3610D86E" w:rsidR="00C41FD7" w:rsidRPr="00306115" w:rsidRDefault="00C41FD7">
      <w:pPr>
        <w:pStyle w:val="HeadingAwalDaftarIsiLampiran"/>
        <w:numPr>
          <w:ilvl w:val="0"/>
          <w:numId w:val="436"/>
        </w:numPr>
        <w:tabs>
          <w:tab w:val="left" w:pos="1134"/>
        </w:tabs>
        <w:ind w:left="1134" w:hanging="567"/>
      </w:pPr>
      <w:r w:rsidRPr="00306115">
        <w:t>Parameter atau Indikator Penilaian Risiko Pasar</w:t>
      </w:r>
    </w:p>
    <w:tbl>
      <w:tblPr>
        <w:tblW w:w="14742" w:type="dxa"/>
        <w:tblInd w:w="1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276"/>
        <w:gridCol w:w="1843"/>
        <w:gridCol w:w="2551"/>
        <w:gridCol w:w="9072"/>
      </w:tblGrid>
      <w:tr w:rsidR="00A15468" w:rsidRPr="00306115" w14:paraId="1268E32A" w14:textId="77777777" w:rsidTr="003F637F">
        <w:trPr>
          <w:trHeight w:val="295"/>
        </w:trPr>
        <w:tc>
          <w:tcPr>
            <w:tcW w:w="14742" w:type="dxa"/>
            <w:gridSpan w:val="4"/>
            <w:shd w:val="clear" w:color="auto" w:fill="D0CECE" w:themeFill="background2" w:themeFillShade="E6"/>
          </w:tcPr>
          <w:p w14:paraId="40AEF139" w14:textId="301C319D" w:rsidR="00A15468" w:rsidRPr="00306115" w:rsidRDefault="00A15468">
            <w:pPr>
              <w:widowControl w:val="0"/>
              <w:numPr>
                <w:ilvl w:val="2"/>
                <w:numId w:val="261"/>
              </w:numPr>
              <w:pBdr>
                <w:top w:val="nil"/>
                <w:left w:val="nil"/>
                <w:bottom w:val="nil"/>
                <w:right w:val="nil"/>
                <w:between w:val="nil"/>
              </w:pBdr>
              <w:spacing w:before="60" w:after="60" w:line="240" w:lineRule="auto"/>
              <w:ind w:left="567" w:hanging="567"/>
              <w:jc w:val="left"/>
              <w:rPr>
                <w:rFonts w:eastAsia="Bookman Old Style" w:cs="Bookman Old Style"/>
                <w:b/>
                <w:bCs/>
                <w:color w:val="000000" w:themeColor="text1"/>
                <w:szCs w:val="24"/>
              </w:rPr>
            </w:pPr>
            <w:r w:rsidRPr="00306115">
              <w:rPr>
                <w:rFonts w:eastAsia="Bookman Old Style" w:cs="Bookman Old Style"/>
                <w:b/>
                <w:bCs/>
                <w:color w:val="000000" w:themeColor="text1"/>
                <w:szCs w:val="24"/>
              </w:rPr>
              <w:t>Risiko Inheren*)</w:t>
            </w:r>
          </w:p>
        </w:tc>
      </w:tr>
      <w:tr w:rsidR="00A15468" w:rsidRPr="00306115" w14:paraId="000F4F27" w14:textId="77777777" w:rsidTr="00846FF2">
        <w:trPr>
          <w:trHeight w:val="877"/>
        </w:trPr>
        <w:tc>
          <w:tcPr>
            <w:tcW w:w="3119" w:type="dxa"/>
            <w:gridSpan w:val="2"/>
            <w:shd w:val="clear" w:color="auto" w:fill="D0CECE" w:themeFill="background2" w:themeFillShade="E6"/>
          </w:tcPr>
          <w:p w14:paraId="5CDF725C" w14:textId="77777777" w:rsidR="00A15468" w:rsidRPr="00306115" w:rsidRDefault="00A15468" w:rsidP="005041BD">
            <w:pPr>
              <w:widowControl w:val="0"/>
              <w:pBdr>
                <w:top w:val="nil"/>
                <w:left w:val="nil"/>
                <w:bottom w:val="nil"/>
                <w:right w:val="nil"/>
                <w:between w:val="nil"/>
              </w:pBdr>
              <w:spacing w:before="109"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Indikator</w:t>
            </w:r>
          </w:p>
        </w:tc>
        <w:tc>
          <w:tcPr>
            <w:tcW w:w="2551" w:type="dxa"/>
            <w:shd w:val="clear" w:color="auto" w:fill="D0CECE" w:themeFill="background2" w:themeFillShade="E6"/>
          </w:tcPr>
          <w:p w14:paraId="033324CB" w14:textId="77777777" w:rsidR="00A15468" w:rsidRPr="00306115" w:rsidRDefault="00A15468" w:rsidP="005041BD">
            <w:pPr>
              <w:widowControl w:val="0"/>
              <w:pBdr>
                <w:top w:val="nil"/>
                <w:left w:val="nil"/>
                <w:bottom w:val="nil"/>
                <w:right w:val="nil"/>
                <w:between w:val="nil"/>
              </w:pBdr>
              <w:spacing w:before="109"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Jenis Aset/Instrumen yang Berlaku</w:t>
            </w:r>
          </w:p>
        </w:tc>
        <w:tc>
          <w:tcPr>
            <w:tcW w:w="9072" w:type="dxa"/>
            <w:shd w:val="clear" w:color="auto" w:fill="D0CECE" w:themeFill="background2" w:themeFillShade="E6"/>
          </w:tcPr>
          <w:p w14:paraId="5C172C67" w14:textId="77777777" w:rsidR="00A15468" w:rsidRPr="00306115" w:rsidRDefault="00A15468" w:rsidP="005041BD">
            <w:pPr>
              <w:widowControl w:val="0"/>
              <w:pBdr>
                <w:top w:val="nil"/>
                <w:left w:val="nil"/>
                <w:bottom w:val="nil"/>
                <w:right w:val="nil"/>
                <w:between w:val="nil"/>
              </w:pBdr>
              <w:spacing w:before="109"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Informasi</w:t>
            </w:r>
          </w:p>
        </w:tc>
      </w:tr>
      <w:tr w:rsidR="00051C7B" w:rsidRPr="00306115" w14:paraId="7F7EE81A" w14:textId="77777777" w:rsidTr="00846FF2">
        <w:trPr>
          <w:trHeight w:val="464"/>
        </w:trPr>
        <w:tc>
          <w:tcPr>
            <w:tcW w:w="3119" w:type="dxa"/>
            <w:gridSpan w:val="2"/>
          </w:tcPr>
          <w:p w14:paraId="43301EA8" w14:textId="77777777" w:rsidR="00051C7B" w:rsidRPr="00306115" w:rsidRDefault="00051C7B" w:rsidP="00051C7B">
            <w:pPr>
              <w:widowControl w:val="0"/>
              <w:pBdr>
                <w:top w:val="nil"/>
                <w:left w:val="nil"/>
                <w:bottom w:val="nil"/>
                <w:right w:val="nil"/>
                <w:between w:val="nil"/>
              </w:pBdr>
              <w:spacing w:after="0" w:line="276" w:lineRule="auto"/>
              <w:rPr>
                <w:rFonts w:eastAsia="Bookman Old Style" w:cs="Bookman Old Style"/>
                <w:i/>
                <w:iCs/>
                <w:color w:val="000000" w:themeColor="text1"/>
                <w:sz w:val="22"/>
              </w:rPr>
            </w:pPr>
            <w:bookmarkStart w:id="0" w:name="_Hlk237612349"/>
            <w:r w:rsidRPr="00306115">
              <w:rPr>
                <w:rFonts w:eastAsia="Bookman Old Style" w:cs="Bookman Old Style"/>
                <w:i/>
                <w:iCs/>
                <w:color w:val="000000" w:themeColor="text1"/>
                <w:sz w:val="22"/>
              </w:rPr>
              <w:t>VaR-Cornish-Fisher Equivalent Volatility (VEV)</w:t>
            </w:r>
          </w:p>
          <w:bookmarkEnd w:id="0"/>
          <w:p w14:paraId="18B59F41" w14:textId="77777777" w:rsidR="00051C7B" w:rsidRPr="00306115" w:rsidRDefault="00051C7B" w:rsidP="00051C7B">
            <w:pPr>
              <w:widowControl w:val="0"/>
              <w:pBdr>
                <w:top w:val="nil"/>
                <w:left w:val="nil"/>
                <w:bottom w:val="nil"/>
                <w:right w:val="nil"/>
                <w:between w:val="nil"/>
              </w:pBdr>
              <w:spacing w:after="0" w:line="276" w:lineRule="auto"/>
              <w:rPr>
                <w:rFonts w:eastAsia="Bookman Old Style" w:cs="Bookman Old Style"/>
                <w:strike/>
                <w:color w:val="000000" w:themeColor="text1"/>
                <w:szCs w:val="24"/>
              </w:rPr>
            </w:pPr>
          </w:p>
        </w:tc>
        <w:tc>
          <w:tcPr>
            <w:tcW w:w="2551" w:type="dxa"/>
          </w:tcPr>
          <w:p w14:paraId="0AAB36B7" w14:textId="45F27722" w:rsidR="00051C7B" w:rsidRPr="00306115" w:rsidRDefault="00051C7B" w:rsidP="00051C7B">
            <w:pPr>
              <w:widowControl w:val="0"/>
              <w:pBdr>
                <w:top w:val="nil"/>
                <w:left w:val="nil"/>
                <w:bottom w:val="nil"/>
                <w:right w:val="nil"/>
                <w:between w:val="nil"/>
              </w:pBdr>
              <w:spacing w:after="0" w:line="276" w:lineRule="auto"/>
              <w:rPr>
                <w:rFonts w:eastAsia="Bookman Old Style" w:cs="Bookman Old Style"/>
                <w:strike/>
                <w:color w:val="000000" w:themeColor="text1"/>
                <w:szCs w:val="24"/>
              </w:rPr>
            </w:pPr>
            <w:r w:rsidRPr="00306115">
              <w:rPr>
                <w:rFonts w:eastAsia="Bookman Old Style" w:cs="Bookman Old Style"/>
                <w:color w:val="000000" w:themeColor="text1"/>
                <w:sz w:val="22"/>
              </w:rPr>
              <w:t>Reksa Dana dan Produk Investasi</w:t>
            </w:r>
          </w:p>
        </w:tc>
        <w:tc>
          <w:tcPr>
            <w:tcW w:w="9072" w:type="dxa"/>
          </w:tcPr>
          <w:p w14:paraId="01D121A8" w14:textId="77777777" w:rsidR="00051C7B" w:rsidRPr="00306115" w:rsidRDefault="00051C7B" w:rsidP="00051C7B">
            <w:pPr>
              <w:widowControl w:val="0"/>
              <w:numPr>
                <w:ilvl w:val="0"/>
                <w:numId w:val="263"/>
              </w:numPr>
              <w:pBdr>
                <w:top w:val="nil"/>
                <w:left w:val="nil"/>
                <w:bottom w:val="nil"/>
                <w:right w:val="nil"/>
                <w:between w:val="nil"/>
              </w:pBdr>
              <w:tabs>
                <w:tab w:val="left" w:pos="550"/>
              </w:tabs>
              <w:spacing w:after="40" w:line="276" w:lineRule="auto"/>
              <w:ind w:left="567" w:hanging="567"/>
              <w:rPr>
                <w:rFonts w:eastAsia="Bookman Old Style" w:cs="Bookman Old Style"/>
                <w:color w:val="000000" w:themeColor="text1"/>
                <w:sz w:val="22"/>
              </w:rPr>
            </w:pPr>
            <w:r w:rsidRPr="00306115">
              <w:rPr>
                <w:rFonts w:eastAsia="Bookman Old Style" w:cs="Bookman Old Style"/>
                <w:color w:val="000000" w:themeColor="text1"/>
                <w:sz w:val="22"/>
              </w:rPr>
              <w:t>VaR Cornish-Fisher digunakan untuk mengukur kerugian terburuk yang mungkin terjadi pada Reksa Dana dalam suatu periode, dengan tingkat kepercayaan 97,5%</w:t>
            </w:r>
          </w:p>
          <w:p w14:paraId="4F04D663" w14:textId="77777777" w:rsidR="00051C7B" w:rsidRPr="00306115" w:rsidRDefault="00051C7B" w:rsidP="00051C7B">
            <w:pPr>
              <w:widowControl w:val="0"/>
              <w:numPr>
                <w:ilvl w:val="0"/>
                <w:numId w:val="263"/>
              </w:numPr>
              <w:pBdr>
                <w:top w:val="nil"/>
                <w:left w:val="nil"/>
                <w:bottom w:val="nil"/>
                <w:right w:val="nil"/>
                <w:between w:val="nil"/>
              </w:pBdr>
              <w:tabs>
                <w:tab w:val="left" w:pos="550"/>
              </w:tabs>
              <w:spacing w:after="40" w:line="276" w:lineRule="auto"/>
              <w:ind w:left="567" w:hanging="567"/>
              <w:rPr>
                <w:rFonts w:eastAsia="Bookman Old Style" w:cs="Bookman Old Style"/>
                <w:color w:val="000000" w:themeColor="text1"/>
                <w:sz w:val="22"/>
              </w:rPr>
            </w:pPr>
            <w:r w:rsidRPr="00306115">
              <w:rPr>
                <w:rFonts w:eastAsia="Bookman Old Style" w:cs="Bookman Old Style"/>
                <w:color w:val="000000" w:themeColor="text1"/>
                <w:sz w:val="22"/>
              </w:rPr>
              <w:t>Data yang dibutuhkan dalam perhitungan</w:t>
            </w:r>
          </w:p>
          <w:p w14:paraId="07A18231" w14:textId="77777777" w:rsidR="00051C7B" w:rsidRPr="00306115" w:rsidRDefault="00051C7B" w:rsidP="00E1210B">
            <w:pPr>
              <w:widowControl w:val="0"/>
              <w:numPr>
                <w:ilvl w:val="1"/>
                <w:numId w:val="263"/>
              </w:numPr>
              <w:pBdr>
                <w:top w:val="nil"/>
                <w:left w:val="nil"/>
                <w:bottom w:val="nil"/>
                <w:right w:val="nil"/>
                <w:between w:val="nil"/>
              </w:pBdr>
              <w:tabs>
                <w:tab w:val="left" w:pos="550"/>
              </w:tabs>
              <w:spacing w:after="0" w:line="276" w:lineRule="auto"/>
              <w:ind w:left="851" w:hanging="284"/>
              <w:rPr>
                <w:rFonts w:eastAsia="Bookman Old Style" w:cs="Bookman Old Style"/>
                <w:color w:val="000000" w:themeColor="text1"/>
                <w:sz w:val="22"/>
              </w:rPr>
            </w:pPr>
            <w:r w:rsidRPr="00306115">
              <w:rPr>
                <w:rFonts w:eastAsia="Bookman Old Style" w:cs="Bookman Old Style"/>
                <w:color w:val="000000" w:themeColor="text1"/>
                <w:sz w:val="22"/>
              </w:rPr>
              <w:t xml:space="preserve">Log </w:t>
            </w:r>
            <w:r w:rsidRPr="00306115">
              <w:rPr>
                <w:rFonts w:eastAsia="Bookman Old Style" w:cs="Bookman Old Style"/>
                <w:i/>
                <w:iCs/>
                <w:color w:val="000000" w:themeColor="text1"/>
                <w:sz w:val="22"/>
              </w:rPr>
              <w:t>return</w:t>
            </w:r>
            <w:r w:rsidRPr="00306115">
              <w:rPr>
                <w:rFonts w:eastAsia="Bookman Old Style" w:cs="Bookman Old Style"/>
                <w:color w:val="000000" w:themeColor="text1"/>
                <w:sz w:val="22"/>
              </w:rPr>
              <w:t xml:space="preserve"> NAB Reksa Dana mingguan selama 3 tahun ke belakang, r</w:t>
            </w:r>
            <w:r w:rsidRPr="00306115">
              <w:rPr>
                <w:rFonts w:eastAsia="Bookman Old Style" w:cs="Bookman Old Style"/>
                <w:color w:val="000000" w:themeColor="text1"/>
                <w:sz w:val="22"/>
                <w:vertAlign w:val="subscript"/>
              </w:rPr>
              <w:t>t</w:t>
            </w:r>
            <w:r w:rsidRPr="00306115">
              <w:rPr>
                <w:rFonts w:eastAsia="Bookman Old Style" w:cs="Bookman Old Style"/>
                <w:color w:val="000000" w:themeColor="text1"/>
                <w:sz w:val="22"/>
              </w:rPr>
              <w:t xml:space="preserve"> = ln (NAB </w:t>
            </w:r>
            <w:r w:rsidRPr="00306115">
              <w:rPr>
                <w:rFonts w:eastAsia="Bookman Old Style" w:cs="Bookman Old Style"/>
                <w:color w:val="000000" w:themeColor="text1"/>
                <w:sz w:val="22"/>
                <w:vertAlign w:val="subscript"/>
              </w:rPr>
              <w:t>t</w:t>
            </w:r>
            <w:r w:rsidRPr="00306115">
              <w:rPr>
                <w:rFonts w:eastAsia="Bookman Old Style" w:cs="Bookman Old Style"/>
                <w:color w:val="000000" w:themeColor="text1"/>
                <w:sz w:val="22"/>
              </w:rPr>
              <w:t xml:space="preserve"> / NAB </w:t>
            </w:r>
            <w:r w:rsidRPr="00306115">
              <w:rPr>
                <w:rFonts w:eastAsia="Bookman Old Style" w:cs="Bookman Old Style"/>
                <w:color w:val="000000" w:themeColor="text1"/>
                <w:sz w:val="22"/>
                <w:vertAlign w:val="subscript"/>
              </w:rPr>
              <w:t>t-1</w:t>
            </w:r>
            <w:r w:rsidRPr="00306115">
              <w:rPr>
                <w:rFonts w:eastAsia="Bookman Old Style" w:cs="Bookman Old Style"/>
                <w:color w:val="000000" w:themeColor="text1"/>
                <w:sz w:val="22"/>
              </w:rPr>
              <w:t xml:space="preserve"> )</w:t>
            </w:r>
          </w:p>
          <w:p w14:paraId="5A0C3D55" w14:textId="77777777" w:rsidR="00051C7B" w:rsidRPr="00306115" w:rsidRDefault="00051C7B" w:rsidP="00E1210B">
            <w:pPr>
              <w:widowControl w:val="0"/>
              <w:numPr>
                <w:ilvl w:val="1"/>
                <w:numId w:val="263"/>
              </w:numPr>
              <w:pBdr>
                <w:top w:val="nil"/>
                <w:left w:val="nil"/>
                <w:bottom w:val="nil"/>
                <w:right w:val="nil"/>
                <w:between w:val="nil"/>
              </w:pBdr>
              <w:tabs>
                <w:tab w:val="left" w:pos="550"/>
              </w:tabs>
              <w:spacing w:after="0" w:line="276" w:lineRule="auto"/>
              <w:ind w:left="851" w:hanging="284"/>
              <w:rPr>
                <w:rFonts w:eastAsia="Bookman Old Style" w:cs="Bookman Old Style"/>
                <w:color w:val="000000" w:themeColor="text1"/>
                <w:sz w:val="22"/>
              </w:rPr>
            </w:pPr>
            <w:r w:rsidRPr="00306115">
              <w:rPr>
                <w:rFonts w:eastAsia="Bookman Old Style" w:cs="Bookman Old Style"/>
                <w:color w:val="000000" w:themeColor="text1"/>
                <w:sz w:val="22"/>
              </w:rPr>
              <w:t>M0 = Jumlah Observasi minggu = 150 Minggu (asumsi setiap tahun 50 minggu)</w:t>
            </w:r>
          </w:p>
          <w:p w14:paraId="2299D42D" w14:textId="77777777" w:rsidR="00051C7B" w:rsidRPr="00306115" w:rsidRDefault="00051C7B" w:rsidP="00E1210B">
            <w:pPr>
              <w:widowControl w:val="0"/>
              <w:numPr>
                <w:ilvl w:val="1"/>
                <w:numId w:val="263"/>
              </w:numPr>
              <w:pBdr>
                <w:top w:val="nil"/>
                <w:left w:val="nil"/>
                <w:bottom w:val="nil"/>
                <w:right w:val="nil"/>
                <w:between w:val="nil"/>
              </w:pBdr>
              <w:tabs>
                <w:tab w:val="left" w:pos="550"/>
              </w:tabs>
              <w:spacing w:after="0" w:line="276" w:lineRule="auto"/>
              <w:ind w:left="851" w:hanging="284"/>
              <w:rPr>
                <w:rFonts w:eastAsia="Bookman Old Style" w:cs="Bookman Old Style"/>
                <w:color w:val="000000" w:themeColor="text1"/>
                <w:sz w:val="22"/>
              </w:rPr>
            </w:pPr>
            <w:r w:rsidRPr="00306115">
              <w:rPr>
                <w:rFonts w:eastAsia="Bookman Old Style" w:cs="Bookman Old Style"/>
                <w:color w:val="000000" w:themeColor="text1"/>
                <w:sz w:val="22"/>
              </w:rPr>
              <w:t xml:space="preserve">M1 = </w:t>
            </w:r>
            <w:r w:rsidRPr="00306115">
              <w:rPr>
                <w:rFonts w:eastAsia="Bookman Old Style" w:cs="Bookman Old Style"/>
                <w:i/>
                <w:iCs/>
                <w:color w:val="000000" w:themeColor="text1"/>
                <w:sz w:val="22"/>
              </w:rPr>
              <w:t>Mean Return</w:t>
            </w:r>
            <w:r w:rsidRPr="00306115">
              <w:rPr>
                <w:rFonts w:eastAsia="Bookman Old Style" w:cs="Bookman Old Style"/>
                <w:color w:val="000000" w:themeColor="text1"/>
                <w:sz w:val="22"/>
              </w:rPr>
              <w:t xml:space="preserve"> = ∑ r</w:t>
            </w:r>
            <w:r w:rsidRPr="00306115">
              <w:rPr>
                <w:rFonts w:eastAsia="Bookman Old Style" w:cs="Bookman Old Style"/>
                <w:color w:val="000000" w:themeColor="text1"/>
                <w:sz w:val="22"/>
                <w:vertAlign w:val="subscript"/>
              </w:rPr>
              <w:t xml:space="preserve">t </w:t>
            </w:r>
            <w:r w:rsidRPr="00306115">
              <w:rPr>
                <w:rFonts w:eastAsia="Bookman Old Style" w:cs="Bookman Old Style"/>
                <w:color w:val="000000" w:themeColor="text1"/>
                <w:sz w:val="22"/>
              </w:rPr>
              <w:t xml:space="preserve">/ M0 </w:t>
            </w:r>
          </w:p>
          <w:p w14:paraId="026D8437" w14:textId="77777777" w:rsidR="00051C7B" w:rsidRPr="00306115" w:rsidRDefault="00051C7B" w:rsidP="00E1210B">
            <w:pPr>
              <w:widowControl w:val="0"/>
              <w:numPr>
                <w:ilvl w:val="1"/>
                <w:numId w:val="263"/>
              </w:numPr>
              <w:pBdr>
                <w:top w:val="nil"/>
                <w:left w:val="nil"/>
                <w:bottom w:val="nil"/>
                <w:right w:val="nil"/>
                <w:between w:val="nil"/>
              </w:pBdr>
              <w:tabs>
                <w:tab w:val="left" w:pos="550"/>
              </w:tabs>
              <w:spacing w:after="0" w:line="276" w:lineRule="auto"/>
              <w:ind w:left="851" w:hanging="284"/>
              <w:rPr>
                <w:rFonts w:eastAsia="Bookman Old Style" w:cs="Bookman Old Style"/>
                <w:color w:val="000000" w:themeColor="text1"/>
                <w:sz w:val="22"/>
              </w:rPr>
            </w:pPr>
            <w:r w:rsidRPr="00306115">
              <w:rPr>
                <w:rFonts w:eastAsia="Bookman Old Style" w:cs="Bookman Old Style"/>
                <w:color w:val="000000" w:themeColor="text1"/>
                <w:sz w:val="22"/>
              </w:rPr>
              <w:t xml:space="preserve">M2 = </w:t>
            </w:r>
            <w:r w:rsidRPr="00306115">
              <w:rPr>
                <w:rFonts w:eastAsia="Bookman Old Style" w:cs="Bookman Old Style"/>
                <w:i/>
                <w:iCs/>
                <w:color w:val="000000" w:themeColor="text1"/>
                <w:sz w:val="22"/>
              </w:rPr>
              <w:t>Variance</w:t>
            </w:r>
            <w:r w:rsidRPr="00306115">
              <w:rPr>
                <w:rFonts w:eastAsia="Bookman Old Style" w:cs="Bookman Old Style"/>
                <w:color w:val="000000" w:themeColor="text1"/>
                <w:sz w:val="22"/>
              </w:rPr>
              <w:t xml:space="preserve"> = ∑ (r</w:t>
            </w:r>
            <w:r w:rsidRPr="00306115">
              <w:rPr>
                <w:rFonts w:eastAsia="Bookman Old Style" w:cs="Bookman Old Style"/>
                <w:color w:val="000000" w:themeColor="text1"/>
                <w:sz w:val="22"/>
                <w:vertAlign w:val="subscript"/>
              </w:rPr>
              <w:t>t</w:t>
            </w:r>
            <w:r w:rsidRPr="00306115">
              <w:rPr>
                <w:rFonts w:eastAsia="Bookman Old Style" w:cs="Bookman Old Style"/>
                <w:color w:val="000000" w:themeColor="text1"/>
                <w:sz w:val="22"/>
              </w:rPr>
              <w:t xml:space="preserve"> – M1)</w:t>
            </w:r>
            <w:r w:rsidRPr="00306115">
              <w:rPr>
                <w:rFonts w:eastAsia="Bookman Old Style" w:cs="Bookman Old Style"/>
                <w:color w:val="000000" w:themeColor="text1"/>
                <w:sz w:val="22"/>
                <w:vertAlign w:val="superscript"/>
              </w:rPr>
              <w:t>2</w:t>
            </w:r>
            <w:r w:rsidRPr="00306115">
              <w:rPr>
                <w:rFonts w:eastAsia="Bookman Old Style" w:cs="Bookman Old Style"/>
                <w:color w:val="000000" w:themeColor="text1"/>
                <w:sz w:val="22"/>
              </w:rPr>
              <w:t xml:space="preserve"> / M0</w:t>
            </w:r>
          </w:p>
          <w:p w14:paraId="3E75D87E" w14:textId="77777777" w:rsidR="00051C7B" w:rsidRPr="00306115" w:rsidRDefault="00051C7B" w:rsidP="00E1210B">
            <w:pPr>
              <w:widowControl w:val="0"/>
              <w:numPr>
                <w:ilvl w:val="1"/>
                <w:numId w:val="263"/>
              </w:numPr>
              <w:pBdr>
                <w:top w:val="nil"/>
                <w:left w:val="nil"/>
                <w:bottom w:val="nil"/>
                <w:right w:val="nil"/>
                <w:between w:val="nil"/>
              </w:pBdr>
              <w:tabs>
                <w:tab w:val="left" w:pos="550"/>
              </w:tabs>
              <w:spacing w:after="0" w:line="276" w:lineRule="auto"/>
              <w:ind w:left="851" w:hanging="284"/>
              <w:rPr>
                <w:rFonts w:eastAsia="Bookman Old Style" w:cs="Bookman Old Style"/>
                <w:color w:val="000000" w:themeColor="text1"/>
                <w:sz w:val="22"/>
              </w:rPr>
            </w:pPr>
            <w:r w:rsidRPr="00306115">
              <w:rPr>
                <w:rFonts w:eastAsia="Bookman Old Style" w:cs="Bookman Old Style"/>
                <w:color w:val="000000" w:themeColor="text1"/>
                <w:sz w:val="22"/>
              </w:rPr>
              <w:t>σ = Std Dev Mingguan = √M2</w:t>
            </w:r>
          </w:p>
          <w:p w14:paraId="49FF418D" w14:textId="77777777" w:rsidR="00051C7B" w:rsidRPr="00306115" w:rsidRDefault="00051C7B" w:rsidP="00E1210B">
            <w:pPr>
              <w:widowControl w:val="0"/>
              <w:numPr>
                <w:ilvl w:val="1"/>
                <w:numId w:val="263"/>
              </w:numPr>
              <w:pBdr>
                <w:top w:val="nil"/>
                <w:left w:val="nil"/>
                <w:bottom w:val="nil"/>
                <w:right w:val="nil"/>
                <w:between w:val="nil"/>
              </w:pBdr>
              <w:tabs>
                <w:tab w:val="left" w:pos="550"/>
              </w:tabs>
              <w:spacing w:after="0" w:line="276" w:lineRule="auto"/>
              <w:ind w:left="851" w:hanging="284"/>
              <w:rPr>
                <w:rFonts w:eastAsia="Bookman Old Style" w:cs="Bookman Old Style"/>
                <w:color w:val="000000" w:themeColor="text1"/>
                <w:sz w:val="22"/>
              </w:rPr>
            </w:pPr>
            <w:r w:rsidRPr="00306115">
              <w:rPr>
                <w:rFonts w:eastAsia="Bookman Old Style" w:cs="Bookman Old Style"/>
                <w:color w:val="000000" w:themeColor="text1"/>
                <w:sz w:val="22"/>
              </w:rPr>
              <w:t>M3 (momen ke-3) = Asimetri Distribusi Return = ∑ (r</w:t>
            </w:r>
            <w:r w:rsidRPr="00306115">
              <w:rPr>
                <w:rFonts w:eastAsia="Bookman Old Style" w:cs="Bookman Old Style"/>
                <w:color w:val="000000" w:themeColor="text1"/>
                <w:sz w:val="22"/>
                <w:vertAlign w:val="subscript"/>
              </w:rPr>
              <w:t>t</w:t>
            </w:r>
            <w:r w:rsidRPr="00306115">
              <w:rPr>
                <w:rFonts w:eastAsia="Bookman Old Style" w:cs="Bookman Old Style"/>
                <w:color w:val="000000" w:themeColor="text1"/>
                <w:sz w:val="22"/>
              </w:rPr>
              <w:t xml:space="preserve"> – M1)</w:t>
            </w:r>
            <w:r w:rsidRPr="00306115">
              <w:rPr>
                <w:rFonts w:eastAsia="Bookman Old Style" w:cs="Bookman Old Style"/>
                <w:color w:val="000000" w:themeColor="text1"/>
                <w:sz w:val="22"/>
                <w:vertAlign w:val="superscript"/>
              </w:rPr>
              <w:t>3</w:t>
            </w:r>
            <w:r w:rsidRPr="00306115">
              <w:rPr>
                <w:rFonts w:eastAsia="Bookman Old Style" w:cs="Bookman Old Style"/>
                <w:color w:val="000000" w:themeColor="text1"/>
                <w:sz w:val="22"/>
              </w:rPr>
              <w:t xml:space="preserve"> / M0</w:t>
            </w:r>
          </w:p>
          <w:p w14:paraId="60829EA7" w14:textId="77777777" w:rsidR="00051C7B" w:rsidRPr="00306115" w:rsidRDefault="00051C7B" w:rsidP="00E1210B">
            <w:pPr>
              <w:widowControl w:val="0"/>
              <w:numPr>
                <w:ilvl w:val="1"/>
                <w:numId w:val="263"/>
              </w:numPr>
              <w:pBdr>
                <w:top w:val="nil"/>
                <w:left w:val="nil"/>
                <w:bottom w:val="nil"/>
                <w:right w:val="nil"/>
                <w:between w:val="nil"/>
              </w:pBdr>
              <w:tabs>
                <w:tab w:val="left" w:pos="550"/>
              </w:tabs>
              <w:spacing w:after="0" w:line="276" w:lineRule="auto"/>
              <w:ind w:left="851" w:hanging="284"/>
              <w:rPr>
                <w:rFonts w:eastAsia="Bookman Old Style" w:cs="Bookman Old Style"/>
                <w:color w:val="000000" w:themeColor="text1"/>
                <w:sz w:val="22"/>
              </w:rPr>
            </w:pPr>
            <w:r w:rsidRPr="00306115">
              <w:rPr>
                <w:rFonts w:eastAsia="Bookman Old Style" w:cs="Bookman Old Style"/>
                <w:color w:val="000000" w:themeColor="text1"/>
                <w:sz w:val="22"/>
              </w:rPr>
              <w:t>µ1 = Skewness = M3/ σ</w:t>
            </w:r>
            <w:r w:rsidRPr="00306115">
              <w:rPr>
                <w:rFonts w:eastAsia="Bookman Old Style" w:cs="Bookman Old Style"/>
                <w:color w:val="000000" w:themeColor="text1"/>
                <w:sz w:val="22"/>
                <w:vertAlign w:val="superscript"/>
              </w:rPr>
              <w:t>3</w:t>
            </w:r>
          </w:p>
          <w:p w14:paraId="0E0D641B" w14:textId="77777777" w:rsidR="00051C7B" w:rsidRPr="00306115" w:rsidRDefault="00051C7B" w:rsidP="00E1210B">
            <w:pPr>
              <w:widowControl w:val="0"/>
              <w:numPr>
                <w:ilvl w:val="1"/>
                <w:numId w:val="263"/>
              </w:numPr>
              <w:pBdr>
                <w:top w:val="nil"/>
                <w:left w:val="nil"/>
                <w:bottom w:val="nil"/>
                <w:right w:val="nil"/>
                <w:between w:val="nil"/>
              </w:pBdr>
              <w:tabs>
                <w:tab w:val="left" w:pos="550"/>
              </w:tabs>
              <w:spacing w:after="0" w:line="276" w:lineRule="auto"/>
              <w:ind w:left="851" w:hanging="284"/>
              <w:rPr>
                <w:rFonts w:eastAsia="Bookman Old Style" w:cs="Bookman Old Style"/>
                <w:color w:val="000000" w:themeColor="text1"/>
                <w:sz w:val="22"/>
              </w:rPr>
            </w:pPr>
            <w:r w:rsidRPr="00306115">
              <w:rPr>
                <w:rFonts w:eastAsia="Bookman Old Style" w:cs="Bookman Old Style"/>
                <w:color w:val="000000" w:themeColor="text1"/>
                <w:sz w:val="22"/>
              </w:rPr>
              <w:t>M4 (momen ke -4) = Ketebalan tail (ekor) distribusi = ∑ (r</w:t>
            </w:r>
            <w:r w:rsidRPr="00306115">
              <w:rPr>
                <w:rFonts w:eastAsia="Bookman Old Style" w:cs="Bookman Old Style"/>
                <w:color w:val="000000" w:themeColor="text1"/>
                <w:sz w:val="22"/>
                <w:vertAlign w:val="subscript"/>
              </w:rPr>
              <w:t>t</w:t>
            </w:r>
            <w:r w:rsidRPr="00306115">
              <w:rPr>
                <w:rFonts w:eastAsia="Bookman Old Style" w:cs="Bookman Old Style"/>
                <w:color w:val="000000" w:themeColor="text1"/>
                <w:sz w:val="22"/>
              </w:rPr>
              <w:t xml:space="preserve"> – M1)</w:t>
            </w:r>
            <w:r w:rsidRPr="00306115">
              <w:rPr>
                <w:rFonts w:eastAsia="Bookman Old Style" w:cs="Bookman Old Style"/>
                <w:color w:val="000000" w:themeColor="text1"/>
                <w:sz w:val="22"/>
                <w:vertAlign w:val="superscript"/>
              </w:rPr>
              <w:t xml:space="preserve">4 </w:t>
            </w:r>
            <w:r w:rsidRPr="00306115">
              <w:rPr>
                <w:rFonts w:eastAsia="Bookman Old Style" w:cs="Bookman Old Style"/>
                <w:color w:val="000000" w:themeColor="text1"/>
                <w:sz w:val="22"/>
              </w:rPr>
              <w:t>/ M0</w:t>
            </w:r>
          </w:p>
          <w:p w14:paraId="32C627D1" w14:textId="77777777" w:rsidR="00051C7B" w:rsidRPr="00306115" w:rsidRDefault="00051C7B" w:rsidP="00E1210B">
            <w:pPr>
              <w:widowControl w:val="0"/>
              <w:numPr>
                <w:ilvl w:val="1"/>
                <w:numId w:val="263"/>
              </w:numPr>
              <w:pBdr>
                <w:top w:val="nil"/>
                <w:left w:val="nil"/>
                <w:bottom w:val="nil"/>
                <w:right w:val="nil"/>
                <w:between w:val="nil"/>
              </w:pBdr>
              <w:tabs>
                <w:tab w:val="left" w:pos="550"/>
              </w:tabs>
              <w:spacing w:after="0" w:line="276" w:lineRule="auto"/>
              <w:ind w:left="851" w:hanging="284"/>
              <w:rPr>
                <w:rFonts w:eastAsia="Bookman Old Style" w:cs="Bookman Old Style"/>
                <w:color w:val="000000" w:themeColor="text1"/>
                <w:sz w:val="22"/>
              </w:rPr>
            </w:pPr>
            <w:r w:rsidRPr="00306115">
              <w:rPr>
                <w:rFonts w:eastAsia="Bookman Old Style" w:cs="Bookman Old Style"/>
                <w:color w:val="000000" w:themeColor="text1"/>
                <w:sz w:val="22"/>
              </w:rPr>
              <w:t>µ2 = Excess Kurtosis = M4/σ</w:t>
            </w:r>
            <w:r w:rsidRPr="00306115">
              <w:rPr>
                <w:rFonts w:eastAsia="Bookman Old Style" w:cs="Bookman Old Style"/>
                <w:color w:val="000000" w:themeColor="text1"/>
                <w:sz w:val="22"/>
                <w:vertAlign w:val="superscript"/>
              </w:rPr>
              <w:t>4</w:t>
            </w:r>
            <w:r w:rsidRPr="00306115">
              <w:rPr>
                <w:rFonts w:eastAsia="Bookman Old Style" w:cs="Bookman Old Style"/>
                <w:color w:val="000000" w:themeColor="text1"/>
                <w:sz w:val="22"/>
              </w:rPr>
              <w:t xml:space="preserve">  – 3</w:t>
            </w:r>
          </w:p>
          <w:p w14:paraId="76F245C1" w14:textId="77777777" w:rsidR="00051C7B" w:rsidRPr="00306115" w:rsidRDefault="00051C7B" w:rsidP="00051C7B">
            <w:pPr>
              <w:widowControl w:val="0"/>
              <w:numPr>
                <w:ilvl w:val="0"/>
                <w:numId w:val="263"/>
              </w:numPr>
              <w:pBdr>
                <w:top w:val="nil"/>
                <w:left w:val="nil"/>
                <w:bottom w:val="nil"/>
                <w:right w:val="nil"/>
                <w:between w:val="nil"/>
              </w:pBdr>
              <w:tabs>
                <w:tab w:val="left" w:pos="550"/>
              </w:tabs>
              <w:spacing w:after="40" w:line="276" w:lineRule="auto"/>
              <w:ind w:left="567" w:hanging="567"/>
              <w:rPr>
                <w:rFonts w:eastAsia="Bookman Old Style" w:cs="Bookman Old Style"/>
                <w:color w:val="000000" w:themeColor="text1"/>
                <w:sz w:val="22"/>
              </w:rPr>
            </w:pPr>
            <w:r w:rsidRPr="00306115">
              <w:rPr>
                <w:rFonts w:eastAsia="Bookman Old Style" w:cs="Bookman Old Style"/>
                <w:b/>
                <w:bCs/>
                <w:color w:val="000000" w:themeColor="text1"/>
                <w:sz w:val="22"/>
              </w:rPr>
              <w:t>z-CF</w:t>
            </w:r>
            <w:r w:rsidRPr="00306115">
              <w:rPr>
                <w:rFonts w:eastAsia="Bookman Old Style" w:cs="Bookman Old Style"/>
                <w:color w:val="000000" w:themeColor="text1"/>
                <w:sz w:val="22"/>
              </w:rPr>
              <w:t xml:space="preserve"> = Cornish Fisher quantile pada tingkat 97,5% =</w:t>
            </w:r>
          </w:p>
          <w:p w14:paraId="476AEC3B" w14:textId="77777777" w:rsidR="00051C7B" w:rsidRPr="00306115" w:rsidRDefault="00051C7B" w:rsidP="00CA609F">
            <w:pPr>
              <w:widowControl w:val="0"/>
              <w:pBdr>
                <w:top w:val="nil"/>
                <w:left w:val="nil"/>
                <w:bottom w:val="nil"/>
                <w:right w:val="nil"/>
                <w:between w:val="nil"/>
              </w:pBdr>
              <w:spacing w:after="0" w:line="276" w:lineRule="auto"/>
              <w:ind w:left="567"/>
              <w:jc w:val="center"/>
              <w:rPr>
                <w:rFonts w:eastAsia="Bookman Old Style" w:cs="Bookman Old Style"/>
                <w:b/>
                <w:bCs/>
                <w:color w:val="000000" w:themeColor="text1"/>
                <w:sz w:val="22"/>
              </w:rPr>
            </w:pPr>
            <w:r w:rsidRPr="00306115">
              <w:rPr>
                <w:rFonts w:eastAsia="Bookman Old Style" w:cs="Bookman Old Style"/>
                <w:b/>
                <w:bCs/>
                <w:color w:val="000000" w:themeColor="text1"/>
                <w:sz w:val="22"/>
              </w:rPr>
              <w:t>−1,96 + 0,474×(μ</w:t>
            </w:r>
            <w:r w:rsidRPr="00306115">
              <w:rPr>
                <w:rFonts w:ascii="Cambria Math" w:eastAsia="Bookman Old Style" w:hAnsi="Cambria Math" w:cs="Cambria Math"/>
                <w:b/>
                <w:bCs/>
                <w:color w:val="000000" w:themeColor="text1"/>
                <w:sz w:val="22"/>
              </w:rPr>
              <w:t>₁</w:t>
            </w:r>
            <w:r w:rsidRPr="00306115">
              <w:rPr>
                <w:rFonts w:eastAsia="Bookman Old Style" w:cs="Bookman Old Style"/>
                <w:b/>
                <w:bCs/>
                <w:color w:val="000000" w:themeColor="text1"/>
                <w:sz w:val="22"/>
              </w:rPr>
              <w:t>/√N) − 0,0687×(μ</w:t>
            </w:r>
            <w:r w:rsidRPr="00306115">
              <w:rPr>
                <w:rFonts w:ascii="Cambria Math" w:eastAsia="Bookman Old Style" w:hAnsi="Cambria Math" w:cs="Cambria Math"/>
                <w:b/>
                <w:bCs/>
                <w:color w:val="000000" w:themeColor="text1"/>
                <w:sz w:val="22"/>
              </w:rPr>
              <w:t>₂</w:t>
            </w:r>
            <w:r w:rsidRPr="00306115">
              <w:rPr>
                <w:rFonts w:eastAsia="Bookman Old Style" w:cs="Bookman Old Style"/>
                <w:b/>
                <w:bCs/>
                <w:color w:val="000000" w:themeColor="text1"/>
                <w:sz w:val="22"/>
              </w:rPr>
              <w:t>/N) + 0,146×(μ</w:t>
            </w:r>
            <w:r w:rsidRPr="00306115">
              <w:rPr>
                <w:rFonts w:ascii="Cambria Math" w:eastAsia="Bookman Old Style" w:hAnsi="Cambria Math" w:cs="Cambria Math"/>
                <w:b/>
                <w:bCs/>
                <w:color w:val="000000" w:themeColor="text1"/>
                <w:sz w:val="22"/>
              </w:rPr>
              <w:t>₁</w:t>
            </w:r>
            <w:r w:rsidRPr="00306115">
              <w:rPr>
                <w:rFonts w:eastAsia="Bookman Old Style" w:cs="Bookman Old Style"/>
                <w:b/>
                <w:bCs/>
                <w:color w:val="000000" w:themeColor="text1"/>
                <w:sz w:val="22"/>
              </w:rPr>
              <w:t>²/N)</w:t>
            </w:r>
          </w:p>
          <w:p w14:paraId="6BF57BA8" w14:textId="77777777" w:rsidR="00051C7B" w:rsidRPr="00306115" w:rsidRDefault="00051C7B" w:rsidP="00051C7B">
            <w:pPr>
              <w:widowControl w:val="0"/>
              <w:numPr>
                <w:ilvl w:val="0"/>
                <w:numId w:val="263"/>
              </w:numPr>
              <w:pBdr>
                <w:top w:val="nil"/>
                <w:left w:val="nil"/>
                <w:bottom w:val="nil"/>
                <w:right w:val="nil"/>
                <w:between w:val="nil"/>
              </w:pBdr>
              <w:tabs>
                <w:tab w:val="left" w:pos="550"/>
              </w:tabs>
              <w:spacing w:after="40" w:line="276" w:lineRule="auto"/>
              <w:ind w:left="567" w:hanging="567"/>
              <w:rPr>
                <w:rFonts w:eastAsia="Bookman Old Style" w:cs="Bookman Old Style"/>
                <w:b/>
                <w:bCs/>
                <w:color w:val="000000" w:themeColor="text1"/>
                <w:sz w:val="22"/>
              </w:rPr>
            </w:pPr>
            <w:r w:rsidRPr="00306115">
              <w:rPr>
                <w:rFonts w:eastAsia="Bookman Old Style" w:cs="Bookman Old Style"/>
                <w:b/>
                <w:bCs/>
                <w:color w:val="000000" w:themeColor="text1"/>
                <w:sz w:val="22"/>
              </w:rPr>
              <w:t xml:space="preserve">VaR </w:t>
            </w:r>
            <w:r w:rsidRPr="00306115">
              <w:rPr>
                <w:rFonts w:eastAsia="Bookman Old Style" w:cs="Bookman Old Style"/>
                <w:color w:val="000000" w:themeColor="text1"/>
                <w:sz w:val="22"/>
              </w:rPr>
              <w:t>CF</w:t>
            </w:r>
            <w:r w:rsidRPr="00306115">
              <w:rPr>
                <w:rFonts w:eastAsia="Bookman Old Style" w:cs="Bookman Old Style"/>
                <w:b/>
                <w:bCs/>
                <w:color w:val="000000" w:themeColor="text1"/>
                <w:sz w:val="22"/>
              </w:rPr>
              <w:t xml:space="preserve"> = σ × √N × z-CF – 0,5 × σ</w:t>
            </w:r>
            <w:r w:rsidRPr="00306115">
              <w:rPr>
                <w:rFonts w:eastAsia="Bookman Old Style" w:cs="Bookman Old Style"/>
                <w:b/>
                <w:bCs/>
                <w:color w:val="000000" w:themeColor="text1"/>
                <w:sz w:val="22"/>
                <w:vertAlign w:val="superscript"/>
              </w:rPr>
              <w:t>2</w:t>
            </w:r>
            <w:r w:rsidRPr="00306115">
              <w:rPr>
                <w:rFonts w:eastAsia="Bookman Old Style" w:cs="Bookman Old Style"/>
                <w:b/>
                <w:bCs/>
                <w:color w:val="000000" w:themeColor="text1"/>
                <w:sz w:val="22"/>
              </w:rPr>
              <w:t xml:space="preserve"> × N</w:t>
            </w:r>
          </w:p>
          <w:p w14:paraId="4395CF45" w14:textId="77777777" w:rsidR="00051C7B" w:rsidRPr="00306115" w:rsidRDefault="00051C7B" w:rsidP="00CA609F">
            <w:pPr>
              <w:widowControl w:val="0"/>
              <w:pBdr>
                <w:top w:val="nil"/>
                <w:left w:val="nil"/>
                <w:bottom w:val="nil"/>
                <w:right w:val="nil"/>
                <w:between w:val="nil"/>
              </w:pBdr>
              <w:spacing w:after="0" w:line="276" w:lineRule="auto"/>
              <w:ind w:left="567"/>
              <w:rPr>
                <w:rFonts w:eastAsia="Bookman Old Style" w:cs="Bookman Old Style"/>
                <w:color w:val="000000" w:themeColor="text1"/>
                <w:sz w:val="22"/>
              </w:rPr>
            </w:pPr>
            <w:r w:rsidRPr="00306115">
              <w:rPr>
                <w:rFonts w:eastAsia="Bookman Old Style" w:cs="Bookman Old Style"/>
                <w:color w:val="000000" w:themeColor="text1"/>
                <w:sz w:val="22"/>
              </w:rPr>
              <w:t xml:space="preserve">Asumsi: </w:t>
            </w:r>
          </w:p>
          <w:p w14:paraId="653D71FD" w14:textId="77777777" w:rsidR="00051C7B" w:rsidRPr="00306115" w:rsidRDefault="00051C7B" w:rsidP="007D4884">
            <w:pPr>
              <w:widowControl w:val="0"/>
              <w:pBdr>
                <w:top w:val="nil"/>
                <w:left w:val="nil"/>
                <w:bottom w:val="nil"/>
                <w:right w:val="nil"/>
                <w:between w:val="nil"/>
              </w:pBdr>
              <w:spacing w:after="60" w:line="276" w:lineRule="auto"/>
              <w:ind w:left="567"/>
              <w:rPr>
                <w:rFonts w:eastAsia="Bookman Old Style" w:cs="Bookman Old Style"/>
                <w:b/>
                <w:bCs/>
                <w:color w:val="000000" w:themeColor="text1"/>
                <w:sz w:val="22"/>
              </w:rPr>
            </w:pPr>
            <w:r w:rsidRPr="00306115">
              <w:rPr>
                <w:rFonts w:eastAsia="Bookman Old Style" w:cs="Bookman Old Style"/>
                <w:b/>
                <w:bCs/>
                <w:color w:val="000000" w:themeColor="text1"/>
                <w:sz w:val="22"/>
              </w:rPr>
              <w:t>N</w:t>
            </w:r>
            <w:r w:rsidRPr="00306115">
              <w:rPr>
                <w:rFonts w:eastAsia="Bookman Old Style" w:cs="Bookman Old Style"/>
                <w:color w:val="000000" w:themeColor="text1"/>
                <w:sz w:val="22"/>
              </w:rPr>
              <w:t xml:space="preserve"> = jumlah periode penilaian atau jumlah minggu yang digunakan sebagai rentang waktu penilaian potensi kerugian maksimal dalam 1 tahun ke depan, ditetapkan sebesar 52 minggu = </w:t>
            </w:r>
            <w:r w:rsidRPr="00306115">
              <w:rPr>
                <w:rFonts w:eastAsia="Bookman Old Style" w:cs="Bookman Old Style"/>
                <w:b/>
                <w:bCs/>
                <w:color w:val="000000" w:themeColor="text1"/>
                <w:sz w:val="22"/>
              </w:rPr>
              <w:t>52</w:t>
            </w:r>
          </w:p>
          <w:p w14:paraId="014AF4A5" w14:textId="77777777" w:rsidR="00051C7B" w:rsidRPr="00306115" w:rsidRDefault="00051C7B" w:rsidP="00051C7B">
            <w:pPr>
              <w:widowControl w:val="0"/>
              <w:numPr>
                <w:ilvl w:val="0"/>
                <w:numId w:val="263"/>
              </w:numPr>
              <w:pBdr>
                <w:top w:val="nil"/>
                <w:left w:val="nil"/>
                <w:bottom w:val="nil"/>
                <w:right w:val="nil"/>
                <w:between w:val="nil"/>
              </w:pBdr>
              <w:tabs>
                <w:tab w:val="left" w:pos="550"/>
              </w:tabs>
              <w:spacing w:after="40" w:line="276" w:lineRule="auto"/>
              <w:ind w:left="567" w:hanging="567"/>
              <w:rPr>
                <w:rFonts w:eastAsia="Bookman Old Style" w:cs="Bookman Old Style"/>
                <w:color w:val="000000" w:themeColor="text1"/>
                <w:sz w:val="22"/>
              </w:rPr>
            </w:pPr>
            <w:r w:rsidRPr="00306115">
              <w:rPr>
                <w:rFonts w:eastAsia="Bookman Old Style" w:cs="Bookman Old Style"/>
                <w:b/>
                <w:bCs/>
                <w:color w:val="000000" w:themeColor="text1"/>
                <w:sz w:val="22"/>
              </w:rPr>
              <w:lastRenderedPageBreak/>
              <w:t>VEV</w:t>
            </w:r>
            <w:r w:rsidRPr="00306115">
              <w:rPr>
                <w:rFonts w:eastAsia="Bookman Old Style" w:cs="Bookman Old Style"/>
                <w:color w:val="000000" w:themeColor="text1"/>
                <w:sz w:val="22"/>
              </w:rPr>
              <w:t xml:space="preserve"> (VaR CF Equivalent Volatility) = </w:t>
            </w:r>
            <m:oMath>
              <m:f>
                <m:fPr>
                  <m:ctrlPr>
                    <w:rPr>
                      <w:rFonts w:ascii="Cambria Math" w:eastAsia="Bookman Old Style" w:hAnsi="Cambria Math" w:cs="Bookman Old Style"/>
                      <w:b/>
                      <w:bCs/>
                      <w:i/>
                      <w:color w:val="000000" w:themeColor="text1"/>
                      <w:sz w:val="32"/>
                      <w:szCs w:val="32"/>
                    </w:rPr>
                  </m:ctrlPr>
                </m:fPr>
                <m:num>
                  <m:rad>
                    <m:radPr>
                      <m:degHide m:val="1"/>
                      <m:ctrlPr>
                        <w:rPr>
                          <w:rFonts w:ascii="Cambria Math" w:eastAsia="Bookman Old Style" w:hAnsi="Cambria Math" w:cs="Bookman Old Style"/>
                          <w:b/>
                          <w:bCs/>
                          <w:i/>
                          <w:color w:val="000000" w:themeColor="text1"/>
                          <w:sz w:val="32"/>
                          <w:szCs w:val="32"/>
                        </w:rPr>
                      </m:ctrlPr>
                    </m:radPr>
                    <m:deg/>
                    <m:e>
                      <m:r>
                        <m:rPr>
                          <m:sty m:val="bi"/>
                        </m:rPr>
                        <w:rPr>
                          <w:rFonts w:ascii="Cambria Math" w:eastAsia="Bookman Old Style" w:hAnsi="Cambria Math" w:cs="Bookman Old Style"/>
                          <w:color w:val="000000" w:themeColor="text1"/>
                          <w:sz w:val="32"/>
                          <w:szCs w:val="32"/>
                        </w:rPr>
                        <m:t>3,842-2 Var CF</m:t>
                      </m:r>
                    </m:e>
                  </m:rad>
                  <m:r>
                    <m:rPr>
                      <m:sty m:val="bi"/>
                    </m:rPr>
                    <w:rPr>
                      <w:rFonts w:ascii="Cambria Math" w:eastAsia="Bookman Old Style" w:hAnsi="Cambria Math" w:cs="Bookman Old Style"/>
                      <w:color w:val="000000" w:themeColor="text1"/>
                      <w:sz w:val="32"/>
                      <w:szCs w:val="32"/>
                    </w:rPr>
                    <m:t xml:space="preserve"> -1,96 </m:t>
                  </m:r>
                </m:num>
                <m:den>
                  <m:rad>
                    <m:radPr>
                      <m:degHide m:val="1"/>
                      <m:ctrlPr>
                        <w:rPr>
                          <w:rFonts w:ascii="Cambria Math" w:eastAsia="Bookman Old Style" w:hAnsi="Cambria Math" w:cs="Bookman Old Style"/>
                          <w:b/>
                          <w:bCs/>
                          <w:i/>
                          <w:color w:val="000000" w:themeColor="text1"/>
                          <w:sz w:val="32"/>
                          <w:szCs w:val="32"/>
                        </w:rPr>
                      </m:ctrlPr>
                    </m:radPr>
                    <m:deg/>
                    <m:e>
                      <m:r>
                        <m:rPr>
                          <m:sty m:val="bi"/>
                        </m:rPr>
                        <w:rPr>
                          <w:rFonts w:ascii="Cambria Math" w:eastAsia="Bookman Old Style" w:hAnsi="Cambria Math" w:cs="Bookman Old Style"/>
                          <w:color w:val="000000" w:themeColor="text1"/>
                          <w:sz w:val="32"/>
                          <w:szCs w:val="32"/>
                        </w:rPr>
                        <m:t>T</m:t>
                      </m:r>
                    </m:e>
                  </m:rad>
                </m:den>
              </m:f>
            </m:oMath>
          </w:p>
          <w:p w14:paraId="3398097A" w14:textId="77777777" w:rsidR="00051C7B" w:rsidRPr="00306115" w:rsidRDefault="00051C7B" w:rsidP="007D4884">
            <w:pPr>
              <w:widowControl w:val="0"/>
              <w:pBdr>
                <w:top w:val="nil"/>
                <w:left w:val="nil"/>
                <w:bottom w:val="nil"/>
                <w:right w:val="nil"/>
                <w:between w:val="nil"/>
              </w:pBdr>
              <w:tabs>
                <w:tab w:val="left" w:pos="745"/>
              </w:tabs>
              <w:spacing w:after="0" w:line="276" w:lineRule="auto"/>
              <w:ind w:left="567"/>
              <w:rPr>
                <w:rFonts w:eastAsia="Bookman Old Style" w:cs="Bookman Old Style"/>
                <w:color w:val="000000" w:themeColor="text1"/>
                <w:sz w:val="22"/>
              </w:rPr>
            </w:pPr>
            <w:r w:rsidRPr="00306115">
              <w:rPr>
                <w:rFonts w:eastAsia="Bookman Old Style" w:cs="Bookman Old Style"/>
                <w:color w:val="000000" w:themeColor="text1"/>
                <w:sz w:val="22"/>
              </w:rPr>
              <w:t>Asumsi:</w:t>
            </w:r>
          </w:p>
          <w:p w14:paraId="6AB05540" w14:textId="77777777" w:rsidR="00051C7B" w:rsidRPr="00306115" w:rsidRDefault="00051C7B" w:rsidP="007D4884">
            <w:pPr>
              <w:widowControl w:val="0"/>
              <w:pBdr>
                <w:top w:val="nil"/>
                <w:left w:val="nil"/>
                <w:bottom w:val="nil"/>
                <w:right w:val="nil"/>
                <w:between w:val="nil"/>
              </w:pBdr>
              <w:tabs>
                <w:tab w:val="left" w:pos="745"/>
              </w:tabs>
              <w:spacing w:after="0" w:line="276" w:lineRule="auto"/>
              <w:ind w:left="567"/>
              <w:rPr>
                <w:rFonts w:eastAsia="Bookman Old Style" w:cs="Bookman Old Style"/>
                <w:color w:val="000000" w:themeColor="text1"/>
                <w:sz w:val="22"/>
              </w:rPr>
            </w:pPr>
            <w:r w:rsidRPr="00306115">
              <w:rPr>
                <w:rFonts w:eastAsia="Bookman Old Style" w:cs="Bookman Old Style"/>
                <w:b/>
                <w:bCs/>
                <w:color w:val="000000" w:themeColor="text1"/>
                <w:sz w:val="22"/>
              </w:rPr>
              <w:t>T</w:t>
            </w:r>
            <w:r w:rsidRPr="00306115">
              <w:rPr>
                <w:rFonts w:eastAsia="Bookman Old Style" w:cs="Bookman Old Style"/>
                <w:color w:val="000000" w:themeColor="text1"/>
                <w:sz w:val="22"/>
              </w:rPr>
              <w:t xml:space="preserve"> = rentang waktu perhitungan VEV, ditetapkan sebesar </w:t>
            </w:r>
            <w:r w:rsidRPr="00306115">
              <w:rPr>
                <w:rFonts w:eastAsia="Bookman Old Style" w:cs="Bookman Old Style"/>
                <w:b/>
                <w:bCs/>
                <w:color w:val="000000" w:themeColor="text1"/>
                <w:sz w:val="22"/>
              </w:rPr>
              <w:t>1 (satu) tahun</w:t>
            </w:r>
            <w:r w:rsidRPr="00306115">
              <w:rPr>
                <w:rFonts w:eastAsia="Bookman Old Style" w:cs="Bookman Old Style"/>
                <w:color w:val="000000" w:themeColor="text1"/>
                <w:sz w:val="22"/>
              </w:rPr>
              <w:t xml:space="preserve">, konsisten dengan jumlah  periode N, atau </w:t>
            </w:r>
            <w:r w:rsidRPr="00306115">
              <w:rPr>
                <w:rFonts w:eastAsia="Bookman Old Style" w:cs="Bookman Old Style"/>
                <w:b/>
                <w:bCs/>
                <w:color w:val="000000" w:themeColor="text1"/>
                <w:sz w:val="22"/>
              </w:rPr>
              <w:t>T = 1</w:t>
            </w:r>
          </w:p>
          <w:p w14:paraId="09C36BFB" w14:textId="77777777" w:rsidR="00051C7B" w:rsidRPr="00306115" w:rsidRDefault="00051C7B" w:rsidP="00A85A66">
            <w:pPr>
              <w:widowControl w:val="0"/>
              <w:numPr>
                <w:ilvl w:val="0"/>
                <w:numId w:val="263"/>
              </w:numPr>
              <w:pBdr>
                <w:top w:val="nil"/>
                <w:left w:val="nil"/>
                <w:bottom w:val="nil"/>
                <w:right w:val="nil"/>
                <w:between w:val="nil"/>
              </w:pBdr>
              <w:tabs>
                <w:tab w:val="left" w:pos="550"/>
              </w:tabs>
              <w:spacing w:after="0" w:line="276" w:lineRule="auto"/>
              <w:ind w:left="567" w:hanging="567"/>
              <w:rPr>
                <w:rFonts w:eastAsia="Bookman Old Style" w:cs="Bookman Old Style"/>
                <w:color w:val="000000" w:themeColor="text1"/>
                <w:sz w:val="22"/>
              </w:rPr>
            </w:pPr>
            <w:r w:rsidRPr="00306115">
              <w:rPr>
                <w:rFonts w:eastAsia="Bookman Old Style" w:cs="Bookman Old Style"/>
                <w:color w:val="000000" w:themeColor="text1"/>
                <w:sz w:val="22"/>
              </w:rPr>
              <w:t xml:space="preserve">Semakin tinggi nilai VEV, semakin tinggi potensi kerugian ekstrem dalam </w:t>
            </w:r>
            <w:r w:rsidRPr="00306115">
              <w:rPr>
                <w:rFonts w:eastAsia="Bookman Old Style" w:cs="Bookman Old Style"/>
                <w:i/>
                <w:iCs/>
                <w:color w:val="000000" w:themeColor="text1"/>
                <w:sz w:val="22"/>
              </w:rPr>
              <w:t>holding period</w:t>
            </w:r>
            <w:r w:rsidRPr="00306115">
              <w:rPr>
                <w:rFonts w:eastAsia="Bookman Old Style" w:cs="Bookman Old Style"/>
                <w:color w:val="000000" w:themeColor="text1"/>
                <w:sz w:val="22"/>
              </w:rPr>
              <w:t xml:space="preserve"> yang direkomendasikan, yang mencerminkan kombinasi volatilitas </w:t>
            </w:r>
            <w:r w:rsidRPr="00306115">
              <w:rPr>
                <w:rFonts w:eastAsia="Bookman Old Style" w:cs="Bookman Old Style"/>
                <w:i/>
                <w:iCs/>
                <w:color w:val="000000" w:themeColor="text1"/>
                <w:sz w:val="22"/>
              </w:rPr>
              <w:t>return</w:t>
            </w:r>
            <w:r w:rsidRPr="00306115">
              <w:rPr>
                <w:rFonts w:eastAsia="Bookman Old Style" w:cs="Bookman Old Style"/>
                <w:color w:val="000000" w:themeColor="text1"/>
                <w:sz w:val="22"/>
              </w:rPr>
              <w:t xml:space="preserve"> dan karakteristik distribusinya. </w:t>
            </w:r>
          </w:p>
          <w:p w14:paraId="29123162" w14:textId="77777777" w:rsidR="00051C7B" w:rsidRPr="00306115" w:rsidRDefault="00051C7B" w:rsidP="007D4884">
            <w:pPr>
              <w:widowControl w:val="0"/>
              <w:numPr>
                <w:ilvl w:val="1"/>
                <w:numId w:val="263"/>
              </w:numPr>
              <w:pBdr>
                <w:top w:val="nil"/>
                <w:left w:val="nil"/>
                <w:bottom w:val="nil"/>
                <w:right w:val="nil"/>
                <w:between w:val="nil"/>
              </w:pBdr>
              <w:tabs>
                <w:tab w:val="left" w:pos="550"/>
              </w:tabs>
              <w:spacing w:after="0" w:line="276" w:lineRule="auto"/>
              <w:ind w:left="851" w:hanging="284"/>
              <w:rPr>
                <w:rFonts w:eastAsia="Bookman Old Style" w:cs="Bookman Old Style"/>
                <w:color w:val="000000" w:themeColor="text1"/>
                <w:sz w:val="22"/>
              </w:rPr>
            </w:pPr>
            <w:r w:rsidRPr="00306115">
              <w:rPr>
                <w:rFonts w:eastAsia="Bookman Old Style" w:cs="Bookman Old Style"/>
                <w:color w:val="000000" w:themeColor="text1"/>
                <w:sz w:val="22"/>
              </w:rPr>
              <w:t>Peringkat 1 : &lt; 5%</w:t>
            </w:r>
          </w:p>
          <w:p w14:paraId="39FD5518" w14:textId="77777777" w:rsidR="00051C7B" w:rsidRPr="00306115" w:rsidRDefault="00051C7B" w:rsidP="007D4884">
            <w:pPr>
              <w:widowControl w:val="0"/>
              <w:numPr>
                <w:ilvl w:val="1"/>
                <w:numId w:val="263"/>
              </w:numPr>
              <w:pBdr>
                <w:top w:val="nil"/>
                <w:left w:val="nil"/>
                <w:bottom w:val="nil"/>
                <w:right w:val="nil"/>
                <w:between w:val="nil"/>
              </w:pBdr>
              <w:tabs>
                <w:tab w:val="left" w:pos="550"/>
              </w:tabs>
              <w:spacing w:after="0" w:line="276" w:lineRule="auto"/>
              <w:ind w:left="851" w:hanging="284"/>
              <w:rPr>
                <w:rFonts w:eastAsia="Bookman Old Style" w:cs="Bookman Old Style"/>
                <w:color w:val="000000" w:themeColor="text1"/>
                <w:sz w:val="22"/>
              </w:rPr>
            </w:pPr>
            <w:r w:rsidRPr="00306115">
              <w:rPr>
                <w:rFonts w:eastAsia="Bookman Old Style" w:cs="Bookman Old Style"/>
                <w:color w:val="000000" w:themeColor="text1"/>
                <w:sz w:val="22"/>
              </w:rPr>
              <w:t>Peringkat 2 : 5% - 14.99%</w:t>
            </w:r>
          </w:p>
          <w:p w14:paraId="46B6410D" w14:textId="77777777" w:rsidR="00051C7B" w:rsidRPr="00306115" w:rsidRDefault="00051C7B" w:rsidP="007D4884">
            <w:pPr>
              <w:widowControl w:val="0"/>
              <w:numPr>
                <w:ilvl w:val="1"/>
                <w:numId w:val="263"/>
              </w:numPr>
              <w:pBdr>
                <w:top w:val="nil"/>
                <w:left w:val="nil"/>
                <w:bottom w:val="nil"/>
                <w:right w:val="nil"/>
                <w:between w:val="nil"/>
              </w:pBdr>
              <w:tabs>
                <w:tab w:val="left" w:pos="550"/>
              </w:tabs>
              <w:spacing w:after="0" w:line="276" w:lineRule="auto"/>
              <w:ind w:left="851" w:hanging="284"/>
              <w:rPr>
                <w:rFonts w:eastAsia="Bookman Old Style" w:cs="Bookman Old Style"/>
                <w:color w:val="000000" w:themeColor="text1"/>
                <w:sz w:val="22"/>
              </w:rPr>
            </w:pPr>
            <w:r w:rsidRPr="00306115">
              <w:rPr>
                <w:rFonts w:eastAsia="Bookman Old Style" w:cs="Bookman Old Style"/>
                <w:color w:val="000000" w:themeColor="text1"/>
                <w:sz w:val="22"/>
              </w:rPr>
              <w:t xml:space="preserve">Peringkat 3 : 15% - 24.99% </w:t>
            </w:r>
          </w:p>
          <w:p w14:paraId="2FE3F43B" w14:textId="77777777" w:rsidR="007D4884" w:rsidRPr="00306115" w:rsidRDefault="00051C7B" w:rsidP="007D4884">
            <w:pPr>
              <w:widowControl w:val="0"/>
              <w:numPr>
                <w:ilvl w:val="1"/>
                <w:numId w:val="263"/>
              </w:numPr>
              <w:pBdr>
                <w:top w:val="nil"/>
                <w:left w:val="nil"/>
                <w:bottom w:val="nil"/>
                <w:right w:val="nil"/>
                <w:between w:val="nil"/>
              </w:pBdr>
              <w:tabs>
                <w:tab w:val="left" w:pos="550"/>
              </w:tabs>
              <w:spacing w:after="0" w:line="276" w:lineRule="auto"/>
              <w:ind w:left="851" w:hanging="284"/>
              <w:rPr>
                <w:rFonts w:eastAsia="Bookman Old Style" w:cs="Bookman Old Style"/>
                <w:color w:val="000000" w:themeColor="text1"/>
                <w:sz w:val="22"/>
              </w:rPr>
            </w:pPr>
            <w:r w:rsidRPr="00306115">
              <w:rPr>
                <w:rFonts w:eastAsia="Bookman Old Style" w:cs="Bookman Old Style"/>
                <w:color w:val="000000" w:themeColor="text1"/>
                <w:sz w:val="22"/>
              </w:rPr>
              <w:t>Peringkat 4 : 25% - 35%</w:t>
            </w:r>
          </w:p>
          <w:p w14:paraId="655EC380" w14:textId="0C33878D" w:rsidR="00051C7B" w:rsidRPr="00306115" w:rsidRDefault="00051C7B" w:rsidP="007D4884">
            <w:pPr>
              <w:widowControl w:val="0"/>
              <w:numPr>
                <w:ilvl w:val="1"/>
                <w:numId w:val="263"/>
              </w:numPr>
              <w:pBdr>
                <w:top w:val="nil"/>
                <w:left w:val="nil"/>
                <w:bottom w:val="nil"/>
                <w:right w:val="nil"/>
                <w:between w:val="nil"/>
              </w:pBdr>
              <w:tabs>
                <w:tab w:val="left" w:pos="550"/>
              </w:tabs>
              <w:spacing w:after="0" w:line="276" w:lineRule="auto"/>
              <w:ind w:left="851" w:hanging="284"/>
              <w:rPr>
                <w:rFonts w:eastAsia="Bookman Old Style" w:cs="Bookman Old Style"/>
                <w:color w:val="000000" w:themeColor="text1"/>
                <w:sz w:val="22"/>
              </w:rPr>
            </w:pPr>
            <w:r w:rsidRPr="00306115">
              <w:rPr>
                <w:rFonts w:eastAsia="Bookman Old Style" w:cs="Bookman Old Style"/>
                <w:color w:val="000000" w:themeColor="text1"/>
                <w:sz w:val="22"/>
              </w:rPr>
              <w:t>Peringkat 5 : &gt; 35%</w:t>
            </w:r>
          </w:p>
        </w:tc>
      </w:tr>
      <w:tr w:rsidR="00070A19" w:rsidRPr="00306115" w14:paraId="054B15A5" w14:textId="77777777" w:rsidTr="00846FF2">
        <w:trPr>
          <w:trHeight w:val="180"/>
        </w:trPr>
        <w:tc>
          <w:tcPr>
            <w:tcW w:w="3119" w:type="dxa"/>
            <w:gridSpan w:val="2"/>
          </w:tcPr>
          <w:p w14:paraId="0019A393" w14:textId="4EAAD6CD" w:rsidR="00070A19" w:rsidRPr="00306115" w:rsidRDefault="00070A19" w:rsidP="00070A19">
            <w:pPr>
              <w:widowControl w:val="0"/>
              <w:pBdr>
                <w:top w:val="nil"/>
                <w:left w:val="nil"/>
                <w:bottom w:val="nil"/>
                <w:right w:val="nil"/>
                <w:between w:val="nil"/>
              </w:pBdr>
              <w:spacing w:after="0" w:line="240" w:lineRule="auto"/>
              <w:rPr>
                <w:rFonts w:eastAsia="Bookman Old Style" w:cs="Bookman Old Style"/>
                <w:strike/>
                <w:color w:val="000000" w:themeColor="text1"/>
                <w:szCs w:val="24"/>
              </w:rPr>
            </w:pPr>
            <w:r w:rsidRPr="00306115">
              <w:rPr>
                <w:rFonts w:eastAsia="Bookman Old Style" w:cs="Bookman Old Style"/>
                <w:i/>
                <w:iCs/>
                <w:color w:val="000000" w:themeColor="text1"/>
                <w:szCs w:val="24"/>
              </w:rPr>
              <w:lastRenderedPageBreak/>
              <w:t>Beta Coefficient</w:t>
            </w:r>
          </w:p>
        </w:tc>
        <w:tc>
          <w:tcPr>
            <w:tcW w:w="2551" w:type="dxa"/>
          </w:tcPr>
          <w:p w14:paraId="72A4FF5D" w14:textId="0AFF478C" w:rsidR="00070A19" w:rsidRPr="00306115" w:rsidRDefault="00070A19" w:rsidP="00070A19">
            <w:pPr>
              <w:widowControl w:val="0"/>
              <w:pBdr>
                <w:top w:val="nil"/>
                <w:left w:val="nil"/>
                <w:bottom w:val="nil"/>
                <w:right w:val="nil"/>
                <w:between w:val="nil"/>
              </w:pBdr>
              <w:spacing w:after="0" w:line="240" w:lineRule="auto"/>
              <w:rPr>
                <w:rFonts w:eastAsia="Bookman Old Style" w:cs="Bookman Old Style"/>
                <w:strike/>
                <w:color w:val="000000" w:themeColor="text1"/>
                <w:szCs w:val="24"/>
              </w:rPr>
            </w:pPr>
            <w:r w:rsidRPr="00306115">
              <w:rPr>
                <w:rFonts w:eastAsia="Bookman Old Style" w:cs="Bookman Old Style"/>
                <w:color w:val="000000" w:themeColor="text1"/>
                <w:szCs w:val="24"/>
              </w:rPr>
              <w:t>Instrumen Saham dalam Portofolio Reksa Dana atau Produk Investasi</w:t>
            </w:r>
          </w:p>
        </w:tc>
        <w:tc>
          <w:tcPr>
            <w:tcW w:w="9072" w:type="dxa"/>
          </w:tcPr>
          <w:p w14:paraId="7E688DDD" w14:textId="77777777" w:rsidR="00070A19" w:rsidRPr="00306115" w:rsidRDefault="00070A19">
            <w:pPr>
              <w:widowControl w:val="0"/>
              <w:numPr>
                <w:ilvl w:val="0"/>
                <w:numId w:val="439"/>
              </w:numPr>
              <w:pBdr>
                <w:top w:val="nil"/>
                <w:left w:val="nil"/>
                <w:bottom w:val="nil"/>
                <w:right w:val="nil"/>
                <w:between w:val="nil"/>
              </w:pBdr>
              <w:tabs>
                <w:tab w:val="left" w:pos="887"/>
              </w:tabs>
              <w:spacing w:after="40" w:line="240" w:lineRule="auto"/>
              <w:ind w:left="567" w:hanging="567"/>
              <w:rPr>
                <w:rFonts w:eastAsia="Bookman Old Style" w:cs="Bookman Old Style"/>
                <w:color w:val="000000" w:themeColor="text1"/>
                <w:szCs w:val="24"/>
              </w:rPr>
            </w:pPr>
            <w:r w:rsidRPr="00306115">
              <w:rPr>
                <w:rFonts w:eastAsia="Bookman Old Style" w:cs="Bookman Old Style"/>
                <w:i/>
                <w:iCs/>
                <w:color w:val="000000" w:themeColor="text1"/>
                <w:szCs w:val="24"/>
              </w:rPr>
              <w:t xml:space="preserve">Beta coefficient </w:t>
            </w:r>
            <w:r w:rsidRPr="00306115">
              <w:rPr>
                <w:rFonts w:eastAsia="Bookman Old Style" w:cs="Bookman Old Style"/>
                <w:color w:val="000000" w:themeColor="text1"/>
                <w:szCs w:val="24"/>
              </w:rPr>
              <w:t>(ß) dapat digunakan sebagai parameter atau indikator untuk melihat volatilitas atau risiko sistemik suatu saham terhadap pasar, atau sensitivitas return suatu saham terhadap pergerakan pasar (indeks acuan).</w:t>
            </w:r>
          </w:p>
          <w:p w14:paraId="0C17467B" w14:textId="77777777" w:rsidR="00070A19" w:rsidRPr="00306115" w:rsidRDefault="00070A19">
            <w:pPr>
              <w:widowControl w:val="0"/>
              <w:numPr>
                <w:ilvl w:val="0"/>
                <w:numId w:val="439"/>
              </w:numPr>
              <w:pBdr>
                <w:top w:val="nil"/>
                <w:left w:val="nil"/>
                <w:bottom w:val="nil"/>
                <w:right w:val="nil"/>
                <w:between w:val="nil"/>
              </w:pBdr>
              <w:tabs>
                <w:tab w:val="left" w:pos="887"/>
              </w:tabs>
              <w:spacing w:after="4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 xml:space="preserve">Beta (β) diperoleh dari regresi linier sederhana antara </w:t>
            </w:r>
            <w:r w:rsidRPr="00306115">
              <w:rPr>
                <w:rFonts w:eastAsia="Bookman Old Style" w:cs="Bookman Old Style"/>
                <w:i/>
                <w:iCs/>
                <w:color w:val="000000" w:themeColor="text1"/>
                <w:szCs w:val="24"/>
              </w:rPr>
              <w:t>return</w:t>
            </w:r>
            <w:r w:rsidRPr="00306115">
              <w:rPr>
                <w:rFonts w:eastAsia="Bookman Old Style" w:cs="Bookman Old Style"/>
                <w:color w:val="000000" w:themeColor="text1"/>
                <w:szCs w:val="24"/>
              </w:rPr>
              <w:t xml:space="preserve"> harian saham dan return harian IHSG selama 1 tahun.</w:t>
            </w:r>
          </w:p>
          <w:p w14:paraId="73F7A570" w14:textId="77777777" w:rsidR="00070A19" w:rsidRPr="00306115" w:rsidRDefault="00DD3739" w:rsidP="00070A19">
            <w:pPr>
              <w:spacing w:after="120" w:line="240" w:lineRule="auto"/>
              <w:jc w:val="center"/>
              <w:rPr>
                <w:rFonts w:eastAsia="Cambria Math" w:cs="Cambria Math"/>
                <w:color w:val="000000" w:themeColor="text1"/>
                <w:szCs w:val="24"/>
              </w:rPr>
            </w:pPr>
            <m:oMathPara>
              <m:oMath>
                <m:f>
                  <m:fPr>
                    <m:ctrlPr>
                      <w:rPr>
                        <w:rFonts w:ascii="Cambria Math" w:eastAsia="Cambria Math" w:hAnsi="Cambria Math" w:cs="Cambria Math"/>
                        <w:color w:val="000000" w:themeColor="text1"/>
                        <w:szCs w:val="24"/>
                      </w:rPr>
                    </m:ctrlPr>
                  </m:fPr>
                  <m:num>
                    <m:r>
                      <w:rPr>
                        <w:rFonts w:ascii="Cambria Math" w:eastAsia="Cambria Math" w:hAnsi="Cambria Math" w:cs="Cambria Math"/>
                        <w:color w:val="000000" w:themeColor="text1"/>
                        <w:szCs w:val="24"/>
                      </w:rPr>
                      <m:t>Covariance</m:t>
                    </m:r>
                    <m:r>
                      <w:rPr>
                        <w:rFonts w:ascii="Cambria Math" w:eastAsia="Cambria Math" w:hAnsi="Cambria Math" w:cs="Cambria Math"/>
                        <w:color w:val="000000" w:themeColor="text1"/>
                        <w:szCs w:val="24"/>
                      </w:rPr>
                      <m:t xml:space="preserve"> (</m:t>
                    </m:r>
                    <m:sSub>
                      <m:sSubPr>
                        <m:ctrlPr>
                          <w:rPr>
                            <w:rFonts w:ascii="Cambria Math" w:eastAsia="Cambria Math" w:hAnsi="Cambria Math" w:cs="Cambria Math"/>
                            <w:i/>
                            <w:color w:val="000000" w:themeColor="text1"/>
                            <w:szCs w:val="24"/>
                          </w:rPr>
                        </m:ctrlPr>
                      </m:sSubPr>
                      <m:e>
                        <m:r>
                          <w:rPr>
                            <w:rFonts w:ascii="Cambria Math" w:eastAsia="Cambria Math" w:hAnsi="Cambria Math" w:cs="Cambria Math"/>
                            <w:color w:val="000000" w:themeColor="text1"/>
                            <w:szCs w:val="24"/>
                          </w:rPr>
                          <m:t>r</m:t>
                        </m:r>
                      </m:e>
                      <m:sub>
                        <m:r>
                          <w:rPr>
                            <w:rFonts w:ascii="Cambria Math" w:eastAsia="Cambria Math" w:hAnsi="Cambria Math" w:cs="Cambria Math"/>
                            <w:color w:val="000000" w:themeColor="text1"/>
                            <w:szCs w:val="24"/>
                          </w:rPr>
                          <m:t>sa</m:t>
                        </m:r>
                        <m:r>
                          <w:rPr>
                            <w:rFonts w:ascii="Cambria Math" w:eastAsia="Cambria Math" w:hAnsi="Cambria Math" w:cs="Cambria Math"/>
                            <w:color w:val="000000" w:themeColor="text1"/>
                            <w:szCs w:val="24"/>
                          </w:rPr>
                          <m:t>h</m:t>
                        </m:r>
                        <m:r>
                          <w:rPr>
                            <w:rFonts w:ascii="Cambria Math" w:eastAsia="Cambria Math" w:hAnsi="Cambria Math" w:cs="Cambria Math"/>
                            <w:color w:val="000000" w:themeColor="text1"/>
                            <w:szCs w:val="24"/>
                          </w:rPr>
                          <m:t>am</m:t>
                        </m:r>
                      </m:sub>
                    </m:sSub>
                    <m:r>
                      <w:rPr>
                        <w:rFonts w:ascii="Cambria Math" w:eastAsia="Cambria Math" w:hAnsi="Cambria Math" w:cs="Cambria Math"/>
                        <w:color w:val="000000" w:themeColor="text1"/>
                        <w:szCs w:val="24"/>
                      </w:rPr>
                      <m:t xml:space="preserve"> ,  </m:t>
                    </m:r>
                    <m:sSub>
                      <m:sSubPr>
                        <m:ctrlPr>
                          <w:rPr>
                            <w:rFonts w:ascii="Cambria Math" w:eastAsia="Cambria Math" w:hAnsi="Cambria Math" w:cs="Cambria Math"/>
                            <w:i/>
                            <w:color w:val="000000" w:themeColor="text1"/>
                            <w:szCs w:val="24"/>
                          </w:rPr>
                        </m:ctrlPr>
                      </m:sSubPr>
                      <m:e>
                        <m:r>
                          <w:rPr>
                            <w:rFonts w:ascii="Cambria Math" w:eastAsia="Cambria Math" w:hAnsi="Cambria Math" w:cs="Cambria Math"/>
                            <w:color w:val="000000" w:themeColor="text1"/>
                            <w:szCs w:val="24"/>
                          </w:rPr>
                          <m:t>r</m:t>
                        </m:r>
                      </m:e>
                      <m:sub>
                        <m:r>
                          <w:rPr>
                            <w:rFonts w:ascii="Cambria Math" w:eastAsia="Cambria Math" w:hAnsi="Cambria Math" w:cs="Cambria Math"/>
                            <w:color w:val="000000" w:themeColor="text1"/>
                            <w:szCs w:val="24"/>
                          </w:rPr>
                          <m:t>IHSG</m:t>
                        </m:r>
                        <m:r>
                          <w:rPr>
                            <w:rFonts w:ascii="Cambria Math" w:eastAsia="Cambria Math" w:hAnsi="Cambria Math" w:cs="Cambria Math"/>
                            <w:color w:val="000000" w:themeColor="text1"/>
                            <w:szCs w:val="24"/>
                          </w:rPr>
                          <m:t xml:space="preserve"> </m:t>
                        </m:r>
                      </m:sub>
                    </m:sSub>
                    <m:r>
                      <w:rPr>
                        <w:rFonts w:ascii="Cambria Math" w:eastAsia="Cambria Math" w:hAnsi="Cambria Math" w:cs="Cambria Math"/>
                        <w:color w:val="000000" w:themeColor="text1"/>
                        <w:szCs w:val="24"/>
                      </w:rPr>
                      <m:t>)</m:t>
                    </m:r>
                  </m:num>
                  <m:den>
                    <m:r>
                      <w:rPr>
                        <w:rFonts w:ascii="Cambria Math" w:eastAsia="Cambria Math" w:hAnsi="Cambria Math" w:cs="Cambria Math"/>
                        <w:color w:val="000000" w:themeColor="text1"/>
                        <w:szCs w:val="24"/>
                      </w:rPr>
                      <m:t>Variance</m:t>
                    </m:r>
                    <m:r>
                      <w:rPr>
                        <w:rFonts w:ascii="Cambria Math" w:eastAsia="Cambria Math" w:hAnsi="Cambria Math" w:cs="Cambria Math"/>
                        <w:color w:val="000000" w:themeColor="text1"/>
                        <w:szCs w:val="24"/>
                      </w:rPr>
                      <m:t xml:space="preserve"> ( </m:t>
                    </m:r>
                    <m:sSub>
                      <m:sSubPr>
                        <m:ctrlPr>
                          <w:rPr>
                            <w:rFonts w:ascii="Cambria Math" w:eastAsia="Cambria Math" w:hAnsi="Cambria Math" w:cs="Cambria Math"/>
                            <w:i/>
                            <w:color w:val="000000" w:themeColor="text1"/>
                            <w:szCs w:val="24"/>
                          </w:rPr>
                        </m:ctrlPr>
                      </m:sSubPr>
                      <m:e>
                        <m:r>
                          <w:rPr>
                            <w:rFonts w:ascii="Cambria Math" w:eastAsia="Cambria Math" w:hAnsi="Cambria Math" w:cs="Cambria Math"/>
                            <w:color w:val="000000" w:themeColor="text1"/>
                            <w:szCs w:val="24"/>
                          </w:rPr>
                          <m:t>r</m:t>
                        </m:r>
                      </m:e>
                      <m:sub>
                        <m:r>
                          <w:rPr>
                            <w:rFonts w:ascii="Cambria Math" w:eastAsia="Cambria Math" w:hAnsi="Cambria Math" w:cs="Cambria Math"/>
                            <w:color w:val="000000" w:themeColor="text1"/>
                            <w:szCs w:val="24"/>
                          </w:rPr>
                          <m:t>IHSG</m:t>
                        </m:r>
                        <m:r>
                          <w:rPr>
                            <w:rFonts w:ascii="Cambria Math" w:eastAsia="Cambria Math" w:hAnsi="Cambria Math" w:cs="Cambria Math"/>
                            <w:color w:val="000000" w:themeColor="text1"/>
                            <w:szCs w:val="24"/>
                          </w:rPr>
                          <m:t xml:space="preserve"> </m:t>
                        </m:r>
                      </m:sub>
                    </m:sSub>
                    <m:r>
                      <w:rPr>
                        <w:rFonts w:ascii="Cambria Math" w:eastAsia="Cambria Math" w:hAnsi="Cambria Math" w:cs="Cambria Math"/>
                        <w:color w:val="000000" w:themeColor="text1"/>
                        <w:szCs w:val="24"/>
                      </w:rPr>
                      <m:t>)</m:t>
                    </m:r>
                  </m:den>
                </m:f>
              </m:oMath>
            </m:oMathPara>
          </w:p>
          <w:p w14:paraId="7E92A1D6" w14:textId="77777777" w:rsidR="00070A19" w:rsidRPr="00306115" w:rsidRDefault="00070A19" w:rsidP="00070A19">
            <w:pPr>
              <w:widowControl w:val="0"/>
              <w:pBdr>
                <w:top w:val="nil"/>
                <w:left w:val="nil"/>
                <w:bottom w:val="nil"/>
                <w:right w:val="nil"/>
                <w:between w:val="nil"/>
              </w:pBdr>
              <w:spacing w:after="120" w:line="240" w:lineRule="auto"/>
              <w:ind w:left="567"/>
              <w:rPr>
                <w:rFonts w:eastAsia="Bookman Old Style" w:cs="Bookman Old Style"/>
                <w:color w:val="000000" w:themeColor="text1"/>
                <w:szCs w:val="24"/>
              </w:rPr>
            </w:pPr>
            <w:r w:rsidRPr="00306115">
              <w:rPr>
                <w:rFonts w:eastAsia="Bookman Old Style" w:cs="Bookman Old Style"/>
                <w:color w:val="000000" w:themeColor="text1"/>
                <w:szCs w:val="24"/>
              </w:rPr>
              <w:t>Keterangan:</w:t>
            </w:r>
          </w:p>
          <w:p w14:paraId="5A577B2A" w14:textId="50A416C2" w:rsidR="00070A19" w:rsidRPr="00306115" w:rsidRDefault="00DD3739" w:rsidP="008B6C68">
            <w:pPr>
              <w:widowControl w:val="0"/>
              <w:pBdr>
                <w:top w:val="nil"/>
                <w:left w:val="nil"/>
                <w:bottom w:val="nil"/>
                <w:right w:val="nil"/>
                <w:between w:val="nil"/>
              </w:pBdr>
              <w:spacing w:after="120" w:line="240" w:lineRule="auto"/>
              <w:ind w:left="567"/>
              <w:rPr>
                <w:rFonts w:eastAsia="Bookman Old Style" w:cs="Bookman Old Style"/>
                <w:color w:val="000000" w:themeColor="text1"/>
                <w:szCs w:val="24"/>
              </w:rPr>
            </w:pPr>
            <m:oMath>
              <m:sSub>
                <m:sSubPr>
                  <m:ctrlPr>
                    <w:rPr>
                      <w:rFonts w:ascii="Cambria Math" w:eastAsia="Cambria Math" w:hAnsi="Cambria Math" w:cs="Cambria Math"/>
                      <w:i/>
                      <w:color w:val="000000" w:themeColor="text1"/>
                      <w:szCs w:val="24"/>
                    </w:rPr>
                  </m:ctrlPr>
                </m:sSubPr>
                <m:e>
                  <m:r>
                    <w:rPr>
                      <w:rFonts w:ascii="Cambria Math" w:eastAsia="Cambria Math" w:hAnsi="Cambria Math" w:cs="Cambria Math"/>
                      <w:color w:val="000000" w:themeColor="text1"/>
                      <w:szCs w:val="24"/>
                    </w:rPr>
                    <m:t>r</m:t>
                  </m:r>
                </m:e>
                <m:sub>
                  <m:r>
                    <w:rPr>
                      <w:rFonts w:ascii="Cambria Math" w:eastAsia="Cambria Math" w:hAnsi="Cambria Math" w:cs="Cambria Math"/>
                      <w:color w:val="000000" w:themeColor="text1"/>
                      <w:szCs w:val="24"/>
                    </w:rPr>
                    <m:t>sa</m:t>
                  </m:r>
                  <m:r>
                    <w:rPr>
                      <w:rFonts w:ascii="Cambria Math" w:eastAsia="Cambria Math" w:hAnsi="Cambria Math" w:cs="Cambria Math"/>
                      <w:color w:val="000000" w:themeColor="text1"/>
                      <w:szCs w:val="24"/>
                    </w:rPr>
                    <m:t>h</m:t>
                  </m:r>
                  <m:r>
                    <w:rPr>
                      <w:rFonts w:ascii="Cambria Math" w:eastAsia="Cambria Math" w:hAnsi="Cambria Math" w:cs="Cambria Math"/>
                      <w:color w:val="000000" w:themeColor="text1"/>
                      <w:szCs w:val="24"/>
                    </w:rPr>
                    <m:t>am</m:t>
                  </m:r>
                </m:sub>
              </m:sSub>
              <m:r>
                <w:rPr>
                  <w:rFonts w:ascii="Cambria Math" w:eastAsia="Cambria Math" w:hAnsi="Cambria Math" w:cs="Cambria Math"/>
                  <w:color w:val="000000" w:themeColor="text1"/>
                  <w:szCs w:val="24"/>
                </w:rPr>
                <m:t xml:space="preserve"> </m:t>
              </m:r>
            </m:oMath>
            <w:r w:rsidR="00070A19" w:rsidRPr="00306115">
              <w:rPr>
                <w:rFonts w:eastAsia="Bookman Old Style" w:cs="Bookman Old Style"/>
                <w:color w:val="000000" w:themeColor="text1"/>
                <w:szCs w:val="24"/>
              </w:rPr>
              <w:t xml:space="preserve"> = </w:t>
            </w:r>
            <w:r w:rsidR="00070A19" w:rsidRPr="00306115">
              <w:rPr>
                <w:rFonts w:eastAsia="Bookman Old Style" w:cs="Bookman Old Style"/>
                <w:i/>
                <w:iCs/>
                <w:color w:val="000000" w:themeColor="text1"/>
                <w:szCs w:val="24"/>
              </w:rPr>
              <w:t xml:space="preserve">return </w:t>
            </w:r>
            <w:r w:rsidR="00070A19" w:rsidRPr="00306115">
              <w:rPr>
                <w:rFonts w:eastAsia="Bookman Old Style" w:cs="Bookman Old Style"/>
                <w:color w:val="000000" w:themeColor="text1"/>
                <w:szCs w:val="24"/>
              </w:rPr>
              <w:t>harian instrumen saham selama 1 (satu) tahun</w:t>
            </w:r>
          </w:p>
          <w:p w14:paraId="691CCDCD" w14:textId="6B316C01" w:rsidR="00070A19" w:rsidRPr="00306115" w:rsidRDefault="00DD3739" w:rsidP="008B6C68">
            <w:pPr>
              <w:widowControl w:val="0"/>
              <w:pBdr>
                <w:top w:val="nil"/>
                <w:left w:val="nil"/>
                <w:bottom w:val="nil"/>
                <w:right w:val="nil"/>
                <w:between w:val="nil"/>
              </w:pBdr>
              <w:spacing w:after="120" w:line="240" w:lineRule="auto"/>
              <w:ind w:left="567"/>
              <w:rPr>
                <w:rFonts w:eastAsia="Cambria Math" w:cs="Cambria Math"/>
                <w:i/>
                <w:color w:val="000000" w:themeColor="text1"/>
                <w:szCs w:val="24"/>
              </w:rPr>
            </w:pPr>
            <m:oMath>
              <m:sSub>
                <m:sSubPr>
                  <m:ctrlPr>
                    <w:rPr>
                      <w:rFonts w:ascii="Cambria Math" w:eastAsia="Cambria Math" w:hAnsi="Cambria Math" w:cs="Cambria Math"/>
                      <w:i/>
                      <w:color w:val="000000" w:themeColor="text1"/>
                      <w:szCs w:val="24"/>
                    </w:rPr>
                  </m:ctrlPr>
                </m:sSubPr>
                <m:e>
                  <m:r>
                    <w:rPr>
                      <w:rFonts w:ascii="Cambria Math" w:eastAsia="Cambria Math" w:hAnsi="Cambria Math" w:cs="Cambria Math"/>
                      <w:color w:val="000000" w:themeColor="text1"/>
                      <w:szCs w:val="24"/>
                    </w:rPr>
                    <m:t>r</m:t>
                  </m:r>
                </m:e>
                <m:sub>
                  <m:r>
                    <w:rPr>
                      <w:rFonts w:ascii="Cambria Math" w:eastAsia="Cambria Math" w:hAnsi="Cambria Math" w:cs="Cambria Math"/>
                      <w:color w:val="000000" w:themeColor="text1"/>
                      <w:szCs w:val="24"/>
                    </w:rPr>
                    <m:t>IHSG</m:t>
                  </m:r>
                  <m:r>
                    <w:rPr>
                      <w:rFonts w:ascii="Cambria Math" w:eastAsia="Cambria Math" w:hAnsi="Cambria Math" w:cs="Cambria Math"/>
                      <w:color w:val="000000" w:themeColor="text1"/>
                      <w:szCs w:val="24"/>
                    </w:rPr>
                    <m:t xml:space="preserve"> </m:t>
                  </m:r>
                </m:sub>
              </m:sSub>
            </m:oMath>
            <w:r w:rsidR="00070A19" w:rsidRPr="00306115">
              <w:rPr>
                <w:rFonts w:eastAsia="Cambria Math" w:cs="Cambria Math"/>
                <w:i/>
                <w:color w:val="000000" w:themeColor="text1"/>
                <w:szCs w:val="24"/>
              </w:rPr>
              <w:t xml:space="preserve">   = </w:t>
            </w:r>
            <w:r w:rsidR="00070A19" w:rsidRPr="00306115">
              <w:rPr>
                <w:rFonts w:eastAsia="Cambria Math" w:cs="Cambria Math"/>
                <w:iCs/>
                <w:color w:val="000000" w:themeColor="text1"/>
                <w:szCs w:val="24"/>
              </w:rPr>
              <w:t>return harian IHSG selama satu 1 (satu) tahun</w:t>
            </w:r>
          </w:p>
          <w:p w14:paraId="11101F9F" w14:textId="77777777" w:rsidR="00070A19" w:rsidRPr="00306115" w:rsidRDefault="00070A19" w:rsidP="00070A19">
            <w:pPr>
              <w:widowControl w:val="0"/>
              <w:pBdr>
                <w:top w:val="nil"/>
                <w:left w:val="nil"/>
                <w:bottom w:val="nil"/>
                <w:right w:val="nil"/>
                <w:between w:val="nil"/>
              </w:pBdr>
              <w:spacing w:after="120" w:line="240" w:lineRule="auto"/>
              <w:ind w:left="581"/>
              <w:rPr>
                <w:rFonts w:eastAsia="Bookman Old Style" w:cs="Bookman Old Style"/>
                <w:color w:val="000000" w:themeColor="text1"/>
                <w:szCs w:val="24"/>
              </w:rPr>
            </w:pPr>
            <w:r w:rsidRPr="00306115">
              <w:rPr>
                <w:rFonts w:eastAsia="Bookman Old Style" w:cs="Bookman Old Style"/>
                <w:color w:val="000000" w:themeColor="text1"/>
                <w:szCs w:val="24"/>
              </w:rPr>
              <w:t>Return (</w:t>
            </w:r>
            <m:oMath>
              <m:sSub>
                <m:sSubPr>
                  <m:ctrlPr>
                    <w:rPr>
                      <w:rFonts w:ascii="Cambria Math" w:eastAsia="Cambria Math" w:hAnsi="Cambria Math" w:cs="Cambria Math"/>
                      <w:i/>
                      <w:color w:val="000000" w:themeColor="text1"/>
                      <w:szCs w:val="24"/>
                    </w:rPr>
                  </m:ctrlPr>
                </m:sSubPr>
                <m:e>
                  <m:r>
                    <w:rPr>
                      <w:rFonts w:ascii="Cambria Math" w:eastAsia="Cambria Math" w:hAnsi="Cambria Math" w:cs="Cambria Math"/>
                      <w:color w:val="000000" w:themeColor="text1"/>
                      <w:szCs w:val="24"/>
                    </w:rPr>
                    <m:t>r</m:t>
                  </m:r>
                </m:e>
                <m:sub>
                  <m:r>
                    <w:rPr>
                      <w:rFonts w:ascii="Cambria Math" w:eastAsia="Cambria Math" w:hAnsi="Cambria Math" w:cs="Cambria Math"/>
                      <w:color w:val="000000" w:themeColor="text1"/>
                      <w:szCs w:val="24"/>
                    </w:rPr>
                    <m:t>t</m:t>
                  </m:r>
                </m:sub>
              </m:sSub>
            </m:oMath>
            <w:r w:rsidRPr="00306115">
              <w:rPr>
                <w:rFonts w:eastAsia="Bookman Old Style" w:cs="Bookman Old Style"/>
                <w:color w:val="000000" w:themeColor="text1"/>
                <w:szCs w:val="24"/>
              </w:rPr>
              <w:t xml:space="preserve">) = log return harian = ln ( </w:t>
            </w:r>
            <m:oMath>
              <m:sSub>
                <m:sSubPr>
                  <m:ctrlPr>
                    <w:rPr>
                      <w:rFonts w:ascii="Cambria Math" w:eastAsia="Cambria Math" w:hAnsi="Cambria Math" w:cs="Cambria Math"/>
                      <w:i/>
                      <w:color w:val="000000" w:themeColor="text1"/>
                      <w:szCs w:val="24"/>
                    </w:rPr>
                  </m:ctrlPr>
                </m:sSubPr>
                <m:e>
                  <m:r>
                    <w:rPr>
                      <w:rFonts w:ascii="Cambria Math" w:eastAsia="Cambria Math" w:hAnsi="Cambria Math" w:cs="Cambria Math"/>
                      <w:color w:val="000000" w:themeColor="text1"/>
                      <w:szCs w:val="24"/>
                    </w:rPr>
                    <m:t>p</m:t>
                  </m:r>
                </m:e>
                <m:sub>
                  <m:r>
                    <w:rPr>
                      <w:rFonts w:ascii="Cambria Math" w:eastAsia="Cambria Math" w:hAnsi="Cambria Math" w:cs="Cambria Math"/>
                      <w:color w:val="000000" w:themeColor="text1"/>
                      <w:szCs w:val="24"/>
                    </w:rPr>
                    <m:t>t</m:t>
                  </m:r>
                </m:sub>
              </m:sSub>
              <m:r>
                <w:rPr>
                  <w:rFonts w:ascii="Cambria Math" w:eastAsia="Cambria Math" w:hAnsi="Cambria Math" w:cs="Cambria Math"/>
                  <w:color w:val="000000" w:themeColor="text1"/>
                  <w:szCs w:val="24"/>
                </w:rPr>
                <m:t xml:space="preserve"> / </m:t>
              </m:r>
              <m:sSub>
                <m:sSubPr>
                  <m:ctrlPr>
                    <w:rPr>
                      <w:rFonts w:ascii="Cambria Math" w:eastAsia="Cambria Math" w:hAnsi="Cambria Math" w:cs="Cambria Math"/>
                      <w:i/>
                      <w:color w:val="000000" w:themeColor="text1"/>
                      <w:szCs w:val="24"/>
                    </w:rPr>
                  </m:ctrlPr>
                </m:sSubPr>
                <m:e>
                  <m:r>
                    <w:rPr>
                      <w:rFonts w:ascii="Cambria Math" w:eastAsia="Cambria Math" w:hAnsi="Cambria Math" w:cs="Cambria Math"/>
                      <w:color w:val="000000" w:themeColor="text1"/>
                      <w:szCs w:val="24"/>
                    </w:rPr>
                    <m:t>p</m:t>
                  </m:r>
                </m:e>
                <m:sub>
                  <m:r>
                    <w:rPr>
                      <w:rFonts w:ascii="Cambria Math" w:eastAsia="Cambria Math" w:hAnsi="Cambria Math" w:cs="Cambria Math"/>
                      <w:color w:val="000000" w:themeColor="text1"/>
                      <w:szCs w:val="24"/>
                    </w:rPr>
                    <m:t>t-1</m:t>
                  </m:r>
                </m:sub>
              </m:sSub>
            </m:oMath>
            <w:r w:rsidRPr="00306115">
              <w:rPr>
                <w:rFonts w:eastAsia="Bookman Old Style" w:cs="Bookman Old Style"/>
                <w:color w:val="000000" w:themeColor="text1"/>
                <w:szCs w:val="24"/>
              </w:rPr>
              <w:t xml:space="preserve"> ) </w:t>
            </w:r>
          </w:p>
          <w:p w14:paraId="3299CAB0" w14:textId="77777777" w:rsidR="00070A19" w:rsidRPr="00306115" w:rsidRDefault="00070A19">
            <w:pPr>
              <w:widowControl w:val="0"/>
              <w:numPr>
                <w:ilvl w:val="0"/>
                <w:numId w:val="439"/>
              </w:numPr>
              <w:pBdr>
                <w:top w:val="nil"/>
                <w:left w:val="nil"/>
                <w:bottom w:val="nil"/>
                <w:right w:val="nil"/>
                <w:between w:val="nil"/>
              </w:pBdr>
              <w:tabs>
                <w:tab w:val="left" w:pos="887"/>
              </w:tabs>
              <w:spacing w:after="4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 xml:space="preserve">Semakin besar nilai beta (β), semakin volatil perubahan </w:t>
            </w:r>
            <w:r w:rsidRPr="00306115">
              <w:rPr>
                <w:rFonts w:eastAsia="Bookman Old Style" w:cs="Bookman Old Style"/>
                <w:i/>
                <w:iCs/>
                <w:color w:val="000000" w:themeColor="text1"/>
                <w:szCs w:val="24"/>
              </w:rPr>
              <w:t>return</w:t>
            </w:r>
            <w:r w:rsidRPr="00306115">
              <w:rPr>
                <w:rFonts w:eastAsia="Bookman Old Style" w:cs="Bookman Old Style"/>
                <w:color w:val="000000" w:themeColor="text1"/>
                <w:szCs w:val="24"/>
              </w:rPr>
              <w:t xml:space="preserve"> saham terhadap pergerakan </w:t>
            </w:r>
            <w:r w:rsidRPr="00306115">
              <w:rPr>
                <w:rFonts w:eastAsia="Bookman Old Style" w:cs="Bookman Old Style"/>
                <w:i/>
                <w:iCs/>
                <w:color w:val="000000" w:themeColor="text1"/>
                <w:szCs w:val="24"/>
              </w:rPr>
              <w:t xml:space="preserve">return </w:t>
            </w:r>
            <w:r w:rsidRPr="00306115">
              <w:rPr>
                <w:rFonts w:eastAsia="Bookman Old Style" w:cs="Bookman Old Style"/>
                <w:color w:val="000000" w:themeColor="text1"/>
                <w:szCs w:val="24"/>
              </w:rPr>
              <w:t>IHSG.</w:t>
            </w:r>
          </w:p>
          <w:p w14:paraId="5101970E" w14:textId="77777777" w:rsidR="00070A19" w:rsidRPr="00306115" w:rsidRDefault="00070A19">
            <w:pPr>
              <w:widowControl w:val="0"/>
              <w:numPr>
                <w:ilvl w:val="0"/>
                <w:numId w:val="439"/>
              </w:numPr>
              <w:pBdr>
                <w:top w:val="nil"/>
                <w:left w:val="nil"/>
                <w:bottom w:val="nil"/>
                <w:right w:val="nil"/>
                <w:between w:val="nil"/>
              </w:pBdr>
              <w:tabs>
                <w:tab w:val="left" w:pos="887"/>
              </w:tabs>
              <w:spacing w:after="4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 xml:space="preserve">Beta portofolio dalam Reksa Dana atau Produk = Jumlah Beta </w:t>
            </w:r>
            <w:r w:rsidRPr="00306115">
              <w:rPr>
                <w:rFonts w:eastAsia="Bookman Old Style" w:cs="Bookman Old Style"/>
                <w:color w:val="000000" w:themeColor="text1"/>
                <w:szCs w:val="24"/>
              </w:rPr>
              <w:lastRenderedPageBreak/>
              <w:t>tertimbang saham terhadap proporsi NAB</w:t>
            </w:r>
          </w:p>
          <w:p w14:paraId="450CDB1D" w14:textId="77777777" w:rsidR="00070A19" w:rsidRPr="00306115" w:rsidRDefault="00DD3739" w:rsidP="00070A19">
            <w:pPr>
              <w:widowControl w:val="0"/>
              <w:pBdr>
                <w:top w:val="nil"/>
                <w:left w:val="nil"/>
                <w:bottom w:val="nil"/>
                <w:right w:val="nil"/>
                <w:between w:val="nil"/>
              </w:pBdr>
              <w:tabs>
                <w:tab w:val="left" w:pos="389"/>
              </w:tabs>
              <w:spacing w:after="120" w:line="240" w:lineRule="auto"/>
              <w:ind w:left="389" w:right="83"/>
              <w:jc w:val="center"/>
              <w:rPr>
                <w:rFonts w:eastAsia="Bookman Old Style" w:cs="Bookman Old Style"/>
                <w:iCs/>
                <w:color w:val="000000" w:themeColor="text1"/>
                <w:szCs w:val="24"/>
              </w:rPr>
            </w:pPr>
            <m:oMath>
              <m:sSub>
                <m:sSubPr>
                  <m:ctrlPr>
                    <w:rPr>
                      <w:rFonts w:ascii="Cambria Math" w:eastAsia="Cambria Math" w:hAnsi="Cambria Math" w:cs="Cambria Math"/>
                      <w:iCs/>
                      <w:color w:val="000000" w:themeColor="text1"/>
                      <w:szCs w:val="24"/>
                    </w:rPr>
                  </m:ctrlPr>
                </m:sSubPr>
                <m:e>
                  <m:r>
                    <w:rPr>
                      <w:rFonts w:ascii="Cambria Math" w:eastAsia="Bookman Old Style" w:hAnsi="Cambria Math" w:cs="Bookman Old Style"/>
                      <w:color w:val="000000" w:themeColor="text1"/>
                      <w:szCs w:val="24"/>
                    </w:rPr>
                    <m:t>β</m:t>
                  </m:r>
                  <m:r>
                    <m:rPr>
                      <m:sty m:val="p"/>
                    </m:rPr>
                    <w:rPr>
                      <w:rFonts w:ascii="Cambria Math" w:eastAsia="Bookman Old Style" w:hAnsi="Cambria Math" w:cs="Bookman Old Style"/>
                      <w:color w:val="000000" w:themeColor="text1"/>
                      <w:szCs w:val="24"/>
                    </w:rPr>
                    <m:t xml:space="preserve"> </m:t>
                  </m:r>
                </m:e>
                <m:sub>
                  <m:r>
                    <m:rPr>
                      <m:sty m:val="p"/>
                    </m:rPr>
                    <w:rPr>
                      <w:rFonts w:ascii="Cambria Math" w:eastAsia="Cambria Math" w:hAnsi="Cambria Math" w:cs="Cambria Math"/>
                      <w:color w:val="000000" w:themeColor="text1"/>
                      <w:szCs w:val="24"/>
                    </w:rPr>
                    <m:t>portofolio</m:t>
                  </m:r>
                </m:sub>
              </m:sSub>
            </m:oMath>
            <w:r w:rsidR="00070A19" w:rsidRPr="00306115">
              <w:rPr>
                <w:rFonts w:eastAsia="Bookman Old Style" w:cs="Bookman Old Style"/>
                <w:color w:val="000000" w:themeColor="text1"/>
                <w:szCs w:val="24"/>
              </w:rPr>
              <w:t xml:space="preserve"> = ∑ ( </w:t>
            </w:r>
            <m:oMath>
              <m:sSub>
                <m:sSubPr>
                  <m:ctrlPr>
                    <w:rPr>
                      <w:rFonts w:ascii="Cambria Math" w:eastAsia="Cambria Math" w:hAnsi="Cambria Math" w:cs="Cambria Math"/>
                      <w:iCs/>
                      <w:color w:val="000000" w:themeColor="text1"/>
                      <w:szCs w:val="24"/>
                    </w:rPr>
                  </m:ctrlPr>
                </m:sSubPr>
                <m:e>
                  <m:r>
                    <w:rPr>
                      <w:rFonts w:ascii="Cambria Math" w:eastAsia="Bookman Old Style" w:hAnsi="Cambria Math" w:cs="Bookman Old Style"/>
                      <w:color w:val="000000" w:themeColor="text1"/>
                      <w:szCs w:val="24"/>
                    </w:rPr>
                    <m:t>β</m:t>
                  </m:r>
                  <m:r>
                    <m:rPr>
                      <m:sty m:val="p"/>
                    </m:rPr>
                    <w:rPr>
                      <w:rFonts w:ascii="Cambria Math" w:eastAsia="Bookman Old Style" w:hAnsi="Cambria Math" w:cs="Bookman Old Style"/>
                      <w:color w:val="000000" w:themeColor="text1"/>
                      <w:szCs w:val="24"/>
                    </w:rPr>
                    <m:t xml:space="preserve"> </m:t>
                  </m:r>
                </m:e>
                <m:sub>
                  <m:r>
                    <m:rPr>
                      <m:sty m:val="p"/>
                    </m:rPr>
                    <w:rPr>
                      <w:rFonts w:ascii="Cambria Math" w:eastAsia="Cambria Math" w:hAnsi="Cambria Math" w:cs="Cambria Math"/>
                      <w:color w:val="000000" w:themeColor="text1"/>
                      <w:szCs w:val="24"/>
                    </w:rPr>
                    <m:t>saham i</m:t>
                  </m:r>
                </m:sub>
              </m:sSub>
            </m:oMath>
            <w:r w:rsidR="00070A19" w:rsidRPr="00306115">
              <w:rPr>
                <w:rFonts w:eastAsia="Bookman Old Style" w:cs="Bookman Old Style"/>
                <w:iCs/>
                <w:color w:val="000000" w:themeColor="text1"/>
                <w:szCs w:val="24"/>
              </w:rPr>
              <w:t xml:space="preserve"> × </w:t>
            </w:r>
            <m:oMath>
              <m:sSub>
                <m:sSubPr>
                  <m:ctrlPr>
                    <w:rPr>
                      <w:rFonts w:ascii="Cambria Math" w:eastAsia="Cambria Math" w:hAnsi="Cambria Math" w:cs="Cambria Math"/>
                      <w:iCs/>
                      <w:color w:val="000000" w:themeColor="text1"/>
                      <w:szCs w:val="24"/>
                    </w:rPr>
                  </m:ctrlPr>
                </m:sSubPr>
                <m:e>
                  <m:r>
                    <w:rPr>
                      <w:rFonts w:ascii="Cambria Math" w:eastAsia="Bookman Old Style" w:hAnsi="Cambria Math" w:cs="Bookman Old Style"/>
                      <w:color w:val="000000" w:themeColor="text1"/>
                      <w:szCs w:val="24"/>
                    </w:rPr>
                    <m:t>w</m:t>
                  </m:r>
                  <m:r>
                    <m:rPr>
                      <m:sty m:val="p"/>
                    </m:rPr>
                    <w:rPr>
                      <w:rFonts w:ascii="Cambria Math" w:eastAsia="Bookman Old Style" w:hAnsi="Cambria Math" w:cs="Bookman Old Style"/>
                      <w:color w:val="000000" w:themeColor="text1"/>
                      <w:szCs w:val="24"/>
                    </w:rPr>
                    <m:t xml:space="preserve"> </m:t>
                  </m:r>
                </m:e>
                <m:sub>
                  <m:r>
                    <m:rPr>
                      <m:sty m:val="p"/>
                    </m:rPr>
                    <w:rPr>
                      <w:rFonts w:ascii="Cambria Math" w:eastAsia="Cambria Math" w:hAnsi="Cambria Math" w:cs="Cambria Math"/>
                      <w:color w:val="000000" w:themeColor="text1"/>
                      <w:szCs w:val="24"/>
                    </w:rPr>
                    <m:t>saham i</m:t>
                  </m:r>
                </m:sub>
              </m:sSub>
            </m:oMath>
            <w:r w:rsidR="00070A19" w:rsidRPr="00306115">
              <w:rPr>
                <w:rFonts w:eastAsia="Bookman Old Style" w:cs="Bookman Old Style"/>
                <w:iCs/>
                <w:color w:val="000000" w:themeColor="text1"/>
                <w:szCs w:val="24"/>
              </w:rPr>
              <w:t xml:space="preserve"> )</w:t>
            </w:r>
          </w:p>
          <w:p w14:paraId="193EB803" w14:textId="77777777" w:rsidR="00070A19" w:rsidRPr="00306115" w:rsidRDefault="00070A19" w:rsidP="008B6C68">
            <w:pPr>
              <w:widowControl w:val="0"/>
              <w:pBdr>
                <w:top w:val="nil"/>
                <w:left w:val="nil"/>
                <w:bottom w:val="nil"/>
                <w:right w:val="nil"/>
                <w:between w:val="nil"/>
              </w:pBdr>
              <w:tabs>
                <w:tab w:val="left" w:pos="596"/>
              </w:tabs>
              <w:spacing w:after="0" w:line="240" w:lineRule="auto"/>
              <w:ind w:left="567"/>
              <w:rPr>
                <w:rFonts w:eastAsia="Bookman Old Style" w:cs="Bookman Old Style"/>
                <w:iCs/>
                <w:color w:val="000000" w:themeColor="text1"/>
                <w:szCs w:val="24"/>
              </w:rPr>
            </w:pPr>
            <w:r w:rsidRPr="00306115">
              <w:rPr>
                <w:rFonts w:eastAsia="Bookman Old Style" w:cs="Bookman Old Style"/>
                <w:iCs/>
                <w:color w:val="000000" w:themeColor="text1"/>
                <w:szCs w:val="24"/>
              </w:rPr>
              <w:t>Keterangan</w:t>
            </w:r>
          </w:p>
          <w:p w14:paraId="162601B7" w14:textId="77777777" w:rsidR="00070A19" w:rsidRPr="00306115" w:rsidRDefault="00DD3739" w:rsidP="008B6C68">
            <w:pPr>
              <w:widowControl w:val="0"/>
              <w:pBdr>
                <w:top w:val="nil"/>
                <w:left w:val="nil"/>
                <w:bottom w:val="nil"/>
                <w:right w:val="nil"/>
                <w:between w:val="nil"/>
              </w:pBdr>
              <w:tabs>
                <w:tab w:val="left" w:pos="737"/>
              </w:tabs>
              <w:spacing w:after="120" w:line="240" w:lineRule="auto"/>
              <w:ind w:left="596" w:right="83"/>
              <w:rPr>
                <w:rFonts w:eastAsia="Bookman Old Style" w:cs="Bookman Old Style"/>
                <w:iCs/>
                <w:color w:val="000000" w:themeColor="text1"/>
                <w:szCs w:val="24"/>
              </w:rPr>
            </w:pPr>
            <m:oMath>
              <m:sSub>
                <m:sSubPr>
                  <m:ctrlPr>
                    <w:rPr>
                      <w:rFonts w:ascii="Cambria Math" w:eastAsia="Cambria Math" w:hAnsi="Cambria Math" w:cs="Cambria Math"/>
                      <w:iCs/>
                      <w:color w:val="000000" w:themeColor="text1"/>
                      <w:szCs w:val="24"/>
                    </w:rPr>
                  </m:ctrlPr>
                </m:sSubPr>
                <m:e>
                  <m:r>
                    <w:rPr>
                      <w:rFonts w:ascii="Cambria Math" w:eastAsia="Bookman Old Style" w:hAnsi="Cambria Math" w:cs="Bookman Old Style"/>
                      <w:color w:val="000000" w:themeColor="text1"/>
                      <w:szCs w:val="24"/>
                    </w:rPr>
                    <m:t>β</m:t>
                  </m:r>
                  <m:r>
                    <m:rPr>
                      <m:sty m:val="p"/>
                    </m:rPr>
                    <w:rPr>
                      <w:rFonts w:ascii="Cambria Math" w:eastAsia="Bookman Old Style" w:hAnsi="Cambria Math" w:cs="Bookman Old Style"/>
                      <w:color w:val="000000" w:themeColor="text1"/>
                      <w:szCs w:val="24"/>
                    </w:rPr>
                    <m:t xml:space="preserve"> </m:t>
                  </m:r>
                </m:e>
                <m:sub>
                  <m:r>
                    <m:rPr>
                      <m:sty m:val="p"/>
                    </m:rPr>
                    <w:rPr>
                      <w:rFonts w:ascii="Cambria Math" w:eastAsia="Cambria Math" w:hAnsi="Cambria Math" w:cs="Cambria Math"/>
                      <w:color w:val="000000" w:themeColor="text1"/>
                      <w:szCs w:val="24"/>
                    </w:rPr>
                    <m:t>saham i</m:t>
                  </m:r>
                </m:sub>
              </m:sSub>
            </m:oMath>
            <w:r w:rsidR="00070A19" w:rsidRPr="00306115">
              <w:rPr>
                <w:rFonts w:eastAsia="Bookman Old Style" w:cs="Bookman Old Style"/>
                <w:iCs/>
                <w:color w:val="000000" w:themeColor="text1"/>
                <w:szCs w:val="24"/>
              </w:rPr>
              <w:t xml:space="preserve"> = nilai beta saham i dalam suatu Reksa Dana atau produk</w:t>
            </w:r>
          </w:p>
          <w:p w14:paraId="4B1C8CEA" w14:textId="77777777" w:rsidR="00070A19" w:rsidRPr="00306115" w:rsidRDefault="00DD3739" w:rsidP="008B6C68">
            <w:pPr>
              <w:widowControl w:val="0"/>
              <w:pBdr>
                <w:top w:val="nil"/>
                <w:left w:val="nil"/>
                <w:bottom w:val="nil"/>
                <w:right w:val="nil"/>
                <w:between w:val="nil"/>
              </w:pBdr>
              <w:tabs>
                <w:tab w:val="left" w:pos="596"/>
              </w:tabs>
              <w:spacing w:after="120" w:line="240" w:lineRule="auto"/>
              <w:ind w:left="596" w:right="83"/>
              <w:rPr>
                <w:rFonts w:eastAsia="Bookman Old Style" w:cs="Bookman Old Style"/>
                <w:iCs/>
                <w:color w:val="000000" w:themeColor="text1"/>
                <w:szCs w:val="24"/>
              </w:rPr>
            </w:pPr>
            <m:oMath>
              <m:sSub>
                <m:sSubPr>
                  <m:ctrlPr>
                    <w:rPr>
                      <w:rFonts w:ascii="Cambria Math" w:eastAsia="Cambria Math" w:hAnsi="Cambria Math" w:cs="Cambria Math"/>
                      <w:iCs/>
                      <w:color w:val="000000" w:themeColor="text1"/>
                      <w:szCs w:val="24"/>
                    </w:rPr>
                  </m:ctrlPr>
                </m:sSubPr>
                <m:e>
                  <m:r>
                    <w:rPr>
                      <w:rFonts w:ascii="Cambria Math" w:eastAsia="Bookman Old Style" w:hAnsi="Cambria Math" w:cs="Bookman Old Style"/>
                      <w:color w:val="000000" w:themeColor="text1"/>
                      <w:szCs w:val="24"/>
                    </w:rPr>
                    <m:t>w</m:t>
                  </m:r>
                  <m:r>
                    <m:rPr>
                      <m:sty m:val="p"/>
                    </m:rPr>
                    <w:rPr>
                      <w:rFonts w:ascii="Cambria Math" w:eastAsia="Bookman Old Style" w:hAnsi="Cambria Math" w:cs="Bookman Old Style"/>
                      <w:color w:val="000000" w:themeColor="text1"/>
                      <w:szCs w:val="24"/>
                    </w:rPr>
                    <m:t xml:space="preserve"> </m:t>
                  </m:r>
                </m:e>
                <m:sub>
                  <m:r>
                    <m:rPr>
                      <m:sty m:val="p"/>
                    </m:rPr>
                    <w:rPr>
                      <w:rFonts w:ascii="Cambria Math" w:eastAsia="Cambria Math" w:hAnsi="Cambria Math" w:cs="Cambria Math"/>
                      <w:color w:val="000000" w:themeColor="text1"/>
                      <w:szCs w:val="24"/>
                    </w:rPr>
                    <m:t>saham</m:t>
                  </m:r>
                </m:sub>
              </m:sSub>
            </m:oMath>
            <w:r w:rsidR="00070A19" w:rsidRPr="00306115">
              <w:rPr>
                <w:rFonts w:eastAsia="Bookman Old Style" w:cs="Bookman Old Style"/>
                <w:iCs/>
                <w:color w:val="000000" w:themeColor="text1"/>
                <w:szCs w:val="24"/>
              </w:rPr>
              <w:t xml:space="preserve"> = proporsi saham i terhadap NAB Reksa Dana atau produk</w:t>
            </w:r>
          </w:p>
          <w:p w14:paraId="1BD4A4F3" w14:textId="77777777" w:rsidR="00070A19" w:rsidRPr="00306115" w:rsidRDefault="00070A19" w:rsidP="00433437">
            <w:pPr>
              <w:widowControl w:val="0"/>
              <w:pBdr>
                <w:top w:val="nil"/>
                <w:left w:val="nil"/>
                <w:bottom w:val="nil"/>
                <w:right w:val="nil"/>
                <w:between w:val="nil"/>
              </w:pBdr>
              <w:tabs>
                <w:tab w:val="left" w:pos="389"/>
              </w:tabs>
              <w:spacing w:after="120" w:line="240" w:lineRule="auto"/>
              <w:ind w:left="596" w:right="86"/>
              <w:rPr>
                <w:rFonts w:eastAsia="Bookman Old Style" w:cs="Bookman Old Style"/>
                <w:color w:val="000000" w:themeColor="text1"/>
                <w:szCs w:val="24"/>
                <w:u w:val="single"/>
              </w:rPr>
            </w:pPr>
            <w:r w:rsidRPr="00306115">
              <w:rPr>
                <w:rFonts w:eastAsia="Bookman Old Style" w:cs="Bookman Old Style"/>
                <w:color w:val="000000" w:themeColor="text1"/>
                <w:szCs w:val="24"/>
                <w:u w:val="single"/>
              </w:rPr>
              <w:t>Contoh Reksa Dana AA</w:t>
            </w:r>
          </w:p>
          <w:p w14:paraId="47C8CF93" w14:textId="77777777" w:rsidR="00070A19" w:rsidRPr="00306115" w:rsidRDefault="00070A19" w:rsidP="00433437">
            <w:pPr>
              <w:widowControl w:val="0"/>
              <w:pBdr>
                <w:top w:val="nil"/>
                <w:left w:val="nil"/>
                <w:bottom w:val="nil"/>
                <w:right w:val="nil"/>
                <w:between w:val="nil"/>
              </w:pBdr>
              <w:tabs>
                <w:tab w:val="left" w:pos="389"/>
              </w:tabs>
              <w:spacing w:after="240" w:line="240" w:lineRule="auto"/>
              <w:ind w:left="596" w:right="86"/>
              <w:rPr>
                <w:rFonts w:eastAsia="Bookman Old Style" w:cs="Bookman Old Style"/>
                <w:color w:val="000000" w:themeColor="text1"/>
                <w:szCs w:val="24"/>
              </w:rPr>
            </w:pPr>
            <w:r w:rsidRPr="00306115">
              <w:rPr>
                <w:rFonts w:eastAsia="Bookman Old Style" w:cs="Bookman Old Style"/>
                <w:color w:val="000000" w:themeColor="text1"/>
                <w:szCs w:val="24"/>
              </w:rPr>
              <w:t xml:space="preserve">Beta tertimbang portofolio = </w:t>
            </w:r>
            <w:r w:rsidRPr="00306115">
              <w:rPr>
                <w:rFonts w:eastAsia="Bookman Old Style" w:cs="Bookman Old Style"/>
                <w:b/>
                <w:bCs/>
                <w:color w:val="000000" w:themeColor="text1"/>
                <w:szCs w:val="24"/>
              </w:rPr>
              <w:t>-0.0014</w:t>
            </w:r>
          </w:p>
          <w:tbl>
            <w:tblPr>
              <w:tblStyle w:val="TableGrid"/>
              <w:tblpPr w:leftFromText="180" w:rightFromText="180" w:vertAnchor="text" w:horzAnchor="margin" w:tblpX="562" w:tblpY="-163"/>
              <w:tblOverlap w:val="never"/>
              <w:tblW w:w="7371" w:type="dxa"/>
              <w:tblLayout w:type="fixed"/>
              <w:tblLook w:val="04A0" w:firstRow="1" w:lastRow="0" w:firstColumn="1" w:lastColumn="0" w:noHBand="0" w:noVBand="1"/>
            </w:tblPr>
            <w:tblGrid>
              <w:gridCol w:w="988"/>
              <w:gridCol w:w="1417"/>
              <w:gridCol w:w="1559"/>
              <w:gridCol w:w="1134"/>
              <w:gridCol w:w="1134"/>
              <w:gridCol w:w="1139"/>
            </w:tblGrid>
            <w:tr w:rsidR="00070A19" w:rsidRPr="00306115" w14:paraId="2EC3DFE0" w14:textId="77777777" w:rsidTr="000D32D0">
              <w:tc>
                <w:tcPr>
                  <w:tcW w:w="988" w:type="dxa"/>
                  <w:vAlign w:val="center"/>
                </w:tcPr>
                <w:p w14:paraId="7DD0174F" w14:textId="77777777" w:rsidR="00070A19" w:rsidRPr="00306115" w:rsidRDefault="00070A19" w:rsidP="000D32D0">
                  <w:pPr>
                    <w:widowControl w:val="0"/>
                    <w:tabs>
                      <w:tab w:val="left" w:pos="389"/>
                    </w:tabs>
                    <w:spacing w:after="40"/>
                    <w:ind w:left="-117" w:right="-112"/>
                    <w:jc w:val="center"/>
                    <w:rPr>
                      <w:rFonts w:eastAsia="Bookman Old Style" w:cs="Bookman Old Style"/>
                      <w:color w:val="000000" w:themeColor="text1"/>
                      <w:szCs w:val="24"/>
                    </w:rPr>
                  </w:pPr>
                  <w:r w:rsidRPr="00306115">
                    <w:rPr>
                      <w:rFonts w:eastAsia="Bookman Old Style" w:cs="Bookman Old Style"/>
                      <w:color w:val="000000" w:themeColor="text1"/>
                      <w:szCs w:val="24"/>
                    </w:rPr>
                    <w:t>Saham</w:t>
                  </w:r>
                </w:p>
              </w:tc>
              <w:tc>
                <w:tcPr>
                  <w:tcW w:w="1417" w:type="dxa"/>
                  <w:vAlign w:val="center"/>
                </w:tcPr>
                <w:p w14:paraId="331B3AE5" w14:textId="77777777" w:rsidR="00070A19" w:rsidRPr="00306115" w:rsidRDefault="00070A19" w:rsidP="000D32D0">
                  <w:pPr>
                    <w:widowControl w:val="0"/>
                    <w:tabs>
                      <w:tab w:val="left" w:pos="389"/>
                    </w:tabs>
                    <w:spacing w:after="40"/>
                    <w:ind w:left="-104" w:right="-108"/>
                    <w:jc w:val="center"/>
                    <w:rPr>
                      <w:rFonts w:eastAsia="Bookman Old Style" w:cs="Bookman Old Style"/>
                      <w:color w:val="000000" w:themeColor="text1"/>
                      <w:szCs w:val="24"/>
                    </w:rPr>
                  </w:pPr>
                  <w:r w:rsidRPr="00306115">
                    <w:rPr>
                      <w:rFonts w:eastAsia="Bookman Old Style" w:cs="Bookman Old Style"/>
                      <w:color w:val="000000" w:themeColor="text1"/>
                      <w:szCs w:val="24"/>
                    </w:rPr>
                    <w:t>Sektor</w:t>
                  </w:r>
                </w:p>
              </w:tc>
              <w:tc>
                <w:tcPr>
                  <w:tcW w:w="1559" w:type="dxa"/>
                  <w:vAlign w:val="center"/>
                </w:tcPr>
                <w:p w14:paraId="36AF2D26" w14:textId="77777777" w:rsidR="00070A19" w:rsidRPr="00306115" w:rsidRDefault="00070A19" w:rsidP="000D32D0">
                  <w:pPr>
                    <w:widowControl w:val="0"/>
                    <w:tabs>
                      <w:tab w:val="left" w:pos="389"/>
                    </w:tabs>
                    <w:spacing w:after="40"/>
                    <w:ind w:left="-116" w:right="-101"/>
                    <w:jc w:val="center"/>
                    <w:rPr>
                      <w:rFonts w:eastAsia="Bookman Old Style" w:cs="Bookman Old Style"/>
                      <w:color w:val="000000" w:themeColor="text1"/>
                      <w:szCs w:val="24"/>
                    </w:rPr>
                  </w:pPr>
                  <w:r w:rsidRPr="00306115">
                    <w:rPr>
                      <w:rFonts w:eastAsia="Bookman Old Style" w:cs="Bookman Old Style"/>
                      <w:color w:val="000000" w:themeColor="text1"/>
                      <w:szCs w:val="24"/>
                    </w:rPr>
                    <w:t>Nilai Pasar investasi (Rp. juta)</w:t>
                  </w:r>
                </w:p>
              </w:tc>
              <w:tc>
                <w:tcPr>
                  <w:tcW w:w="1134" w:type="dxa"/>
                  <w:vAlign w:val="center"/>
                </w:tcPr>
                <w:p w14:paraId="7963C8FE" w14:textId="77777777" w:rsidR="00070A19" w:rsidRPr="00306115" w:rsidRDefault="00070A19" w:rsidP="000D32D0">
                  <w:pPr>
                    <w:widowControl w:val="0"/>
                    <w:tabs>
                      <w:tab w:val="left" w:pos="389"/>
                    </w:tabs>
                    <w:spacing w:after="40"/>
                    <w:ind w:left="-105" w:right="-113"/>
                    <w:jc w:val="center"/>
                    <w:rPr>
                      <w:rFonts w:eastAsia="Bookman Old Style" w:cs="Bookman Old Style"/>
                      <w:color w:val="000000" w:themeColor="text1"/>
                      <w:szCs w:val="24"/>
                    </w:rPr>
                  </w:pPr>
                  <w:r w:rsidRPr="00306115">
                    <w:rPr>
                      <w:rFonts w:eastAsia="Bookman Old Style" w:cs="Bookman Old Style"/>
                      <w:color w:val="000000" w:themeColor="text1"/>
                      <w:szCs w:val="24"/>
                    </w:rPr>
                    <w:t>% thd NAB</w:t>
                  </w:r>
                </w:p>
              </w:tc>
              <w:tc>
                <w:tcPr>
                  <w:tcW w:w="1134" w:type="dxa"/>
                  <w:vAlign w:val="center"/>
                </w:tcPr>
                <w:p w14:paraId="0422AF57" w14:textId="77777777" w:rsidR="00070A19" w:rsidRPr="00306115" w:rsidRDefault="00070A19" w:rsidP="000D32D0">
                  <w:pPr>
                    <w:widowControl w:val="0"/>
                    <w:tabs>
                      <w:tab w:val="left" w:pos="389"/>
                    </w:tabs>
                    <w:spacing w:after="40"/>
                    <w:ind w:left="-119" w:right="-109"/>
                    <w:jc w:val="center"/>
                    <w:rPr>
                      <w:rFonts w:eastAsia="Bookman Old Style" w:cs="Bookman Old Style"/>
                      <w:color w:val="000000" w:themeColor="text1"/>
                      <w:szCs w:val="24"/>
                    </w:rPr>
                  </w:pPr>
                  <w:r w:rsidRPr="00306115">
                    <w:rPr>
                      <w:rFonts w:eastAsia="Bookman Old Style" w:cs="Bookman Old Style"/>
                      <w:color w:val="000000" w:themeColor="text1"/>
                      <w:szCs w:val="24"/>
                    </w:rPr>
                    <w:t>Beta (</w:t>
                  </w:r>
                  <m:oMath>
                    <m:r>
                      <w:rPr>
                        <w:rFonts w:ascii="Cambria Math" w:eastAsia="Bookman Old Style" w:hAnsi="Cambria Math" w:cs="Bookman Old Style"/>
                        <w:color w:val="000000" w:themeColor="text1"/>
                        <w:szCs w:val="24"/>
                      </w:rPr>
                      <m:t>β</m:t>
                    </m:r>
                  </m:oMath>
                  <w:r w:rsidRPr="00306115">
                    <w:rPr>
                      <w:rFonts w:eastAsia="Bookman Old Style" w:cs="Bookman Old Style"/>
                      <w:color w:val="000000" w:themeColor="text1"/>
                      <w:szCs w:val="24"/>
                    </w:rPr>
                    <w:t>)</w:t>
                  </w:r>
                </w:p>
              </w:tc>
              <w:tc>
                <w:tcPr>
                  <w:tcW w:w="1139" w:type="dxa"/>
                  <w:vAlign w:val="center"/>
                </w:tcPr>
                <w:p w14:paraId="41AD41D8" w14:textId="77777777" w:rsidR="00070A19" w:rsidRPr="00306115" w:rsidRDefault="00070A19" w:rsidP="000D32D0">
                  <w:pPr>
                    <w:widowControl w:val="0"/>
                    <w:tabs>
                      <w:tab w:val="left" w:pos="389"/>
                    </w:tabs>
                    <w:spacing w:after="40"/>
                    <w:ind w:left="-106" w:right="-103"/>
                    <w:jc w:val="center"/>
                    <w:rPr>
                      <w:rFonts w:eastAsia="Bookman Old Style" w:cs="Bookman Old Style"/>
                      <w:color w:val="000000" w:themeColor="text1"/>
                      <w:szCs w:val="24"/>
                    </w:rPr>
                  </w:pPr>
                  <w:r w:rsidRPr="00306115">
                    <w:rPr>
                      <w:rFonts w:eastAsia="Bookman Old Style" w:cs="Bookman Old Style"/>
                      <w:color w:val="000000" w:themeColor="text1"/>
                      <w:szCs w:val="24"/>
                    </w:rPr>
                    <w:t>Weighted Beta (</w:t>
                  </w:r>
                  <m:oMath>
                    <m:r>
                      <w:rPr>
                        <w:rFonts w:ascii="Cambria Math" w:eastAsia="Bookman Old Style" w:hAnsi="Cambria Math" w:cs="Bookman Old Style"/>
                        <w:color w:val="000000" w:themeColor="text1"/>
                        <w:szCs w:val="24"/>
                      </w:rPr>
                      <m:t>β</m:t>
                    </m:r>
                  </m:oMath>
                  <w:r w:rsidRPr="00306115">
                    <w:rPr>
                      <w:rFonts w:eastAsia="Bookman Old Style" w:cs="Bookman Old Style"/>
                      <w:color w:val="000000" w:themeColor="text1"/>
                      <w:szCs w:val="24"/>
                    </w:rPr>
                    <w:t>)</w:t>
                  </w:r>
                </w:p>
              </w:tc>
            </w:tr>
            <w:tr w:rsidR="00070A19" w:rsidRPr="00306115" w14:paraId="44F92BEA" w14:textId="77777777" w:rsidTr="000D32D0">
              <w:tc>
                <w:tcPr>
                  <w:tcW w:w="988" w:type="dxa"/>
                  <w:vAlign w:val="center"/>
                </w:tcPr>
                <w:p w14:paraId="2B705723" w14:textId="77777777" w:rsidR="00070A19" w:rsidRPr="00306115" w:rsidRDefault="00070A19" w:rsidP="000D32D0">
                  <w:pPr>
                    <w:widowControl w:val="0"/>
                    <w:tabs>
                      <w:tab w:val="left" w:pos="389"/>
                    </w:tabs>
                    <w:spacing w:after="40"/>
                    <w:ind w:left="-117" w:right="-112"/>
                    <w:jc w:val="center"/>
                    <w:rPr>
                      <w:rFonts w:eastAsia="Bookman Old Style" w:cs="Bookman Old Style"/>
                      <w:color w:val="000000" w:themeColor="text1"/>
                      <w:szCs w:val="24"/>
                    </w:rPr>
                  </w:pPr>
                  <w:r w:rsidRPr="00306115">
                    <w:rPr>
                      <w:rFonts w:eastAsia="Bookman Old Style" w:cs="Bookman Old Style"/>
                      <w:color w:val="000000" w:themeColor="text1"/>
                      <w:szCs w:val="24"/>
                    </w:rPr>
                    <w:t>A</w:t>
                  </w:r>
                </w:p>
              </w:tc>
              <w:tc>
                <w:tcPr>
                  <w:tcW w:w="1417" w:type="dxa"/>
                  <w:vAlign w:val="center"/>
                </w:tcPr>
                <w:p w14:paraId="0FCBAD7D" w14:textId="77777777" w:rsidR="00070A19" w:rsidRPr="00306115" w:rsidRDefault="00070A19" w:rsidP="000D32D0">
                  <w:pPr>
                    <w:widowControl w:val="0"/>
                    <w:tabs>
                      <w:tab w:val="left" w:pos="389"/>
                    </w:tabs>
                    <w:spacing w:after="40"/>
                    <w:ind w:left="-104" w:right="-108"/>
                    <w:jc w:val="center"/>
                    <w:rPr>
                      <w:rFonts w:eastAsia="Bookman Old Style" w:cs="Bookman Old Style"/>
                      <w:color w:val="000000" w:themeColor="text1"/>
                      <w:szCs w:val="24"/>
                    </w:rPr>
                  </w:pPr>
                  <w:r w:rsidRPr="00306115">
                    <w:rPr>
                      <w:rFonts w:eastAsia="Bookman Old Style" w:cs="Bookman Old Style"/>
                      <w:color w:val="000000" w:themeColor="text1"/>
                      <w:szCs w:val="24"/>
                    </w:rPr>
                    <w:t>Perbankan</w:t>
                  </w:r>
                </w:p>
              </w:tc>
              <w:tc>
                <w:tcPr>
                  <w:tcW w:w="1559" w:type="dxa"/>
                  <w:vAlign w:val="center"/>
                </w:tcPr>
                <w:p w14:paraId="13CB4ABC" w14:textId="77777777" w:rsidR="00070A19" w:rsidRPr="00306115" w:rsidRDefault="00070A19" w:rsidP="000D32D0">
                  <w:pPr>
                    <w:widowControl w:val="0"/>
                    <w:tabs>
                      <w:tab w:val="left" w:pos="389"/>
                    </w:tabs>
                    <w:spacing w:after="40"/>
                    <w:jc w:val="center"/>
                    <w:rPr>
                      <w:rFonts w:eastAsia="Bookman Old Style" w:cs="Bookman Old Style"/>
                      <w:color w:val="000000" w:themeColor="text1"/>
                      <w:szCs w:val="24"/>
                    </w:rPr>
                  </w:pPr>
                  <w:r w:rsidRPr="00306115">
                    <w:rPr>
                      <w:rFonts w:eastAsia="Bookman Old Style" w:cs="Bookman Old Style"/>
                      <w:color w:val="000000" w:themeColor="text1"/>
                      <w:szCs w:val="24"/>
                    </w:rPr>
                    <w:t>150,000</w:t>
                  </w:r>
                </w:p>
              </w:tc>
              <w:tc>
                <w:tcPr>
                  <w:tcW w:w="1134" w:type="dxa"/>
                  <w:vAlign w:val="center"/>
                </w:tcPr>
                <w:p w14:paraId="78FEDC38" w14:textId="77777777" w:rsidR="00070A19" w:rsidRPr="00306115" w:rsidRDefault="00070A19" w:rsidP="000D32D0">
                  <w:pPr>
                    <w:widowControl w:val="0"/>
                    <w:tabs>
                      <w:tab w:val="left" w:pos="389"/>
                    </w:tabs>
                    <w:spacing w:after="40"/>
                    <w:jc w:val="center"/>
                    <w:rPr>
                      <w:rFonts w:eastAsia="Bookman Old Style" w:cs="Bookman Old Style"/>
                      <w:color w:val="000000" w:themeColor="text1"/>
                      <w:szCs w:val="24"/>
                    </w:rPr>
                  </w:pPr>
                  <w:r w:rsidRPr="00306115">
                    <w:rPr>
                      <w:rFonts w:eastAsia="Bookman Old Style" w:cs="Bookman Old Style"/>
                      <w:color w:val="000000" w:themeColor="text1"/>
                      <w:szCs w:val="24"/>
                    </w:rPr>
                    <w:t>45.45%</w:t>
                  </w:r>
                </w:p>
              </w:tc>
              <w:tc>
                <w:tcPr>
                  <w:tcW w:w="1134" w:type="dxa"/>
                  <w:vAlign w:val="center"/>
                </w:tcPr>
                <w:p w14:paraId="64534CF3" w14:textId="77777777" w:rsidR="00070A19" w:rsidRPr="00306115" w:rsidRDefault="00070A19" w:rsidP="000D32D0">
                  <w:pPr>
                    <w:widowControl w:val="0"/>
                    <w:tabs>
                      <w:tab w:val="left" w:pos="389"/>
                    </w:tabs>
                    <w:spacing w:after="40"/>
                    <w:jc w:val="center"/>
                    <w:rPr>
                      <w:rFonts w:eastAsia="Bookman Old Style" w:cs="Bookman Old Style"/>
                      <w:color w:val="000000" w:themeColor="text1"/>
                      <w:szCs w:val="24"/>
                    </w:rPr>
                  </w:pPr>
                  <w:r w:rsidRPr="00306115">
                    <w:rPr>
                      <w:rFonts w:eastAsia="Bookman Old Style" w:cs="Bookman Old Style"/>
                      <w:color w:val="000000" w:themeColor="text1"/>
                      <w:szCs w:val="24"/>
                    </w:rPr>
                    <w:t>0.0060</w:t>
                  </w:r>
                </w:p>
              </w:tc>
              <w:tc>
                <w:tcPr>
                  <w:tcW w:w="1139" w:type="dxa"/>
                  <w:vAlign w:val="center"/>
                </w:tcPr>
                <w:p w14:paraId="6ABBE2D0" w14:textId="77777777" w:rsidR="00070A19" w:rsidRPr="00306115" w:rsidRDefault="00070A19" w:rsidP="000D32D0">
                  <w:pPr>
                    <w:widowControl w:val="0"/>
                    <w:tabs>
                      <w:tab w:val="left" w:pos="389"/>
                    </w:tabs>
                    <w:spacing w:after="40"/>
                    <w:jc w:val="center"/>
                    <w:rPr>
                      <w:rFonts w:eastAsia="Bookman Old Style" w:cs="Bookman Old Style"/>
                      <w:color w:val="000000" w:themeColor="text1"/>
                      <w:szCs w:val="24"/>
                    </w:rPr>
                  </w:pPr>
                  <w:r w:rsidRPr="00306115">
                    <w:rPr>
                      <w:rFonts w:eastAsia="Bookman Old Style" w:cs="Bookman Old Style"/>
                      <w:color w:val="000000" w:themeColor="text1"/>
                      <w:szCs w:val="24"/>
                    </w:rPr>
                    <w:t>0.0027</w:t>
                  </w:r>
                </w:p>
              </w:tc>
            </w:tr>
            <w:tr w:rsidR="00070A19" w:rsidRPr="00306115" w14:paraId="0CCA5804" w14:textId="77777777" w:rsidTr="000D32D0">
              <w:tc>
                <w:tcPr>
                  <w:tcW w:w="988" w:type="dxa"/>
                  <w:vAlign w:val="center"/>
                </w:tcPr>
                <w:p w14:paraId="26168E7F" w14:textId="77777777" w:rsidR="00070A19" w:rsidRPr="00306115" w:rsidRDefault="00070A19" w:rsidP="000D32D0">
                  <w:pPr>
                    <w:widowControl w:val="0"/>
                    <w:tabs>
                      <w:tab w:val="left" w:pos="389"/>
                    </w:tabs>
                    <w:spacing w:after="40"/>
                    <w:ind w:left="-117" w:right="-112"/>
                    <w:jc w:val="center"/>
                    <w:rPr>
                      <w:rFonts w:eastAsia="Bookman Old Style" w:cs="Bookman Old Style"/>
                      <w:color w:val="000000" w:themeColor="text1"/>
                      <w:szCs w:val="24"/>
                    </w:rPr>
                  </w:pPr>
                  <w:r w:rsidRPr="00306115">
                    <w:rPr>
                      <w:rFonts w:eastAsia="Bookman Old Style" w:cs="Bookman Old Style"/>
                      <w:color w:val="000000" w:themeColor="text1"/>
                      <w:szCs w:val="24"/>
                    </w:rPr>
                    <w:t>B</w:t>
                  </w:r>
                </w:p>
              </w:tc>
              <w:tc>
                <w:tcPr>
                  <w:tcW w:w="1417" w:type="dxa"/>
                  <w:vAlign w:val="center"/>
                </w:tcPr>
                <w:p w14:paraId="4A65537C" w14:textId="77777777" w:rsidR="00070A19" w:rsidRPr="00306115" w:rsidRDefault="00070A19" w:rsidP="000D32D0">
                  <w:pPr>
                    <w:widowControl w:val="0"/>
                    <w:tabs>
                      <w:tab w:val="left" w:pos="389"/>
                    </w:tabs>
                    <w:spacing w:after="40"/>
                    <w:ind w:left="-104" w:right="-108"/>
                    <w:jc w:val="center"/>
                    <w:rPr>
                      <w:rFonts w:eastAsia="Bookman Old Style" w:cs="Bookman Old Style"/>
                      <w:color w:val="000000" w:themeColor="text1"/>
                      <w:szCs w:val="24"/>
                    </w:rPr>
                  </w:pPr>
                  <w:r w:rsidRPr="00306115">
                    <w:rPr>
                      <w:rFonts w:eastAsia="Bookman Old Style" w:cs="Bookman Old Style"/>
                      <w:color w:val="000000" w:themeColor="text1"/>
                      <w:szCs w:val="24"/>
                    </w:rPr>
                    <w:t>Telecom</w:t>
                  </w:r>
                </w:p>
              </w:tc>
              <w:tc>
                <w:tcPr>
                  <w:tcW w:w="1559" w:type="dxa"/>
                  <w:vAlign w:val="center"/>
                </w:tcPr>
                <w:p w14:paraId="2C40A27A" w14:textId="77777777" w:rsidR="00070A19" w:rsidRPr="00306115" w:rsidRDefault="00070A19" w:rsidP="000D32D0">
                  <w:pPr>
                    <w:widowControl w:val="0"/>
                    <w:tabs>
                      <w:tab w:val="left" w:pos="389"/>
                    </w:tabs>
                    <w:spacing w:after="40"/>
                    <w:jc w:val="center"/>
                    <w:rPr>
                      <w:rFonts w:eastAsia="Bookman Old Style" w:cs="Bookman Old Style"/>
                      <w:color w:val="000000" w:themeColor="text1"/>
                      <w:szCs w:val="24"/>
                    </w:rPr>
                  </w:pPr>
                  <w:r w:rsidRPr="00306115">
                    <w:rPr>
                      <w:rFonts w:eastAsia="Bookman Old Style" w:cs="Bookman Old Style"/>
                      <w:color w:val="000000" w:themeColor="text1"/>
                      <w:szCs w:val="24"/>
                    </w:rPr>
                    <w:t>100,000</w:t>
                  </w:r>
                </w:p>
              </w:tc>
              <w:tc>
                <w:tcPr>
                  <w:tcW w:w="1134" w:type="dxa"/>
                  <w:vAlign w:val="center"/>
                </w:tcPr>
                <w:p w14:paraId="46A5E169" w14:textId="77777777" w:rsidR="00070A19" w:rsidRPr="00306115" w:rsidRDefault="00070A19" w:rsidP="000D32D0">
                  <w:pPr>
                    <w:widowControl w:val="0"/>
                    <w:tabs>
                      <w:tab w:val="left" w:pos="389"/>
                    </w:tabs>
                    <w:spacing w:after="40"/>
                    <w:jc w:val="center"/>
                    <w:rPr>
                      <w:rFonts w:eastAsia="Bookman Old Style" w:cs="Bookman Old Style"/>
                      <w:color w:val="000000" w:themeColor="text1"/>
                      <w:szCs w:val="24"/>
                    </w:rPr>
                  </w:pPr>
                  <w:r w:rsidRPr="00306115">
                    <w:rPr>
                      <w:rFonts w:eastAsia="Bookman Old Style" w:cs="Bookman Old Style"/>
                      <w:color w:val="000000" w:themeColor="text1"/>
                      <w:szCs w:val="24"/>
                    </w:rPr>
                    <w:t>30.30%</w:t>
                  </w:r>
                </w:p>
              </w:tc>
              <w:tc>
                <w:tcPr>
                  <w:tcW w:w="1134" w:type="dxa"/>
                  <w:vAlign w:val="center"/>
                </w:tcPr>
                <w:p w14:paraId="64C550BC" w14:textId="77777777" w:rsidR="00070A19" w:rsidRPr="00306115" w:rsidRDefault="00070A19" w:rsidP="000D32D0">
                  <w:pPr>
                    <w:widowControl w:val="0"/>
                    <w:tabs>
                      <w:tab w:val="left" w:pos="389"/>
                    </w:tabs>
                    <w:spacing w:after="40"/>
                    <w:jc w:val="center"/>
                    <w:rPr>
                      <w:rFonts w:eastAsia="Bookman Old Style" w:cs="Bookman Old Style"/>
                      <w:color w:val="000000" w:themeColor="text1"/>
                      <w:szCs w:val="24"/>
                    </w:rPr>
                  </w:pPr>
                  <w:r w:rsidRPr="00306115">
                    <w:rPr>
                      <w:rFonts w:eastAsia="Bookman Old Style" w:cs="Bookman Old Style"/>
                      <w:color w:val="000000" w:themeColor="text1"/>
                      <w:szCs w:val="24"/>
                    </w:rPr>
                    <w:t>-0.0399</w:t>
                  </w:r>
                </w:p>
              </w:tc>
              <w:tc>
                <w:tcPr>
                  <w:tcW w:w="1139" w:type="dxa"/>
                  <w:vAlign w:val="center"/>
                </w:tcPr>
                <w:p w14:paraId="00B7231A" w14:textId="77777777" w:rsidR="00070A19" w:rsidRPr="00306115" w:rsidRDefault="00070A19" w:rsidP="000D32D0">
                  <w:pPr>
                    <w:widowControl w:val="0"/>
                    <w:tabs>
                      <w:tab w:val="left" w:pos="389"/>
                    </w:tabs>
                    <w:spacing w:after="40"/>
                    <w:jc w:val="center"/>
                    <w:rPr>
                      <w:rFonts w:eastAsia="Bookman Old Style" w:cs="Bookman Old Style"/>
                      <w:color w:val="000000" w:themeColor="text1"/>
                      <w:szCs w:val="24"/>
                    </w:rPr>
                  </w:pPr>
                  <w:r w:rsidRPr="00306115">
                    <w:rPr>
                      <w:rFonts w:eastAsia="Bookman Old Style" w:cs="Bookman Old Style"/>
                      <w:color w:val="000000" w:themeColor="text1"/>
                      <w:szCs w:val="24"/>
                    </w:rPr>
                    <w:t>-0.0121</w:t>
                  </w:r>
                </w:p>
              </w:tc>
            </w:tr>
            <w:tr w:rsidR="00070A19" w:rsidRPr="00306115" w14:paraId="73160A35" w14:textId="77777777" w:rsidTr="000D32D0">
              <w:tc>
                <w:tcPr>
                  <w:tcW w:w="988" w:type="dxa"/>
                  <w:vAlign w:val="center"/>
                </w:tcPr>
                <w:p w14:paraId="499F5471" w14:textId="77777777" w:rsidR="00070A19" w:rsidRPr="00306115" w:rsidRDefault="00070A19" w:rsidP="000D32D0">
                  <w:pPr>
                    <w:widowControl w:val="0"/>
                    <w:tabs>
                      <w:tab w:val="left" w:pos="389"/>
                    </w:tabs>
                    <w:spacing w:after="40"/>
                    <w:ind w:left="-117" w:right="-112"/>
                    <w:jc w:val="center"/>
                    <w:rPr>
                      <w:rFonts w:eastAsia="Bookman Old Style" w:cs="Bookman Old Style"/>
                      <w:color w:val="000000" w:themeColor="text1"/>
                      <w:szCs w:val="24"/>
                    </w:rPr>
                  </w:pPr>
                  <w:r w:rsidRPr="00306115">
                    <w:rPr>
                      <w:rFonts w:eastAsia="Bookman Old Style" w:cs="Bookman Old Style"/>
                      <w:color w:val="000000" w:themeColor="text1"/>
                      <w:szCs w:val="24"/>
                    </w:rPr>
                    <w:t>C</w:t>
                  </w:r>
                </w:p>
              </w:tc>
              <w:tc>
                <w:tcPr>
                  <w:tcW w:w="1417" w:type="dxa"/>
                  <w:vAlign w:val="center"/>
                </w:tcPr>
                <w:p w14:paraId="007740DE" w14:textId="77777777" w:rsidR="00070A19" w:rsidRPr="00306115" w:rsidRDefault="00070A19" w:rsidP="000D32D0">
                  <w:pPr>
                    <w:widowControl w:val="0"/>
                    <w:tabs>
                      <w:tab w:val="left" w:pos="389"/>
                    </w:tabs>
                    <w:spacing w:after="40"/>
                    <w:ind w:left="-104" w:right="-108"/>
                    <w:jc w:val="center"/>
                    <w:rPr>
                      <w:rFonts w:eastAsia="Bookman Old Style" w:cs="Bookman Old Style"/>
                      <w:color w:val="000000" w:themeColor="text1"/>
                      <w:szCs w:val="24"/>
                    </w:rPr>
                  </w:pPr>
                  <w:r w:rsidRPr="00306115">
                    <w:rPr>
                      <w:rFonts w:eastAsia="Bookman Old Style" w:cs="Bookman Old Style"/>
                      <w:color w:val="000000" w:themeColor="text1"/>
                      <w:szCs w:val="24"/>
                    </w:rPr>
                    <w:t>Otomotif</w:t>
                  </w:r>
                </w:p>
              </w:tc>
              <w:tc>
                <w:tcPr>
                  <w:tcW w:w="1559" w:type="dxa"/>
                  <w:vAlign w:val="center"/>
                </w:tcPr>
                <w:p w14:paraId="7A003D4B" w14:textId="77777777" w:rsidR="00070A19" w:rsidRPr="00306115" w:rsidRDefault="00070A19" w:rsidP="000D32D0">
                  <w:pPr>
                    <w:widowControl w:val="0"/>
                    <w:tabs>
                      <w:tab w:val="left" w:pos="389"/>
                    </w:tabs>
                    <w:spacing w:after="40"/>
                    <w:jc w:val="center"/>
                    <w:rPr>
                      <w:rFonts w:eastAsia="Bookman Old Style" w:cs="Bookman Old Style"/>
                      <w:color w:val="000000" w:themeColor="text1"/>
                      <w:szCs w:val="24"/>
                    </w:rPr>
                  </w:pPr>
                  <w:r w:rsidRPr="00306115">
                    <w:rPr>
                      <w:rFonts w:eastAsia="Bookman Old Style" w:cs="Bookman Old Style"/>
                      <w:color w:val="000000" w:themeColor="text1"/>
                      <w:szCs w:val="24"/>
                    </w:rPr>
                    <w:t>80,000</w:t>
                  </w:r>
                </w:p>
              </w:tc>
              <w:tc>
                <w:tcPr>
                  <w:tcW w:w="1134" w:type="dxa"/>
                  <w:vAlign w:val="center"/>
                </w:tcPr>
                <w:p w14:paraId="763C4C5F" w14:textId="77777777" w:rsidR="00070A19" w:rsidRPr="00306115" w:rsidRDefault="00070A19" w:rsidP="000D32D0">
                  <w:pPr>
                    <w:widowControl w:val="0"/>
                    <w:tabs>
                      <w:tab w:val="left" w:pos="389"/>
                    </w:tabs>
                    <w:spacing w:after="40"/>
                    <w:jc w:val="center"/>
                    <w:rPr>
                      <w:rFonts w:eastAsia="Bookman Old Style" w:cs="Bookman Old Style"/>
                      <w:color w:val="000000" w:themeColor="text1"/>
                      <w:szCs w:val="24"/>
                    </w:rPr>
                  </w:pPr>
                  <w:r w:rsidRPr="00306115">
                    <w:rPr>
                      <w:rFonts w:eastAsia="Bookman Old Style" w:cs="Bookman Old Style"/>
                      <w:color w:val="000000" w:themeColor="text1"/>
                      <w:szCs w:val="24"/>
                    </w:rPr>
                    <w:t>24.25%</w:t>
                  </w:r>
                </w:p>
              </w:tc>
              <w:tc>
                <w:tcPr>
                  <w:tcW w:w="1134" w:type="dxa"/>
                  <w:vAlign w:val="center"/>
                </w:tcPr>
                <w:p w14:paraId="024AD413" w14:textId="77777777" w:rsidR="00070A19" w:rsidRPr="00306115" w:rsidRDefault="00070A19" w:rsidP="000D32D0">
                  <w:pPr>
                    <w:widowControl w:val="0"/>
                    <w:tabs>
                      <w:tab w:val="left" w:pos="389"/>
                    </w:tabs>
                    <w:spacing w:after="40"/>
                    <w:jc w:val="center"/>
                    <w:rPr>
                      <w:rFonts w:eastAsia="Bookman Old Style" w:cs="Bookman Old Style"/>
                      <w:color w:val="000000" w:themeColor="text1"/>
                      <w:szCs w:val="24"/>
                    </w:rPr>
                  </w:pPr>
                  <w:r w:rsidRPr="00306115">
                    <w:rPr>
                      <w:rFonts w:eastAsia="Bookman Old Style" w:cs="Bookman Old Style"/>
                      <w:color w:val="000000" w:themeColor="text1"/>
                      <w:szCs w:val="24"/>
                    </w:rPr>
                    <w:t>0.0327</w:t>
                  </w:r>
                </w:p>
              </w:tc>
              <w:tc>
                <w:tcPr>
                  <w:tcW w:w="1139" w:type="dxa"/>
                  <w:vAlign w:val="center"/>
                </w:tcPr>
                <w:p w14:paraId="0BB67E40" w14:textId="77777777" w:rsidR="00070A19" w:rsidRPr="00306115" w:rsidRDefault="00070A19" w:rsidP="000D32D0">
                  <w:pPr>
                    <w:widowControl w:val="0"/>
                    <w:tabs>
                      <w:tab w:val="left" w:pos="389"/>
                    </w:tabs>
                    <w:spacing w:after="40"/>
                    <w:jc w:val="center"/>
                    <w:rPr>
                      <w:rFonts w:eastAsia="Bookman Old Style" w:cs="Bookman Old Style"/>
                      <w:color w:val="000000" w:themeColor="text1"/>
                      <w:szCs w:val="24"/>
                    </w:rPr>
                  </w:pPr>
                  <w:r w:rsidRPr="00306115">
                    <w:rPr>
                      <w:rFonts w:eastAsia="Bookman Old Style" w:cs="Bookman Old Style"/>
                      <w:color w:val="000000" w:themeColor="text1"/>
                      <w:szCs w:val="24"/>
                    </w:rPr>
                    <w:t>0.0079</w:t>
                  </w:r>
                </w:p>
              </w:tc>
            </w:tr>
            <w:tr w:rsidR="00070A19" w:rsidRPr="00306115" w14:paraId="7F814EDB" w14:textId="77777777" w:rsidTr="000D32D0">
              <w:tc>
                <w:tcPr>
                  <w:tcW w:w="2405" w:type="dxa"/>
                  <w:gridSpan w:val="2"/>
                  <w:vAlign w:val="center"/>
                </w:tcPr>
                <w:p w14:paraId="2F92837D" w14:textId="7C97CFDE" w:rsidR="00070A19" w:rsidRPr="00306115" w:rsidRDefault="00070A19" w:rsidP="000D32D0">
                  <w:pPr>
                    <w:widowControl w:val="0"/>
                    <w:tabs>
                      <w:tab w:val="left" w:pos="389"/>
                    </w:tabs>
                    <w:spacing w:after="40"/>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Total</w:t>
                  </w:r>
                </w:p>
              </w:tc>
              <w:tc>
                <w:tcPr>
                  <w:tcW w:w="1559" w:type="dxa"/>
                  <w:vAlign w:val="center"/>
                </w:tcPr>
                <w:p w14:paraId="22CB20DD" w14:textId="77777777" w:rsidR="00070A19" w:rsidRPr="00306115" w:rsidRDefault="00070A19" w:rsidP="000D32D0">
                  <w:pPr>
                    <w:widowControl w:val="0"/>
                    <w:tabs>
                      <w:tab w:val="left" w:pos="389"/>
                    </w:tabs>
                    <w:spacing w:after="40"/>
                    <w:jc w:val="center"/>
                    <w:rPr>
                      <w:rFonts w:eastAsia="Bookman Old Style" w:cs="Bookman Old Style"/>
                      <w:color w:val="000000" w:themeColor="text1"/>
                      <w:szCs w:val="24"/>
                    </w:rPr>
                  </w:pPr>
                  <w:r w:rsidRPr="00306115">
                    <w:rPr>
                      <w:rFonts w:eastAsia="Bookman Old Style" w:cs="Bookman Old Style"/>
                      <w:color w:val="000000" w:themeColor="text1"/>
                      <w:szCs w:val="24"/>
                    </w:rPr>
                    <w:t>330,000</w:t>
                  </w:r>
                </w:p>
              </w:tc>
              <w:tc>
                <w:tcPr>
                  <w:tcW w:w="1134" w:type="dxa"/>
                  <w:vAlign w:val="center"/>
                </w:tcPr>
                <w:p w14:paraId="65B87894" w14:textId="77777777" w:rsidR="00070A19" w:rsidRPr="00306115" w:rsidRDefault="00070A19" w:rsidP="000D32D0">
                  <w:pPr>
                    <w:widowControl w:val="0"/>
                    <w:tabs>
                      <w:tab w:val="left" w:pos="389"/>
                    </w:tabs>
                    <w:spacing w:after="40"/>
                    <w:jc w:val="center"/>
                    <w:rPr>
                      <w:rFonts w:eastAsia="Bookman Old Style" w:cs="Bookman Old Style"/>
                      <w:color w:val="000000" w:themeColor="text1"/>
                      <w:szCs w:val="24"/>
                    </w:rPr>
                  </w:pPr>
                  <w:r w:rsidRPr="00306115">
                    <w:rPr>
                      <w:rFonts w:eastAsia="Bookman Old Style" w:cs="Bookman Old Style"/>
                      <w:color w:val="000000" w:themeColor="text1"/>
                      <w:szCs w:val="24"/>
                    </w:rPr>
                    <w:t>100%</w:t>
                  </w:r>
                </w:p>
              </w:tc>
              <w:tc>
                <w:tcPr>
                  <w:tcW w:w="1134" w:type="dxa"/>
                  <w:vAlign w:val="center"/>
                </w:tcPr>
                <w:p w14:paraId="70F6ABBE" w14:textId="77777777" w:rsidR="00070A19" w:rsidRPr="00306115" w:rsidRDefault="00070A19" w:rsidP="000D32D0">
                  <w:pPr>
                    <w:widowControl w:val="0"/>
                    <w:tabs>
                      <w:tab w:val="left" w:pos="389"/>
                    </w:tabs>
                    <w:spacing w:after="40"/>
                    <w:jc w:val="center"/>
                    <w:rPr>
                      <w:rFonts w:eastAsia="Bookman Old Style" w:cs="Bookman Old Style"/>
                      <w:color w:val="000000" w:themeColor="text1"/>
                      <w:szCs w:val="24"/>
                    </w:rPr>
                  </w:pPr>
                </w:p>
              </w:tc>
              <w:tc>
                <w:tcPr>
                  <w:tcW w:w="1139" w:type="dxa"/>
                  <w:vAlign w:val="center"/>
                </w:tcPr>
                <w:p w14:paraId="42277A08" w14:textId="77777777" w:rsidR="00070A19" w:rsidRPr="00306115" w:rsidRDefault="00070A19" w:rsidP="000D32D0">
                  <w:pPr>
                    <w:widowControl w:val="0"/>
                    <w:tabs>
                      <w:tab w:val="left" w:pos="389"/>
                    </w:tabs>
                    <w:spacing w:after="40"/>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-0.0014</w:t>
                  </w:r>
                </w:p>
              </w:tc>
            </w:tr>
          </w:tbl>
          <w:p w14:paraId="1EBB327A" w14:textId="77777777" w:rsidR="00070A19" w:rsidRPr="00306115" w:rsidRDefault="00070A19">
            <w:pPr>
              <w:widowControl w:val="0"/>
              <w:numPr>
                <w:ilvl w:val="0"/>
                <w:numId w:val="439"/>
              </w:numPr>
              <w:pBdr>
                <w:top w:val="nil"/>
                <w:left w:val="nil"/>
                <w:bottom w:val="nil"/>
                <w:right w:val="nil"/>
                <w:between w:val="nil"/>
              </w:pBdr>
              <w:tabs>
                <w:tab w:val="left" w:pos="887"/>
              </w:tabs>
              <w:spacing w:after="4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 xml:space="preserve">Beta dihitung setiap hari bursa menggunakan komposisi portofolio pada hari yang sama. Dengan demikian nilai beta merupakan rata-rata harian nilai beta portofolio dalam setahun. </w:t>
            </w:r>
          </w:p>
          <w:p w14:paraId="0E8C432C" w14:textId="77777777" w:rsidR="00070A19" w:rsidRPr="00306115" w:rsidRDefault="00070A19">
            <w:pPr>
              <w:widowControl w:val="0"/>
              <w:numPr>
                <w:ilvl w:val="0"/>
                <w:numId w:val="439"/>
              </w:numPr>
              <w:pBdr>
                <w:top w:val="nil"/>
                <w:left w:val="nil"/>
                <w:bottom w:val="nil"/>
                <w:right w:val="nil"/>
                <w:between w:val="nil"/>
              </w:pBdr>
              <w:tabs>
                <w:tab w:val="left" w:pos="887"/>
              </w:tabs>
              <w:spacing w:after="40" w:line="240" w:lineRule="auto"/>
              <w:ind w:left="567" w:hanging="567"/>
              <w:rPr>
                <w:rFonts w:eastAsia="Bookman Old Style" w:cs="Bookman Old Style"/>
                <w:i/>
                <w:iCs/>
                <w:color w:val="000000" w:themeColor="text1"/>
                <w:szCs w:val="24"/>
              </w:rPr>
            </w:pPr>
            <w:r w:rsidRPr="00306115">
              <w:rPr>
                <w:rFonts w:eastAsia="Bookman Old Style" w:cs="Bookman Old Style"/>
                <w:color w:val="000000" w:themeColor="text1"/>
                <w:szCs w:val="24"/>
              </w:rPr>
              <w:t xml:space="preserve">Peringkat Risiko nilai </w:t>
            </w:r>
            <w:r w:rsidRPr="00306115">
              <w:rPr>
                <w:rFonts w:eastAsia="Bookman Old Style" w:cs="Bookman Old Style"/>
                <w:i/>
                <w:iCs/>
                <w:color w:val="000000" w:themeColor="text1"/>
                <w:szCs w:val="24"/>
              </w:rPr>
              <w:t xml:space="preserve">Beta coefficient </w:t>
            </w:r>
            <w:r w:rsidRPr="00306115">
              <w:rPr>
                <w:rFonts w:eastAsia="Bookman Old Style" w:cs="Bookman Old Style"/>
                <w:color w:val="000000" w:themeColor="text1"/>
                <w:szCs w:val="24"/>
              </w:rPr>
              <w:t>│</w:t>
            </w:r>
            <w:r w:rsidRPr="00306115">
              <w:rPr>
                <w:rFonts w:eastAsia="Bookman Old Style" w:cs="Bookman Old Style"/>
                <w:i/>
                <w:iCs/>
                <w:color w:val="000000" w:themeColor="text1"/>
                <w:szCs w:val="24"/>
              </w:rPr>
              <w:t>ß │</w:t>
            </w:r>
            <w:r w:rsidRPr="00306115">
              <w:rPr>
                <w:rFonts w:eastAsia="Bookman Old Style" w:cs="Bookman Old Style"/>
                <w:color w:val="000000" w:themeColor="text1"/>
                <w:szCs w:val="24"/>
              </w:rPr>
              <w:t>nilai abosulut:</w:t>
            </w:r>
          </w:p>
          <w:p w14:paraId="35F9A216" w14:textId="77777777" w:rsidR="00070A19" w:rsidRPr="00306115" w:rsidRDefault="00070A19" w:rsidP="008B6C68">
            <w:pPr>
              <w:widowControl w:val="0"/>
              <w:numPr>
                <w:ilvl w:val="1"/>
                <w:numId w:val="260"/>
              </w:numPr>
              <w:pBdr>
                <w:top w:val="nil"/>
                <w:left w:val="nil"/>
                <w:bottom w:val="nil"/>
                <w:right w:val="nil"/>
                <w:between w:val="nil"/>
              </w:pBdr>
              <w:tabs>
                <w:tab w:val="left" w:pos="389"/>
              </w:tabs>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rPr>
              <w:t>Peringkat 1: Beta &lt; 0.3</w:t>
            </w:r>
          </w:p>
          <w:p w14:paraId="44CBFB30" w14:textId="77777777" w:rsidR="00070A19" w:rsidRPr="00306115" w:rsidRDefault="00070A19" w:rsidP="008B6C68">
            <w:pPr>
              <w:widowControl w:val="0"/>
              <w:numPr>
                <w:ilvl w:val="1"/>
                <w:numId w:val="260"/>
              </w:numPr>
              <w:pBdr>
                <w:top w:val="nil"/>
                <w:left w:val="nil"/>
                <w:bottom w:val="nil"/>
                <w:right w:val="nil"/>
                <w:between w:val="nil"/>
              </w:pBdr>
              <w:tabs>
                <w:tab w:val="left" w:pos="389"/>
              </w:tabs>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rPr>
              <w:t>Peringkat 2: Beta 0.3 – 0.5</w:t>
            </w:r>
          </w:p>
          <w:p w14:paraId="60702811" w14:textId="77777777" w:rsidR="00070A19" w:rsidRPr="00306115" w:rsidRDefault="00070A19" w:rsidP="008B6C68">
            <w:pPr>
              <w:widowControl w:val="0"/>
              <w:numPr>
                <w:ilvl w:val="1"/>
                <w:numId w:val="260"/>
              </w:numPr>
              <w:pBdr>
                <w:top w:val="nil"/>
                <w:left w:val="nil"/>
                <w:bottom w:val="nil"/>
                <w:right w:val="nil"/>
                <w:between w:val="nil"/>
              </w:pBdr>
              <w:tabs>
                <w:tab w:val="left" w:pos="389"/>
              </w:tabs>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rPr>
              <w:t>Peringkat 3: Beta 0.51 – 1</w:t>
            </w:r>
          </w:p>
          <w:p w14:paraId="55C0E706" w14:textId="77777777" w:rsidR="000D32D0" w:rsidRPr="00306115" w:rsidRDefault="00070A19" w:rsidP="000D32D0">
            <w:pPr>
              <w:widowControl w:val="0"/>
              <w:numPr>
                <w:ilvl w:val="1"/>
                <w:numId w:val="260"/>
              </w:numPr>
              <w:pBdr>
                <w:top w:val="nil"/>
                <w:left w:val="nil"/>
                <w:bottom w:val="nil"/>
                <w:right w:val="nil"/>
                <w:between w:val="nil"/>
              </w:pBdr>
              <w:tabs>
                <w:tab w:val="left" w:pos="389"/>
              </w:tabs>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rPr>
              <w:t>Peringkat 4: Beta 1.1 – 1.25</w:t>
            </w:r>
          </w:p>
          <w:p w14:paraId="3EE57F22" w14:textId="4511C50A" w:rsidR="00070A19" w:rsidRPr="00306115" w:rsidRDefault="00070A19" w:rsidP="000D32D0">
            <w:pPr>
              <w:widowControl w:val="0"/>
              <w:numPr>
                <w:ilvl w:val="1"/>
                <w:numId w:val="260"/>
              </w:numPr>
              <w:pBdr>
                <w:top w:val="nil"/>
                <w:left w:val="nil"/>
                <w:bottom w:val="nil"/>
                <w:right w:val="nil"/>
                <w:between w:val="nil"/>
              </w:pBdr>
              <w:tabs>
                <w:tab w:val="left" w:pos="389"/>
              </w:tabs>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rPr>
              <w:t xml:space="preserve">Peringkat 5: Beta &gt;1.25 </w:t>
            </w:r>
          </w:p>
        </w:tc>
      </w:tr>
      <w:tr w:rsidR="00BC1859" w:rsidRPr="00306115" w14:paraId="1C8EE742" w14:textId="77777777" w:rsidTr="00846FF2">
        <w:trPr>
          <w:trHeight w:val="406"/>
        </w:trPr>
        <w:tc>
          <w:tcPr>
            <w:tcW w:w="3119" w:type="dxa"/>
            <w:gridSpan w:val="2"/>
          </w:tcPr>
          <w:p w14:paraId="07A65900" w14:textId="38E85BDB" w:rsidR="00BC1859" w:rsidRPr="00306115" w:rsidRDefault="00BC1859" w:rsidP="00BC1859">
            <w:pPr>
              <w:widowControl w:val="0"/>
              <w:pBdr>
                <w:top w:val="nil"/>
                <w:left w:val="nil"/>
                <w:bottom w:val="nil"/>
                <w:right w:val="nil"/>
                <w:between w:val="nil"/>
              </w:pBdr>
              <w:spacing w:after="0" w:line="240" w:lineRule="auto"/>
              <w:rPr>
                <w:rFonts w:eastAsia="Bookman Old Style" w:cs="Bookman Old Style"/>
                <w:i/>
                <w:iCs/>
                <w:strike/>
                <w:color w:val="000000" w:themeColor="text1"/>
                <w:szCs w:val="24"/>
              </w:rPr>
            </w:pPr>
            <w:r w:rsidRPr="00306115">
              <w:rPr>
                <w:rFonts w:eastAsia="Bookman Old Style" w:cs="Bookman Old Style"/>
                <w:color w:val="000000" w:themeColor="text1"/>
                <w:szCs w:val="24"/>
              </w:rPr>
              <w:lastRenderedPageBreak/>
              <w:t>Durasi Surat Utang</w:t>
            </w:r>
          </w:p>
        </w:tc>
        <w:tc>
          <w:tcPr>
            <w:tcW w:w="2551" w:type="dxa"/>
          </w:tcPr>
          <w:p w14:paraId="4518C08B" w14:textId="77777777" w:rsidR="00BC1859" w:rsidRPr="00306115" w:rsidRDefault="00BC1859" w:rsidP="00BC1859">
            <w:pPr>
              <w:widowControl w:val="0"/>
              <w:pBdr>
                <w:top w:val="nil"/>
                <w:left w:val="nil"/>
                <w:bottom w:val="nil"/>
                <w:right w:val="nil"/>
                <w:between w:val="nil"/>
              </w:pBdr>
              <w:spacing w:after="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Instrumen Efek bersifat Utang dan/atau Sukuk, antara lain:</w:t>
            </w:r>
          </w:p>
          <w:p w14:paraId="619F621F" w14:textId="5F4AD122" w:rsidR="00BC1859" w:rsidRPr="00306115" w:rsidRDefault="00BC1859">
            <w:pPr>
              <w:widowControl w:val="0"/>
              <w:numPr>
                <w:ilvl w:val="0"/>
                <w:numId w:val="440"/>
              </w:numPr>
              <w:pBdr>
                <w:top w:val="nil"/>
                <w:left w:val="nil"/>
                <w:bottom w:val="nil"/>
                <w:right w:val="nil"/>
                <w:between w:val="nil"/>
              </w:pBdr>
              <w:tabs>
                <w:tab w:val="left" w:pos="890"/>
              </w:tabs>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lastRenderedPageBreak/>
              <w:t>Obligasi</w:t>
            </w:r>
            <w:r w:rsidR="00310F34" w:rsidRPr="00306115">
              <w:rPr>
                <w:rFonts w:eastAsia="Bookman Old Style" w:cs="Bookman Old Style"/>
                <w:color w:val="000000" w:themeColor="text1"/>
                <w:szCs w:val="24"/>
              </w:rPr>
              <w:t>/</w:t>
            </w:r>
            <w:r w:rsidR="00310F34" w:rsidRPr="00306115">
              <w:rPr>
                <w:rFonts w:eastAsia="Bookman Old Style" w:cs="Bookman Old Style"/>
                <w:color w:val="000000" w:themeColor="text1"/>
                <w:szCs w:val="24"/>
              </w:rPr>
              <w:br/>
            </w:r>
            <w:r w:rsidRPr="00306115">
              <w:rPr>
                <w:rFonts w:eastAsia="Bookman Old Style" w:cs="Bookman Old Style"/>
                <w:color w:val="000000" w:themeColor="text1"/>
                <w:szCs w:val="24"/>
              </w:rPr>
              <w:t>Suk</w:t>
            </w:r>
            <w:r w:rsidR="0018399D" w:rsidRPr="00306115">
              <w:rPr>
                <w:rFonts w:eastAsia="Bookman Old Style" w:cs="Bookman Old Style"/>
                <w:color w:val="000000" w:themeColor="text1"/>
                <w:szCs w:val="24"/>
              </w:rPr>
              <w:t>u</w:t>
            </w:r>
            <w:r w:rsidRPr="00306115">
              <w:rPr>
                <w:rFonts w:eastAsia="Bookman Old Style" w:cs="Bookman Old Style"/>
                <w:color w:val="000000" w:themeColor="text1"/>
                <w:szCs w:val="24"/>
              </w:rPr>
              <w:t>k korporasi</w:t>
            </w:r>
          </w:p>
          <w:p w14:paraId="3A841FFF" w14:textId="2E7D898E" w:rsidR="00BC1859" w:rsidRPr="00306115" w:rsidRDefault="00BC1859">
            <w:pPr>
              <w:widowControl w:val="0"/>
              <w:numPr>
                <w:ilvl w:val="0"/>
                <w:numId w:val="440"/>
              </w:numPr>
              <w:pBdr>
                <w:top w:val="nil"/>
                <w:left w:val="nil"/>
                <w:bottom w:val="nil"/>
                <w:right w:val="nil"/>
                <w:between w:val="nil"/>
              </w:pBdr>
              <w:tabs>
                <w:tab w:val="left" w:pos="748"/>
              </w:tabs>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Surat</w:t>
            </w:r>
            <w:r w:rsidR="0018399D" w:rsidRPr="00306115">
              <w:rPr>
                <w:rFonts w:eastAsia="Bookman Old Style" w:cs="Bookman Old Style"/>
                <w:color w:val="000000" w:themeColor="text1"/>
                <w:szCs w:val="24"/>
              </w:rPr>
              <w:t xml:space="preserve"> </w:t>
            </w:r>
            <w:r w:rsidRPr="00306115">
              <w:rPr>
                <w:rFonts w:eastAsia="Bookman Old Style" w:cs="Bookman Old Style"/>
                <w:color w:val="000000" w:themeColor="text1"/>
                <w:szCs w:val="24"/>
              </w:rPr>
              <w:t>Utang/Sukuk Negara; dan</w:t>
            </w:r>
          </w:p>
          <w:p w14:paraId="13B10555" w14:textId="79CC4037" w:rsidR="00BC1859" w:rsidRPr="00306115" w:rsidRDefault="00BC1859">
            <w:pPr>
              <w:widowControl w:val="0"/>
              <w:numPr>
                <w:ilvl w:val="0"/>
                <w:numId w:val="440"/>
              </w:numPr>
              <w:pBdr>
                <w:top w:val="nil"/>
                <w:left w:val="nil"/>
                <w:bottom w:val="nil"/>
                <w:right w:val="nil"/>
                <w:between w:val="nil"/>
              </w:pBdr>
              <w:tabs>
                <w:tab w:val="left" w:pos="748"/>
              </w:tabs>
              <w:spacing w:after="0" w:line="240" w:lineRule="auto"/>
              <w:ind w:left="567" w:hanging="567"/>
              <w:rPr>
                <w:rFonts w:eastAsia="Bookman Old Style" w:cs="Bookman Old Style"/>
                <w:strike/>
                <w:color w:val="000000" w:themeColor="text1"/>
                <w:szCs w:val="24"/>
              </w:rPr>
            </w:pPr>
            <w:r w:rsidRPr="00306115">
              <w:rPr>
                <w:rFonts w:eastAsia="Bookman Old Style" w:cs="Bookman Old Style"/>
                <w:color w:val="000000" w:themeColor="text1"/>
                <w:szCs w:val="24"/>
              </w:rPr>
              <w:t>Instrumen Pasar Uang</w:t>
            </w:r>
          </w:p>
        </w:tc>
        <w:tc>
          <w:tcPr>
            <w:tcW w:w="9072" w:type="dxa"/>
          </w:tcPr>
          <w:p w14:paraId="2BC8823B" w14:textId="497A2616" w:rsidR="00BC1859" w:rsidRPr="00306115" w:rsidRDefault="00BC1859">
            <w:pPr>
              <w:numPr>
                <w:ilvl w:val="0"/>
                <w:numId w:val="441"/>
              </w:numPr>
              <w:tabs>
                <w:tab w:val="left" w:pos="1021"/>
                <w:tab w:val="left" w:pos="1304"/>
              </w:tabs>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lastRenderedPageBreak/>
              <w:t xml:space="preserve">Durasi menunjukkan sensitivitas harga atas instrumen Efek Bersifat Utang </w:t>
            </w:r>
            <w:r w:rsidR="0066439E" w:rsidRPr="00306115">
              <w:rPr>
                <w:rFonts w:eastAsia="Bookman Old Style" w:cs="Bookman Old Style"/>
                <w:color w:val="000000" w:themeColor="text1"/>
                <w:szCs w:val="24"/>
              </w:rPr>
              <w:t>dan/</w:t>
            </w:r>
            <w:r w:rsidRPr="00306115">
              <w:rPr>
                <w:rFonts w:eastAsia="Bookman Old Style" w:cs="Bookman Old Style"/>
                <w:color w:val="000000" w:themeColor="text1"/>
                <w:szCs w:val="24"/>
              </w:rPr>
              <w:t>atau Sukuk terhadap perubahan suku bunga</w:t>
            </w:r>
            <w:r w:rsidR="0066439E" w:rsidRPr="00306115">
              <w:rPr>
                <w:rFonts w:eastAsia="Bookman Old Style" w:cs="Bookman Old Style"/>
                <w:color w:val="000000" w:themeColor="text1"/>
                <w:szCs w:val="24"/>
              </w:rPr>
              <w:t xml:space="preserve">, </w:t>
            </w:r>
            <w:r w:rsidRPr="00306115">
              <w:rPr>
                <w:rFonts w:eastAsia="Bookman Old Style" w:cs="Bookman Old Style"/>
                <w:i/>
                <w:iCs/>
                <w:color w:val="000000" w:themeColor="text1"/>
                <w:szCs w:val="24"/>
              </w:rPr>
              <w:t>yields</w:t>
            </w:r>
            <w:r w:rsidRPr="00306115">
              <w:rPr>
                <w:rFonts w:eastAsia="Bookman Old Style" w:cs="Bookman Old Style"/>
                <w:color w:val="000000" w:themeColor="text1"/>
                <w:szCs w:val="24"/>
              </w:rPr>
              <w:t xml:space="preserve"> atau </w:t>
            </w:r>
            <w:r w:rsidRPr="00306115">
              <w:rPr>
                <w:rFonts w:eastAsia="Bookman Old Style" w:cs="Bookman Old Style"/>
                <w:i/>
                <w:iCs/>
                <w:color w:val="000000" w:themeColor="text1"/>
                <w:szCs w:val="24"/>
              </w:rPr>
              <w:t>market interest rate</w:t>
            </w:r>
            <w:r w:rsidRPr="00306115">
              <w:rPr>
                <w:rFonts w:eastAsia="Bookman Old Style" w:cs="Bookman Old Style"/>
                <w:color w:val="000000" w:themeColor="text1"/>
                <w:szCs w:val="24"/>
              </w:rPr>
              <w:t xml:space="preserve"> dalam portofolio produk.</w:t>
            </w:r>
          </w:p>
          <w:p w14:paraId="4638DBD6" w14:textId="799312FD" w:rsidR="00BC1859" w:rsidRPr="00306115" w:rsidRDefault="00BC1859">
            <w:pPr>
              <w:numPr>
                <w:ilvl w:val="0"/>
                <w:numId w:val="441"/>
              </w:numPr>
              <w:tabs>
                <w:tab w:val="left" w:pos="1021"/>
                <w:tab w:val="left" w:pos="1304"/>
              </w:tabs>
              <w:spacing w:after="0" w:line="240" w:lineRule="auto"/>
              <w:ind w:left="567" w:hanging="567"/>
              <w:rPr>
                <w:rFonts w:eastAsia="Bookman Old Style" w:cs="Bookman Old Style"/>
                <w:i/>
                <w:iCs/>
                <w:color w:val="000000" w:themeColor="text1"/>
                <w:szCs w:val="24"/>
              </w:rPr>
            </w:pPr>
            <w:r w:rsidRPr="00306115">
              <w:rPr>
                <w:rFonts w:eastAsia="Bookman Old Style" w:cs="Bookman Old Style"/>
                <w:color w:val="000000" w:themeColor="text1"/>
                <w:szCs w:val="24"/>
              </w:rPr>
              <w:lastRenderedPageBreak/>
              <w:t xml:space="preserve">Durasi dihitung sebagai rata-rata tertimbang </w:t>
            </w:r>
            <w:r w:rsidRPr="00306115">
              <w:rPr>
                <w:rFonts w:eastAsia="Bookman Old Style" w:cs="Bookman Old Style"/>
                <w:i/>
                <w:iCs/>
                <w:color w:val="000000" w:themeColor="text1"/>
                <w:szCs w:val="24"/>
              </w:rPr>
              <w:t>Modified Duration</w:t>
            </w:r>
            <w:r w:rsidRPr="00306115">
              <w:rPr>
                <w:rFonts w:eastAsia="Bookman Old Style" w:cs="Bookman Old Style"/>
                <w:color w:val="000000" w:themeColor="text1"/>
                <w:szCs w:val="24"/>
              </w:rPr>
              <w:t xml:space="preserve"> dari seluruh Efek Bersifat Utang </w:t>
            </w:r>
            <w:r w:rsidR="00081249" w:rsidRPr="00306115">
              <w:rPr>
                <w:rFonts w:eastAsia="Bookman Old Style" w:cs="Bookman Old Style"/>
                <w:color w:val="000000" w:themeColor="text1"/>
                <w:szCs w:val="24"/>
              </w:rPr>
              <w:t>dan/</w:t>
            </w:r>
            <w:r w:rsidRPr="00306115">
              <w:rPr>
                <w:rFonts w:eastAsia="Bookman Old Style" w:cs="Bookman Old Style"/>
                <w:color w:val="000000" w:themeColor="text1"/>
                <w:szCs w:val="24"/>
              </w:rPr>
              <w:t xml:space="preserve">atau Sukuk pada suatu portofolio </w:t>
            </w:r>
            <w:r w:rsidR="00081249" w:rsidRPr="00306115">
              <w:rPr>
                <w:rFonts w:eastAsia="Bookman Old Style" w:cs="Bookman Old Style"/>
                <w:color w:val="000000" w:themeColor="text1"/>
                <w:szCs w:val="24"/>
              </w:rPr>
              <w:t>P</w:t>
            </w:r>
            <w:r w:rsidRPr="00306115">
              <w:rPr>
                <w:rFonts w:eastAsia="Bookman Old Style" w:cs="Bookman Old Style"/>
                <w:color w:val="000000" w:themeColor="text1"/>
                <w:szCs w:val="24"/>
              </w:rPr>
              <w:t>roduk</w:t>
            </w:r>
            <w:r w:rsidR="00081249" w:rsidRPr="00306115">
              <w:rPr>
                <w:rFonts w:eastAsia="Bookman Old Style" w:cs="Bookman Old Style"/>
                <w:color w:val="000000" w:themeColor="text1"/>
                <w:szCs w:val="24"/>
              </w:rPr>
              <w:t xml:space="preserve"> Investasi</w:t>
            </w:r>
            <w:r w:rsidRPr="00306115">
              <w:rPr>
                <w:rFonts w:eastAsia="Bookman Old Style" w:cs="Bookman Old Style"/>
                <w:color w:val="000000" w:themeColor="text1"/>
                <w:szCs w:val="24"/>
              </w:rPr>
              <w:t>.</w:t>
            </w:r>
          </w:p>
          <w:p w14:paraId="0E5688BF" w14:textId="77777777" w:rsidR="00BC1859" w:rsidRPr="00306115" w:rsidRDefault="00BC1859">
            <w:pPr>
              <w:numPr>
                <w:ilvl w:val="0"/>
                <w:numId w:val="441"/>
              </w:numPr>
              <w:tabs>
                <w:tab w:val="left" w:pos="1021"/>
                <w:tab w:val="left" w:pos="1304"/>
              </w:tabs>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 xml:space="preserve">Langkah perhitungan </w:t>
            </w:r>
            <w:r w:rsidRPr="00306115">
              <w:rPr>
                <w:rFonts w:eastAsia="Bookman Old Style" w:cs="Bookman Old Style"/>
                <w:i/>
                <w:iCs/>
                <w:color w:val="000000" w:themeColor="text1"/>
                <w:szCs w:val="24"/>
              </w:rPr>
              <w:t>Modified Duration</w:t>
            </w:r>
          </w:p>
          <w:p w14:paraId="28C8BF5C" w14:textId="77777777" w:rsidR="00BC1859" w:rsidRPr="00306115" w:rsidRDefault="00BC1859">
            <w:pPr>
              <w:numPr>
                <w:ilvl w:val="1"/>
                <w:numId w:val="441"/>
              </w:numPr>
              <w:tabs>
                <w:tab w:val="left" w:pos="567"/>
                <w:tab w:val="left" w:pos="630"/>
              </w:tabs>
              <w:spacing w:after="0" w:line="240" w:lineRule="auto"/>
              <w:ind w:left="851" w:hanging="284"/>
              <w:rPr>
                <w:rFonts w:eastAsia="Bookman Old Style" w:cs="Bookman Old Style"/>
                <w:color w:val="000000" w:themeColor="text1"/>
                <w:szCs w:val="24"/>
              </w:rPr>
            </w:pPr>
            <w:r w:rsidRPr="00306115">
              <w:rPr>
                <w:rFonts w:eastAsia="Bookman Old Style" w:cs="Bookman Old Style"/>
                <w:i/>
                <w:iCs/>
                <w:color w:val="000000" w:themeColor="text1"/>
                <w:szCs w:val="24"/>
              </w:rPr>
              <w:t>Macaulay Duration</w:t>
            </w:r>
            <w:r w:rsidRPr="00306115">
              <w:rPr>
                <w:rFonts w:eastAsia="Bookman Old Style" w:cs="Bookman Old Style"/>
                <w:color w:val="000000" w:themeColor="text1"/>
                <w:szCs w:val="24"/>
              </w:rPr>
              <w:t xml:space="preserve"> dihitung dengan cara:</w:t>
            </w:r>
          </w:p>
          <w:p w14:paraId="3861FA33" w14:textId="77777777" w:rsidR="00BC1859" w:rsidRPr="00306115" w:rsidRDefault="00BC1859" w:rsidP="00BC1859">
            <w:pPr>
              <w:spacing w:after="0" w:line="240" w:lineRule="auto"/>
              <w:rPr>
                <w:rFonts w:eastAsia="Cambria Math" w:cs="Cambria Math"/>
                <w:color w:val="000000" w:themeColor="text1"/>
                <w:szCs w:val="24"/>
              </w:rPr>
            </w:pPr>
            <m:oMathPara>
              <m:oMath>
                <m:r>
                  <w:rPr>
                    <w:rFonts w:ascii="Cambria Math" w:eastAsia="Cambria Math" w:hAnsi="Cambria Math" w:cs="Cambria Math"/>
                    <w:color w:val="000000" w:themeColor="text1"/>
                    <w:szCs w:val="24"/>
                  </w:rPr>
                  <m:t>MacD=</m:t>
                </m:r>
                <m:nary>
                  <m:naryPr>
                    <m:chr m:val="∑"/>
                    <m:ctrlPr>
                      <w:rPr>
                        <w:rFonts w:ascii="Cambria Math" w:eastAsia="Cambria Math" w:hAnsi="Cambria Math" w:cs="Cambria Math"/>
                        <w:color w:val="000000" w:themeColor="text1"/>
                        <w:szCs w:val="24"/>
                      </w:rPr>
                    </m:ctrlPr>
                  </m:naryPr>
                  <m:sub>
                    <m:r>
                      <w:rPr>
                        <w:rFonts w:ascii="Cambria Math" w:eastAsia="Cambria Math" w:hAnsi="Cambria Math" w:cs="Cambria Math"/>
                        <w:color w:val="000000" w:themeColor="text1"/>
                        <w:szCs w:val="24"/>
                      </w:rPr>
                      <m:t>t=1</m:t>
                    </m:r>
                  </m:sub>
                  <m:sup>
                    <m:r>
                      <w:rPr>
                        <w:rFonts w:ascii="Cambria Math" w:eastAsia="Cambria Math" w:hAnsi="Cambria Math" w:cs="Cambria Math"/>
                        <w:color w:val="000000" w:themeColor="text1"/>
                        <w:szCs w:val="24"/>
                      </w:rPr>
                      <m:t>T</m:t>
                    </m:r>
                  </m:sup>
                  <m:e>
                    <m:r>
                      <w:rPr>
                        <w:rFonts w:ascii="Cambria Math" w:eastAsia="Cambria Math" w:hAnsi="Cambria Math" w:cs="Cambria Math"/>
                        <w:color w:val="000000" w:themeColor="text1"/>
                        <w:szCs w:val="24"/>
                      </w:rPr>
                      <m:t>t</m:t>
                    </m:r>
                  </m:e>
                </m:nary>
                <m:r>
                  <w:rPr>
                    <w:rFonts w:ascii="Cambria Math" w:eastAsia="Cambria Math" w:hAnsi="Cambria Math" w:cs="Cambria Math"/>
                    <w:color w:val="000000" w:themeColor="text1"/>
                    <w:szCs w:val="24"/>
                  </w:rPr>
                  <m:t xml:space="preserve">× </m:t>
                </m:r>
                <m:f>
                  <m:fPr>
                    <m:ctrlPr>
                      <w:rPr>
                        <w:rFonts w:ascii="Cambria Math" w:eastAsia="Cambria Math" w:hAnsi="Cambria Math" w:cs="Cambria Math"/>
                        <w:color w:val="000000" w:themeColor="text1"/>
                        <w:szCs w:val="24"/>
                      </w:rPr>
                    </m:ctrlPr>
                  </m:fPr>
                  <m:num>
                    <m:f>
                      <m:fPr>
                        <m:ctrlPr>
                          <w:rPr>
                            <w:rFonts w:ascii="Cambria Math" w:eastAsia="Cambria Math" w:hAnsi="Cambria Math" w:cs="Cambria Math"/>
                            <w:color w:val="000000" w:themeColor="text1"/>
                            <w:szCs w:val="24"/>
                          </w:rPr>
                        </m:ctrlPr>
                      </m:fPr>
                      <m:num>
                        <m:sSub>
                          <m:sSubPr>
                            <m:ctrlPr>
                              <w:rPr>
                                <w:rFonts w:ascii="Cambria Math" w:eastAsia="Cambria Math" w:hAnsi="Cambria Math" w:cs="Cambria Math"/>
                                <w:color w:val="000000" w:themeColor="text1"/>
                                <w:szCs w:val="24"/>
                              </w:rPr>
                            </m:ctrlPr>
                          </m:sSubPr>
                          <m:e>
                            <m:r>
                              <w:rPr>
                                <w:rFonts w:ascii="Cambria Math" w:eastAsia="Cambria Math" w:hAnsi="Cambria Math" w:cs="Cambria Math"/>
                                <w:color w:val="000000" w:themeColor="text1"/>
                                <w:szCs w:val="24"/>
                              </w:rPr>
                              <m:t>CF</m:t>
                            </m:r>
                          </m:e>
                          <m:sub>
                            <m:r>
                              <w:rPr>
                                <w:rFonts w:ascii="Cambria Math" w:eastAsia="Cambria Math" w:hAnsi="Cambria Math" w:cs="Cambria Math"/>
                                <w:color w:val="000000" w:themeColor="text1"/>
                                <w:szCs w:val="24"/>
                              </w:rPr>
                              <m:t>t</m:t>
                            </m:r>
                          </m:sub>
                        </m:sSub>
                      </m:num>
                      <m:den>
                        <m:sSup>
                          <m:sSupPr>
                            <m:ctrlPr>
                              <w:rPr>
                                <w:rFonts w:ascii="Cambria Math" w:eastAsia="Cambria Math" w:hAnsi="Cambria Math" w:cs="Cambria Math"/>
                                <w:color w:val="000000" w:themeColor="text1"/>
                                <w:szCs w:val="24"/>
                              </w:rPr>
                            </m:ctrlPr>
                          </m:sSupPr>
                          <m:e>
                            <m:d>
                              <m:dPr>
                                <m:ctrlPr>
                                  <w:rPr>
                                    <w:rFonts w:ascii="Cambria Math" w:eastAsia="Cambria Math" w:hAnsi="Cambria Math" w:cs="Cambria Math"/>
                                    <w:color w:val="000000" w:themeColor="text1"/>
                                    <w:szCs w:val="24"/>
                                  </w:rPr>
                                </m:ctrlPr>
                              </m:dPr>
                              <m:e>
                                <m:r>
                                  <w:rPr>
                                    <w:rFonts w:ascii="Cambria Math" w:eastAsia="Cambria Math" w:hAnsi="Cambria Math" w:cs="Cambria Math"/>
                                    <w:color w:val="000000" w:themeColor="text1"/>
                                    <w:szCs w:val="24"/>
                                  </w:rPr>
                                  <m:t>1+</m:t>
                                </m:r>
                                <m:f>
                                  <m:fPr>
                                    <m:ctrlPr>
                                      <w:rPr>
                                        <w:rFonts w:ascii="Cambria Math" w:eastAsia="Cambria Math" w:hAnsi="Cambria Math" w:cs="Cambria Math"/>
                                        <w:color w:val="000000" w:themeColor="text1"/>
                                        <w:szCs w:val="24"/>
                                      </w:rPr>
                                    </m:ctrlPr>
                                  </m:fPr>
                                  <m:num>
                                    <m:r>
                                      <w:rPr>
                                        <w:rFonts w:ascii="Cambria Math" w:eastAsia="Cambria Math" w:hAnsi="Cambria Math" w:cs="Cambria Math"/>
                                        <w:color w:val="000000" w:themeColor="text1"/>
                                        <w:szCs w:val="24"/>
                                      </w:rPr>
                                      <m:t>y</m:t>
                                    </m:r>
                                  </m:num>
                                  <m:den>
                                    <m:r>
                                      <w:rPr>
                                        <w:rFonts w:ascii="Cambria Math" w:eastAsia="Cambria Math" w:hAnsi="Cambria Math" w:cs="Cambria Math"/>
                                        <w:color w:val="000000" w:themeColor="text1"/>
                                        <w:szCs w:val="24"/>
                                      </w:rPr>
                                      <m:t>n</m:t>
                                    </m:r>
                                  </m:den>
                                </m:f>
                              </m:e>
                            </m:d>
                          </m:e>
                          <m:sup>
                            <m:r>
                              <w:rPr>
                                <w:rFonts w:ascii="Cambria Math" w:eastAsia="Cambria Math" w:hAnsi="Cambria Math" w:cs="Cambria Math"/>
                                <w:color w:val="000000" w:themeColor="text1"/>
                                <w:szCs w:val="24"/>
                              </w:rPr>
                              <m:t>t</m:t>
                            </m:r>
                          </m:sup>
                        </m:sSup>
                      </m:den>
                    </m:f>
                  </m:num>
                  <m:den>
                    <m:r>
                      <w:rPr>
                        <w:rFonts w:ascii="Cambria Math" w:eastAsia="Cambria Math" w:hAnsi="Cambria Math" w:cs="Cambria Math"/>
                        <w:color w:val="000000" w:themeColor="text1"/>
                        <w:szCs w:val="24"/>
                      </w:rPr>
                      <m:t>Bond Price</m:t>
                    </m:r>
                  </m:den>
                </m:f>
              </m:oMath>
            </m:oMathPara>
          </w:p>
          <w:p w14:paraId="21C83ED6" w14:textId="77777777" w:rsidR="00BC1859" w:rsidRPr="00306115" w:rsidRDefault="00BC1859" w:rsidP="00081249">
            <w:pPr>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rPr>
              <w:t>Keterangan:</w:t>
            </w:r>
          </w:p>
          <w:p w14:paraId="1A1F5616" w14:textId="77777777" w:rsidR="00BC1859" w:rsidRPr="00306115" w:rsidRDefault="00DD3739" w:rsidP="00081249">
            <w:pPr>
              <w:spacing w:after="0" w:line="240" w:lineRule="auto"/>
              <w:ind w:left="567"/>
              <w:rPr>
                <w:rFonts w:eastAsia="Bookman Old Style" w:cs="Bookman Old Style"/>
                <w:color w:val="000000" w:themeColor="text1"/>
                <w:szCs w:val="24"/>
              </w:rPr>
            </w:pPr>
            <m:oMath>
              <m:sSub>
                <m:sSubPr>
                  <m:ctrlPr>
                    <w:rPr>
                      <w:rFonts w:ascii="Cambria Math" w:eastAsia="Cambria Math" w:hAnsi="Cambria Math" w:cs="Cambria Math"/>
                      <w:color w:val="000000" w:themeColor="text1"/>
                      <w:szCs w:val="24"/>
                    </w:rPr>
                  </m:ctrlPr>
                </m:sSubPr>
                <m:e>
                  <m:r>
                    <w:rPr>
                      <w:rFonts w:ascii="Cambria Math" w:eastAsia="Cambria Math" w:hAnsi="Cambria Math" w:cs="Cambria Math"/>
                      <w:color w:val="000000" w:themeColor="text1"/>
                      <w:szCs w:val="24"/>
                    </w:rPr>
                    <m:t>CF</m:t>
                  </m:r>
                </m:e>
                <m:sub>
                  <m:r>
                    <w:rPr>
                      <w:rFonts w:ascii="Cambria Math" w:eastAsia="Cambria Math" w:hAnsi="Cambria Math" w:cs="Cambria Math"/>
                      <w:color w:val="000000" w:themeColor="text1"/>
                      <w:szCs w:val="24"/>
                    </w:rPr>
                    <m:t>t</m:t>
                  </m:r>
                </m:sub>
              </m:sSub>
              <m:r>
                <w:rPr>
                  <w:rFonts w:ascii="Cambria Math" w:eastAsia="Cambria Math" w:hAnsi="Cambria Math" w:cs="Cambria Math"/>
                  <w:color w:val="000000" w:themeColor="text1"/>
                  <w:szCs w:val="24"/>
                </w:rPr>
                <m:t xml:space="preserve"> </m:t>
              </m:r>
            </m:oMath>
            <w:r w:rsidR="00BC1859" w:rsidRPr="00306115">
              <w:rPr>
                <w:rFonts w:eastAsia="Bookman Old Style" w:cs="Bookman Old Style"/>
                <w:color w:val="000000" w:themeColor="text1"/>
                <w:szCs w:val="24"/>
              </w:rPr>
              <w:t xml:space="preserve">  = </w:t>
            </w:r>
            <w:r w:rsidR="00BC1859" w:rsidRPr="00306115">
              <w:rPr>
                <w:rFonts w:eastAsia="Bookman Old Style" w:cs="Bookman Old Style"/>
                <w:i/>
                <w:iCs/>
                <w:color w:val="000000" w:themeColor="text1"/>
                <w:szCs w:val="24"/>
              </w:rPr>
              <w:t>cash flow</w:t>
            </w:r>
            <w:r w:rsidR="00BC1859" w:rsidRPr="00306115">
              <w:rPr>
                <w:rFonts w:eastAsia="Bookman Old Style" w:cs="Bookman Old Style"/>
                <w:color w:val="000000" w:themeColor="text1"/>
                <w:szCs w:val="24"/>
              </w:rPr>
              <w:t xml:space="preserve"> pada waktu t</w:t>
            </w:r>
          </w:p>
          <w:p w14:paraId="3F364244" w14:textId="77777777" w:rsidR="00BC1859" w:rsidRPr="00306115" w:rsidRDefault="00BC1859" w:rsidP="00081249">
            <w:pPr>
              <w:spacing w:after="0" w:line="240" w:lineRule="auto"/>
              <w:ind w:left="567"/>
              <w:rPr>
                <w:rFonts w:eastAsia="Bookman Old Style" w:cs="Bookman Old Style"/>
                <w:color w:val="000000" w:themeColor="text1"/>
                <w:szCs w:val="24"/>
              </w:rPr>
            </w:pPr>
            <m:oMath>
              <m:r>
                <w:rPr>
                  <w:rFonts w:ascii="Cambria Math" w:eastAsia="Cambria Math" w:hAnsi="Cambria Math" w:cs="Cambria Math"/>
                  <w:color w:val="000000" w:themeColor="text1"/>
                  <w:szCs w:val="24"/>
                </w:rPr>
                <m:t>y</m:t>
              </m:r>
            </m:oMath>
            <w:r w:rsidRPr="00306115">
              <w:rPr>
                <w:rFonts w:eastAsia="Bookman Old Style" w:cs="Bookman Old Style"/>
                <w:color w:val="000000" w:themeColor="text1"/>
                <w:szCs w:val="24"/>
              </w:rPr>
              <w:t xml:space="preserve">     = </w:t>
            </w:r>
            <w:r w:rsidRPr="00306115">
              <w:rPr>
                <w:rFonts w:eastAsia="Bookman Old Style" w:cs="Bookman Old Style"/>
                <w:i/>
                <w:iCs/>
                <w:color w:val="000000" w:themeColor="text1"/>
                <w:szCs w:val="24"/>
              </w:rPr>
              <w:t>yield to maturity</w:t>
            </w:r>
          </w:p>
          <w:p w14:paraId="1F98EDFE" w14:textId="77777777" w:rsidR="00BC1859" w:rsidRPr="00306115" w:rsidRDefault="00BC1859" w:rsidP="00081249">
            <w:pPr>
              <w:spacing w:after="0" w:line="240" w:lineRule="auto"/>
              <w:ind w:left="567"/>
              <w:rPr>
                <w:rFonts w:eastAsia="Bookman Old Style" w:cs="Bookman Old Style"/>
                <w:color w:val="000000" w:themeColor="text1"/>
                <w:szCs w:val="24"/>
              </w:rPr>
            </w:pPr>
            <m:oMath>
              <m:r>
                <w:rPr>
                  <w:rFonts w:ascii="Cambria Math" w:eastAsia="Cambria Math" w:hAnsi="Cambria Math" w:cs="Cambria Math"/>
                  <w:color w:val="000000" w:themeColor="text1"/>
                  <w:szCs w:val="24"/>
                </w:rPr>
                <m:t>n</m:t>
              </m:r>
            </m:oMath>
            <w:r w:rsidRPr="00306115">
              <w:rPr>
                <w:rFonts w:eastAsia="Bookman Old Style" w:cs="Bookman Old Style"/>
                <w:color w:val="000000" w:themeColor="text1"/>
                <w:szCs w:val="24"/>
              </w:rPr>
              <w:t xml:space="preserve">     = jumlah atau frekuensi kupon yang dibayarkan tiap tahun</w:t>
            </w:r>
          </w:p>
          <w:p w14:paraId="48EEE118" w14:textId="77777777" w:rsidR="00BC1859" w:rsidRPr="00306115" w:rsidRDefault="00BC1859" w:rsidP="00081249">
            <w:pPr>
              <w:spacing w:after="0" w:line="240" w:lineRule="auto"/>
              <w:ind w:left="567"/>
              <w:rPr>
                <w:rFonts w:eastAsia="Bookman Old Style" w:cs="Bookman Old Style"/>
                <w:color w:val="000000" w:themeColor="text1"/>
                <w:szCs w:val="24"/>
              </w:rPr>
            </w:pPr>
            <m:oMath>
              <m:r>
                <w:rPr>
                  <w:rFonts w:ascii="Cambria Math" w:eastAsia="Cambria Math" w:hAnsi="Cambria Math" w:cs="Cambria Math"/>
                  <w:color w:val="000000" w:themeColor="text1"/>
                  <w:szCs w:val="24"/>
                </w:rPr>
                <m:t>t</m:t>
              </m:r>
            </m:oMath>
            <w:r w:rsidRPr="00306115">
              <w:rPr>
                <w:rFonts w:eastAsia="Bookman Old Style" w:cs="Bookman Old Style"/>
                <w:color w:val="000000" w:themeColor="text1"/>
                <w:szCs w:val="24"/>
              </w:rPr>
              <w:t xml:space="preserve">     = jumlah pembayaran tenor sampai dengan </w:t>
            </w:r>
            <w:r w:rsidRPr="00306115">
              <w:rPr>
                <w:rFonts w:eastAsia="Bookman Old Style" w:cs="Bookman Old Style"/>
                <w:i/>
                <w:iCs/>
                <w:color w:val="000000" w:themeColor="text1"/>
                <w:szCs w:val="24"/>
              </w:rPr>
              <w:t>maturity</w:t>
            </w:r>
            <w:r w:rsidRPr="00306115">
              <w:rPr>
                <w:rFonts w:eastAsia="Bookman Old Style" w:cs="Bookman Old Style"/>
                <w:color w:val="000000" w:themeColor="text1"/>
                <w:szCs w:val="24"/>
              </w:rPr>
              <w:t xml:space="preserve"> </w:t>
            </w:r>
          </w:p>
          <w:p w14:paraId="0F3E3BED" w14:textId="77777777" w:rsidR="00BC1859" w:rsidRPr="00306115" w:rsidRDefault="00BC1859" w:rsidP="00BC1859">
            <w:pPr>
              <w:spacing w:after="0" w:line="240" w:lineRule="auto"/>
              <w:ind w:firstLine="63"/>
              <w:rPr>
                <w:rFonts w:eastAsia="Bookman Old Style" w:cs="Bookman Old Style"/>
                <w:color w:val="000000" w:themeColor="text1"/>
                <w:szCs w:val="24"/>
              </w:rPr>
            </w:pPr>
          </w:p>
          <w:p w14:paraId="618D9D48" w14:textId="77777777" w:rsidR="00BC1859" w:rsidRPr="00306115" w:rsidRDefault="00BC1859">
            <w:pPr>
              <w:numPr>
                <w:ilvl w:val="1"/>
                <w:numId w:val="441"/>
              </w:numPr>
              <w:tabs>
                <w:tab w:val="left" w:pos="567"/>
                <w:tab w:val="left" w:pos="630"/>
              </w:tabs>
              <w:spacing w:after="0" w:line="240" w:lineRule="auto"/>
              <w:ind w:left="851" w:hanging="284"/>
              <w:rPr>
                <w:rFonts w:eastAsia="Bookman Old Style" w:cs="Bookman Old Style"/>
                <w:color w:val="000000" w:themeColor="text1"/>
                <w:szCs w:val="24"/>
              </w:rPr>
            </w:pPr>
            <w:r w:rsidRPr="00306115">
              <w:rPr>
                <w:rFonts w:eastAsia="Bookman Old Style" w:cs="Bookman Old Style"/>
                <w:i/>
                <w:iCs/>
                <w:color w:val="000000" w:themeColor="text1"/>
                <w:szCs w:val="24"/>
              </w:rPr>
              <w:t xml:space="preserve">Modified Duration </w:t>
            </w:r>
            <w:r w:rsidRPr="00306115">
              <w:rPr>
                <w:rFonts w:eastAsia="Bookman Old Style" w:cs="Bookman Old Style"/>
                <w:color w:val="000000" w:themeColor="text1"/>
                <w:szCs w:val="24"/>
              </w:rPr>
              <w:t xml:space="preserve">dihitung dengan cara </w:t>
            </w:r>
          </w:p>
          <w:p w14:paraId="10D7B71D" w14:textId="77777777" w:rsidR="00BC1859" w:rsidRPr="00306115" w:rsidRDefault="00BC1859" w:rsidP="00081249">
            <w:pPr>
              <w:spacing w:after="0" w:line="240" w:lineRule="auto"/>
              <w:jc w:val="center"/>
              <w:rPr>
                <w:rFonts w:eastAsia="Bookman Old Style" w:cs="Bookman Old Style"/>
                <w:color w:val="000000" w:themeColor="text1"/>
                <w:szCs w:val="24"/>
              </w:rPr>
            </w:pPr>
            <w:r w:rsidRPr="00306115">
              <w:rPr>
                <w:rFonts w:eastAsia="Bookman Old Style" w:cs="Bookman Old Style"/>
                <w:i/>
                <w:iCs/>
                <w:color w:val="000000" w:themeColor="text1"/>
                <w:szCs w:val="24"/>
              </w:rPr>
              <w:t>Modified Duration</w:t>
            </w:r>
            <w:r w:rsidRPr="00306115">
              <w:rPr>
                <w:rFonts w:eastAsia="Bookman Old Style" w:cs="Bookman Old Style"/>
                <w:color w:val="000000" w:themeColor="text1"/>
                <w:szCs w:val="24"/>
              </w:rPr>
              <w:t xml:space="preserve"> = </w:t>
            </w:r>
            <m:oMath>
              <m:f>
                <m:fPr>
                  <m:ctrlPr>
                    <w:rPr>
                      <w:rFonts w:ascii="Cambria Math" w:eastAsia="Cambria Math" w:hAnsi="Cambria Math" w:cs="Cambria Math"/>
                      <w:color w:val="000000" w:themeColor="text1"/>
                      <w:szCs w:val="24"/>
                    </w:rPr>
                  </m:ctrlPr>
                </m:fPr>
                <m:num>
                  <m:r>
                    <w:rPr>
                      <w:rFonts w:ascii="Cambria Math" w:eastAsia="Cambria Math" w:hAnsi="Cambria Math" w:cs="Cambria Math"/>
                      <w:color w:val="000000" w:themeColor="text1"/>
                      <w:szCs w:val="24"/>
                    </w:rPr>
                    <m:t xml:space="preserve">Macaulay Duration </m:t>
                  </m:r>
                </m:num>
                <m:den>
                  <m:r>
                    <w:rPr>
                      <w:rFonts w:ascii="Cambria Math" w:eastAsia="Cambria Math" w:hAnsi="Cambria Math" w:cs="Cambria Math"/>
                      <w:color w:val="000000" w:themeColor="text1"/>
                      <w:szCs w:val="24"/>
                    </w:rPr>
                    <m:t xml:space="preserve">(1+ </m:t>
                  </m:r>
                  <m:f>
                    <m:fPr>
                      <m:ctrlPr>
                        <w:rPr>
                          <w:rFonts w:ascii="Cambria Math" w:eastAsia="Cambria Math" w:hAnsi="Cambria Math" w:cs="Cambria Math"/>
                          <w:color w:val="000000" w:themeColor="text1"/>
                          <w:szCs w:val="24"/>
                        </w:rPr>
                      </m:ctrlPr>
                    </m:fPr>
                    <m:num>
                      <m:r>
                        <w:rPr>
                          <w:rFonts w:ascii="Cambria Math" w:eastAsia="Cambria Math" w:hAnsi="Cambria Math" w:cs="Cambria Math"/>
                          <w:color w:val="000000" w:themeColor="text1"/>
                          <w:szCs w:val="24"/>
                        </w:rPr>
                        <m:t>y</m:t>
                      </m:r>
                    </m:num>
                    <m:den>
                      <m:r>
                        <w:rPr>
                          <w:rFonts w:ascii="Cambria Math" w:eastAsia="Cambria Math" w:hAnsi="Cambria Math" w:cs="Cambria Math"/>
                          <w:color w:val="000000" w:themeColor="text1"/>
                          <w:szCs w:val="24"/>
                        </w:rPr>
                        <m:t>n</m:t>
                      </m:r>
                    </m:den>
                  </m:f>
                  <m:r>
                    <w:rPr>
                      <w:rFonts w:ascii="Cambria Math" w:eastAsia="Cambria Math" w:hAnsi="Cambria Math" w:cs="Cambria Math"/>
                      <w:color w:val="000000" w:themeColor="text1"/>
                      <w:szCs w:val="24"/>
                    </w:rPr>
                    <m:t>)</m:t>
                  </m:r>
                </m:den>
              </m:f>
            </m:oMath>
          </w:p>
          <w:p w14:paraId="3E9892DA" w14:textId="77777777" w:rsidR="00BC1859" w:rsidRPr="00306115" w:rsidRDefault="00BC1859" w:rsidP="00081249">
            <w:pPr>
              <w:spacing w:after="0" w:line="240" w:lineRule="auto"/>
              <w:ind w:left="879"/>
              <w:rPr>
                <w:rFonts w:eastAsia="Bookman Old Style" w:cs="Bookman Old Style"/>
                <w:color w:val="000000" w:themeColor="text1"/>
                <w:szCs w:val="24"/>
              </w:rPr>
            </w:pPr>
            <w:r w:rsidRPr="00306115">
              <w:rPr>
                <w:rFonts w:eastAsia="Bookman Old Style" w:cs="Bookman Old Style"/>
                <w:color w:val="000000" w:themeColor="text1"/>
                <w:szCs w:val="24"/>
              </w:rPr>
              <w:t>Keterangan:</w:t>
            </w:r>
          </w:p>
          <w:p w14:paraId="7E467B53" w14:textId="77777777" w:rsidR="00BC1859" w:rsidRPr="00306115" w:rsidRDefault="00BC1859" w:rsidP="00081249">
            <w:pPr>
              <w:spacing w:after="0" w:line="240" w:lineRule="auto"/>
              <w:ind w:left="879"/>
              <w:rPr>
                <w:rFonts w:eastAsia="Bookman Old Style" w:cs="Bookman Old Style"/>
                <w:color w:val="000000" w:themeColor="text1"/>
                <w:szCs w:val="24"/>
              </w:rPr>
            </w:pPr>
            <m:oMath>
              <m:r>
                <w:rPr>
                  <w:rFonts w:ascii="Cambria Math" w:eastAsia="Cambria Math" w:hAnsi="Cambria Math" w:cs="Cambria Math"/>
                  <w:color w:val="000000" w:themeColor="text1"/>
                  <w:szCs w:val="24"/>
                </w:rPr>
                <m:t>y</m:t>
              </m:r>
            </m:oMath>
            <w:r w:rsidRPr="00306115">
              <w:rPr>
                <w:rFonts w:eastAsia="Bookman Old Style" w:cs="Bookman Old Style"/>
                <w:color w:val="000000" w:themeColor="text1"/>
                <w:szCs w:val="24"/>
              </w:rPr>
              <w:t xml:space="preserve"> = </w:t>
            </w:r>
            <w:r w:rsidRPr="00306115">
              <w:rPr>
                <w:rFonts w:eastAsia="Bookman Old Style" w:cs="Bookman Old Style"/>
                <w:i/>
                <w:iCs/>
                <w:color w:val="000000" w:themeColor="text1"/>
                <w:szCs w:val="24"/>
              </w:rPr>
              <w:t>yield to maturity</w:t>
            </w:r>
          </w:p>
          <w:p w14:paraId="70F61FF4" w14:textId="77777777" w:rsidR="00BC1859" w:rsidRPr="00306115" w:rsidRDefault="00BC1859" w:rsidP="00081249">
            <w:pPr>
              <w:spacing w:after="80" w:line="240" w:lineRule="auto"/>
              <w:ind w:left="879"/>
              <w:rPr>
                <w:rFonts w:eastAsia="Bookman Old Style" w:cs="Bookman Old Style"/>
                <w:color w:val="000000" w:themeColor="text1"/>
                <w:szCs w:val="24"/>
              </w:rPr>
            </w:pPr>
            <m:oMath>
              <m:r>
                <w:rPr>
                  <w:rFonts w:ascii="Cambria Math" w:eastAsia="Cambria Math" w:hAnsi="Cambria Math" w:cs="Cambria Math"/>
                  <w:color w:val="000000" w:themeColor="text1"/>
                  <w:szCs w:val="24"/>
                </w:rPr>
                <m:t xml:space="preserve">n </m:t>
              </m:r>
            </m:oMath>
            <w:r w:rsidRPr="00306115">
              <w:rPr>
                <w:rFonts w:eastAsia="Bookman Old Style" w:cs="Bookman Old Style"/>
                <w:color w:val="000000" w:themeColor="text1"/>
                <w:szCs w:val="24"/>
              </w:rPr>
              <w:t>= jumlah atau frekuensi kupon yang dibayarkan tiap tahun</w:t>
            </w:r>
          </w:p>
          <w:p w14:paraId="2D34B6C6" w14:textId="77777777" w:rsidR="00BC1859" w:rsidRPr="00306115" w:rsidRDefault="00BC1859">
            <w:pPr>
              <w:numPr>
                <w:ilvl w:val="0"/>
                <w:numId w:val="441"/>
              </w:numPr>
              <w:tabs>
                <w:tab w:val="left" w:pos="1021"/>
                <w:tab w:val="left" w:pos="1304"/>
              </w:tabs>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Untuk instrumen pasar uang, Durasi dihitung dengan cara:</w:t>
            </w:r>
          </w:p>
          <w:p w14:paraId="5A548965" w14:textId="77777777" w:rsidR="00BC1859" w:rsidRPr="00306115" w:rsidRDefault="00BC1859" w:rsidP="00081249">
            <w:pPr>
              <w:tabs>
                <w:tab w:val="left" w:pos="567"/>
                <w:tab w:val="left" w:pos="630"/>
              </w:tabs>
              <w:spacing w:after="80" w:line="240" w:lineRule="auto"/>
              <w:jc w:val="center"/>
              <w:rPr>
                <w:rFonts w:eastAsia="Bookman Old Style" w:cs="Bookman Old Style"/>
                <w:color w:val="000000" w:themeColor="text1"/>
                <w:szCs w:val="24"/>
              </w:rPr>
            </w:pPr>
            <w:r w:rsidRPr="00306115">
              <w:rPr>
                <w:rFonts w:eastAsia="Bookman Old Style" w:cs="Bookman Old Style"/>
                <w:color w:val="000000" w:themeColor="text1"/>
                <w:szCs w:val="24"/>
              </w:rPr>
              <w:t>Durasi = sisa tenor (hari) / 365</w:t>
            </w:r>
          </w:p>
          <w:p w14:paraId="7827BBC2" w14:textId="77777777" w:rsidR="00BC1859" w:rsidRPr="00306115" w:rsidRDefault="00BC1859">
            <w:pPr>
              <w:numPr>
                <w:ilvl w:val="0"/>
                <w:numId w:val="441"/>
              </w:numPr>
              <w:tabs>
                <w:tab w:val="left" w:pos="1021"/>
                <w:tab w:val="left" w:pos="1304"/>
              </w:tabs>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Durasi portofolio dalam Reksa Dana atau Produk = Jumlah durasi tertimbang Obligasi/Sukuk terhadap proporsi NAB</w:t>
            </w:r>
          </w:p>
          <w:p w14:paraId="275AFA0A" w14:textId="77777777" w:rsidR="00BC1859" w:rsidRPr="00306115" w:rsidRDefault="00DD3739" w:rsidP="00D60487">
            <w:pPr>
              <w:widowControl w:val="0"/>
              <w:pBdr>
                <w:top w:val="nil"/>
                <w:left w:val="nil"/>
                <w:bottom w:val="nil"/>
                <w:right w:val="nil"/>
                <w:between w:val="nil"/>
              </w:pBdr>
              <w:tabs>
                <w:tab w:val="left" w:pos="389"/>
              </w:tabs>
              <w:spacing w:after="120" w:line="240" w:lineRule="auto"/>
              <w:jc w:val="center"/>
              <w:rPr>
                <w:rFonts w:eastAsia="Bookman Old Style" w:cs="Bookman Old Style"/>
                <w:iCs/>
                <w:color w:val="000000" w:themeColor="text1"/>
                <w:szCs w:val="24"/>
              </w:rPr>
            </w:pPr>
            <m:oMath>
              <m:sSub>
                <m:sSubPr>
                  <m:ctrlPr>
                    <w:rPr>
                      <w:rFonts w:ascii="Cambria Math" w:eastAsia="Cambria Math" w:hAnsi="Cambria Math" w:cs="Cambria Math"/>
                      <w:iCs/>
                      <w:color w:val="000000" w:themeColor="text1"/>
                      <w:szCs w:val="24"/>
                    </w:rPr>
                  </m:ctrlPr>
                </m:sSubPr>
                <m:e>
                  <m:r>
                    <m:rPr>
                      <m:sty m:val="p"/>
                    </m:rPr>
                    <w:rPr>
                      <w:rFonts w:ascii="Cambria Math" w:eastAsia="Bookman Old Style" w:hAnsi="Cambria Math" w:cs="Bookman Old Style"/>
                      <w:color w:val="000000" w:themeColor="text1"/>
                      <w:szCs w:val="24"/>
                    </w:rPr>
                    <m:t xml:space="preserve">D </m:t>
                  </m:r>
                </m:e>
                <m:sub>
                  <m:r>
                    <m:rPr>
                      <m:sty m:val="p"/>
                    </m:rPr>
                    <w:rPr>
                      <w:rFonts w:ascii="Cambria Math" w:eastAsia="Cambria Math" w:hAnsi="Cambria Math" w:cs="Cambria Math"/>
                      <w:color w:val="000000" w:themeColor="text1"/>
                      <w:szCs w:val="24"/>
                    </w:rPr>
                    <m:t>portofolio</m:t>
                  </m:r>
                </m:sub>
              </m:sSub>
            </m:oMath>
            <w:r w:rsidR="00BC1859" w:rsidRPr="00306115">
              <w:rPr>
                <w:rFonts w:eastAsia="Bookman Old Style" w:cs="Bookman Old Style"/>
                <w:color w:val="000000" w:themeColor="text1"/>
                <w:szCs w:val="24"/>
              </w:rPr>
              <w:t xml:space="preserve"> = ∑ ( </w:t>
            </w:r>
            <m:oMath>
              <m:sSub>
                <m:sSubPr>
                  <m:ctrlPr>
                    <w:rPr>
                      <w:rFonts w:ascii="Cambria Math" w:eastAsia="Cambria Math" w:hAnsi="Cambria Math" w:cs="Cambria Math"/>
                      <w:iCs/>
                      <w:color w:val="000000" w:themeColor="text1"/>
                      <w:szCs w:val="24"/>
                    </w:rPr>
                  </m:ctrlPr>
                </m:sSubPr>
                <m:e>
                  <m:r>
                    <m:rPr>
                      <m:sty m:val="p"/>
                    </m:rPr>
                    <w:rPr>
                      <w:rFonts w:ascii="Cambria Math" w:eastAsia="Bookman Old Style" w:hAnsi="Cambria Math" w:cs="Bookman Old Style"/>
                      <w:color w:val="000000" w:themeColor="text1"/>
                      <w:szCs w:val="24"/>
                    </w:rPr>
                    <m:t xml:space="preserve">D </m:t>
                  </m:r>
                </m:e>
                <m:sub>
                  <m:r>
                    <m:rPr>
                      <m:sty m:val="p"/>
                    </m:rPr>
                    <w:rPr>
                      <w:rFonts w:ascii="Cambria Math" w:eastAsia="Cambria Math" w:hAnsi="Cambria Math" w:cs="Cambria Math"/>
                      <w:color w:val="000000" w:themeColor="text1"/>
                      <w:szCs w:val="24"/>
                    </w:rPr>
                    <m:t>Obligasi/Sukuk i</m:t>
                  </m:r>
                </m:sub>
              </m:sSub>
            </m:oMath>
            <w:r w:rsidR="00BC1859" w:rsidRPr="00306115">
              <w:rPr>
                <w:rFonts w:eastAsia="Bookman Old Style" w:cs="Bookman Old Style"/>
                <w:iCs/>
                <w:color w:val="000000" w:themeColor="text1"/>
                <w:szCs w:val="24"/>
              </w:rPr>
              <w:t xml:space="preserve"> × </w:t>
            </w:r>
            <m:oMath>
              <m:sSub>
                <m:sSubPr>
                  <m:ctrlPr>
                    <w:rPr>
                      <w:rFonts w:ascii="Cambria Math" w:eastAsia="Cambria Math" w:hAnsi="Cambria Math" w:cs="Cambria Math"/>
                      <w:iCs/>
                      <w:color w:val="000000" w:themeColor="text1"/>
                      <w:szCs w:val="24"/>
                    </w:rPr>
                  </m:ctrlPr>
                </m:sSubPr>
                <m:e>
                  <m:r>
                    <w:rPr>
                      <w:rFonts w:ascii="Cambria Math" w:eastAsia="Bookman Old Style" w:hAnsi="Cambria Math" w:cs="Bookman Old Style"/>
                      <w:color w:val="000000" w:themeColor="text1"/>
                      <w:szCs w:val="24"/>
                    </w:rPr>
                    <m:t>w</m:t>
                  </m:r>
                  <m:r>
                    <m:rPr>
                      <m:sty m:val="p"/>
                    </m:rPr>
                    <w:rPr>
                      <w:rFonts w:ascii="Cambria Math" w:eastAsia="Bookman Old Style" w:hAnsi="Cambria Math" w:cs="Bookman Old Style"/>
                      <w:color w:val="000000" w:themeColor="text1"/>
                      <w:szCs w:val="24"/>
                    </w:rPr>
                    <m:t xml:space="preserve"> </m:t>
                  </m:r>
                </m:e>
                <m:sub>
                  <m:r>
                    <m:rPr>
                      <m:sty m:val="p"/>
                    </m:rPr>
                    <w:rPr>
                      <w:rFonts w:ascii="Cambria Math" w:eastAsia="Cambria Math" w:hAnsi="Cambria Math" w:cs="Cambria Math"/>
                      <w:color w:val="000000" w:themeColor="text1"/>
                      <w:szCs w:val="24"/>
                    </w:rPr>
                    <m:t>Obligasi/Sukuk i</m:t>
                  </m:r>
                </m:sub>
              </m:sSub>
            </m:oMath>
            <w:r w:rsidR="00BC1859" w:rsidRPr="00306115">
              <w:rPr>
                <w:rFonts w:eastAsia="Bookman Old Style" w:cs="Bookman Old Style"/>
                <w:iCs/>
                <w:color w:val="000000" w:themeColor="text1"/>
                <w:szCs w:val="24"/>
              </w:rPr>
              <w:t xml:space="preserve"> )</w:t>
            </w:r>
          </w:p>
          <w:p w14:paraId="68370F26" w14:textId="77777777" w:rsidR="00BC1859" w:rsidRPr="00306115" w:rsidRDefault="00BC1859" w:rsidP="00081249">
            <w:pPr>
              <w:widowControl w:val="0"/>
              <w:pBdr>
                <w:top w:val="nil"/>
                <w:left w:val="nil"/>
                <w:bottom w:val="nil"/>
                <w:right w:val="nil"/>
                <w:between w:val="nil"/>
              </w:pBdr>
              <w:tabs>
                <w:tab w:val="left" w:pos="389"/>
              </w:tabs>
              <w:spacing w:after="0" w:line="240" w:lineRule="auto"/>
              <w:ind w:left="596"/>
              <w:rPr>
                <w:rFonts w:eastAsia="Bookman Old Style" w:cs="Bookman Old Style"/>
                <w:color w:val="000000" w:themeColor="text1"/>
                <w:szCs w:val="24"/>
                <w:u w:val="single"/>
              </w:rPr>
            </w:pPr>
            <w:r w:rsidRPr="00306115">
              <w:rPr>
                <w:rFonts w:eastAsia="Bookman Old Style" w:cs="Bookman Old Style"/>
                <w:color w:val="000000" w:themeColor="text1"/>
                <w:szCs w:val="24"/>
                <w:u w:val="single"/>
              </w:rPr>
              <w:t>Contoh Reksa Dana BB</w:t>
            </w:r>
          </w:p>
          <w:p w14:paraId="234D0384" w14:textId="77777777" w:rsidR="00BC1859" w:rsidRPr="00306115" w:rsidRDefault="00BC1859" w:rsidP="000F0FB4">
            <w:pPr>
              <w:widowControl w:val="0"/>
              <w:pBdr>
                <w:top w:val="nil"/>
                <w:left w:val="nil"/>
                <w:bottom w:val="nil"/>
                <w:right w:val="nil"/>
                <w:between w:val="nil"/>
              </w:pBdr>
              <w:tabs>
                <w:tab w:val="left" w:pos="389"/>
              </w:tabs>
              <w:spacing w:after="0" w:line="240" w:lineRule="auto"/>
              <w:ind w:left="596"/>
              <w:rPr>
                <w:rFonts w:eastAsia="Bookman Old Style" w:cs="Bookman Old Style"/>
                <w:color w:val="000000" w:themeColor="text1"/>
                <w:szCs w:val="24"/>
              </w:rPr>
            </w:pPr>
            <w:r w:rsidRPr="00306115">
              <w:rPr>
                <w:rFonts w:eastAsia="Bookman Old Style" w:cs="Bookman Old Style"/>
                <w:color w:val="000000" w:themeColor="text1"/>
                <w:szCs w:val="24"/>
              </w:rPr>
              <w:t>Durasi tertimbang portofolio = 5.264 tahun</w:t>
            </w:r>
          </w:p>
          <w:tbl>
            <w:tblPr>
              <w:tblStyle w:val="TableGrid"/>
              <w:tblpPr w:leftFromText="180" w:rightFromText="180" w:vertAnchor="text" w:horzAnchor="margin" w:tblpX="562" w:tblpY="-163"/>
              <w:tblOverlap w:val="never"/>
              <w:tblW w:w="7513" w:type="dxa"/>
              <w:tblLayout w:type="fixed"/>
              <w:tblLook w:val="04A0" w:firstRow="1" w:lastRow="0" w:firstColumn="1" w:lastColumn="0" w:noHBand="0" w:noVBand="1"/>
            </w:tblPr>
            <w:tblGrid>
              <w:gridCol w:w="1418"/>
              <w:gridCol w:w="1417"/>
              <w:gridCol w:w="1418"/>
              <w:gridCol w:w="992"/>
              <w:gridCol w:w="992"/>
              <w:gridCol w:w="1276"/>
            </w:tblGrid>
            <w:tr w:rsidR="00BC1859" w:rsidRPr="00306115" w14:paraId="5050E418" w14:textId="77777777" w:rsidTr="00D60487">
              <w:tc>
                <w:tcPr>
                  <w:tcW w:w="1418" w:type="dxa"/>
                  <w:vAlign w:val="center"/>
                </w:tcPr>
                <w:p w14:paraId="5C8CA935" w14:textId="77777777" w:rsidR="00BC1859" w:rsidRPr="00306115" w:rsidRDefault="00BC1859" w:rsidP="00D60487">
                  <w:pPr>
                    <w:widowControl w:val="0"/>
                    <w:tabs>
                      <w:tab w:val="left" w:pos="389"/>
                    </w:tabs>
                    <w:ind w:left="-117" w:right="-109"/>
                    <w:jc w:val="center"/>
                    <w:rPr>
                      <w:rFonts w:eastAsia="Bookman Old Style" w:cs="Bookman Old Style"/>
                      <w:color w:val="000000" w:themeColor="text1"/>
                      <w:szCs w:val="24"/>
                    </w:rPr>
                  </w:pPr>
                  <w:r w:rsidRPr="00306115">
                    <w:rPr>
                      <w:rFonts w:eastAsia="Bookman Old Style" w:cs="Bookman Old Style"/>
                      <w:color w:val="000000" w:themeColor="text1"/>
                      <w:szCs w:val="24"/>
                    </w:rPr>
                    <w:lastRenderedPageBreak/>
                    <w:t>Instrumen</w:t>
                  </w:r>
                </w:p>
              </w:tc>
              <w:tc>
                <w:tcPr>
                  <w:tcW w:w="1417" w:type="dxa"/>
                  <w:vAlign w:val="center"/>
                </w:tcPr>
                <w:p w14:paraId="1B443052" w14:textId="77777777" w:rsidR="00BC1859" w:rsidRPr="00306115" w:rsidRDefault="00BC1859" w:rsidP="00D60487">
                  <w:pPr>
                    <w:widowControl w:val="0"/>
                    <w:tabs>
                      <w:tab w:val="left" w:pos="389"/>
                    </w:tabs>
                    <w:ind w:left="-105" w:right="-104"/>
                    <w:jc w:val="center"/>
                    <w:rPr>
                      <w:rFonts w:eastAsia="Bookman Old Style" w:cs="Bookman Old Style"/>
                      <w:color w:val="000000" w:themeColor="text1"/>
                      <w:szCs w:val="24"/>
                    </w:rPr>
                  </w:pPr>
                  <w:r w:rsidRPr="00306115">
                    <w:rPr>
                      <w:rFonts w:eastAsia="Bookman Old Style" w:cs="Bookman Old Style"/>
                      <w:color w:val="000000" w:themeColor="text1"/>
                      <w:szCs w:val="24"/>
                    </w:rPr>
                    <w:t>Tipe</w:t>
                  </w:r>
                </w:p>
              </w:tc>
              <w:tc>
                <w:tcPr>
                  <w:tcW w:w="1418" w:type="dxa"/>
                  <w:vAlign w:val="center"/>
                </w:tcPr>
                <w:p w14:paraId="21FE7A01" w14:textId="77777777" w:rsidR="00BC1859" w:rsidRPr="00306115" w:rsidRDefault="00BC1859" w:rsidP="00D60487">
                  <w:pPr>
                    <w:widowControl w:val="0"/>
                    <w:tabs>
                      <w:tab w:val="left" w:pos="389"/>
                    </w:tabs>
                    <w:ind w:left="-84" w:right="-114"/>
                    <w:jc w:val="center"/>
                    <w:rPr>
                      <w:rFonts w:eastAsia="Bookman Old Style" w:cs="Bookman Old Style"/>
                      <w:color w:val="000000" w:themeColor="text1"/>
                      <w:szCs w:val="24"/>
                    </w:rPr>
                  </w:pPr>
                  <w:r w:rsidRPr="00306115">
                    <w:rPr>
                      <w:rFonts w:eastAsia="Bookman Old Style" w:cs="Bookman Old Style"/>
                      <w:color w:val="000000" w:themeColor="text1"/>
                      <w:szCs w:val="24"/>
                    </w:rPr>
                    <w:t>Nilai Pasar investasi (Rp. juta)</w:t>
                  </w:r>
                </w:p>
              </w:tc>
              <w:tc>
                <w:tcPr>
                  <w:tcW w:w="992" w:type="dxa"/>
                  <w:vAlign w:val="center"/>
                </w:tcPr>
                <w:p w14:paraId="3A9B4564" w14:textId="77777777" w:rsidR="00BC1859" w:rsidRPr="00306115" w:rsidRDefault="00BC1859" w:rsidP="00D60487">
                  <w:pPr>
                    <w:widowControl w:val="0"/>
                    <w:tabs>
                      <w:tab w:val="left" w:pos="389"/>
                    </w:tabs>
                    <w:ind w:left="-149" w:right="-103"/>
                    <w:jc w:val="center"/>
                    <w:rPr>
                      <w:rFonts w:eastAsia="Bookman Old Style" w:cs="Bookman Old Style"/>
                      <w:color w:val="000000" w:themeColor="text1"/>
                      <w:szCs w:val="24"/>
                    </w:rPr>
                  </w:pPr>
                  <w:r w:rsidRPr="00306115">
                    <w:rPr>
                      <w:rFonts w:eastAsia="Bookman Old Style" w:cs="Bookman Old Style"/>
                      <w:color w:val="000000" w:themeColor="text1"/>
                      <w:szCs w:val="24"/>
                    </w:rPr>
                    <w:t>% thd NAB</w:t>
                  </w:r>
                </w:p>
              </w:tc>
              <w:tc>
                <w:tcPr>
                  <w:tcW w:w="992" w:type="dxa"/>
                  <w:vAlign w:val="center"/>
                </w:tcPr>
                <w:p w14:paraId="71C1DCAD" w14:textId="77777777" w:rsidR="00BC1859" w:rsidRPr="00306115" w:rsidRDefault="00BC1859" w:rsidP="00D60487">
                  <w:pPr>
                    <w:widowControl w:val="0"/>
                    <w:tabs>
                      <w:tab w:val="left" w:pos="389"/>
                    </w:tabs>
                    <w:ind w:left="-170" w:right="-107"/>
                    <w:jc w:val="center"/>
                    <w:rPr>
                      <w:rFonts w:eastAsia="Bookman Old Style" w:cs="Bookman Old Style"/>
                      <w:color w:val="000000" w:themeColor="text1"/>
                      <w:szCs w:val="24"/>
                    </w:rPr>
                  </w:pPr>
                  <w:r w:rsidRPr="00306115">
                    <w:rPr>
                      <w:rFonts w:eastAsia="Bookman Old Style" w:cs="Bookman Old Style"/>
                      <w:color w:val="000000" w:themeColor="text1"/>
                      <w:szCs w:val="24"/>
                    </w:rPr>
                    <w:t>Durasi</w:t>
                  </w:r>
                </w:p>
              </w:tc>
              <w:tc>
                <w:tcPr>
                  <w:tcW w:w="1276" w:type="dxa"/>
                  <w:vAlign w:val="center"/>
                </w:tcPr>
                <w:p w14:paraId="353BC066" w14:textId="77777777" w:rsidR="00BC1859" w:rsidRPr="00306115" w:rsidRDefault="00BC1859" w:rsidP="00D60487">
                  <w:pPr>
                    <w:widowControl w:val="0"/>
                    <w:tabs>
                      <w:tab w:val="left" w:pos="389"/>
                    </w:tabs>
                    <w:ind w:left="-50" w:right="-109"/>
                    <w:jc w:val="center"/>
                    <w:rPr>
                      <w:rFonts w:eastAsia="Bookman Old Style" w:cs="Bookman Old Style"/>
                      <w:color w:val="000000" w:themeColor="text1"/>
                      <w:szCs w:val="24"/>
                    </w:rPr>
                  </w:pPr>
                  <w:r w:rsidRPr="00306115">
                    <w:rPr>
                      <w:rFonts w:eastAsia="Bookman Old Style" w:cs="Bookman Old Style"/>
                      <w:i/>
                      <w:iCs/>
                      <w:color w:val="000000" w:themeColor="text1"/>
                      <w:szCs w:val="24"/>
                    </w:rPr>
                    <w:t>Weighted</w:t>
                  </w:r>
                  <w:r w:rsidRPr="00306115">
                    <w:rPr>
                      <w:rFonts w:eastAsia="Bookman Old Style" w:cs="Bookman Old Style"/>
                      <w:color w:val="000000" w:themeColor="text1"/>
                      <w:szCs w:val="24"/>
                    </w:rPr>
                    <w:t xml:space="preserve"> Durasi</w:t>
                  </w:r>
                </w:p>
              </w:tc>
            </w:tr>
            <w:tr w:rsidR="00BC1859" w:rsidRPr="00306115" w14:paraId="2F52F5FF" w14:textId="77777777" w:rsidTr="00D60487">
              <w:tc>
                <w:tcPr>
                  <w:tcW w:w="1418" w:type="dxa"/>
                  <w:vAlign w:val="center"/>
                </w:tcPr>
                <w:p w14:paraId="4A4B3ACB" w14:textId="77777777" w:rsidR="00BC1859" w:rsidRPr="00306115" w:rsidRDefault="00BC1859" w:rsidP="00D60487">
                  <w:pPr>
                    <w:widowControl w:val="0"/>
                    <w:tabs>
                      <w:tab w:val="left" w:pos="389"/>
                    </w:tabs>
                    <w:jc w:val="center"/>
                    <w:rPr>
                      <w:rFonts w:eastAsia="Bookman Old Style" w:cs="Bookman Old Style"/>
                      <w:color w:val="000000" w:themeColor="text1"/>
                      <w:szCs w:val="24"/>
                    </w:rPr>
                  </w:pPr>
                  <w:r w:rsidRPr="00306115">
                    <w:rPr>
                      <w:rFonts w:eastAsia="Bookman Old Style" w:cs="Bookman Old Style"/>
                      <w:color w:val="000000" w:themeColor="text1"/>
                      <w:szCs w:val="24"/>
                    </w:rPr>
                    <w:t>SUN FRXX</w:t>
                  </w:r>
                </w:p>
              </w:tc>
              <w:tc>
                <w:tcPr>
                  <w:tcW w:w="1417" w:type="dxa"/>
                  <w:vAlign w:val="center"/>
                </w:tcPr>
                <w:p w14:paraId="431B61ED" w14:textId="77777777" w:rsidR="00BC1859" w:rsidRPr="00306115" w:rsidRDefault="00BC1859" w:rsidP="00D60487">
                  <w:pPr>
                    <w:widowControl w:val="0"/>
                    <w:tabs>
                      <w:tab w:val="left" w:pos="389"/>
                    </w:tabs>
                    <w:jc w:val="center"/>
                    <w:rPr>
                      <w:rFonts w:eastAsia="Bookman Old Style" w:cs="Bookman Old Style"/>
                      <w:color w:val="000000" w:themeColor="text1"/>
                      <w:szCs w:val="24"/>
                    </w:rPr>
                  </w:pPr>
                  <w:r w:rsidRPr="00306115">
                    <w:rPr>
                      <w:rFonts w:eastAsia="Bookman Old Style" w:cs="Bookman Old Style"/>
                      <w:color w:val="000000" w:themeColor="text1"/>
                      <w:szCs w:val="24"/>
                    </w:rPr>
                    <w:t>SUN</w:t>
                  </w:r>
                </w:p>
                <w:p w14:paraId="0C889552" w14:textId="77777777" w:rsidR="00BC1859" w:rsidRPr="00306115" w:rsidRDefault="00BC1859" w:rsidP="00D60487">
                  <w:pPr>
                    <w:widowControl w:val="0"/>
                    <w:tabs>
                      <w:tab w:val="left" w:pos="389"/>
                    </w:tabs>
                    <w:jc w:val="center"/>
                    <w:rPr>
                      <w:rFonts w:eastAsia="Bookman Old Style" w:cs="Bookman Old Style"/>
                      <w:color w:val="000000" w:themeColor="text1"/>
                      <w:szCs w:val="24"/>
                    </w:rPr>
                  </w:pPr>
                  <w:r w:rsidRPr="00306115">
                    <w:rPr>
                      <w:rFonts w:eastAsia="Bookman Old Style" w:cs="Bookman Old Style"/>
                      <w:color w:val="000000" w:themeColor="text1"/>
                      <w:szCs w:val="24"/>
                    </w:rPr>
                    <w:t>10 Tahun</w:t>
                  </w:r>
                </w:p>
              </w:tc>
              <w:tc>
                <w:tcPr>
                  <w:tcW w:w="1418" w:type="dxa"/>
                  <w:vAlign w:val="center"/>
                </w:tcPr>
                <w:p w14:paraId="6ED5248E" w14:textId="77777777" w:rsidR="00BC1859" w:rsidRPr="00306115" w:rsidRDefault="00BC1859" w:rsidP="00D60487">
                  <w:pPr>
                    <w:widowControl w:val="0"/>
                    <w:tabs>
                      <w:tab w:val="left" w:pos="389"/>
                    </w:tabs>
                    <w:jc w:val="center"/>
                    <w:rPr>
                      <w:rFonts w:eastAsia="Bookman Old Style" w:cs="Bookman Old Style"/>
                      <w:color w:val="000000" w:themeColor="text1"/>
                      <w:szCs w:val="24"/>
                    </w:rPr>
                  </w:pPr>
                  <w:r w:rsidRPr="00306115">
                    <w:rPr>
                      <w:rFonts w:eastAsia="Bookman Old Style" w:cs="Bookman Old Style"/>
                      <w:color w:val="000000" w:themeColor="text1"/>
                      <w:szCs w:val="24"/>
                    </w:rPr>
                    <w:t>280,000</w:t>
                  </w:r>
                </w:p>
              </w:tc>
              <w:tc>
                <w:tcPr>
                  <w:tcW w:w="992" w:type="dxa"/>
                  <w:vAlign w:val="center"/>
                </w:tcPr>
                <w:p w14:paraId="01E85D84" w14:textId="77777777" w:rsidR="00BC1859" w:rsidRPr="00306115" w:rsidRDefault="00BC1859" w:rsidP="00D60487">
                  <w:pPr>
                    <w:widowControl w:val="0"/>
                    <w:tabs>
                      <w:tab w:val="left" w:pos="389"/>
                    </w:tabs>
                    <w:jc w:val="center"/>
                    <w:rPr>
                      <w:rFonts w:eastAsia="Bookman Old Style" w:cs="Bookman Old Style"/>
                      <w:color w:val="000000" w:themeColor="text1"/>
                      <w:szCs w:val="24"/>
                    </w:rPr>
                  </w:pPr>
                  <w:r w:rsidRPr="00306115">
                    <w:rPr>
                      <w:rFonts w:eastAsia="Bookman Old Style" w:cs="Bookman Old Style"/>
                      <w:color w:val="000000" w:themeColor="text1"/>
                      <w:szCs w:val="24"/>
                    </w:rPr>
                    <w:t>46.66%</w:t>
                  </w:r>
                </w:p>
              </w:tc>
              <w:tc>
                <w:tcPr>
                  <w:tcW w:w="992" w:type="dxa"/>
                  <w:vAlign w:val="center"/>
                </w:tcPr>
                <w:p w14:paraId="4A58433B" w14:textId="77777777" w:rsidR="00BC1859" w:rsidRPr="00306115" w:rsidRDefault="00BC1859" w:rsidP="00D60487">
                  <w:pPr>
                    <w:widowControl w:val="0"/>
                    <w:tabs>
                      <w:tab w:val="left" w:pos="389"/>
                    </w:tabs>
                    <w:jc w:val="center"/>
                    <w:rPr>
                      <w:rFonts w:eastAsia="Bookman Old Style" w:cs="Bookman Old Style"/>
                      <w:color w:val="000000" w:themeColor="text1"/>
                      <w:szCs w:val="24"/>
                    </w:rPr>
                  </w:pPr>
                  <w:r w:rsidRPr="00306115">
                    <w:rPr>
                      <w:rFonts w:eastAsia="Bookman Old Style" w:cs="Bookman Old Style"/>
                      <w:color w:val="000000" w:themeColor="text1"/>
                      <w:szCs w:val="24"/>
                    </w:rPr>
                    <w:t>7.254</w:t>
                  </w:r>
                </w:p>
              </w:tc>
              <w:tc>
                <w:tcPr>
                  <w:tcW w:w="1276" w:type="dxa"/>
                  <w:vAlign w:val="center"/>
                </w:tcPr>
                <w:p w14:paraId="371803B5" w14:textId="77777777" w:rsidR="00BC1859" w:rsidRPr="00306115" w:rsidRDefault="00BC1859" w:rsidP="00D60487">
                  <w:pPr>
                    <w:widowControl w:val="0"/>
                    <w:tabs>
                      <w:tab w:val="left" w:pos="389"/>
                    </w:tabs>
                    <w:jc w:val="center"/>
                    <w:rPr>
                      <w:rFonts w:eastAsia="Bookman Old Style" w:cs="Bookman Old Style"/>
                      <w:color w:val="000000" w:themeColor="text1"/>
                      <w:szCs w:val="24"/>
                    </w:rPr>
                  </w:pPr>
                  <w:r w:rsidRPr="00306115">
                    <w:rPr>
                      <w:rFonts w:eastAsia="Bookman Old Style" w:cs="Bookman Old Style"/>
                      <w:color w:val="000000" w:themeColor="text1"/>
                      <w:szCs w:val="24"/>
                    </w:rPr>
                    <w:t>3.384</w:t>
                  </w:r>
                </w:p>
              </w:tc>
            </w:tr>
            <w:tr w:rsidR="00BC1859" w:rsidRPr="00306115" w14:paraId="2B4DC9CA" w14:textId="77777777" w:rsidTr="00D60487">
              <w:tc>
                <w:tcPr>
                  <w:tcW w:w="1418" w:type="dxa"/>
                  <w:vAlign w:val="center"/>
                </w:tcPr>
                <w:p w14:paraId="1CB3F6CE" w14:textId="77777777" w:rsidR="00BC1859" w:rsidRPr="00306115" w:rsidRDefault="00BC1859" w:rsidP="00D60487">
                  <w:pPr>
                    <w:widowControl w:val="0"/>
                    <w:tabs>
                      <w:tab w:val="left" w:pos="389"/>
                    </w:tabs>
                    <w:jc w:val="center"/>
                    <w:rPr>
                      <w:rFonts w:eastAsia="Bookman Old Style" w:cs="Bookman Old Style"/>
                      <w:color w:val="000000" w:themeColor="text1"/>
                      <w:szCs w:val="24"/>
                    </w:rPr>
                  </w:pPr>
                  <w:r w:rsidRPr="00306115">
                    <w:rPr>
                      <w:rFonts w:eastAsia="Bookman Old Style" w:cs="Bookman Old Style"/>
                      <w:color w:val="000000" w:themeColor="text1"/>
                      <w:szCs w:val="24"/>
                    </w:rPr>
                    <w:t>Obligasi ABC</w:t>
                  </w:r>
                </w:p>
              </w:tc>
              <w:tc>
                <w:tcPr>
                  <w:tcW w:w="1417" w:type="dxa"/>
                  <w:vAlign w:val="center"/>
                </w:tcPr>
                <w:p w14:paraId="3F0FF508" w14:textId="77777777" w:rsidR="00BC1859" w:rsidRPr="00306115" w:rsidRDefault="00BC1859" w:rsidP="00D60487">
                  <w:pPr>
                    <w:widowControl w:val="0"/>
                    <w:tabs>
                      <w:tab w:val="left" w:pos="389"/>
                    </w:tabs>
                    <w:jc w:val="center"/>
                    <w:rPr>
                      <w:rFonts w:eastAsia="Bookman Old Style" w:cs="Bookman Old Style"/>
                      <w:color w:val="000000" w:themeColor="text1"/>
                      <w:szCs w:val="24"/>
                    </w:rPr>
                  </w:pPr>
                  <w:r w:rsidRPr="00306115">
                    <w:rPr>
                      <w:rFonts w:eastAsia="Bookman Old Style" w:cs="Bookman Old Style"/>
                      <w:color w:val="000000" w:themeColor="text1"/>
                      <w:szCs w:val="24"/>
                    </w:rPr>
                    <w:t>Korporasi</w:t>
                  </w:r>
                </w:p>
                <w:p w14:paraId="62381696" w14:textId="77777777" w:rsidR="00BC1859" w:rsidRPr="00306115" w:rsidRDefault="00BC1859" w:rsidP="00D60487">
                  <w:pPr>
                    <w:widowControl w:val="0"/>
                    <w:tabs>
                      <w:tab w:val="left" w:pos="389"/>
                    </w:tabs>
                    <w:jc w:val="center"/>
                    <w:rPr>
                      <w:rFonts w:eastAsia="Bookman Old Style" w:cs="Bookman Old Style"/>
                      <w:color w:val="000000" w:themeColor="text1"/>
                      <w:szCs w:val="24"/>
                    </w:rPr>
                  </w:pPr>
                  <w:r w:rsidRPr="00306115">
                    <w:rPr>
                      <w:rFonts w:eastAsia="Bookman Old Style" w:cs="Bookman Old Style"/>
                      <w:color w:val="000000" w:themeColor="text1"/>
                      <w:szCs w:val="24"/>
                    </w:rPr>
                    <w:t>5 Tahun</w:t>
                  </w:r>
                </w:p>
              </w:tc>
              <w:tc>
                <w:tcPr>
                  <w:tcW w:w="1418" w:type="dxa"/>
                  <w:vAlign w:val="center"/>
                </w:tcPr>
                <w:p w14:paraId="1CC75ACD" w14:textId="77777777" w:rsidR="00BC1859" w:rsidRPr="00306115" w:rsidRDefault="00BC1859" w:rsidP="00D60487">
                  <w:pPr>
                    <w:widowControl w:val="0"/>
                    <w:tabs>
                      <w:tab w:val="left" w:pos="389"/>
                    </w:tabs>
                    <w:jc w:val="center"/>
                    <w:rPr>
                      <w:rFonts w:eastAsia="Bookman Old Style" w:cs="Bookman Old Style"/>
                      <w:color w:val="000000" w:themeColor="text1"/>
                      <w:szCs w:val="24"/>
                    </w:rPr>
                  </w:pPr>
                  <w:r w:rsidRPr="00306115">
                    <w:rPr>
                      <w:rFonts w:eastAsia="Bookman Old Style" w:cs="Bookman Old Style"/>
                      <w:color w:val="000000" w:themeColor="text1"/>
                      <w:szCs w:val="24"/>
                    </w:rPr>
                    <w:t>150,000</w:t>
                  </w:r>
                </w:p>
              </w:tc>
              <w:tc>
                <w:tcPr>
                  <w:tcW w:w="992" w:type="dxa"/>
                  <w:vAlign w:val="center"/>
                </w:tcPr>
                <w:p w14:paraId="26F329F0" w14:textId="77777777" w:rsidR="00BC1859" w:rsidRPr="00306115" w:rsidRDefault="00BC1859" w:rsidP="00D60487">
                  <w:pPr>
                    <w:widowControl w:val="0"/>
                    <w:tabs>
                      <w:tab w:val="left" w:pos="389"/>
                    </w:tabs>
                    <w:jc w:val="center"/>
                    <w:rPr>
                      <w:rFonts w:eastAsia="Bookman Old Style" w:cs="Bookman Old Style"/>
                      <w:color w:val="000000" w:themeColor="text1"/>
                      <w:szCs w:val="24"/>
                    </w:rPr>
                  </w:pPr>
                  <w:r w:rsidRPr="00306115">
                    <w:rPr>
                      <w:rFonts w:eastAsia="Bookman Old Style" w:cs="Bookman Old Style"/>
                      <w:color w:val="000000" w:themeColor="text1"/>
                      <w:szCs w:val="24"/>
                    </w:rPr>
                    <w:t>25%</w:t>
                  </w:r>
                </w:p>
              </w:tc>
              <w:tc>
                <w:tcPr>
                  <w:tcW w:w="992" w:type="dxa"/>
                  <w:vAlign w:val="center"/>
                </w:tcPr>
                <w:p w14:paraId="599CB041" w14:textId="77777777" w:rsidR="00BC1859" w:rsidRPr="00306115" w:rsidRDefault="00BC1859" w:rsidP="00D60487">
                  <w:pPr>
                    <w:widowControl w:val="0"/>
                    <w:tabs>
                      <w:tab w:val="left" w:pos="389"/>
                    </w:tabs>
                    <w:jc w:val="center"/>
                    <w:rPr>
                      <w:rFonts w:eastAsia="Bookman Old Style" w:cs="Bookman Old Style"/>
                      <w:color w:val="000000" w:themeColor="text1"/>
                      <w:szCs w:val="24"/>
                    </w:rPr>
                  </w:pPr>
                  <w:r w:rsidRPr="00306115">
                    <w:rPr>
                      <w:rFonts w:eastAsia="Bookman Old Style" w:cs="Bookman Old Style"/>
                      <w:color w:val="000000" w:themeColor="text1"/>
                      <w:szCs w:val="24"/>
                    </w:rPr>
                    <w:t>3.200</w:t>
                  </w:r>
                </w:p>
              </w:tc>
              <w:tc>
                <w:tcPr>
                  <w:tcW w:w="1276" w:type="dxa"/>
                  <w:vAlign w:val="center"/>
                </w:tcPr>
                <w:p w14:paraId="6B22A62C" w14:textId="77777777" w:rsidR="00BC1859" w:rsidRPr="00306115" w:rsidRDefault="00BC1859" w:rsidP="00D60487">
                  <w:pPr>
                    <w:widowControl w:val="0"/>
                    <w:tabs>
                      <w:tab w:val="left" w:pos="389"/>
                    </w:tabs>
                    <w:jc w:val="center"/>
                    <w:rPr>
                      <w:rFonts w:eastAsia="Bookman Old Style" w:cs="Bookman Old Style"/>
                      <w:color w:val="000000" w:themeColor="text1"/>
                      <w:szCs w:val="24"/>
                    </w:rPr>
                  </w:pPr>
                  <w:r w:rsidRPr="00306115">
                    <w:rPr>
                      <w:rFonts w:eastAsia="Bookman Old Style" w:cs="Bookman Old Style"/>
                      <w:color w:val="000000" w:themeColor="text1"/>
                      <w:szCs w:val="24"/>
                    </w:rPr>
                    <w:t>0.8</w:t>
                  </w:r>
                </w:p>
              </w:tc>
            </w:tr>
            <w:tr w:rsidR="00BC1859" w:rsidRPr="00306115" w14:paraId="2968D33D" w14:textId="77777777" w:rsidTr="00D60487">
              <w:tc>
                <w:tcPr>
                  <w:tcW w:w="1418" w:type="dxa"/>
                  <w:vAlign w:val="center"/>
                </w:tcPr>
                <w:p w14:paraId="6243221F" w14:textId="77777777" w:rsidR="00BC1859" w:rsidRPr="00306115" w:rsidRDefault="00BC1859" w:rsidP="00D60487">
                  <w:pPr>
                    <w:widowControl w:val="0"/>
                    <w:tabs>
                      <w:tab w:val="left" w:pos="389"/>
                    </w:tabs>
                    <w:jc w:val="center"/>
                    <w:rPr>
                      <w:rFonts w:eastAsia="Bookman Old Style" w:cs="Bookman Old Style"/>
                      <w:color w:val="000000" w:themeColor="text1"/>
                      <w:szCs w:val="24"/>
                    </w:rPr>
                  </w:pPr>
                  <w:r w:rsidRPr="00306115">
                    <w:rPr>
                      <w:rFonts w:eastAsia="Bookman Old Style" w:cs="Bookman Old Style"/>
                      <w:color w:val="000000" w:themeColor="text1"/>
                      <w:szCs w:val="24"/>
                    </w:rPr>
                    <w:t>Obligasi CDE</w:t>
                  </w:r>
                </w:p>
              </w:tc>
              <w:tc>
                <w:tcPr>
                  <w:tcW w:w="1417" w:type="dxa"/>
                  <w:vAlign w:val="center"/>
                </w:tcPr>
                <w:p w14:paraId="4480F400" w14:textId="1F233B95" w:rsidR="00BC1859" w:rsidRPr="00306115" w:rsidRDefault="00BC1859" w:rsidP="00D60487">
                  <w:pPr>
                    <w:widowControl w:val="0"/>
                    <w:tabs>
                      <w:tab w:val="left" w:pos="389"/>
                    </w:tabs>
                    <w:jc w:val="center"/>
                    <w:rPr>
                      <w:rFonts w:eastAsia="Bookman Old Style" w:cs="Bookman Old Style"/>
                      <w:color w:val="000000" w:themeColor="text1"/>
                      <w:szCs w:val="24"/>
                    </w:rPr>
                  </w:pPr>
                  <w:r w:rsidRPr="00306115">
                    <w:rPr>
                      <w:rFonts w:eastAsia="Bookman Old Style" w:cs="Bookman Old Style"/>
                      <w:color w:val="000000" w:themeColor="text1"/>
                      <w:szCs w:val="24"/>
                    </w:rPr>
                    <w:t>Korporasi</w:t>
                  </w:r>
                </w:p>
                <w:p w14:paraId="221D7DB1" w14:textId="77777777" w:rsidR="00BC1859" w:rsidRPr="00306115" w:rsidRDefault="00BC1859" w:rsidP="00D60487">
                  <w:pPr>
                    <w:widowControl w:val="0"/>
                    <w:tabs>
                      <w:tab w:val="left" w:pos="389"/>
                    </w:tabs>
                    <w:jc w:val="center"/>
                    <w:rPr>
                      <w:rFonts w:eastAsia="Bookman Old Style" w:cs="Bookman Old Style"/>
                      <w:color w:val="000000" w:themeColor="text1"/>
                      <w:szCs w:val="24"/>
                    </w:rPr>
                  </w:pPr>
                  <w:r w:rsidRPr="00306115">
                    <w:rPr>
                      <w:rFonts w:eastAsia="Bookman Old Style" w:cs="Bookman Old Style"/>
                      <w:color w:val="000000" w:themeColor="text1"/>
                      <w:szCs w:val="24"/>
                    </w:rPr>
                    <w:t>8 Tahun</w:t>
                  </w:r>
                </w:p>
              </w:tc>
              <w:tc>
                <w:tcPr>
                  <w:tcW w:w="1418" w:type="dxa"/>
                  <w:vAlign w:val="center"/>
                </w:tcPr>
                <w:p w14:paraId="606BB309" w14:textId="77777777" w:rsidR="00BC1859" w:rsidRPr="00306115" w:rsidRDefault="00BC1859" w:rsidP="00D60487">
                  <w:pPr>
                    <w:widowControl w:val="0"/>
                    <w:tabs>
                      <w:tab w:val="left" w:pos="389"/>
                    </w:tabs>
                    <w:jc w:val="center"/>
                    <w:rPr>
                      <w:rFonts w:eastAsia="Bookman Old Style" w:cs="Bookman Old Style"/>
                      <w:color w:val="000000" w:themeColor="text1"/>
                      <w:szCs w:val="24"/>
                    </w:rPr>
                  </w:pPr>
                  <w:r w:rsidRPr="00306115">
                    <w:rPr>
                      <w:rFonts w:eastAsia="Bookman Old Style" w:cs="Bookman Old Style"/>
                      <w:color w:val="000000" w:themeColor="text1"/>
                      <w:szCs w:val="24"/>
                    </w:rPr>
                    <w:t>120,000</w:t>
                  </w:r>
                </w:p>
              </w:tc>
              <w:tc>
                <w:tcPr>
                  <w:tcW w:w="992" w:type="dxa"/>
                  <w:vAlign w:val="center"/>
                </w:tcPr>
                <w:p w14:paraId="1EC041E7" w14:textId="77777777" w:rsidR="00BC1859" w:rsidRPr="00306115" w:rsidRDefault="00BC1859" w:rsidP="00D60487">
                  <w:pPr>
                    <w:widowControl w:val="0"/>
                    <w:tabs>
                      <w:tab w:val="left" w:pos="389"/>
                    </w:tabs>
                    <w:jc w:val="center"/>
                    <w:rPr>
                      <w:rFonts w:eastAsia="Bookman Old Style" w:cs="Bookman Old Style"/>
                      <w:color w:val="000000" w:themeColor="text1"/>
                      <w:szCs w:val="24"/>
                    </w:rPr>
                  </w:pPr>
                  <w:r w:rsidRPr="00306115">
                    <w:rPr>
                      <w:rFonts w:eastAsia="Bookman Old Style" w:cs="Bookman Old Style"/>
                      <w:color w:val="000000" w:themeColor="text1"/>
                      <w:szCs w:val="24"/>
                    </w:rPr>
                    <w:t>20%</w:t>
                  </w:r>
                </w:p>
              </w:tc>
              <w:tc>
                <w:tcPr>
                  <w:tcW w:w="992" w:type="dxa"/>
                  <w:vAlign w:val="center"/>
                </w:tcPr>
                <w:p w14:paraId="50AD0865" w14:textId="77777777" w:rsidR="00BC1859" w:rsidRPr="00306115" w:rsidRDefault="00BC1859" w:rsidP="00D60487">
                  <w:pPr>
                    <w:widowControl w:val="0"/>
                    <w:tabs>
                      <w:tab w:val="left" w:pos="389"/>
                    </w:tabs>
                    <w:jc w:val="center"/>
                    <w:rPr>
                      <w:rFonts w:eastAsia="Bookman Old Style" w:cs="Bookman Old Style"/>
                      <w:color w:val="000000" w:themeColor="text1"/>
                      <w:szCs w:val="24"/>
                    </w:rPr>
                  </w:pPr>
                  <w:r w:rsidRPr="00306115">
                    <w:rPr>
                      <w:rFonts w:eastAsia="Bookman Old Style" w:cs="Bookman Old Style"/>
                      <w:color w:val="000000" w:themeColor="text1"/>
                      <w:szCs w:val="24"/>
                    </w:rPr>
                    <w:t>5.300</w:t>
                  </w:r>
                </w:p>
              </w:tc>
              <w:tc>
                <w:tcPr>
                  <w:tcW w:w="1276" w:type="dxa"/>
                  <w:vAlign w:val="center"/>
                </w:tcPr>
                <w:p w14:paraId="1927DD7D" w14:textId="77777777" w:rsidR="00BC1859" w:rsidRPr="00306115" w:rsidRDefault="00BC1859" w:rsidP="00D60487">
                  <w:pPr>
                    <w:widowControl w:val="0"/>
                    <w:tabs>
                      <w:tab w:val="left" w:pos="389"/>
                    </w:tabs>
                    <w:jc w:val="center"/>
                    <w:rPr>
                      <w:rFonts w:eastAsia="Bookman Old Style" w:cs="Bookman Old Style"/>
                      <w:color w:val="000000" w:themeColor="text1"/>
                      <w:szCs w:val="24"/>
                    </w:rPr>
                  </w:pPr>
                  <w:r w:rsidRPr="00306115">
                    <w:rPr>
                      <w:rFonts w:eastAsia="Bookman Old Style" w:cs="Bookman Old Style"/>
                      <w:color w:val="000000" w:themeColor="text1"/>
                      <w:szCs w:val="24"/>
                    </w:rPr>
                    <w:t>1.06</w:t>
                  </w:r>
                </w:p>
              </w:tc>
            </w:tr>
            <w:tr w:rsidR="00BC1859" w:rsidRPr="00306115" w14:paraId="621FDD1C" w14:textId="77777777" w:rsidTr="00D60487">
              <w:tc>
                <w:tcPr>
                  <w:tcW w:w="1418" w:type="dxa"/>
                  <w:vAlign w:val="center"/>
                </w:tcPr>
                <w:p w14:paraId="357C81EF" w14:textId="77777777" w:rsidR="00BC1859" w:rsidRPr="00306115" w:rsidRDefault="00BC1859" w:rsidP="00D60487">
                  <w:pPr>
                    <w:widowControl w:val="0"/>
                    <w:tabs>
                      <w:tab w:val="left" w:pos="389"/>
                    </w:tabs>
                    <w:jc w:val="center"/>
                    <w:rPr>
                      <w:rFonts w:eastAsia="Bookman Old Style" w:cs="Bookman Old Style"/>
                      <w:color w:val="000000" w:themeColor="text1"/>
                      <w:szCs w:val="24"/>
                    </w:rPr>
                  </w:pPr>
                  <w:r w:rsidRPr="00306115">
                    <w:rPr>
                      <w:rFonts w:eastAsia="Bookman Old Style" w:cs="Bookman Old Style"/>
                      <w:color w:val="000000" w:themeColor="text1"/>
                      <w:szCs w:val="24"/>
                    </w:rPr>
                    <w:t>SBI</w:t>
                  </w:r>
                </w:p>
              </w:tc>
              <w:tc>
                <w:tcPr>
                  <w:tcW w:w="1417" w:type="dxa"/>
                  <w:vAlign w:val="center"/>
                </w:tcPr>
                <w:p w14:paraId="04917F33" w14:textId="77777777" w:rsidR="00BC1859" w:rsidRPr="00306115" w:rsidRDefault="00BC1859" w:rsidP="00D60487">
                  <w:pPr>
                    <w:widowControl w:val="0"/>
                    <w:tabs>
                      <w:tab w:val="left" w:pos="389"/>
                    </w:tabs>
                    <w:jc w:val="center"/>
                    <w:rPr>
                      <w:rFonts w:eastAsia="Bookman Old Style" w:cs="Bookman Old Style"/>
                      <w:color w:val="000000" w:themeColor="text1"/>
                      <w:szCs w:val="24"/>
                    </w:rPr>
                  </w:pPr>
                  <w:r w:rsidRPr="00306115">
                    <w:rPr>
                      <w:rFonts w:eastAsia="Bookman Old Style" w:cs="Bookman Old Style"/>
                      <w:color w:val="000000" w:themeColor="text1"/>
                      <w:szCs w:val="24"/>
                    </w:rPr>
                    <w:t>3 bulan</w:t>
                  </w:r>
                </w:p>
              </w:tc>
              <w:tc>
                <w:tcPr>
                  <w:tcW w:w="1418" w:type="dxa"/>
                  <w:vAlign w:val="center"/>
                </w:tcPr>
                <w:p w14:paraId="5CC9850B" w14:textId="77777777" w:rsidR="00BC1859" w:rsidRPr="00306115" w:rsidRDefault="00BC1859" w:rsidP="00D60487">
                  <w:pPr>
                    <w:widowControl w:val="0"/>
                    <w:tabs>
                      <w:tab w:val="left" w:pos="389"/>
                    </w:tabs>
                    <w:jc w:val="center"/>
                    <w:rPr>
                      <w:rFonts w:eastAsia="Bookman Old Style" w:cs="Bookman Old Style"/>
                      <w:color w:val="000000" w:themeColor="text1"/>
                      <w:szCs w:val="24"/>
                    </w:rPr>
                  </w:pPr>
                  <w:r w:rsidRPr="00306115">
                    <w:rPr>
                      <w:rFonts w:eastAsia="Bookman Old Style" w:cs="Bookman Old Style"/>
                      <w:color w:val="000000" w:themeColor="text1"/>
                      <w:szCs w:val="24"/>
                    </w:rPr>
                    <w:t>50,000</w:t>
                  </w:r>
                </w:p>
              </w:tc>
              <w:tc>
                <w:tcPr>
                  <w:tcW w:w="992" w:type="dxa"/>
                  <w:vAlign w:val="center"/>
                </w:tcPr>
                <w:p w14:paraId="3A01D5B5" w14:textId="77777777" w:rsidR="00BC1859" w:rsidRPr="00306115" w:rsidRDefault="00BC1859" w:rsidP="00D60487">
                  <w:pPr>
                    <w:widowControl w:val="0"/>
                    <w:tabs>
                      <w:tab w:val="left" w:pos="389"/>
                    </w:tabs>
                    <w:jc w:val="center"/>
                    <w:rPr>
                      <w:rFonts w:eastAsia="Bookman Old Style" w:cs="Bookman Old Style"/>
                      <w:color w:val="000000" w:themeColor="text1"/>
                      <w:szCs w:val="24"/>
                    </w:rPr>
                  </w:pPr>
                  <w:r w:rsidRPr="00306115">
                    <w:rPr>
                      <w:rFonts w:eastAsia="Bookman Old Style" w:cs="Bookman Old Style"/>
                      <w:color w:val="000000" w:themeColor="text1"/>
                      <w:szCs w:val="24"/>
                    </w:rPr>
                    <w:t>8.33%</w:t>
                  </w:r>
                </w:p>
              </w:tc>
              <w:tc>
                <w:tcPr>
                  <w:tcW w:w="992" w:type="dxa"/>
                  <w:vAlign w:val="center"/>
                </w:tcPr>
                <w:p w14:paraId="73704B01" w14:textId="77777777" w:rsidR="00BC1859" w:rsidRPr="00306115" w:rsidRDefault="00BC1859" w:rsidP="00D60487">
                  <w:pPr>
                    <w:widowControl w:val="0"/>
                    <w:tabs>
                      <w:tab w:val="left" w:pos="389"/>
                    </w:tabs>
                    <w:jc w:val="center"/>
                    <w:rPr>
                      <w:rFonts w:eastAsia="Bookman Old Style" w:cs="Bookman Old Style"/>
                      <w:color w:val="000000" w:themeColor="text1"/>
                      <w:szCs w:val="24"/>
                    </w:rPr>
                  </w:pPr>
                  <w:r w:rsidRPr="00306115">
                    <w:rPr>
                      <w:rFonts w:eastAsia="Bookman Old Style" w:cs="Bookman Old Style"/>
                      <w:color w:val="000000" w:themeColor="text1"/>
                      <w:szCs w:val="24"/>
                    </w:rPr>
                    <w:t>0.250</w:t>
                  </w:r>
                </w:p>
              </w:tc>
              <w:tc>
                <w:tcPr>
                  <w:tcW w:w="1276" w:type="dxa"/>
                  <w:vAlign w:val="center"/>
                </w:tcPr>
                <w:p w14:paraId="35FA65CB" w14:textId="77777777" w:rsidR="00BC1859" w:rsidRPr="00306115" w:rsidRDefault="00BC1859" w:rsidP="00D60487">
                  <w:pPr>
                    <w:widowControl w:val="0"/>
                    <w:tabs>
                      <w:tab w:val="left" w:pos="389"/>
                    </w:tabs>
                    <w:jc w:val="center"/>
                    <w:rPr>
                      <w:rFonts w:eastAsia="Bookman Old Style" w:cs="Bookman Old Style"/>
                      <w:color w:val="000000" w:themeColor="text1"/>
                      <w:szCs w:val="24"/>
                    </w:rPr>
                  </w:pPr>
                  <w:r w:rsidRPr="00306115">
                    <w:rPr>
                      <w:rFonts w:eastAsia="Bookman Old Style" w:cs="Bookman Old Style"/>
                      <w:color w:val="000000" w:themeColor="text1"/>
                      <w:szCs w:val="24"/>
                    </w:rPr>
                    <w:t>0.020</w:t>
                  </w:r>
                </w:p>
              </w:tc>
            </w:tr>
            <w:tr w:rsidR="00BC1859" w:rsidRPr="00306115" w14:paraId="573D8279" w14:textId="77777777" w:rsidTr="00D60487">
              <w:tc>
                <w:tcPr>
                  <w:tcW w:w="2835" w:type="dxa"/>
                  <w:gridSpan w:val="2"/>
                  <w:vAlign w:val="center"/>
                </w:tcPr>
                <w:p w14:paraId="7B725622" w14:textId="25B181B2" w:rsidR="00BC1859" w:rsidRPr="00306115" w:rsidRDefault="00BC1859" w:rsidP="00D60487">
                  <w:pPr>
                    <w:widowControl w:val="0"/>
                    <w:tabs>
                      <w:tab w:val="left" w:pos="389"/>
                    </w:tabs>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Total</w:t>
                  </w:r>
                </w:p>
              </w:tc>
              <w:tc>
                <w:tcPr>
                  <w:tcW w:w="1418" w:type="dxa"/>
                  <w:vAlign w:val="center"/>
                </w:tcPr>
                <w:p w14:paraId="6C5F43D2" w14:textId="77777777" w:rsidR="00BC1859" w:rsidRPr="00306115" w:rsidRDefault="00BC1859" w:rsidP="00D60487">
                  <w:pPr>
                    <w:widowControl w:val="0"/>
                    <w:tabs>
                      <w:tab w:val="left" w:pos="389"/>
                    </w:tabs>
                    <w:jc w:val="center"/>
                    <w:rPr>
                      <w:rFonts w:eastAsia="Bookman Old Style" w:cs="Bookman Old Style"/>
                      <w:color w:val="000000" w:themeColor="text1"/>
                      <w:szCs w:val="24"/>
                    </w:rPr>
                  </w:pPr>
                  <w:r w:rsidRPr="00306115">
                    <w:rPr>
                      <w:rFonts w:eastAsia="Bookman Old Style" w:cs="Bookman Old Style"/>
                      <w:color w:val="000000" w:themeColor="text1"/>
                      <w:szCs w:val="24"/>
                    </w:rPr>
                    <w:t>600,000</w:t>
                  </w:r>
                </w:p>
              </w:tc>
              <w:tc>
                <w:tcPr>
                  <w:tcW w:w="992" w:type="dxa"/>
                  <w:vAlign w:val="center"/>
                </w:tcPr>
                <w:p w14:paraId="1DB9B7AB" w14:textId="77777777" w:rsidR="00BC1859" w:rsidRPr="00306115" w:rsidRDefault="00BC1859" w:rsidP="00D60487">
                  <w:pPr>
                    <w:widowControl w:val="0"/>
                    <w:tabs>
                      <w:tab w:val="left" w:pos="389"/>
                    </w:tabs>
                    <w:jc w:val="center"/>
                    <w:rPr>
                      <w:rFonts w:eastAsia="Bookman Old Style" w:cs="Bookman Old Style"/>
                      <w:color w:val="000000" w:themeColor="text1"/>
                      <w:szCs w:val="24"/>
                    </w:rPr>
                  </w:pPr>
                  <w:r w:rsidRPr="00306115">
                    <w:rPr>
                      <w:rFonts w:eastAsia="Bookman Old Style" w:cs="Bookman Old Style"/>
                      <w:color w:val="000000" w:themeColor="text1"/>
                      <w:szCs w:val="24"/>
                    </w:rPr>
                    <w:t>100%</w:t>
                  </w:r>
                </w:p>
              </w:tc>
              <w:tc>
                <w:tcPr>
                  <w:tcW w:w="992" w:type="dxa"/>
                  <w:vAlign w:val="center"/>
                </w:tcPr>
                <w:p w14:paraId="78C7CFA5" w14:textId="77777777" w:rsidR="00BC1859" w:rsidRPr="00306115" w:rsidRDefault="00BC1859" w:rsidP="00D60487">
                  <w:pPr>
                    <w:widowControl w:val="0"/>
                    <w:tabs>
                      <w:tab w:val="left" w:pos="389"/>
                    </w:tabs>
                    <w:jc w:val="center"/>
                    <w:rPr>
                      <w:rFonts w:eastAsia="Bookman Old Style" w:cs="Bookman Old Style"/>
                      <w:color w:val="000000" w:themeColor="text1"/>
                      <w:szCs w:val="24"/>
                    </w:rPr>
                  </w:pPr>
                </w:p>
              </w:tc>
              <w:tc>
                <w:tcPr>
                  <w:tcW w:w="1276" w:type="dxa"/>
                  <w:vAlign w:val="center"/>
                </w:tcPr>
                <w:p w14:paraId="2475D372" w14:textId="77777777" w:rsidR="00BC1859" w:rsidRPr="00306115" w:rsidRDefault="00BC1859" w:rsidP="00D60487">
                  <w:pPr>
                    <w:widowControl w:val="0"/>
                    <w:tabs>
                      <w:tab w:val="left" w:pos="389"/>
                    </w:tabs>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5.264</w:t>
                  </w:r>
                </w:p>
              </w:tc>
            </w:tr>
          </w:tbl>
          <w:p w14:paraId="6DC32F6D" w14:textId="77777777" w:rsidR="00BC1859" w:rsidRPr="00306115" w:rsidRDefault="00BC1859">
            <w:pPr>
              <w:numPr>
                <w:ilvl w:val="0"/>
                <w:numId w:val="441"/>
              </w:numPr>
              <w:tabs>
                <w:tab w:val="left" w:pos="1021"/>
                <w:tab w:val="left" w:pos="1304"/>
              </w:tabs>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Penilaian Durasi dilakukan setiap bulan, sehingga perhitungan yang disajikan merupakan rata-rata bulanan dalam setahun.</w:t>
            </w:r>
          </w:p>
          <w:p w14:paraId="73FF4FC5" w14:textId="77777777" w:rsidR="00BC1859" w:rsidRPr="00306115" w:rsidRDefault="00BC1859">
            <w:pPr>
              <w:numPr>
                <w:ilvl w:val="0"/>
                <w:numId w:val="441"/>
              </w:numPr>
              <w:tabs>
                <w:tab w:val="left" w:pos="1021"/>
                <w:tab w:val="left" w:pos="1304"/>
              </w:tabs>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Peringkat risiko nilai durasi:</w:t>
            </w:r>
          </w:p>
          <w:p w14:paraId="24A43D6B" w14:textId="77777777" w:rsidR="00BC1859" w:rsidRPr="00306115" w:rsidRDefault="00BC1859">
            <w:pPr>
              <w:pStyle w:val="ListParagraph"/>
              <w:numPr>
                <w:ilvl w:val="1"/>
                <w:numId w:val="441"/>
              </w:numPr>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rPr>
              <w:t xml:space="preserve">Peringkat 1: </w:t>
            </w:r>
            <w:r w:rsidRPr="00306115">
              <w:rPr>
                <w:rFonts w:eastAsia="Bookman Old Style" w:cs="Bookman Old Style"/>
                <w:color w:val="000000" w:themeColor="text1"/>
                <w:szCs w:val="24"/>
                <w:lang w:val="en-GB"/>
              </w:rPr>
              <w:t>Durasi &lt; 1 tahun</w:t>
            </w:r>
          </w:p>
          <w:p w14:paraId="4BD4E74B" w14:textId="77777777" w:rsidR="00BC1859" w:rsidRPr="00306115" w:rsidRDefault="00BC1859">
            <w:pPr>
              <w:pStyle w:val="ListParagraph"/>
              <w:numPr>
                <w:ilvl w:val="1"/>
                <w:numId w:val="441"/>
              </w:numPr>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rPr>
              <w:t>Peringkat 2: 1 ≤ Durasi &lt; 3 tahun</w:t>
            </w:r>
          </w:p>
          <w:p w14:paraId="41BA15A4" w14:textId="77777777" w:rsidR="00BC1859" w:rsidRPr="00306115" w:rsidRDefault="00BC1859">
            <w:pPr>
              <w:pStyle w:val="ListParagraph"/>
              <w:numPr>
                <w:ilvl w:val="1"/>
                <w:numId w:val="441"/>
              </w:numPr>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rPr>
              <w:t>Peringkat 3: 3 ≤ Durasi &lt; 5 tahun</w:t>
            </w:r>
          </w:p>
          <w:p w14:paraId="1ADD15EA" w14:textId="77777777" w:rsidR="00BC1859" w:rsidRPr="00306115" w:rsidRDefault="00BC1859">
            <w:pPr>
              <w:pStyle w:val="ListParagraph"/>
              <w:numPr>
                <w:ilvl w:val="1"/>
                <w:numId w:val="441"/>
              </w:numPr>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rPr>
              <w:t>Peringkat 4: 5 ≤ Durasi ≤ 8 tahun</w:t>
            </w:r>
          </w:p>
          <w:p w14:paraId="0926476D" w14:textId="3C954384" w:rsidR="00BC1859" w:rsidRPr="00306115" w:rsidRDefault="00BC1859">
            <w:pPr>
              <w:pStyle w:val="ListParagraph"/>
              <w:numPr>
                <w:ilvl w:val="1"/>
                <w:numId w:val="441"/>
              </w:numPr>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rPr>
              <w:t>Peringkat 5: Durasi &gt; 8 tahun</w:t>
            </w:r>
          </w:p>
        </w:tc>
      </w:tr>
      <w:tr w:rsidR="00070A19" w:rsidRPr="00306115" w14:paraId="669B6701" w14:textId="77777777" w:rsidTr="003F637F">
        <w:trPr>
          <w:trHeight w:val="379"/>
        </w:trPr>
        <w:tc>
          <w:tcPr>
            <w:tcW w:w="14742" w:type="dxa"/>
            <w:gridSpan w:val="4"/>
            <w:shd w:val="clear" w:color="auto" w:fill="D0CECE" w:themeFill="background2" w:themeFillShade="E6"/>
          </w:tcPr>
          <w:p w14:paraId="34CE3A32" w14:textId="77777777" w:rsidR="00070A19" w:rsidRPr="00306115" w:rsidRDefault="00070A19" w:rsidP="00070A19">
            <w:pPr>
              <w:widowControl w:val="0"/>
              <w:numPr>
                <w:ilvl w:val="2"/>
                <w:numId w:val="261"/>
              </w:numPr>
              <w:pBdr>
                <w:top w:val="nil"/>
                <w:left w:val="nil"/>
                <w:bottom w:val="nil"/>
                <w:right w:val="nil"/>
                <w:between w:val="nil"/>
              </w:pBdr>
              <w:spacing w:before="60" w:after="60" w:line="240" w:lineRule="auto"/>
              <w:ind w:left="567" w:hanging="567"/>
              <w:jc w:val="left"/>
              <w:rPr>
                <w:rFonts w:eastAsia="Bookman Old Style" w:cs="Bookman Old Style"/>
                <w:b/>
                <w:bCs/>
                <w:color w:val="000000" w:themeColor="text1"/>
                <w:szCs w:val="24"/>
              </w:rPr>
            </w:pPr>
            <w:r w:rsidRPr="00306115">
              <w:rPr>
                <w:rFonts w:eastAsia="Bookman Old Style" w:cs="Bookman Old Style"/>
                <w:b/>
                <w:bCs/>
                <w:color w:val="000000" w:themeColor="text1"/>
                <w:szCs w:val="24"/>
              </w:rPr>
              <w:lastRenderedPageBreak/>
              <w:t>Kualitas Penerapan Manajemen Risiko</w:t>
            </w:r>
          </w:p>
        </w:tc>
      </w:tr>
      <w:tr w:rsidR="00070A19" w:rsidRPr="00306115" w14:paraId="340FF8F1" w14:textId="77777777" w:rsidTr="00F51C9E">
        <w:trPr>
          <w:trHeight w:val="379"/>
        </w:trPr>
        <w:tc>
          <w:tcPr>
            <w:tcW w:w="1276" w:type="dxa"/>
          </w:tcPr>
          <w:p w14:paraId="2B1E4622" w14:textId="39D0E280" w:rsidR="00070A19" w:rsidRPr="00306115" w:rsidRDefault="00070A19" w:rsidP="00070A19">
            <w:pPr>
              <w:pStyle w:val="ListParagraph"/>
              <w:widowControl w:val="0"/>
              <w:numPr>
                <w:ilvl w:val="0"/>
                <w:numId w:val="266"/>
              </w:numPr>
              <w:pBdr>
                <w:top w:val="nil"/>
                <w:left w:val="nil"/>
                <w:bottom w:val="nil"/>
                <w:right w:val="nil"/>
                <w:between w:val="nil"/>
              </w:pBdr>
              <w:tabs>
                <w:tab w:val="left" w:pos="470"/>
              </w:tabs>
              <w:spacing w:before="97" w:after="0" w:line="240" w:lineRule="auto"/>
              <w:ind w:right="80"/>
              <w:rPr>
                <w:rFonts w:eastAsia="Bookman Old Style" w:cs="Bookman Old Style"/>
                <w:b/>
                <w:bCs/>
                <w:color w:val="000000" w:themeColor="text1"/>
                <w:szCs w:val="24"/>
              </w:rPr>
            </w:pPr>
          </w:p>
        </w:tc>
        <w:tc>
          <w:tcPr>
            <w:tcW w:w="13466" w:type="dxa"/>
            <w:gridSpan w:val="3"/>
          </w:tcPr>
          <w:p w14:paraId="7D8D62B0" w14:textId="0E2C22FE" w:rsidR="00070A19" w:rsidRPr="00306115" w:rsidRDefault="00070A19" w:rsidP="00070A19">
            <w:pPr>
              <w:widowControl w:val="0"/>
              <w:pBdr>
                <w:top w:val="nil"/>
                <w:left w:val="nil"/>
                <w:bottom w:val="nil"/>
                <w:right w:val="nil"/>
                <w:between w:val="nil"/>
              </w:pBdr>
              <w:tabs>
                <w:tab w:val="left" w:pos="470"/>
              </w:tabs>
              <w:spacing w:before="60" w:after="60" w:line="240" w:lineRule="auto"/>
              <w:ind w:right="79"/>
              <w:rPr>
                <w:rFonts w:eastAsia="Bookman Old Style" w:cs="Bookman Old Style"/>
                <w:b/>
                <w:bCs/>
                <w:color w:val="000000" w:themeColor="text1"/>
                <w:szCs w:val="24"/>
              </w:rPr>
            </w:pPr>
            <w:r w:rsidRPr="00306115">
              <w:rPr>
                <w:rFonts w:eastAsia="Bookman Old Style" w:cs="Bookman Old Style"/>
                <w:color w:val="000000" w:themeColor="text1"/>
                <w:szCs w:val="24"/>
              </w:rPr>
              <w:t>Tata kelola risiko (</w:t>
            </w:r>
            <w:r w:rsidRPr="00306115">
              <w:rPr>
                <w:rFonts w:eastAsia="Bookman Old Style" w:cs="Bookman Old Style"/>
                <w:i/>
                <w:iCs/>
                <w:color w:val="000000" w:themeColor="text1"/>
                <w:szCs w:val="24"/>
              </w:rPr>
              <w:t>risk governance</w:t>
            </w:r>
            <w:r w:rsidRPr="00306115">
              <w:rPr>
                <w:rFonts w:eastAsia="Bookman Old Style" w:cs="Bookman Old Style"/>
                <w:color w:val="000000" w:themeColor="text1"/>
                <w:szCs w:val="24"/>
              </w:rPr>
              <w:t>) mencakup evaluasi terhadap: (i) perumusan tingkat risiko yang akan diambil (</w:t>
            </w:r>
            <w:r w:rsidRPr="00306115">
              <w:rPr>
                <w:rFonts w:eastAsia="Bookman Old Style" w:cs="Bookman Old Style"/>
                <w:i/>
                <w:iCs/>
                <w:color w:val="000000" w:themeColor="text1"/>
                <w:szCs w:val="24"/>
              </w:rPr>
              <w:t>risk appetite</w:t>
            </w:r>
            <w:r w:rsidRPr="00306115">
              <w:rPr>
                <w:rFonts w:eastAsia="Bookman Old Style" w:cs="Bookman Old Style"/>
                <w:color w:val="000000" w:themeColor="text1"/>
                <w:szCs w:val="24"/>
              </w:rPr>
              <w:t>) dan toleransi risiko (</w:t>
            </w:r>
            <w:r w:rsidRPr="00306115">
              <w:rPr>
                <w:rFonts w:eastAsia="Bookman Old Style" w:cs="Bookman Old Style"/>
                <w:i/>
                <w:iCs/>
                <w:color w:val="000000" w:themeColor="text1"/>
                <w:szCs w:val="24"/>
              </w:rPr>
              <w:t>risk tolerance</w:t>
            </w:r>
            <w:r w:rsidRPr="00306115">
              <w:rPr>
                <w:rFonts w:eastAsia="Bookman Old Style" w:cs="Bookman Old Style"/>
                <w:color w:val="000000" w:themeColor="text1"/>
                <w:szCs w:val="24"/>
              </w:rPr>
              <w:t>) dan (ii) kecukupan pengawasan aktif oleh Direksi dan Dewan Komisaris termasuk pelaksanaan kewenangan dan tanggung jawab Direksi dan Dewan Komisaris.</w:t>
            </w:r>
          </w:p>
        </w:tc>
      </w:tr>
      <w:tr w:rsidR="00070A19" w:rsidRPr="00306115" w14:paraId="61C133F8" w14:textId="77777777" w:rsidTr="00F51C9E">
        <w:trPr>
          <w:trHeight w:val="379"/>
        </w:trPr>
        <w:tc>
          <w:tcPr>
            <w:tcW w:w="1276" w:type="dxa"/>
          </w:tcPr>
          <w:p w14:paraId="226FEB72" w14:textId="77777777" w:rsidR="00070A19" w:rsidRPr="00306115" w:rsidRDefault="00070A19" w:rsidP="00070A19">
            <w:pPr>
              <w:pStyle w:val="ListParagraph"/>
              <w:widowControl w:val="0"/>
              <w:numPr>
                <w:ilvl w:val="0"/>
                <w:numId w:val="266"/>
              </w:numPr>
              <w:pBdr>
                <w:top w:val="nil"/>
                <w:left w:val="nil"/>
                <w:bottom w:val="nil"/>
                <w:right w:val="nil"/>
                <w:between w:val="nil"/>
              </w:pBdr>
              <w:tabs>
                <w:tab w:val="left" w:pos="470"/>
              </w:tabs>
              <w:spacing w:before="97" w:after="0" w:line="240" w:lineRule="auto"/>
              <w:ind w:right="80"/>
              <w:rPr>
                <w:rFonts w:eastAsia="Bookman Old Style" w:cs="Bookman Old Style"/>
                <w:b/>
                <w:bCs/>
                <w:color w:val="000000" w:themeColor="text1"/>
                <w:szCs w:val="24"/>
              </w:rPr>
            </w:pPr>
          </w:p>
        </w:tc>
        <w:tc>
          <w:tcPr>
            <w:tcW w:w="13466" w:type="dxa"/>
            <w:gridSpan w:val="3"/>
          </w:tcPr>
          <w:p w14:paraId="3AA83334" w14:textId="4E471E0C" w:rsidR="00070A19" w:rsidRPr="00306115" w:rsidRDefault="00070A19" w:rsidP="00070A19">
            <w:pPr>
              <w:widowControl w:val="0"/>
              <w:pBdr>
                <w:top w:val="nil"/>
                <w:left w:val="nil"/>
                <w:bottom w:val="nil"/>
                <w:right w:val="nil"/>
                <w:between w:val="nil"/>
              </w:pBdr>
              <w:tabs>
                <w:tab w:val="left" w:pos="470"/>
              </w:tabs>
              <w:spacing w:before="60" w:after="60" w:line="240" w:lineRule="auto"/>
              <w:ind w:right="80"/>
              <w:rPr>
                <w:rFonts w:eastAsia="Bookman Old Style" w:cs="Bookman Old Style"/>
                <w:b/>
                <w:bCs/>
                <w:color w:val="000000" w:themeColor="text1"/>
                <w:szCs w:val="24"/>
              </w:rPr>
            </w:pPr>
            <w:r w:rsidRPr="00306115">
              <w:rPr>
                <w:rFonts w:eastAsia="Bookman Old Style" w:cs="Bookman Old Style"/>
                <w:color w:val="000000" w:themeColor="text1"/>
                <w:szCs w:val="24"/>
              </w:rPr>
              <w:t>Kerangka Manajemen Risiko mencakup evaluasi terhadap: (i) strategi Manajemen Risiko yang searah dengan tingkat risiko yang akan diambil dan toleransi risiko; (ii) kecukupan perangkat organisasi dalam mendukung terlaksananya Manajemen Risiko secara efektif termasuk kejelasan wewenang dan tanggung jawab; dan (iii) kecukupan kebijakan dan prosedur Manajemen Risiko serta penetapan limit risiko.</w:t>
            </w:r>
          </w:p>
        </w:tc>
      </w:tr>
      <w:tr w:rsidR="00070A19" w:rsidRPr="00306115" w14:paraId="095984D6" w14:textId="77777777" w:rsidTr="00F51C9E">
        <w:trPr>
          <w:trHeight w:val="379"/>
        </w:trPr>
        <w:tc>
          <w:tcPr>
            <w:tcW w:w="1276" w:type="dxa"/>
          </w:tcPr>
          <w:p w14:paraId="6308A48E" w14:textId="77777777" w:rsidR="00070A19" w:rsidRPr="00306115" w:rsidRDefault="00070A19" w:rsidP="00070A19">
            <w:pPr>
              <w:pStyle w:val="ListParagraph"/>
              <w:widowControl w:val="0"/>
              <w:numPr>
                <w:ilvl w:val="0"/>
                <w:numId w:val="266"/>
              </w:numPr>
              <w:pBdr>
                <w:top w:val="nil"/>
                <w:left w:val="nil"/>
                <w:bottom w:val="nil"/>
                <w:right w:val="nil"/>
                <w:between w:val="nil"/>
              </w:pBdr>
              <w:tabs>
                <w:tab w:val="left" w:pos="470"/>
              </w:tabs>
              <w:spacing w:before="97" w:after="0" w:line="240" w:lineRule="auto"/>
              <w:ind w:right="80"/>
              <w:rPr>
                <w:rFonts w:eastAsia="Bookman Old Style" w:cs="Bookman Old Style"/>
                <w:b/>
                <w:bCs/>
                <w:color w:val="000000" w:themeColor="text1"/>
                <w:szCs w:val="24"/>
              </w:rPr>
            </w:pPr>
          </w:p>
        </w:tc>
        <w:tc>
          <w:tcPr>
            <w:tcW w:w="13466" w:type="dxa"/>
            <w:gridSpan w:val="3"/>
          </w:tcPr>
          <w:p w14:paraId="5D9DC9F4" w14:textId="19589FE8" w:rsidR="00070A19" w:rsidRPr="00306115" w:rsidRDefault="00070A19" w:rsidP="00070A19">
            <w:pPr>
              <w:widowControl w:val="0"/>
              <w:pBdr>
                <w:top w:val="nil"/>
                <w:left w:val="nil"/>
                <w:bottom w:val="nil"/>
                <w:right w:val="nil"/>
                <w:between w:val="nil"/>
              </w:pBdr>
              <w:tabs>
                <w:tab w:val="left" w:pos="470"/>
              </w:tabs>
              <w:spacing w:before="60" w:after="60" w:line="240" w:lineRule="auto"/>
              <w:ind w:right="80"/>
              <w:rPr>
                <w:rFonts w:eastAsia="Bookman Old Style" w:cs="Bookman Old Style"/>
                <w:b/>
                <w:bCs/>
                <w:color w:val="000000" w:themeColor="text1"/>
                <w:szCs w:val="24"/>
              </w:rPr>
            </w:pPr>
            <w:r w:rsidRPr="00306115">
              <w:rPr>
                <w:rFonts w:eastAsia="Bookman Old Style" w:cs="Bookman Old Style"/>
                <w:color w:val="000000" w:themeColor="text1"/>
                <w:szCs w:val="24"/>
              </w:rPr>
              <w:t xml:space="preserve">Proses Manajemen Risiko, sistem informasi, dan sumber daya manusia mencakup evaluasi terhadap: (i) proses identifikasi, pengukuran, pemantauan, dan pengendalian risiko; (ii) kecukupan sistem informasi Manajemen </w:t>
            </w:r>
            <w:r w:rsidRPr="00306115">
              <w:rPr>
                <w:rFonts w:eastAsia="Bookman Old Style" w:cs="Bookman Old Style"/>
                <w:color w:val="000000" w:themeColor="text1"/>
                <w:szCs w:val="24"/>
              </w:rPr>
              <w:lastRenderedPageBreak/>
              <w:t>Risiko; dan (iii) kecukupan kuantitas dan kualitas sumber daya manusia dalam mendukung efektivitas proses Manajemen Risiko.</w:t>
            </w:r>
          </w:p>
        </w:tc>
      </w:tr>
      <w:tr w:rsidR="00070A19" w:rsidRPr="00306115" w14:paraId="4D78FA36" w14:textId="77777777" w:rsidTr="00F51C9E">
        <w:trPr>
          <w:trHeight w:val="379"/>
        </w:trPr>
        <w:tc>
          <w:tcPr>
            <w:tcW w:w="1276" w:type="dxa"/>
          </w:tcPr>
          <w:p w14:paraId="365ACACB" w14:textId="77777777" w:rsidR="00070A19" w:rsidRPr="00306115" w:rsidRDefault="00070A19" w:rsidP="00070A19">
            <w:pPr>
              <w:pStyle w:val="ListParagraph"/>
              <w:widowControl w:val="0"/>
              <w:numPr>
                <w:ilvl w:val="0"/>
                <w:numId w:val="266"/>
              </w:numPr>
              <w:pBdr>
                <w:top w:val="nil"/>
                <w:left w:val="nil"/>
                <w:bottom w:val="nil"/>
                <w:right w:val="nil"/>
                <w:between w:val="nil"/>
              </w:pBdr>
              <w:tabs>
                <w:tab w:val="left" w:pos="470"/>
              </w:tabs>
              <w:spacing w:before="97" w:after="0" w:line="240" w:lineRule="auto"/>
              <w:ind w:right="80"/>
              <w:rPr>
                <w:rFonts w:eastAsia="Bookman Old Style" w:cs="Bookman Old Style"/>
                <w:b/>
                <w:bCs/>
                <w:color w:val="000000" w:themeColor="text1"/>
                <w:szCs w:val="24"/>
              </w:rPr>
            </w:pPr>
          </w:p>
        </w:tc>
        <w:tc>
          <w:tcPr>
            <w:tcW w:w="13466" w:type="dxa"/>
            <w:gridSpan w:val="3"/>
          </w:tcPr>
          <w:p w14:paraId="54229347" w14:textId="77D7F7BE" w:rsidR="00070A19" w:rsidRPr="00306115" w:rsidRDefault="00070A19" w:rsidP="00070A19">
            <w:pPr>
              <w:widowControl w:val="0"/>
              <w:pBdr>
                <w:top w:val="nil"/>
                <w:left w:val="nil"/>
                <w:bottom w:val="nil"/>
                <w:right w:val="nil"/>
                <w:between w:val="nil"/>
              </w:pBdr>
              <w:tabs>
                <w:tab w:val="left" w:pos="470"/>
              </w:tabs>
              <w:spacing w:before="60" w:after="60" w:line="240" w:lineRule="auto"/>
              <w:rPr>
                <w:rFonts w:eastAsia="Bookman Old Style" w:cs="Bookman Old Style"/>
                <w:b/>
                <w:bCs/>
                <w:color w:val="000000" w:themeColor="text1"/>
                <w:szCs w:val="24"/>
              </w:rPr>
            </w:pPr>
            <w:r w:rsidRPr="00306115">
              <w:rPr>
                <w:rFonts w:eastAsia="Bookman Old Style" w:cs="Bookman Old Style"/>
                <w:color w:val="000000" w:themeColor="text1"/>
                <w:szCs w:val="24"/>
              </w:rPr>
              <w:t xml:space="preserve">Sistem pengendalian risiko mencakup evaluasi terhadap: (i) kecukupan sistem pengendalian internal dan (ii) kecukupan kaji ulang oleh pihak independen dalam Manajer Investasi baik oleh fungsi </w:t>
            </w:r>
            <w:r w:rsidRPr="00306115">
              <w:rPr>
                <w:color w:val="000000" w:themeColor="text1"/>
              </w:rPr>
              <w:t>Manajemen Risiko</w:t>
            </w:r>
            <w:r w:rsidRPr="00306115">
              <w:rPr>
                <w:rFonts w:eastAsia="Bookman Old Style" w:cs="Bookman Old Style"/>
                <w:color w:val="000000" w:themeColor="text1"/>
                <w:szCs w:val="24"/>
              </w:rPr>
              <w:t xml:space="preserve"> maupun fungsi audit internal.</w:t>
            </w:r>
          </w:p>
        </w:tc>
      </w:tr>
    </w:tbl>
    <w:p w14:paraId="5ED8DD4E" w14:textId="05788539" w:rsidR="00A15468" w:rsidRPr="00306115" w:rsidRDefault="0083317C" w:rsidP="00F51C9E">
      <w:pPr>
        <w:pStyle w:val="HeadingAwalDaftarIsiLampiran"/>
        <w:numPr>
          <w:ilvl w:val="0"/>
          <w:numId w:val="0"/>
        </w:numPr>
        <w:tabs>
          <w:tab w:val="left" w:pos="2127"/>
        </w:tabs>
        <w:ind w:left="1134"/>
      </w:pPr>
      <w:r w:rsidRPr="00306115">
        <w:rPr>
          <w:rFonts w:eastAsia="Bookman Old Style" w:cs="Bookman Old Style"/>
        </w:rPr>
        <w:t xml:space="preserve">*) Merupakan parameter atau indikator minimal dan Manajer Investasi dapat menambah parameter atau indikator lain sesuai dengan karakteristik, kompleksitas usaha, dan kemampuan Manajer Investasi. Penilaian dilakukan dengan posisi akhir per 31 Desember posisi dan tren selama yang mencakup penilaian selama 12 (dua belas) bulan terakhir untuk parameter atau indikator pada Lampiran </w:t>
      </w:r>
      <w:r w:rsidR="00C90776" w:rsidRPr="00306115">
        <w:rPr>
          <w:rFonts w:eastAsia="Bookman Old Style" w:cs="Bookman Old Style"/>
        </w:rPr>
        <w:t>IV</w:t>
      </w:r>
      <w:r w:rsidR="00597579" w:rsidRPr="00306115">
        <w:rPr>
          <w:rFonts w:eastAsia="Bookman Old Style" w:cs="Bookman Old Style"/>
        </w:rPr>
        <w:t xml:space="preserve"> </w:t>
      </w:r>
      <w:r w:rsidR="00597579" w:rsidRPr="00306115">
        <w:t>yang merupakan bagian tidak terpisahkan dari Peraturan Anggota Dewan Komisioner Otoritas Jasa Keuangan ini</w:t>
      </w:r>
      <w:r w:rsidRPr="00306115">
        <w:rPr>
          <w:rFonts w:eastAsia="Bookman Old Style" w:cs="Bookman Old Style"/>
        </w:rPr>
        <w:t>.</w:t>
      </w:r>
    </w:p>
    <w:p w14:paraId="567F6FF0" w14:textId="77777777" w:rsidR="00E52D9D" w:rsidRPr="00306115" w:rsidRDefault="00E52D9D" w:rsidP="00E52D9D">
      <w:pPr>
        <w:pStyle w:val="HeadingAwalDaftarIsiLampiran"/>
        <w:numPr>
          <w:ilvl w:val="0"/>
          <w:numId w:val="0"/>
        </w:numPr>
        <w:tabs>
          <w:tab w:val="left" w:pos="1134"/>
        </w:tabs>
        <w:ind w:left="1701"/>
      </w:pPr>
    </w:p>
    <w:p w14:paraId="0BF343F5" w14:textId="22A1DE57" w:rsidR="00F72A18" w:rsidRPr="00306115" w:rsidRDefault="00C41FD7">
      <w:pPr>
        <w:pStyle w:val="HeadingAwalDaftarIsiLampiran"/>
        <w:numPr>
          <w:ilvl w:val="0"/>
          <w:numId w:val="436"/>
        </w:numPr>
        <w:tabs>
          <w:tab w:val="left" w:pos="1134"/>
        </w:tabs>
        <w:ind w:left="1134" w:hanging="567"/>
      </w:pPr>
      <w:r w:rsidRPr="00306115">
        <w:t>Penilaian Risiko P</w:t>
      </w:r>
      <w:r w:rsidR="00F72A18" w:rsidRPr="00306115">
        <w:t>a</w:t>
      </w:r>
      <w:r w:rsidRPr="00306115">
        <w:t>sar</w:t>
      </w:r>
    </w:p>
    <w:p w14:paraId="05BAB812" w14:textId="65FFD394" w:rsidR="00CD5A31" w:rsidRPr="00306115" w:rsidRDefault="00993CF9">
      <w:pPr>
        <w:pStyle w:val="HeadingAwalDaftarIsiLampiran"/>
        <w:numPr>
          <w:ilvl w:val="3"/>
          <w:numId w:val="261"/>
        </w:numPr>
        <w:tabs>
          <w:tab w:val="left" w:pos="1134"/>
        </w:tabs>
        <w:ind w:left="1701" w:hanging="567"/>
      </w:pPr>
      <w:r w:rsidRPr="00306115">
        <w:rPr>
          <w:rFonts w:eastAsia="Bookman Old Style" w:cs="Bookman Old Style"/>
        </w:rPr>
        <w:t>Penilaian Risiko Pasar dilakukan berdasarkan hasil penilaian masing-masing parameter atau indikator Risiko Pasar yang didasarkan pada analisis yang komprehensif dan terstruktur yang memberikan gambaran secara menyeluruh terkait Risiko Pasar.</w:t>
      </w:r>
    </w:p>
    <w:p w14:paraId="7373E9A2" w14:textId="3B769C71" w:rsidR="00F01B16" w:rsidRPr="00306115" w:rsidRDefault="00C7728D">
      <w:pPr>
        <w:pStyle w:val="HeadingAwalDaftarIsiLampiran"/>
        <w:numPr>
          <w:ilvl w:val="3"/>
          <w:numId w:val="261"/>
        </w:numPr>
        <w:tabs>
          <w:tab w:val="left" w:pos="1134"/>
        </w:tabs>
        <w:ind w:left="1701" w:hanging="567"/>
      </w:pPr>
      <w:r w:rsidRPr="00306115">
        <w:rPr>
          <w:rFonts w:eastAsia="Bookman Old Style" w:cs="Bookman Old Style"/>
        </w:rPr>
        <w:t>Penetapan total peringkat risiko pasar untuk setiap Produk Investasi atau reksa dana dilakukan dengan cara menyimpulkan hasil penilaian atas seluruh indikator risiko inheren pasar, serta menentukan signifikansi indikator berdasarkan karakteristik Produk Investasi dan/atau reksa dana, termasuk komposisi portofolio Produk Investasi tersebut. Sebagai contoh</w:t>
      </w:r>
      <w:r w:rsidR="00F01B16" w:rsidRPr="00306115">
        <w:rPr>
          <w:rFonts w:eastAsia="Bookman Old Style" w:cs="Bookman Old Style"/>
        </w:rPr>
        <w:t xml:space="preserve"> penetapan peringkat risiko pasar</w:t>
      </w:r>
      <w:r w:rsidR="002734E3" w:rsidRPr="00306115">
        <w:rPr>
          <w:rFonts w:eastAsia="Bookman Old Style" w:cs="Bookman Old Style"/>
        </w:rPr>
        <w:t xml:space="preserve"> untuk</w:t>
      </w:r>
      <w:r w:rsidR="00F01B16" w:rsidRPr="00306115">
        <w:rPr>
          <w:rFonts w:eastAsia="Bookman Old Style" w:cs="Bookman Old Style"/>
        </w:rPr>
        <w:t>:</w:t>
      </w:r>
      <w:r w:rsidRPr="00306115">
        <w:rPr>
          <w:rFonts w:eastAsia="Bookman Old Style" w:cs="Bookman Old Style"/>
        </w:rPr>
        <w:t xml:space="preserve"> </w:t>
      </w:r>
    </w:p>
    <w:p w14:paraId="69BFAE12" w14:textId="10878890" w:rsidR="00F01B16" w:rsidRPr="00306115" w:rsidRDefault="00C7728D">
      <w:pPr>
        <w:pStyle w:val="HeadingAwalDaftarIsiLampiran"/>
        <w:numPr>
          <w:ilvl w:val="0"/>
          <w:numId w:val="442"/>
        </w:numPr>
        <w:tabs>
          <w:tab w:val="left" w:pos="1134"/>
        </w:tabs>
        <w:ind w:left="2268" w:hanging="567"/>
      </w:pPr>
      <w:r w:rsidRPr="00306115">
        <w:rPr>
          <w:rFonts w:eastAsia="Bookman Old Style" w:cs="Bookman Old Style"/>
        </w:rPr>
        <w:t xml:space="preserve">reksa dana saham, </w:t>
      </w:r>
      <w:r w:rsidR="00F01B16" w:rsidRPr="00306115">
        <w:rPr>
          <w:rFonts w:eastAsia="Bookman Old Style" w:cs="Bookman Old Style"/>
        </w:rPr>
        <w:t xml:space="preserve">dapat </w:t>
      </w:r>
      <w:r w:rsidR="002734E3" w:rsidRPr="00306115">
        <w:rPr>
          <w:rFonts w:eastAsia="Bookman Old Style" w:cs="Bookman Old Style"/>
        </w:rPr>
        <w:t xml:space="preserve">menggunakan </w:t>
      </w:r>
      <w:r w:rsidRPr="00306115">
        <w:rPr>
          <w:rFonts w:eastAsia="Bookman Old Style" w:cs="Bookman Old Style"/>
        </w:rPr>
        <w:t xml:space="preserve">indikator </w:t>
      </w:r>
      <w:r w:rsidRPr="00306115">
        <w:rPr>
          <w:rFonts w:eastAsia="Bookman Old Style" w:cs="Bookman Old Style"/>
          <w:i/>
          <w:iCs/>
        </w:rPr>
        <w:t>VaR equivalent volatility</w:t>
      </w:r>
      <w:r w:rsidRPr="00306115">
        <w:rPr>
          <w:rFonts w:eastAsia="Bookman Old Style" w:cs="Bookman Old Style"/>
        </w:rPr>
        <w:t xml:space="preserve"> dan </w:t>
      </w:r>
      <w:r w:rsidRPr="00306115">
        <w:rPr>
          <w:rFonts w:eastAsia="Bookman Old Style" w:cs="Bookman Old Style"/>
          <w:i/>
          <w:iCs/>
        </w:rPr>
        <w:t>beta coefficient</w:t>
      </w:r>
      <w:r w:rsidR="00F01B16" w:rsidRPr="00306115">
        <w:rPr>
          <w:rFonts w:eastAsia="Bookman Old Style" w:cs="Bookman Old Style"/>
        </w:rPr>
        <w:t xml:space="preserve">; </w:t>
      </w:r>
    </w:p>
    <w:p w14:paraId="0464613E" w14:textId="752CCF30" w:rsidR="002734E3" w:rsidRPr="00306115" w:rsidRDefault="00C7728D">
      <w:pPr>
        <w:pStyle w:val="HeadingAwalDaftarIsiLampiran"/>
        <w:numPr>
          <w:ilvl w:val="0"/>
          <w:numId w:val="442"/>
        </w:numPr>
        <w:tabs>
          <w:tab w:val="left" w:pos="1134"/>
        </w:tabs>
        <w:ind w:left="2268" w:hanging="567"/>
      </w:pPr>
      <w:r w:rsidRPr="00306115">
        <w:rPr>
          <w:rFonts w:eastAsia="Bookman Old Style" w:cs="Bookman Old Style"/>
        </w:rPr>
        <w:t>reksa dana pendapatan tetap</w:t>
      </w:r>
      <w:r w:rsidR="002734E3" w:rsidRPr="00306115">
        <w:rPr>
          <w:rFonts w:eastAsia="Bookman Old Style" w:cs="Bookman Old Style"/>
        </w:rPr>
        <w:t xml:space="preserve">, </w:t>
      </w:r>
      <w:r w:rsidRPr="00306115">
        <w:rPr>
          <w:rFonts w:eastAsia="Bookman Old Style" w:cs="Bookman Old Style"/>
        </w:rPr>
        <w:t xml:space="preserve">dapat menggunakan </w:t>
      </w:r>
      <w:r w:rsidR="002734E3" w:rsidRPr="00306115">
        <w:rPr>
          <w:rFonts w:eastAsia="Bookman Old Style" w:cs="Bookman Old Style"/>
        </w:rPr>
        <w:t xml:space="preserve">indikator </w:t>
      </w:r>
      <w:r w:rsidRPr="00306115">
        <w:rPr>
          <w:rFonts w:eastAsia="Bookman Old Style" w:cs="Bookman Old Style"/>
          <w:i/>
          <w:iCs/>
        </w:rPr>
        <w:t>VaR equivalent volatility</w:t>
      </w:r>
      <w:r w:rsidRPr="00306115">
        <w:rPr>
          <w:rFonts w:eastAsia="Bookman Old Style" w:cs="Bookman Old Style"/>
        </w:rPr>
        <w:t xml:space="preserve"> dan durasi surat utang</w:t>
      </w:r>
      <w:r w:rsidR="002734E3" w:rsidRPr="00306115">
        <w:rPr>
          <w:rFonts w:eastAsia="Bookman Old Style" w:cs="Bookman Old Style"/>
        </w:rPr>
        <w:t>;</w:t>
      </w:r>
    </w:p>
    <w:p w14:paraId="1685F72A" w14:textId="3A8EBB07" w:rsidR="00D67CBF" w:rsidRPr="00306115" w:rsidRDefault="00C7728D">
      <w:pPr>
        <w:pStyle w:val="HeadingAwalDaftarIsiLampiran"/>
        <w:numPr>
          <w:ilvl w:val="0"/>
          <w:numId w:val="442"/>
        </w:numPr>
        <w:tabs>
          <w:tab w:val="left" w:pos="1134"/>
        </w:tabs>
        <w:ind w:left="2268" w:hanging="567"/>
      </w:pPr>
      <w:r w:rsidRPr="00306115">
        <w:rPr>
          <w:rFonts w:eastAsia="Bookman Old Style" w:cs="Bookman Old Style"/>
        </w:rPr>
        <w:t>reksa dana campuran</w:t>
      </w:r>
      <w:r w:rsidR="002734E3" w:rsidRPr="00306115">
        <w:rPr>
          <w:rFonts w:eastAsia="Bookman Old Style" w:cs="Bookman Old Style"/>
        </w:rPr>
        <w:t xml:space="preserve"> dapat</w:t>
      </w:r>
      <w:r w:rsidRPr="00306115">
        <w:rPr>
          <w:rFonts w:eastAsia="Bookman Old Style" w:cs="Bookman Old Style"/>
        </w:rPr>
        <w:t xml:space="preserve"> menggunakan </w:t>
      </w:r>
      <w:r w:rsidR="002734E3" w:rsidRPr="00306115">
        <w:rPr>
          <w:rFonts w:eastAsia="Bookman Old Style" w:cs="Bookman Old Style"/>
        </w:rPr>
        <w:t xml:space="preserve">indikator </w:t>
      </w:r>
      <w:r w:rsidRPr="00306115">
        <w:rPr>
          <w:rFonts w:eastAsia="Bookman Old Style" w:cs="Bookman Old Style"/>
          <w:i/>
          <w:iCs/>
        </w:rPr>
        <w:t>VaR equivalent volatility</w:t>
      </w:r>
      <w:r w:rsidRPr="00306115">
        <w:rPr>
          <w:rFonts w:eastAsia="Bookman Old Style" w:cs="Bookman Old Style"/>
        </w:rPr>
        <w:t xml:space="preserve">, </w:t>
      </w:r>
      <w:r w:rsidRPr="00306115">
        <w:rPr>
          <w:rFonts w:eastAsia="Bookman Old Style" w:cs="Bookman Old Style"/>
          <w:i/>
          <w:iCs/>
        </w:rPr>
        <w:t>beta coefficient</w:t>
      </w:r>
      <w:r w:rsidRPr="00306115">
        <w:rPr>
          <w:rFonts w:eastAsia="Bookman Old Style" w:cs="Bookman Old Style"/>
        </w:rPr>
        <w:t xml:space="preserve">, dan/atau durasi surat utang dengan memperhatikan komposisi portofolionya, </w:t>
      </w:r>
      <w:r w:rsidR="00D67CBF" w:rsidRPr="00306115">
        <w:rPr>
          <w:rFonts w:eastAsia="Bookman Old Style" w:cs="Bookman Old Style"/>
        </w:rPr>
        <w:t xml:space="preserve">dan </w:t>
      </w:r>
    </w:p>
    <w:p w14:paraId="48767C82" w14:textId="2C67C580" w:rsidR="00C7728D" w:rsidRPr="00306115" w:rsidRDefault="00C7728D">
      <w:pPr>
        <w:pStyle w:val="HeadingAwalDaftarIsiLampiran"/>
        <w:numPr>
          <w:ilvl w:val="0"/>
          <w:numId w:val="442"/>
        </w:numPr>
        <w:tabs>
          <w:tab w:val="left" w:pos="1134"/>
        </w:tabs>
        <w:ind w:left="2268" w:hanging="567"/>
      </w:pPr>
      <w:r w:rsidRPr="00306115">
        <w:rPr>
          <w:rFonts w:eastAsia="Bookman Old Style" w:cs="Bookman Old Style"/>
        </w:rPr>
        <w:t xml:space="preserve">produk investasi lainnya dapat menggunakan </w:t>
      </w:r>
      <w:r w:rsidRPr="00306115">
        <w:rPr>
          <w:rFonts w:eastAsia="Bookman Old Style" w:cs="Bookman Old Style"/>
          <w:i/>
          <w:iCs/>
        </w:rPr>
        <w:t>VaR equivalent volatility</w:t>
      </w:r>
      <w:r w:rsidR="00D67CBF" w:rsidRPr="00306115">
        <w:rPr>
          <w:rFonts w:eastAsia="Bookman Old Style" w:cs="Bookman Old Style"/>
        </w:rPr>
        <w:t>.</w:t>
      </w:r>
    </w:p>
    <w:p w14:paraId="7D39191C" w14:textId="0C9197BA" w:rsidR="003A55FF" w:rsidRPr="00306115" w:rsidRDefault="00543BD0">
      <w:pPr>
        <w:pStyle w:val="HeadingAwalDaftarIsiLampiran"/>
        <w:numPr>
          <w:ilvl w:val="3"/>
          <w:numId w:val="261"/>
        </w:numPr>
        <w:tabs>
          <w:tab w:val="left" w:pos="1134"/>
        </w:tabs>
        <w:ind w:left="1701" w:hanging="567"/>
      </w:pPr>
      <w:r w:rsidRPr="00306115">
        <w:rPr>
          <w:rFonts w:eastAsia="Bookman Old Style" w:cs="Bookman Old Style"/>
        </w:rPr>
        <w:t>Penilaian parameter atau indikator Risiko Pasar dapat menggunakan tabel berikut:</w:t>
      </w:r>
    </w:p>
    <w:tbl>
      <w:tblPr>
        <w:tblW w:w="14175" w:type="dxa"/>
        <w:tblInd w:w="16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519"/>
        <w:gridCol w:w="2564"/>
        <w:gridCol w:w="1425"/>
        <w:gridCol w:w="1564"/>
        <w:gridCol w:w="1557"/>
        <w:gridCol w:w="3546"/>
      </w:tblGrid>
      <w:tr w:rsidR="00195520" w:rsidRPr="00306115" w14:paraId="5E5B8643" w14:textId="77777777" w:rsidTr="00195520">
        <w:trPr>
          <w:trHeight w:val="556"/>
        </w:trPr>
        <w:tc>
          <w:tcPr>
            <w:tcW w:w="14175" w:type="dxa"/>
            <w:gridSpan w:val="6"/>
            <w:shd w:val="clear" w:color="auto" w:fill="BEBEBE"/>
          </w:tcPr>
          <w:p w14:paraId="1D47963E" w14:textId="77777777" w:rsidR="00195520" w:rsidRPr="00306115" w:rsidRDefault="00195520" w:rsidP="00751A53">
            <w:pPr>
              <w:widowControl w:val="0"/>
              <w:pBdr>
                <w:top w:val="nil"/>
                <w:left w:val="nil"/>
                <w:bottom w:val="nil"/>
                <w:right w:val="nil"/>
                <w:between w:val="nil"/>
              </w:pBdr>
              <w:spacing w:before="120" w:after="120"/>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Reksa Dana A</w:t>
            </w:r>
          </w:p>
        </w:tc>
      </w:tr>
      <w:tr w:rsidR="00195520" w:rsidRPr="00306115" w14:paraId="541088B7" w14:textId="77777777" w:rsidTr="00751A53">
        <w:trPr>
          <w:trHeight w:val="877"/>
        </w:trPr>
        <w:tc>
          <w:tcPr>
            <w:tcW w:w="3519" w:type="dxa"/>
            <w:shd w:val="clear" w:color="auto" w:fill="BEBEBE"/>
          </w:tcPr>
          <w:p w14:paraId="7DE393E4" w14:textId="77777777" w:rsidR="00195520" w:rsidRPr="00306115" w:rsidRDefault="00195520" w:rsidP="00751A53">
            <w:pPr>
              <w:widowControl w:val="0"/>
              <w:pBdr>
                <w:top w:val="nil"/>
                <w:left w:val="nil"/>
                <w:bottom w:val="nil"/>
                <w:right w:val="nil"/>
                <w:between w:val="nil"/>
              </w:pBdr>
              <w:spacing w:before="120" w:after="12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Jenis Instrumen</w:t>
            </w:r>
          </w:p>
        </w:tc>
        <w:tc>
          <w:tcPr>
            <w:tcW w:w="2564" w:type="dxa"/>
            <w:tcBorders>
              <w:bottom w:val="single" w:sz="4" w:space="0" w:color="000000"/>
            </w:tcBorders>
            <w:shd w:val="clear" w:color="auto" w:fill="BEBEBE"/>
          </w:tcPr>
          <w:p w14:paraId="04018C12" w14:textId="77777777" w:rsidR="00195520" w:rsidRPr="00306115" w:rsidRDefault="00195520" w:rsidP="00751A53">
            <w:pPr>
              <w:widowControl w:val="0"/>
              <w:pBdr>
                <w:top w:val="nil"/>
                <w:left w:val="nil"/>
                <w:bottom w:val="nil"/>
                <w:right w:val="nil"/>
                <w:between w:val="nil"/>
              </w:pBdr>
              <w:spacing w:before="120" w:after="12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Indikator</w:t>
            </w:r>
          </w:p>
        </w:tc>
        <w:tc>
          <w:tcPr>
            <w:tcW w:w="1425" w:type="dxa"/>
            <w:shd w:val="clear" w:color="auto" w:fill="BEBEBE"/>
          </w:tcPr>
          <w:p w14:paraId="767C03B3" w14:textId="77777777" w:rsidR="00195520" w:rsidRPr="00306115" w:rsidRDefault="00195520" w:rsidP="00751A53">
            <w:pPr>
              <w:widowControl w:val="0"/>
              <w:pBdr>
                <w:top w:val="nil"/>
                <w:left w:val="nil"/>
                <w:bottom w:val="nil"/>
                <w:right w:val="nil"/>
                <w:between w:val="nil"/>
              </w:pBdr>
              <w:spacing w:before="120" w:after="12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Nilai</w:t>
            </w:r>
          </w:p>
        </w:tc>
        <w:tc>
          <w:tcPr>
            <w:tcW w:w="1564" w:type="dxa"/>
            <w:shd w:val="clear" w:color="auto" w:fill="BEBEBE"/>
          </w:tcPr>
          <w:p w14:paraId="335817E9" w14:textId="08C9E6D8" w:rsidR="00195520" w:rsidRPr="00306115" w:rsidRDefault="00195520" w:rsidP="00751A53">
            <w:pPr>
              <w:widowControl w:val="0"/>
              <w:pBdr>
                <w:top w:val="nil"/>
                <w:left w:val="nil"/>
                <w:bottom w:val="nil"/>
                <w:right w:val="nil"/>
                <w:between w:val="nil"/>
              </w:pBdr>
              <w:spacing w:before="120" w:after="12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Peringkat Risiko</w:t>
            </w:r>
          </w:p>
        </w:tc>
        <w:tc>
          <w:tcPr>
            <w:tcW w:w="1557" w:type="dxa"/>
            <w:shd w:val="clear" w:color="auto" w:fill="BEBEBE"/>
          </w:tcPr>
          <w:p w14:paraId="128BE2AF" w14:textId="77777777" w:rsidR="00195520" w:rsidRPr="00306115" w:rsidRDefault="00195520" w:rsidP="00751A53">
            <w:pPr>
              <w:widowControl w:val="0"/>
              <w:pBdr>
                <w:top w:val="nil"/>
                <w:left w:val="nil"/>
                <w:bottom w:val="nil"/>
                <w:right w:val="nil"/>
                <w:between w:val="nil"/>
              </w:pBdr>
              <w:spacing w:before="120" w:after="12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 Dalam Portofolio</w:t>
            </w:r>
          </w:p>
        </w:tc>
        <w:tc>
          <w:tcPr>
            <w:tcW w:w="3546" w:type="dxa"/>
            <w:shd w:val="clear" w:color="auto" w:fill="BEBEBE"/>
          </w:tcPr>
          <w:p w14:paraId="317441E4" w14:textId="77777777" w:rsidR="00195520" w:rsidRPr="00306115" w:rsidRDefault="00195520" w:rsidP="00751A53">
            <w:pPr>
              <w:widowControl w:val="0"/>
              <w:pBdr>
                <w:top w:val="nil"/>
                <w:left w:val="nil"/>
                <w:bottom w:val="nil"/>
                <w:right w:val="nil"/>
                <w:between w:val="nil"/>
              </w:pBdr>
              <w:spacing w:before="120" w:after="12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Keterangan</w:t>
            </w:r>
          </w:p>
        </w:tc>
      </w:tr>
      <w:tr w:rsidR="00195520" w:rsidRPr="00306115" w14:paraId="52DA19D2" w14:textId="77777777" w:rsidTr="00751A53">
        <w:trPr>
          <w:trHeight w:val="556"/>
        </w:trPr>
        <w:tc>
          <w:tcPr>
            <w:tcW w:w="3519" w:type="dxa"/>
            <w:tcBorders>
              <w:right w:val="single" w:sz="4" w:space="0" w:color="000000"/>
            </w:tcBorders>
            <w:vAlign w:val="center"/>
          </w:tcPr>
          <w:p w14:paraId="1959B9DC" w14:textId="77777777" w:rsidR="00195520" w:rsidRPr="00306115" w:rsidRDefault="00195520" w:rsidP="00751A53">
            <w:pPr>
              <w:widowControl w:val="0"/>
              <w:pBdr>
                <w:top w:val="nil"/>
                <w:left w:val="nil"/>
                <w:bottom w:val="nil"/>
                <w:right w:val="nil"/>
                <w:between w:val="nil"/>
              </w:pBdr>
              <w:spacing w:line="276" w:lineRule="auto"/>
              <w:rPr>
                <w:rFonts w:eastAsia="Bookman Old Style" w:cs="Bookman Old Style"/>
                <w:color w:val="000000" w:themeColor="text1"/>
                <w:szCs w:val="24"/>
              </w:rPr>
            </w:pPr>
          </w:p>
        </w:tc>
        <w:tc>
          <w:tcPr>
            <w:tcW w:w="2564" w:type="dxa"/>
            <w:tcBorders>
              <w:top w:val="single" w:sz="4" w:space="0" w:color="000000"/>
              <w:left w:val="single" w:sz="4" w:space="0" w:color="000000"/>
              <w:bottom w:val="single" w:sz="4" w:space="0" w:color="000000"/>
              <w:right w:val="single" w:sz="4" w:space="0" w:color="000000"/>
            </w:tcBorders>
          </w:tcPr>
          <w:p w14:paraId="223BFD8C" w14:textId="77777777" w:rsidR="00195520" w:rsidRPr="00306115" w:rsidRDefault="00195520" w:rsidP="00751A53">
            <w:pPr>
              <w:widowControl w:val="0"/>
              <w:pBdr>
                <w:top w:val="nil"/>
                <w:left w:val="nil"/>
                <w:bottom w:val="nil"/>
                <w:right w:val="nil"/>
                <w:between w:val="nil"/>
              </w:pBdr>
              <w:spacing w:before="77"/>
              <w:rPr>
                <w:rFonts w:eastAsia="Bookman Old Style" w:cs="Bookman Old Style"/>
                <w:i/>
                <w:iCs/>
                <w:color w:val="000000" w:themeColor="text1"/>
                <w:szCs w:val="24"/>
              </w:rPr>
            </w:pPr>
            <w:r w:rsidRPr="00306115">
              <w:rPr>
                <w:rFonts w:eastAsia="Bookman Old Style" w:cs="Bookman Old Style"/>
                <w:i/>
                <w:iCs/>
                <w:color w:val="000000" w:themeColor="text1"/>
                <w:szCs w:val="24"/>
              </w:rPr>
              <w:t>Beta Coefficient</w:t>
            </w:r>
          </w:p>
        </w:tc>
        <w:tc>
          <w:tcPr>
            <w:tcW w:w="1425" w:type="dxa"/>
            <w:tcBorders>
              <w:left w:val="single" w:sz="4" w:space="0" w:color="000000"/>
            </w:tcBorders>
          </w:tcPr>
          <w:p w14:paraId="727AA86A" w14:textId="77777777" w:rsidR="00195520" w:rsidRPr="00306115" w:rsidRDefault="00195520" w:rsidP="00697891">
            <w:pPr>
              <w:widowControl w:val="0"/>
              <w:pBdr>
                <w:top w:val="nil"/>
                <w:left w:val="nil"/>
                <w:bottom w:val="nil"/>
                <w:right w:val="nil"/>
                <w:between w:val="nil"/>
              </w:pBdr>
              <w:rPr>
                <w:rFonts w:eastAsia="Bookman Old Style" w:cs="Bookman Old Style"/>
                <w:color w:val="000000" w:themeColor="text1"/>
                <w:szCs w:val="24"/>
              </w:rPr>
            </w:pPr>
          </w:p>
        </w:tc>
        <w:tc>
          <w:tcPr>
            <w:tcW w:w="1564" w:type="dxa"/>
          </w:tcPr>
          <w:p w14:paraId="669BF26D" w14:textId="77777777" w:rsidR="00195520" w:rsidRPr="00306115" w:rsidRDefault="00195520" w:rsidP="00697891">
            <w:pPr>
              <w:widowControl w:val="0"/>
              <w:pBdr>
                <w:top w:val="nil"/>
                <w:left w:val="nil"/>
                <w:bottom w:val="nil"/>
                <w:right w:val="nil"/>
                <w:between w:val="nil"/>
              </w:pBdr>
              <w:rPr>
                <w:rFonts w:eastAsia="Bookman Old Style" w:cs="Bookman Old Style"/>
                <w:color w:val="000000" w:themeColor="text1"/>
                <w:szCs w:val="24"/>
              </w:rPr>
            </w:pPr>
          </w:p>
        </w:tc>
        <w:tc>
          <w:tcPr>
            <w:tcW w:w="1557" w:type="dxa"/>
          </w:tcPr>
          <w:p w14:paraId="07B02C9F" w14:textId="77777777" w:rsidR="00195520" w:rsidRPr="00306115" w:rsidRDefault="00195520" w:rsidP="00697891">
            <w:pPr>
              <w:widowControl w:val="0"/>
              <w:pBdr>
                <w:top w:val="nil"/>
                <w:left w:val="nil"/>
                <w:bottom w:val="nil"/>
                <w:right w:val="nil"/>
                <w:between w:val="nil"/>
              </w:pBdr>
              <w:rPr>
                <w:rFonts w:eastAsia="Bookman Old Style" w:cs="Bookman Old Style"/>
                <w:color w:val="000000" w:themeColor="text1"/>
                <w:szCs w:val="24"/>
              </w:rPr>
            </w:pPr>
          </w:p>
        </w:tc>
        <w:tc>
          <w:tcPr>
            <w:tcW w:w="3546" w:type="dxa"/>
          </w:tcPr>
          <w:p w14:paraId="0CAC8E41" w14:textId="77777777" w:rsidR="00195520" w:rsidRPr="00306115" w:rsidRDefault="00195520" w:rsidP="00697891">
            <w:pPr>
              <w:widowControl w:val="0"/>
              <w:pBdr>
                <w:top w:val="nil"/>
                <w:left w:val="nil"/>
                <w:bottom w:val="nil"/>
                <w:right w:val="nil"/>
                <w:between w:val="nil"/>
              </w:pBdr>
              <w:rPr>
                <w:rFonts w:eastAsia="Bookman Old Style" w:cs="Bookman Old Style"/>
                <w:color w:val="000000" w:themeColor="text1"/>
                <w:szCs w:val="24"/>
              </w:rPr>
            </w:pPr>
          </w:p>
        </w:tc>
      </w:tr>
      <w:tr w:rsidR="00195520" w:rsidRPr="00306115" w14:paraId="641823F5" w14:textId="77777777" w:rsidTr="00751A53">
        <w:trPr>
          <w:trHeight w:val="560"/>
        </w:trPr>
        <w:tc>
          <w:tcPr>
            <w:tcW w:w="3519" w:type="dxa"/>
            <w:tcBorders>
              <w:top w:val="nil"/>
            </w:tcBorders>
          </w:tcPr>
          <w:p w14:paraId="141D6EB3" w14:textId="77777777" w:rsidR="00195520" w:rsidRPr="00306115" w:rsidRDefault="00195520" w:rsidP="00751A53">
            <w:pPr>
              <w:widowControl w:val="0"/>
              <w:pBdr>
                <w:top w:val="nil"/>
                <w:left w:val="nil"/>
                <w:bottom w:val="nil"/>
                <w:right w:val="nil"/>
                <w:between w:val="nil"/>
              </w:pBdr>
              <w:spacing w:before="93"/>
              <w:rPr>
                <w:rFonts w:eastAsia="Bookman Old Style" w:cs="Bookman Old Style"/>
                <w:color w:val="000000" w:themeColor="text1"/>
                <w:szCs w:val="24"/>
              </w:rPr>
            </w:pPr>
            <w:r w:rsidRPr="00306115">
              <w:rPr>
                <w:rFonts w:eastAsia="Bookman Old Style" w:cs="Bookman Old Style"/>
                <w:b/>
                <w:bCs/>
                <w:color w:val="000000" w:themeColor="text1"/>
                <w:szCs w:val="24"/>
              </w:rPr>
              <w:t>Instrumen utang &amp; pasar  uang</w:t>
            </w:r>
          </w:p>
        </w:tc>
        <w:tc>
          <w:tcPr>
            <w:tcW w:w="2564" w:type="dxa"/>
            <w:tcBorders>
              <w:top w:val="single" w:sz="4" w:space="0" w:color="000000"/>
            </w:tcBorders>
          </w:tcPr>
          <w:p w14:paraId="482C8199" w14:textId="77777777" w:rsidR="00195520" w:rsidRPr="00306115" w:rsidRDefault="00195520" w:rsidP="00751A53">
            <w:pPr>
              <w:widowControl w:val="0"/>
              <w:pBdr>
                <w:top w:val="nil"/>
                <w:left w:val="nil"/>
                <w:bottom w:val="nil"/>
                <w:right w:val="nil"/>
                <w:between w:val="nil"/>
              </w:pBdr>
              <w:spacing w:before="97"/>
              <w:rPr>
                <w:rFonts w:eastAsia="Bookman Old Style" w:cs="Bookman Old Style"/>
                <w:color w:val="000000" w:themeColor="text1"/>
                <w:szCs w:val="24"/>
              </w:rPr>
            </w:pPr>
            <w:r w:rsidRPr="00306115">
              <w:rPr>
                <w:rFonts w:eastAsia="Bookman Old Style" w:cs="Bookman Old Style"/>
                <w:color w:val="000000" w:themeColor="text1"/>
                <w:szCs w:val="24"/>
              </w:rPr>
              <w:t>Durasi Surat Utang</w:t>
            </w:r>
          </w:p>
        </w:tc>
        <w:tc>
          <w:tcPr>
            <w:tcW w:w="1425" w:type="dxa"/>
          </w:tcPr>
          <w:p w14:paraId="6E74A9BD" w14:textId="77777777" w:rsidR="00195520" w:rsidRPr="00306115" w:rsidRDefault="00195520" w:rsidP="00697891">
            <w:pPr>
              <w:widowControl w:val="0"/>
              <w:pBdr>
                <w:top w:val="nil"/>
                <w:left w:val="nil"/>
                <w:bottom w:val="nil"/>
                <w:right w:val="nil"/>
                <w:between w:val="nil"/>
              </w:pBdr>
              <w:rPr>
                <w:rFonts w:eastAsia="Bookman Old Style" w:cs="Bookman Old Style"/>
                <w:color w:val="000000" w:themeColor="text1"/>
                <w:szCs w:val="24"/>
              </w:rPr>
            </w:pPr>
          </w:p>
        </w:tc>
        <w:tc>
          <w:tcPr>
            <w:tcW w:w="1564" w:type="dxa"/>
          </w:tcPr>
          <w:p w14:paraId="0CA0ABBA" w14:textId="77777777" w:rsidR="00195520" w:rsidRPr="00306115" w:rsidRDefault="00195520" w:rsidP="00697891">
            <w:pPr>
              <w:widowControl w:val="0"/>
              <w:pBdr>
                <w:top w:val="nil"/>
                <w:left w:val="nil"/>
                <w:bottom w:val="nil"/>
                <w:right w:val="nil"/>
                <w:between w:val="nil"/>
              </w:pBdr>
              <w:rPr>
                <w:rFonts w:eastAsia="Bookman Old Style" w:cs="Bookman Old Style"/>
                <w:color w:val="000000" w:themeColor="text1"/>
                <w:szCs w:val="24"/>
              </w:rPr>
            </w:pPr>
          </w:p>
        </w:tc>
        <w:tc>
          <w:tcPr>
            <w:tcW w:w="1557" w:type="dxa"/>
          </w:tcPr>
          <w:p w14:paraId="0AE8BFFC" w14:textId="77777777" w:rsidR="00195520" w:rsidRPr="00306115" w:rsidRDefault="00195520" w:rsidP="00697891">
            <w:pPr>
              <w:widowControl w:val="0"/>
              <w:pBdr>
                <w:top w:val="nil"/>
                <w:left w:val="nil"/>
                <w:bottom w:val="nil"/>
                <w:right w:val="nil"/>
                <w:between w:val="nil"/>
              </w:pBdr>
              <w:rPr>
                <w:rFonts w:eastAsia="Bookman Old Style" w:cs="Bookman Old Style"/>
                <w:color w:val="000000" w:themeColor="text1"/>
                <w:szCs w:val="24"/>
              </w:rPr>
            </w:pPr>
          </w:p>
        </w:tc>
        <w:tc>
          <w:tcPr>
            <w:tcW w:w="3546" w:type="dxa"/>
          </w:tcPr>
          <w:p w14:paraId="1E19EFFB" w14:textId="77777777" w:rsidR="00195520" w:rsidRPr="00306115" w:rsidRDefault="00195520" w:rsidP="00697891">
            <w:pPr>
              <w:widowControl w:val="0"/>
              <w:pBdr>
                <w:top w:val="nil"/>
                <w:left w:val="nil"/>
                <w:bottom w:val="nil"/>
                <w:right w:val="nil"/>
                <w:between w:val="nil"/>
              </w:pBdr>
              <w:rPr>
                <w:rFonts w:eastAsia="Bookman Old Style" w:cs="Bookman Old Style"/>
                <w:color w:val="000000" w:themeColor="text1"/>
                <w:szCs w:val="24"/>
              </w:rPr>
            </w:pPr>
          </w:p>
        </w:tc>
      </w:tr>
      <w:tr w:rsidR="00195520" w:rsidRPr="00306115" w14:paraId="14AAF4F7" w14:textId="77777777" w:rsidTr="00751A53">
        <w:trPr>
          <w:trHeight w:val="522"/>
        </w:trPr>
        <w:tc>
          <w:tcPr>
            <w:tcW w:w="3519" w:type="dxa"/>
            <w:vMerge w:val="restart"/>
          </w:tcPr>
          <w:p w14:paraId="0D285B8D" w14:textId="77777777" w:rsidR="00195520" w:rsidRPr="00306115" w:rsidRDefault="00195520" w:rsidP="00751A53">
            <w:pPr>
              <w:widowControl w:val="0"/>
              <w:pBdr>
                <w:top w:val="nil"/>
                <w:left w:val="nil"/>
                <w:bottom w:val="nil"/>
                <w:right w:val="nil"/>
                <w:between w:val="nil"/>
              </w:pBdr>
              <w:spacing w:before="77"/>
              <w:rPr>
                <w:rFonts w:eastAsia="Bookman Old Style" w:cs="Bookman Old Style"/>
                <w:i/>
                <w:iCs/>
                <w:color w:val="000000" w:themeColor="text1"/>
                <w:szCs w:val="24"/>
              </w:rPr>
            </w:pPr>
            <w:r w:rsidRPr="00306115">
              <w:rPr>
                <w:rFonts w:eastAsia="Bookman Old Style" w:cs="Bookman Old Style"/>
                <w:i/>
                <w:iCs/>
                <w:color w:val="000000" w:themeColor="text1"/>
                <w:szCs w:val="24"/>
              </w:rPr>
              <w:t>VaR Equivalent Volatility (Cornish-Fisher)</w:t>
            </w:r>
          </w:p>
        </w:tc>
        <w:tc>
          <w:tcPr>
            <w:tcW w:w="2564" w:type="dxa"/>
          </w:tcPr>
          <w:p w14:paraId="604CF920" w14:textId="77777777" w:rsidR="00195520" w:rsidRPr="00306115" w:rsidRDefault="00195520" w:rsidP="00751A53">
            <w:pPr>
              <w:widowControl w:val="0"/>
              <w:pBdr>
                <w:top w:val="nil"/>
                <w:left w:val="nil"/>
                <w:bottom w:val="nil"/>
                <w:right w:val="nil"/>
                <w:between w:val="nil"/>
              </w:pBdr>
              <w:spacing w:before="77"/>
              <w:rPr>
                <w:rFonts w:eastAsia="Bookman Old Style" w:cs="Bookman Old Style"/>
                <w:i/>
                <w:iCs/>
                <w:color w:val="000000" w:themeColor="text1"/>
                <w:szCs w:val="24"/>
              </w:rPr>
            </w:pPr>
            <w:r w:rsidRPr="00306115">
              <w:rPr>
                <w:rFonts w:eastAsia="Bookman Old Style" w:cs="Bookman Old Style"/>
                <w:i/>
                <w:iCs/>
                <w:color w:val="000000" w:themeColor="text1"/>
                <w:szCs w:val="24"/>
              </w:rPr>
              <w:t>VaR Cornish Fisher</w:t>
            </w:r>
          </w:p>
        </w:tc>
        <w:tc>
          <w:tcPr>
            <w:tcW w:w="1425" w:type="dxa"/>
          </w:tcPr>
          <w:p w14:paraId="03FE36B7" w14:textId="77777777" w:rsidR="00195520" w:rsidRPr="00306115" w:rsidRDefault="00195520" w:rsidP="00697891">
            <w:pPr>
              <w:widowControl w:val="0"/>
              <w:pBdr>
                <w:top w:val="nil"/>
                <w:left w:val="nil"/>
                <w:bottom w:val="nil"/>
                <w:right w:val="nil"/>
                <w:between w:val="nil"/>
              </w:pBdr>
              <w:rPr>
                <w:rFonts w:eastAsia="Bookman Old Style" w:cs="Bookman Old Style"/>
                <w:strike/>
                <w:color w:val="000000" w:themeColor="text1"/>
                <w:szCs w:val="24"/>
              </w:rPr>
            </w:pPr>
          </w:p>
        </w:tc>
        <w:tc>
          <w:tcPr>
            <w:tcW w:w="1564" w:type="dxa"/>
            <w:vMerge w:val="restart"/>
          </w:tcPr>
          <w:p w14:paraId="4A85C825" w14:textId="77777777" w:rsidR="00195520" w:rsidRPr="00306115" w:rsidRDefault="00195520" w:rsidP="00697891">
            <w:pPr>
              <w:widowControl w:val="0"/>
              <w:pBdr>
                <w:top w:val="nil"/>
                <w:left w:val="nil"/>
                <w:bottom w:val="nil"/>
                <w:right w:val="nil"/>
                <w:between w:val="nil"/>
              </w:pBdr>
              <w:rPr>
                <w:rFonts w:eastAsia="Bookman Old Style" w:cs="Bookman Old Style"/>
                <w:strike/>
                <w:color w:val="000000" w:themeColor="text1"/>
                <w:szCs w:val="24"/>
              </w:rPr>
            </w:pPr>
          </w:p>
        </w:tc>
        <w:tc>
          <w:tcPr>
            <w:tcW w:w="1557" w:type="dxa"/>
            <w:shd w:val="clear" w:color="auto" w:fill="000000" w:themeFill="text1"/>
          </w:tcPr>
          <w:p w14:paraId="095C2017" w14:textId="77777777" w:rsidR="00195520" w:rsidRPr="00306115" w:rsidRDefault="00195520" w:rsidP="00697891">
            <w:pPr>
              <w:widowControl w:val="0"/>
              <w:pBdr>
                <w:top w:val="nil"/>
                <w:left w:val="nil"/>
                <w:bottom w:val="nil"/>
                <w:right w:val="nil"/>
                <w:between w:val="nil"/>
              </w:pBdr>
              <w:shd w:val="clear" w:color="auto" w:fill="000000" w:themeFill="text1"/>
              <w:rPr>
                <w:rFonts w:eastAsia="Bookman Old Style" w:cs="Bookman Old Style"/>
                <w:strike/>
                <w:color w:val="000000" w:themeColor="text1"/>
                <w:szCs w:val="24"/>
              </w:rPr>
            </w:pPr>
          </w:p>
        </w:tc>
        <w:tc>
          <w:tcPr>
            <w:tcW w:w="3546" w:type="dxa"/>
            <w:vMerge w:val="restart"/>
          </w:tcPr>
          <w:p w14:paraId="2E47D45E" w14:textId="77777777" w:rsidR="00195520" w:rsidRPr="00306115" w:rsidRDefault="00195520" w:rsidP="00697891">
            <w:pPr>
              <w:widowControl w:val="0"/>
              <w:pBdr>
                <w:top w:val="nil"/>
                <w:left w:val="nil"/>
                <w:bottom w:val="nil"/>
                <w:right w:val="nil"/>
                <w:between w:val="nil"/>
              </w:pBdr>
              <w:rPr>
                <w:rFonts w:eastAsia="Bookman Old Style" w:cs="Bookman Old Style"/>
                <w:strike/>
                <w:color w:val="000000" w:themeColor="text1"/>
                <w:szCs w:val="24"/>
              </w:rPr>
            </w:pPr>
          </w:p>
        </w:tc>
      </w:tr>
      <w:tr w:rsidR="00195520" w:rsidRPr="00306115" w14:paraId="0A5B8EAF" w14:textId="77777777" w:rsidTr="00751A53">
        <w:trPr>
          <w:trHeight w:val="541"/>
        </w:trPr>
        <w:tc>
          <w:tcPr>
            <w:tcW w:w="3519" w:type="dxa"/>
            <w:vMerge/>
          </w:tcPr>
          <w:p w14:paraId="7D8460E6" w14:textId="77777777" w:rsidR="00195520" w:rsidRPr="00306115" w:rsidRDefault="00195520" w:rsidP="00751A53">
            <w:pPr>
              <w:widowControl w:val="0"/>
              <w:pBdr>
                <w:top w:val="nil"/>
                <w:left w:val="nil"/>
                <w:bottom w:val="nil"/>
                <w:right w:val="nil"/>
                <w:between w:val="nil"/>
              </w:pBdr>
              <w:spacing w:before="77"/>
              <w:rPr>
                <w:rFonts w:eastAsia="Bookman Old Style" w:cs="Bookman Old Style"/>
                <w:i/>
                <w:iCs/>
                <w:color w:val="000000" w:themeColor="text1"/>
                <w:szCs w:val="24"/>
              </w:rPr>
            </w:pPr>
          </w:p>
        </w:tc>
        <w:tc>
          <w:tcPr>
            <w:tcW w:w="2564" w:type="dxa"/>
          </w:tcPr>
          <w:p w14:paraId="5A864818" w14:textId="77777777" w:rsidR="00195520" w:rsidRPr="00306115" w:rsidRDefault="00195520" w:rsidP="00751A53">
            <w:pPr>
              <w:widowControl w:val="0"/>
              <w:pBdr>
                <w:top w:val="nil"/>
                <w:left w:val="nil"/>
                <w:bottom w:val="nil"/>
                <w:right w:val="nil"/>
                <w:between w:val="nil"/>
              </w:pBdr>
              <w:spacing w:before="77"/>
              <w:rPr>
                <w:rFonts w:eastAsia="Bookman Old Style" w:cs="Bookman Old Style"/>
                <w:i/>
                <w:iCs/>
                <w:color w:val="000000" w:themeColor="text1"/>
                <w:szCs w:val="24"/>
              </w:rPr>
            </w:pPr>
            <w:r w:rsidRPr="00306115">
              <w:rPr>
                <w:rFonts w:eastAsia="Bookman Old Style" w:cs="Bookman Old Style"/>
                <w:i/>
                <w:iCs/>
                <w:color w:val="000000" w:themeColor="text1"/>
                <w:szCs w:val="24"/>
              </w:rPr>
              <w:t xml:space="preserve">VaR Equivalent Volatility </w:t>
            </w:r>
          </w:p>
        </w:tc>
        <w:tc>
          <w:tcPr>
            <w:tcW w:w="1425" w:type="dxa"/>
          </w:tcPr>
          <w:p w14:paraId="6C88BA53" w14:textId="77777777" w:rsidR="00195520" w:rsidRPr="00306115" w:rsidRDefault="00195520" w:rsidP="00697891">
            <w:pPr>
              <w:widowControl w:val="0"/>
              <w:pBdr>
                <w:top w:val="nil"/>
                <w:left w:val="nil"/>
                <w:bottom w:val="nil"/>
                <w:right w:val="nil"/>
                <w:between w:val="nil"/>
              </w:pBdr>
              <w:rPr>
                <w:rFonts w:eastAsia="Bookman Old Style" w:cs="Bookman Old Style"/>
                <w:color w:val="000000" w:themeColor="text1"/>
                <w:szCs w:val="24"/>
              </w:rPr>
            </w:pPr>
          </w:p>
        </w:tc>
        <w:tc>
          <w:tcPr>
            <w:tcW w:w="1564" w:type="dxa"/>
            <w:vMerge/>
          </w:tcPr>
          <w:p w14:paraId="5460FAC9" w14:textId="77777777" w:rsidR="00195520" w:rsidRPr="00306115" w:rsidRDefault="00195520" w:rsidP="00697891">
            <w:pPr>
              <w:widowControl w:val="0"/>
              <w:pBdr>
                <w:top w:val="nil"/>
                <w:left w:val="nil"/>
                <w:bottom w:val="nil"/>
                <w:right w:val="nil"/>
                <w:between w:val="nil"/>
              </w:pBdr>
              <w:rPr>
                <w:rFonts w:eastAsia="Bookman Old Style" w:cs="Bookman Old Style"/>
                <w:color w:val="000000" w:themeColor="text1"/>
                <w:szCs w:val="24"/>
              </w:rPr>
            </w:pPr>
          </w:p>
        </w:tc>
        <w:tc>
          <w:tcPr>
            <w:tcW w:w="1557" w:type="dxa"/>
            <w:shd w:val="clear" w:color="auto" w:fill="000000" w:themeFill="text1"/>
          </w:tcPr>
          <w:p w14:paraId="2781DBF2" w14:textId="77777777" w:rsidR="00195520" w:rsidRPr="00306115" w:rsidRDefault="00195520" w:rsidP="00697891">
            <w:pPr>
              <w:widowControl w:val="0"/>
              <w:pBdr>
                <w:top w:val="nil"/>
                <w:left w:val="nil"/>
                <w:bottom w:val="nil"/>
                <w:right w:val="nil"/>
                <w:between w:val="nil"/>
              </w:pBdr>
              <w:shd w:val="clear" w:color="auto" w:fill="000000" w:themeFill="text1"/>
              <w:rPr>
                <w:rFonts w:eastAsia="Bookman Old Style" w:cs="Bookman Old Style"/>
                <w:color w:val="000000" w:themeColor="text1"/>
                <w:szCs w:val="24"/>
              </w:rPr>
            </w:pPr>
          </w:p>
        </w:tc>
        <w:tc>
          <w:tcPr>
            <w:tcW w:w="3546" w:type="dxa"/>
            <w:vMerge/>
          </w:tcPr>
          <w:p w14:paraId="3BDF8E1C" w14:textId="77777777" w:rsidR="00195520" w:rsidRPr="00306115" w:rsidRDefault="00195520" w:rsidP="00697891">
            <w:pPr>
              <w:widowControl w:val="0"/>
              <w:pBdr>
                <w:top w:val="nil"/>
                <w:left w:val="nil"/>
                <w:bottom w:val="nil"/>
                <w:right w:val="nil"/>
                <w:between w:val="nil"/>
              </w:pBdr>
              <w:rPr>
                <w:rFonts w:eastAsia="Bookman Old Style" w:cs="Bookman Old Style"/>
                <w:color w:val="000000" w:themeColor="text1"/>
                <w:szCs w:val="24"/>
              </w:rPr>
            </w:pPr>
          </w:p>
        </w:tc>
      </w:tr>
      <w:tr w:rsidR="00195520" w:rsidRPr="00306115" w14:paraId="176C21F7" w14:textId="77777777" w:rsidTr="00751A53">
        <w:trPr>
          <w:trHeight w:val="541"/>
        </w:trPr>
        <w:tc>
          <w:tcPr>
            <w:tcW w:w="7508" w:type="dxa"/>
            <w:gridSpan w:val="3"/>
          </w:tcPr>
          <w:p w14:paraId="757D8020" w14:textId="593F8369" w:rsidR="00195520" w:rsidRPr="00306115" w:rsidRDefault="00195520" w:rsidP="00751A53">
            <w:pPr>
              <w:widowControl w:val="0"/>
              <w:pBdr>
                <w:top w:val="nil"/>
                <w:left w:val="nil"/>
                <w:bottom w:val="nil"/>
                <w:right w:val="nil"/>
                <w:between w:val="nil"/>
              </w:pBdr>
              <w:spacing w:before="120" w:after="120"/>
              <w:jc w:val="center"/>
              <w:rPr>
                <w:rFonts w:eastAsia="Bookman Old Style" w:cs="Bookman Old Style"/>
                <w:color w:val="000000" w:themeColor="text1"/>
                <w:szCs w:val="24"/>
              </w:rPr>
            </w:pPr>
            <w:r w:rsidRPr="00306115">
              <w:rPr>
                <w:rFonts w:eastAsia="Bookman Old Style" w:cs="Bookman Old Style"/>
                <w:b/>
                <w:bCs/>
                <w:color w:val="000000" w:themeColor="text1"/>
                <w:szCs w:val="24"/>
              </w:rPr>
              <w:t>Peringkat Risiko Pasar</w:t>
            </w:r>
          </w:p>
        </w:tc>
        <w:tc>
          <w:tcPr>
            <w:tcW w:w="1564" w:type="dxa"/>
          </w:tcPr>
          <w:p w14:paraId="6AA94070" w14:textId="77777777" w:rsidR="00195520" w:rsidRPr="00306115" w:rsidRDefault="00195520" w:rsidP="00697891">
            <w:pPr>
              <w:widowControl w:val="0"/>
              <w:pBdr>
                <w:top w:val="nil"/>
                <w:left w:val="nil"/>
                <w:bottom w:val="nil"/>
                <w:right w:val="nil"/>
                <w:between w:val="nil"/>
              </w:pBdr>
              <w:rPr>
                <w:rFonts w:eastAsia="Bookman Old Style" w:cs="Bookman Old Style"/>
                <w:color w:val="000000" w:themeColor="text1"/>
                <w:szCs w:val="24"/>
              </w:rPr>
            </w:pPr>
          </w:p>
        </w:tc>
        <w:tc>
          <w:tcPr>
            <w:tcW w:w="1557" w:type="dxa"/>
          </w:tcPr>
          <w:p w14:paraId="7A19E96B" w14:textId="77777777" w:rsidR="00195520" w:rsidRPr="00306115" w:rsidRDefault="00195520" w:rsidP="00697891">
            <w:pPr>
              <w:widowControl w:val="0"/>
              <w:pBdr>
                <w:top w:val="nil"/>
                <w:left w:val="nil"/>
                <w:bottom w:val="nil"/>
                <w:right w:val="nil"/>
                <w:between w:val="nil"/>
              </w:pBdr>
              <w:rPr>
                <w:rFonts w:eastAsia="Bookman Old Style" w:cs="Bookman Old Style"/>
                <w:color w:val="000000" w:themeColor="text1"/>
                <w:szCs w:val="24"/>
              </w:rPr>
            </w:pPr>
          </w:p>
        </w:tc>
        <w:tc>
          <w:tcPr>
            <w:tcW w:w="3546" w:type="dxa"/>
          </w:tcPr>
          <w:p w14:paraId="4F1C9AD1" w14:textId="77777777" w:rsidR="00195520" w:rsidRPr="00306115" w:rsidRDefault="00195520" w:rsidP="00697891">
            <w:pPr>
              <w:widowControl w:val="0"/>
              <w:pBdr>
                <w:top w:val="nil"/>
                <w:left w:val="nil"/>
                <w:bottom w:val="nil"/>
                <w:right w:val="nil"/>
                <w:between w:val="nil"/>
              </w:pBdr>
              <w:rPr>
                <w:rFonts w:eastAsia="Bookman Old Style" w:cs="Bookman Old Style"/>
                <w:color w:val="000000" w:themeColor="text1"/>
                <w:szCs w:val="24"/>
              </w:rPr>
            </w:pPr>
          </w:p>
        </w:tc>
      </w:tr>
    </w:tbl>
    <w:p w14:paraId="14321FF4" w14:textId="77777777" w:rsidR="00195520" w:rsidRPr="00306115" w:rsidRDefault="00195520" w:rsidP="00543BD0">
      <w:pPr>
        <w:pStyle w:val="HeadingAwalDaftarIsiLampiran"/>
        <w:numPr>
          <w:ilvl w:val="0"/>
          <w:numId w:val="0"/>
        </w:numPr>
        <w:tabs>
          <w:tab w:val="left" w:pos="1134"/>
        </w:tabs>
        <w:ind w:left="1701"/>
      </w:pPr>
    </w:p>
    <w:p w14:paraId="48CDE143" w14:textId="77777777" w:rsidR="00195520" w:rsidRPr="00306115" w:rsidRDefault="00195520" w:rsidP="00543BD0">
      <w:pPr>
        <w:pStyle w:val="HeadingAwalDaftarIsiLampiran"/>
        <w:numPr>
          <w:ilvl w:val="0"/>
          <w:numId w:val="0"/>
        </w:numPr>
        <w:tabs>
          <w:tab w:val="left" w:pos="1134"/>
        </w:tabs>
        <w:ind w:left="1701"/>
      </w:pPr>
    </w:p>
    <w:p w14:paraId="1A8F84F2" w14:textId="77777777" w:rsidR="009054E4" w:rsidRPr="00306115" w:rsidRDefault="006329C7">
      <w:pPr>
        <w:pStyle w:val="HeadingAwalDaftarIsiLampiran"/>
        <w:numPr>
          <w:ilvl w:val="0"/>
          <w:numId w:val="255"/>
        </w:numPr>
        <w:tabs>
          <w:tab w:val="left" w:pos="1134"/>
        </w:tabs>
        <w:ind w:left="567" w:hanging="567"/>
      </w:pPr>
      <w:r w:rsidRPr="00306115">
        <w:t>PENILAIAN RISIKO UNTUK RISIKO LIKUIDITAS PRODUK INVESTASI</w:t>
      </w:r>
    </w:p>
    <w:p w14:paraId="2DA9AAD0" w14:textId="6A675E0A" w:rsidR="001E10FA" w:rsidRPr="00306115" w:rsidRDefault="00715C7D">
      <w:pPr>
        <w:pStyle w:val="HeadingAwalDaftarIsiLampiran"/>
        <w:numPr>
          <w:ilvl w:val="0"/>
          <w:numId w:val="272"/>
        </w:numPr>
        <w:tabs>
          <w:tab w:val="left" w:pos="1276"/>
        </w:tabs>
        <w:ind w:left="1134" w:hanging="567"/>
      </w:pPr>
      <w:r w:rsidRPr="00306115">
        <w:rPr>
          <w:rFonts w:eastAsia="Bookman Old Style" w:cs="Bookman Old Style"/>
        </w:rPr>
        <w:t>Parameter atau Indikator Penilaian Risiko Likuiditas Produk Investasi</w:t>
      </w:r>
    </w:p>
    <w:tbl>
      <w:tblPr>
        <w:tblW w:w="14742" w:type="dxa"/>
        <w:tblInd w:w="1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276"/>
        <w:gridCol w:w="1985"/>
        <w:gridCol w:w="2551"/>
        <w:gridCol w:w="8930"/>
      </w:tblGrid>
      <w:tr w:rsidR="007D3FB2" w:rsidRPr="00306115" w14:paraId="761ADD19" w14:textId="77777777" w:rsidTr="00F51C9E">
        <w:trPr>
          <w:trHeight w:val="336"/>
        </w:trPr>
        <w:tc>
          <w:tcPr>
            <w:tcW w:w="14742" w:type="dxa"/>
            <w:gridSpan w:val="4"/>
            <w:shd w:val="clear" w:color="auto" w:fill="BEBEBE"/>
          </w:tcPr>
          <w:p w14:paraId="10ADC994" w14:textId="67550268" w:rsidR="007D3FB2" w:rsidRPr="00306115" w:rsidRDefault="007D3FB2">
            <w:pPr>
              <w:pStyle w:val="ListParagraph"/>
              <w:widowControl w:val="0"/>
              <w:numPr>
                <w:ilvl w:val="0"/>
                <w:numId w:val="277"/>
              </w:numPr>
              <w:pBdr>
                <w:top w:val="nil"/>
                <w:left w:val="nil"/>
                <w:bottom w:val="nil"/>
                <w:right w:val="nil"/>
                <w:between w:val="nil"/>
              </w:pBdr>
              <w:spacing w:before="60" w:after="60" w:line="240" w:lineRule="auto"/>
              <w:ind w:left="567" w:hanging="567"/>
              <w:contextualSpacing w:val="0"/>
              <w:jc w:val="left"/>
              <w:rPr>
                <w:rFonts w:eastAsia="Bookman Old Style" w:cs="Bookman Old Style"/>
                <w:b/>
                <w:bCs/>
                <w:color w:val="000000" w:themeColor="text1"/>
                <w:szCs w:val="24"/>
              </w:rPr>
            </w:pPr>
            <w:r w:rsidRPr="00306115">
              <w:rPr>
                <w:rFonts w:eastAsia="Bookman Old Style" w:cs="Bookman Old Style"/>
                <w:b/>
                <w:bCs/>
                <w:color w:val="000000" w:themeColor="text1"/>
                <w:szCs w:val="24"/>
              </w:rPr>
              <w:t>Risiko Inheren*)</w:t>
            </w:r>
          </w:p>
        </w:tc>
      </w:tr>
      <w:tr w:rsidR="007D3FB2" w:rsidRPr="00306115" w14:paraId="6D09762A" w14:textId="77777777" w:rsidTr="00F51C9E">
        <w:trPr>
          <w:trHeight w:val="557"/>
        </w:trPr>
        <w:tc>
          <w:tcPr>
            <w:tcW w:w="3261" w:type="dxa"/>
            <w:gridSpan w:val="2"/>
            <w:shd w:val="clear" w:color="auto" w:fill="BEBEBE"/>
          </w:tcPr>
          <w:p w14:paraId="7FA0F9F8" w14:textId="77777777" w:rsidR="007D3FB2" w:rsidRPr="00306115" w:rsidRDefault="007D3FB2" w:rsidP="003B7CDB">
            <w:pPr>
              <w:widowControl w:val="0"/>
              <w:pBdr>
                <w:top w:val="nil"/>
                <w:left w:val="nil"/>
                <w:bottom w:val="nil"/>
                <w:right w:val="nil"/>
                <w:between w:val="nil"/>
              </w:pBdr>
              <w:spacing w:before="60" w:after="60"/>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Indikator</w:t>
            </w:r>
          </w:p>
        </w:tc>
        <w:tc>
          <w:tcPr>
            <w:tcW w:w="2551" w:type="dxa"/>
            <w:shd w:val="clear" w:color="auto" w:fill="BEBEBE"/>
          </w:tcPr>
          <w:p w14:paraId="5DA2A2E4" w14:textId="77777777" w:rsidR="007D3FB2" w:rsidRPr="00306115" w:rsidRDefault="007D3FB2" w:rsidP="003B7CDB">
            <w:pPr>
              <w:widowControl w:val="0"/>
              <w:pBdr>
                <w:top w:val="nil"/>
                <w:left w:val="nil"/>
                <w:bottom w:val="nil"/>
                <w:right w:val="nil"/>
                <w:between w:val="nil"/>
              </w:pBdr>
              <w:spacing w:before="60" w:after="60"/>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Berlaku Untuk</w:t>
            </w:r>
          </w:p>
        </w:tc>
        <w:tc>
          <w:tcPr>
            <w:tcW w:w="8930" w:type="dxa"/>
            <w:shd w:val="clear" w:color="auto" w:fill="BEBEBE"/>
          </w:tcPr>
          <w:p w14:paraId="434FF226" w14:textId="77777777" w:rsidR="007D3FB2" w:rsidRPr="00306115" w:rsidRDefault="007D3FB2" w:rsidP="003B7CDB">
            <w:pPr>
              <w:widowControl w:val="0"/>
              <w:pBdr>
                <w:top w:val="nil"/>
                <w:left w:val="nil"/>
                <w:bottom w:val="nil"/>
                <w:right w:val="nil"/>
                <w:between w:val="nil"/>
              </w:pBdr>
              <w:spacing w:before="60" w:after="60"/>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Informasi</w:t>
            </w:r>
          </w:p>
        </w:tc>
      </w:tr>
      <w:tr w:rsidR="007D3FB2" w:rsidRPr="00306115" w14:paraId="14B63935" w14:textId="77777777" w:rsidTr="00F51C9E">
        <w:trPr>
          <w:trHeight w:val="2306"/>
        </w:trPr>
        <w:tc>
          <w:tcPr>
            <w:tcW w:w="3261" w:type="dxa"/>
            <w:gridSpan w:val="2"/>
          </w:tcPr>
          <w:p w14:paraId="1F072BB6" w14:textId="77777777" w:rsidR="007D3FB2" w:rsidRPr="00306115" w:rsidRDefault="007D3FB2" w:rsidP="002E0432">
            <w:pPr>
              <w:widowControl w:val="0"/>
              <w:pBdr>
                <w:top w:val="nil"/>
                <w:left w:val="nil"/>
                <w:bottom w:val="nil"/>
                <w:right w:val="nil"/>
                <w:between w:val="nil"/>
              </w:pBdr>
              <w:tabs>
                <w:tab w:val="left" w:pos="2248"/>
              </w:tabs>
              <w:spacing w:before="60" w:after="60" w:line="240" w:lineRule="auto"/>
              <w:rPr>
                <w:rFonts w:eastAsia="Bookman Old Style" w:cs="Bookman Old Style"/>
                <w:b/>
                <w:bCs/>
                <w:color w:val="000000" w:themeColor="text1"/>
                <w:szCs w:val="24"/>
              </w:rPr>
            </w:pPr>
            <w:r w:rsidRPr="00306115">
              <w:rPr>
                <w:rFonts w:eastAsia="Bookman Old Style" w:cs="Bookman Old Style"/>
                <w:color w:val="000000" w:themeColor="text1"/>
                <w:szCs w:val="24"/>
              </w:rPr>
              <w:t>Rata-rata jumlah hari yang diperlukan untuk melikuidasi Efek dalam portofolio</w:t>
            </w:r>
          </w:p>
        </w:tc>
        <w:tc>
          <w:tcPr>
            <w:tcW w:w="2551" w:type="dxa"/>
          </w:tcPr>
          <w:p w14:paraId="7124A1BB" w14:textId="77777777" w:rsidR="007D3FB2" w:rsidRPr="00306115" w:rsidRDefault="007D3FB2" w:rsidP="002E0432">
            <w:pPr>
              <w:widowControl w:val="0"/>
              <w:pBdr>
                <w:top w:val="nil"/>
                <w:left w:val="nil"/>
                <w:bottom w:val="nil"/>
                <w:right w:val="nil"/>
                <w:between w:val="nil"/>
              </w:pBdr>
              <w:spacing w:before="60" w:after="60" w:line="240" w:lineRule="auto"/>
              <w:rPr>
                <w:rFonts w:eastAsia="Bookman Old Style" w:cs="Bookman Old Style"/>
                <w:b/>
                <w:bCs/>
                <w:color w:val="000000" w:themeColor="text1"/>
                <w:szCs w:val="24"/>
              </w:rPr>
            </w:pPr>
            <w:r w:rsidRPr="00306115">
              <w:rPr>
                <w:rFonts w:eastAsia="Bookman Old Style" w:cs="Bookman Old Style"/>
                <w:color w:val="000000" w:themeColor="text1"/>
                <w:szCs w:val="24"/>
              </w:rPr>
              <w:t xml:space="preserve">Semua reksa dana </w:t>
            </w:r>
            <w:r w:rsidRPr="00306115">
              <w:rPr>
                <w:rFonts w:eastAsia="Bookman Old Style" w:cs="Bookman Old Style"/>
                <w:i/>
                <w:iCs/>
                <w:color w:val="000000" w:themeColor="text1"/>
                <w:szCs w:val="24"/>
              </w:rPr>
              <w:t>open-end</w:t>
            </w:r>
          </w:p>
        </w:tc>
        <w:tc>
          <w:tcPr>
            <w:tcW w:w="8930" w:type="dxa"/>
          </w:tcPr>
          <w:p w14:paraId="41D30E6B" w14:textId="01F1D0A5" w:rsidR="00673CA8" w:rsidRPr="00306115" w:rsidRDefault="00673CA8">
            <w:pPr>
              <w:pStyle w:val="ListParagraph"/>
              <w:widowControl w:val="0"/>
              <w:numPr>
                <w:ilvl w:val="0"/>
                <w:numId w:val="443"/>
              </w:numPr>
              <w:pBdr>
                <w:top w:val="nil"/>
                <w:left w:val="nil"/>
                <w:bottom w:val="nil"/>
                <w:right w:val="nil"/>
                <w:between w:val="nil"/>
              </w:pBdr>
              <w:spacing w:after="0" w:line="240" w:lineRule="auto"/>
              <w:ind w:left="567" w:hanging="567"/>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 xml:space="preserve">Indikator ini digunakan untuk melihat rata-rata jumlah hari bursa yang diperlukan untuk melikuidasi seluruh Efek dalam portofolio suatu Produk Investasi. Semakin cepat Efek dalam portofolio dapat dijual, semakin tinggi tingkat likuiditas dan semakin rendah risiko likuiditas Produk Investasi tersebut. </w:t>
            </w:r>
          </w:p>
          <w:p w14:paraId="6F107F0E" w14:textId="179ECAB4" w:rsidR="00673CA8" w:rsidRPr="00306115" w:rsidRDefault="00673CA8">
            <w:pPr>
              <w:pStyle w:val="ListParagraph"/>
              <w:widowControl w:val="0"/>
              <w:numPr>
                <w:ilvl w:val="0"/>
                <w:numId w:val="443"/>
              </w:numPr>
              <w:pBdr>
                <w:top w:val="nil"/>
                <w:left w:val="nil"/>
                <w:bottom w:val="nil"/>
                <w:right w:val="nil"/>
                <w:between w:val="nil"/>
              </w:pBdr>
              <w:spacing w:after="0" w:line="240" w:lineRule="auto"/>
              <w:ind w:left="567" w:hanging="567"/>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ID"/>
              </w:rPr>
              <w:t>Klasifikasi penilaian indikator ini terbagi menjadi 5 (lima) peringkat sebagai berikut:</w:t>
            </w:r>
          </w:p>
          <w:p w14:paraId="66E74175" w14:textId="77777777" w:rsidR="00673CA8" w:rsidRPr="00306115" w:rsidRDefault="00673CA8">
            <w:pPr>
              <w:pStyle w:val="ListParagraph"/>
              <w:widowControl w:val="0"/>
              <w:numPr>
                <w:ilvl w:val="0"/>
                <w:numId w:val="444"/>
              </w:numPr>
              <w:pBdr>
                <w:top w:val="nil"/>
                <w:left w:val="nil"/>
                <w:bottom w:val="nil"/>
                <w:right w:val="nil"/>
                <w:between w:val="nil"/>
              </w:pBdr>
              <w:spacing w:after="0" w:line="240" w:lineRule="auto"/>
              <w:ind w:left="851" w:hanging="284"/>
              <w:contextualSpacing w:val="0"/>
              <w:rPr>
                <w:rFonts w:eastAsia="Bookman Old Style" w:cs="Bookman Old Style"/>
                <w:color w:val="000000" w:themeColor="text1"/>
                <w:szCs w:val="24"/>
                <w:lang w:val="en-ID"/>
              </w:rPr>
            </w:pPr>
            <w:r w:rsidRPr="00306115">
              <w:rPr>
                <w:rFonts w:eastAsia="Bookman Old Style" w:cs="Bookman Old Style"/>
                <w:color w:val="000000" w:themeColor="text1"/>
                <w:szCs w:val="24"/>
                <w:lang w:val="en-ID"/>
              </w:rPr>
              <w:t>Peringkat 1: ≤ 3 hari bursa</w:t>
            </w:r>
          </w:p>
          <w:p w14:paraId="50C70BA1" w14:textId="77777777" w:rsidR="00673CA8" w:rsidRPr="00306115" w:rsidRDefault="00673CA8">
            <w:pPr>
              <w:pStyle w:val="ListParagraph"/>
              <w:widowControl w:val="0"/>
              <w:numPr>
                <w:ilvl w:val="0"/>
                <w:numId w:val="444"/>
              </w:numPr>
              <w:pBdr>
                <w:top w:val="nil"/>
                <w:left w:val="nil"/>
                <w:bottom w:val="nil"/>
                <w:right w:val="nil"/>
                <w:between w:val="nil"/>
              </w:pBdr>
              <w:spacing w:after="0" w:line="240" w:lineRule="auto"/>
              <w:ind w:left="851" w:hanging="284"/>
              <w:contextualSpacing w:val="0"/>
              <w:rPr>
                <w:rFonts w:eastAsia="Bookman Old Style" w:cs="Bookman Old Style"/>
                <w:color w:val="000000" w:themeColor="text1"/>
                <w:szCs w:val="24"/>
                <w:lang w:val="en-ID"/>
              </w:rPr>
            </w:pPr>
            <w:r w:rsidRPr="00306115">
              <w:rPr>
                <w:rFonts w:eastAsia="Bookman Old Style" w:cs="Bookman Old Style"/>
                <w:color w:val="000000" w:themeColor="text1"/>
                <w:szCs w:val="24"/>
                <w:lang w:val="en-ID"/>
              </w:rPr>
              <w:t>Peringkat 2: 4 – 6 hari bursa</w:t>
            </w:r>
          </w:p>
          <w:p w14:paraId="7F160F6D" w14:textId="77777777" w:rsidR="00673CA8" w:rsidRPr="00306115" w:rsidRDefault="00673CA8">
            <w:pPr>
              <w:pStyle w:val="ListParagraph"/>
              <w:widowControl w:val="0"/>
              <w:numPr>
                <w:ilvl w:val="0"/>
                <w:numId w:val="444"/>
              </w:numPr>
              <w:pBdr>
                <w:top w:val="nil"/>
                <w:left w:val="nil"/>
                <w:bottom w:val="nil"/>
                <w:right w:val="nil"/>
                <w:between w:val="nil"/>
              </w:pBdr>
              <w:spacing w:after="0" w:line="240" w:lineRule="auto"/>
              <w:ind w:left="851" w:hanging="284"/>
              <w:contextualSpacing w:val="0"/>
              <w:rPr>
                <w:rFonts w:eastAsia="Bookman Old Style" w:cs="Bookman Old Style"/>
                <w:color w:val="000000" w:themeColor="text1"/>
                <w:szCs w:val="24"/>
                <w:lang w:val="en-ID"/>
              </w:rPr>
            </w:pPr>
            <w:r w:rsidRPr="00306115">
              <w:rPr>
                <w:rFonts w:eastAsia="Bookman Old Style" w:cs="Bookman Old Style"/>
                <w:color w:val="000000" w:themeColor="text1"/>
                <w:szCs w:val="24"/>
                <w:lang w:val="en-ID"/>
              </w:rPr>
              <w:t>Peringkat 3: 7 – 10 hari bursa</w:t>
            </w:r>
          </w:p>
          <w:p w14:paraId="0C5AD70A" w14:textId="77777777" w:rsidR="00673CA8" w:rsidRPr="00306115" w:rsidRDefault="00673CA8">
            <w:pPr>
              <w:pStyle w:val="ListParagraph"/>
              <w:widowControl w:val="0"/>
              <w:numPr>
                <w:ilvl w:val="0"/>
                <w:numId w:val="444"/>
              </w:numPr>
              <w:pBdr>
                <w:top w:val="nil"/>
                <w:left w:val="nil"/>
                <w:bottom w:val="nil"/>
                <w:right w:val="nil"/>
                <w:between w:val="nil"/>
              </w:pBdr>
              <w:spacing w:after="0" w:line="240" w:lineRule="auto"/>
              <w:ind w:left="851" w:hanging="284"/>
              <w:contextualSpacing w:val="0"/>
              <w:rPr>
                <w:rFonts w:eastAsia="Bookman Old Style" w:cs="Bookman Old Style"/>
                <w:color w:val="000000" w:themeColor="text1"/>
                <w:szCs w:val="24"/>
                <w:lang w:val="en-ID"/>
              </w:rPr>
            </w:pPr>
            <w:r w:rsidRPr="00306115">
              <w:rPr>
                <w:rFonts w:eastAsia="Bookman Old Style" w:cs="Bookman Old Style"/>
                <w:color w:val="000000" w:themeColor="text1"/>
                <w:szCs w:val="24"/>
                <w:lang w:val="en-ID"/>
              </w:rPr>
              <w:t>Peringkat 4: 11 – 20 hari bursa</w:t>
            </w:r>
          </w:p>
          <w:p w14:paraId="13F859A7" w14:textId="77777777" w:rsidR="00673CA8" w:rsidRPr="00306115" w:rsidRDefault="00673CA8">
            <w:pPr>
              <w:pStyle w:val="ListParagraph"/>
              <w:widowControl w:val="0"/>
              <w:numPr>
                <w:ilvl w:val="0"/>
                <w:numId w:val="444"/>
              </w:numPr>
              <w:pBdr>
                <w:top w:val="nil"/>
                <w:left w:val="nil"/>
                <w:bottom w:val="nil"/>
                <w:right w:val="nil"/>
                <w:between w:val="nil"/>
              </w:pBdr>
              <w:spacing w:after="0" w:line="240" w:lineRule="auto"/>
              <w:ind w:left="851" w:hanging="284"/>
              <w:contextualSpacing w:val="0"/>
              <w:rPr>
                <w:rFonts w:eastAsia="Bookman Old Style" w:cs="Bookman Old Style"/>
                <w:color w:val="000000" w:themeColor="text1"/>
                <w:szCs w:val="24"/>
                <w:lang w:val="en-ID"/>
              </w:rPr>
            </w:pPr>
            <w:r w:rsidRPr="00306115">
              <w:rPr>
                <w:rFonts w:eastAsia="Bookman Old Style" w:cs="Bookman Old Style"/>
                <w:color w:val="000000" w:themeColor="text1"/>
                <w:szCs w:val="24"/>
                <w:lang w:val="en-ID"/>
              </w:rPr>
              <w:lastRenderedPageBreak/>
              <w:t>Peringkat 5: &gt; 20 hari bursa</w:t>
            </w:r>
          </w:p>
          <w:p w14:paraId="69E86D4E" w14:textId="399405EE" w:rsidR="00673CA8" w:rsidRPr="00306115" w:rsidRDefault="00673CA8">
            <w:pPr>
              <w:pStyle w:val="ListParagraph"/>
              <w:widowControl w:val="0"/>
              <w:numPr>
                <w:ilvl w:val="0"/>
                <w:numId w:val="443"/>
              </w:numPr>
              <w:pBdr>
                <w:top w:val="nil"/>
                <w:left w:val="nil"/>
                <w:bottom w:val="nil"/>
                <w:right w:val="nil"/>
                <w:between w:val="nil"/>
              </w:pBdr>
              <w:spacing w:after="0" w:line="240" w:lineRule="auto"/>
              <w:ind w:left="567" w:hanging="567"/>
              <w:contextualSpacing w:val="0"/>
              <w:rPr>
                <w:rFonts w:eastAsia="Bookman Old Style" w:cs="Bookman Old Style"/>
                <w:b/>
                <w:bCs/>
                <w:color w:val="000000" w:themeColor="text1"/>
                <w:szCs w:val="24"/>
              </w:rPr>
            </w:pPr>
            <w:r w:rsidRPr="00306115">
              <w:rPr>
                <w:rFonts w:eastAsia="Bookman Old Style" w:cs="Bookman Old Style"/>
                <w:color w:val="000000" w:themeColor="text1"/>
                <w:szCs w:val="24"/>
                <w:lang w:val="en-ID"/>
              </w:rPr>
              <w:t>Sebagai contoh, portofolio yang sebagian besar terdiri dari saham berkapitalisasi pasar besar atau instrumen pasar uang umumnya memiliki waktu likuidasi yang lebih singkat, sehingga memperoleh peringkat risiko yang lebih rendah (Peringkat 1). Sebaliknya, portofolio yang sebagian besar terdiri dari Efek dengan volume perdagangan terbatas atau instrumen yang tidak aktif diperdagangkan cenderung membutuhkan waktu lebih lama untuk dilikuidasi dan memperoleh peringkat risiko yang lebih tinggi (Peringkat 4 dan 5).</w:t>
            </w:r>
          </w:p>
        </w:tc>
      </w:tr>
      <w:tr w:rsidR="00584CA4" w:rsidRPr="00306115" w14:paraId="2CD07105" w14:textId="77777777" w:rsidTr="00F51C9E">
        <w:trPr>
          <w:trHeight w:val="557"/>
        </w:trPr>
        <w:tc>
          <w:tcPr>
            <w:tcW w:w="3261" w:type="dxa"/>
            <w:gridSpan w:val="2"/>
          </w:tcPr>
          <w:p w14:paraId="0F935BB1" w14:textId="536A6F92" w:rsidR="00584CA4" w:rsidRPr="00306115" w:rsidRDefault="00584CA4" w:rsidP="00584CA4">
            <w:pPr>
              <w:widowControl w:val="0"/>
              <w:pBdr>
                <w:top w:val="nil"/>
                <w:left w:val="nil"/>
                <w:bottom w:val="nil"/>
                <w:right w:val="nil"/>
                <w:between w:val="nil"/>
              </w:pBdr>
              <w:tabs>
                <w:tab w:val="left" w:pos="2248"/>
              </w:tabs>
              <w:spacing w:after="0" w:line="240" w:lineRule="auto"/>
              <w:rPr>
                <w:rFonts w:eastAsia="Bookman Old Style" w:cs="Bookman Old Style"/>
                <w:strike/>
                <w:color w:val="000000" w:themeColor="text1"/>
                <w:szCs w:val="24"/>
              </w:rPr>
            </w:pPr>
            <w:bookmarkStart w:id="1" w:name="_Hlk237612499"/>
            <w:r w:rsidRPr="00306115">
              <w:rPr>
                <w:rFonts w:eastAsia="Bookman Old Style" w:cs="Bookman Old Style"/>
                <w:color w:val="000000" w:themeColor="text1"/>
                <w:szCs w:val="24"/>
                <w:lang w:val="en-GB"/>
              </w:rPr>
              <w:lastRenderedPageBreak/>
              <w:t>Rata-Rata Harian</w:t>
            </w:r>
            <w:r w:rsidRPr="00306115">
              <w:rPr>
                <w:rFonts w:eastAsia="Bookman Old Style" w:cs="Bookman Old Style"/>
                <w:i/>
                <w:iCs/>
                <w:color w:val="000000" w:themeColor="text1"/>
                <w:szCs w:val="24"/>
                <w:lang w:val="en-GB"/>
              </w:rPr>
              <w:t xml:space="preserve"> </w:t>
            </w:r>
            <w:r w:rsidR="00BA040B" w:rsidRPr="00306115">
              <w:rPr>
                <w:rFonts w:eastAsia="Bookman Old Style" w:cs="Bookman Old Style"/>
                <w:i/>
                <w:iCs/>
                <w:color w:val="000000" w:themeColor="text1"/>
                <w:szCs w:val="24"/>
                <w:lang w:val="en-GB"/>
              </w:rPr>
              <w:t>Haircut</w:t>
            </w:r>
            <w:r w:rsidRPr="00306115">
              <w:rPr>
                <w:rFonts w:eastAsia="Bookman Old Style" w:cs="Bookman Old Style"/>
                <w:color w:val="000000" w:themeColor="text1"/>
                <w:szCs w:val="24"/>
                <w:lang w:val="en-GB"/>
              </w:rPr>
              <w:t xml:space="preserve"> nilai kepemilikan port</w:t>
            </w:r>
            <w:r w:rsidR="006132E9" w:rsidRPr="00306115">
              <w:rPr>
                <w:rFonts w:eastAsia="Bookman Old Style" w:cs="Bookman Old Style"/>
                <w:color w:val="000000" w:themeColor="text1"/>
                <w:szCs w:val="24"/>
                <w:lang w:val="en-GB"/>
              </w:rPr>
              <w:t>o</w:t>
            </w:r>
            <w:r w:rsidRPr="00306115">
              <w:rPr>
                <w:rFonts w:eastAsia="Bookman Old Style" w:cs="Bookman Old Style"/>
                <w:color w:val="000000" w:themeColor="text1"/>
                <w:szCs w:val="24"/>
                <w:lang w:val="en-GB"/>
              </w:rPr>
              <w:t>folio</w:t>
            </w:r>
            <w:bookmarkEnd w:id="1"/>
          </w:p>
        </w:tc>
        <w:tc>
          <w:tcPr>
            <w:tcW w:w="2551" w:type="dxa"/>
          </w:tcPr>
          <w:p w14:paraId="2331573D" w14:textId="434CFACC" w:rsidR="00584CA4" w:rsidRPr="00306115" w:rsidRDefault="00584CA4" w:rsidP="00584CA4">
            <w:pPr>
              <w:widowControl w:val="0"/>
              <w:pBdr>
                <w:top w:val="nil"/>
                <w:left w:val="nil"/>
                <w:bottom w:val="nil"/>
                <w:right w:val="nil"/>
                <w:between w:val="nil"/>
              </w:pBdr>
              <w:spacing w:after="0" w:line="240" w:lineRule="auto"/>
              <w:rPr>
                <w:rFonts w:eastAsia="Bookman Old Style" w:cs="Bookman Old Style"/>
                <w:strike/>
                <w:color w:val="000000" w:themeColor="text1"/>
                <w:szCs w:val="24"/>
              </w:rPr>
            </w:pPr>
            <w:r w:rsidRPr="00306115">
              <w:rPr>
                <w:rFonts w:eastAsia="Bookman Old Style" w:cs="Bookman Old Style"/>
                <w:color w:val="000000" w:themeColor="text1"/>
                <w:szCs w:val="24"/>
                <w:lang w:val="en-GB"/>
              </w:rPr>
              <w:t xml:space="preserve">Semua reksadana </w:t>
            </w:r>
            <w:r w:rsidRPr="00306115">
              <w:rPr>
                <w:rFonts w:eastAsia="Bookman Old Style" w:cs="Bookman Old Style"/>
                <w:i/>
                <w:iCs/>
                <w:color w:val="000000" w:themeColor="text1"/>
                <w:szCs w:val="24"/>
                <w:lang w:val="en-GB"/>
              </w:rPr>
              <w:t>open-end</w:t>
            </w:r>
          </w:p>
        </w:tc>
        <w:tc>
          <w:tcPr>
            <w:tcW w:w="8930" w:type="dxa"/>
          </w:tcPr>
          <w:p w14:paraId="5ABF007B" w14:textId="24E645B6" w:rsidR="00EB5128" w:rsidRPr="00306115" w:rsidRDefault="00584CA4">
            <w:pPr>
              <w:pStyle w:val="ListParagraph"/>
              <w:widowControl w:val="0"/>
              <w:numPr>
                <w:ilvl w:val="0"/>
                <w:numId w:val="445"/>
              </w:numPr>
              <w:pBdr>
                <w:top w:val="nil"/>
                <w:left w:val="nil"/>
                <w:bottom w:val="nil"/>
                <w:right w:val="nil"/>
                <w:between w:val="nil"/>
              </w:pBdr>
              <w:tabs>
                <w:tab w:val="left" w:pos="1027"/>
              </w:tabs>
              <w:spacing w:after="0" w:line="240" w:lineRule="auto"/>
              <w:ind w:left="567" w:hanging="567"/>
              <w:contextualSpacing w:val="0"/>
              <w:rPr>
                <w:rFonts w:eastAsia="Bookman Old Style" w:cs="Bookman Old Style"/>
                <w:color w:val="000000" w:themeColor="text1"/>
                <w:szCs w:val="24"/>
                <w:lang w:val="en-GB"/>
              </w:rPr>
            </w:pPr>
            <w:r w:rsidRPr="00306115">
              <w:rPr>
                <w:rFonts w:eastAsia="Bookman Old Style" w:cs="Bookman Old Style"/>
                <w:color w:val="000000" w:themeColor="text1"/>
                <w:szCs w:val="24"/>
              </w:rPr>
              <w:t>Indikator ini mengukur besarnya potongan nilai (</w:t>
            </w:r>
            <w:r w:rsidR="00BA040B" w:rsidRPr="00306115">
              <w:rPr>
                <w:rFonts w:eastAsia="Bookman Old Style" w:cs="Bookman Old Style"/>
                <w:i/>
                <w:iCs/>
                <w:color w:val="000000" w:themeColor="text1"/>
                <w:szCs w:val="24"/>
              </w:rPr>
              <w:t>haircut</w:t>
            </w:r>
            <w:r w:rsidRPr="00306115">
              <w:rPr>
                <w:rFonts w:eastAsia="Bookman Old Style" w:cs="Bookman Old Style"/>
                <w:color w:val="000000" w:themeColor="text1"/>
                <w:szCs w:val="24"/>
              </w:rPr>
              <w:t xml:space="preserve">) terhadap Efek dalam portofolio Produk Investasi dibandingkan dengan rata-rata nilai pasar wajar Efek tersebut pada periode yang sama. </w:t>
            </w:r>
          </w:p>
          <w:p w14:paraId="75A39331" w14:textId="5EF71CE3" w:rsidR="00EB5128" w:rsidRPr="00306115" w:rsidRDefault="00584CA4">
            <w:pPr>
              <w:pStyle w:val="ListParagraph"/>
              <w:widowControl w:val="0"/>
              <w:numPr>
                <w:ilvl w:val="0"/>
                <w:numId w:val="445"/>
              </w:numPr>
              <w:pBdr>
                <w:top w:val="nil"/>
                <w:left w:val="nil"/>
                <w:bottom w:val="nil"/>
                <w:right w:val="nil"/>
                <w:between w:val="nil"/>
              </w:pBdr>
              <w:tabs>
                <w:tab w:val="left" w:pos="1027"/>
              </w:tabs>
              <w:spacing w:after="0" w:line="240" w:lineRule="auto"/>
              <w:ind w:left="567" w:hanging="567"/>
              <w:contextualSpacing w:val="0"/>
              <w:rPr>
                <w:rFonts w:eastAsia="Bookman Old Style" w:cs="Bookman Old Style"/>
                <w:color w:val="000000" w:themeColor="text1"/>
                <w:szCs w:val="24"/>
                <w:lang w:val="en-GB"/>
              </w:rPr>
            </w:pPr>
            <w:r w:rsidRPr="00306115">
              <w:rPr>
                <w:rFonts w:eastAsia="Bookman Old Style" w:cs="Bookman Old Style"/>
                <w:color w:val="000000" w:themeColor="text1"/>
                <w:szCs w:val="24"/>
              </w:rPr>
              <w:t xml:space="preserve">Nilai </w:t>
            </w:r>
            <w:r w:rsidR="00BA040B" w:rsidRPr="00306115">
              <w:rPr>
                <w:rFonts w:eastAsia="Bookman Old Style" w:cs="Bookman Old Style"/>
                <w:i/>
                <w:iCs/>
                <w:color w:val="000000" w:themeColor="text1"/>
                <w:szCs w:val="24"/>
              </w:rPr>
              <w:t>haircut</w:t>
            </w:r>
            <w:r w:rsidRPr="00306115">
              <w:rPr>
                <w:rFonts w:eastAsia="Bookman Old Style" w:cs="Bookman Old Style"/>
                <w:color w:val="000000" w:themeColor="text1"/>
                <w:szCs w:val="24"/>
              </w:rPr>
              <w:t xml:space="preserve"> mencerminkan seberapa besar potensi penurunan nilai yang akan terjadi apabila Efek tersebut harus dicairkan/dilikuidasi dalam waktu singkat. Hal tersebut menggambarkan kualitas likuiditas portofolio Produk Investasi.</w:t>
            </w:r>
          </w:p>
          <w:p w14:paraId="06A37BE2" w14:textId="5425DF9C" w:rsidR="00584CA4" w:rsidRPr="00306115" w:rsidRDefault="00584CA4">
            <w:pPr>
              <w:pStyle w:val="ListParagraph"/>
              <w:widowControl w:val="0"/>
              <w:numPr>
                <w:ilvl w:val="0"/>
                <w:numId w:val="445"/>
              </w:numPr>
              <w:pBdr>
                <w:top w:val="nil"/>
                <w:left w:val="nil"/>
                <w:bottom w:val="nil"/>
                <w:right w:val="nil"/>
                <w:between w:val="nil"/>
              </w:pBdr>
              <w:tabs>
                <w:tab w:val="left" w:pos="1027"/>
              </w:tabs>
              <w:spacing w:after="0" w:line="240" w:lineRule="auto"/>
              <w:ind w:left="567" w:hanging="567"/>
              <w:contextualSpacing w:val="0"/>
              <w:rPr>
                <w:rFonts w:eastAsia="Bookman Old Style" w:cs="Bookman Old Style"/>
                <w:color w:val="000000" w:themeColor="text1"/>
                <w:szCs w:val="24"/>
                <w:lang w:val="en-GB"/>
              </w:rPr>
            </w:pPr>
            <w:r w:rsidRPr="00306115">
              <w:rPr>
                <w:rFonts w:eastAsia="Bookman Old Style" w:cs="Bookman Old Style"/>
                <w:color w:val="000000" w:themeColor="text1"/>
                <w:szCs w:val="24"/>
              </w:rPr>
              <w:t xml:space="preserve">Perhitungan dilakukan dengan membandingkan rata-rata nilai </w:t>
            </w:r>
            <w:r w:rsidR="00BA040B" w:rsidRPr="00306115">
              <w:rPr>
                <w:rFonts w:eastAsia="Bookman Old Style" w:cs="Bookman Old Style"/>
                <w:i/>
                <w:iCs/>
                <w:color w:val="000000" w:themeColor="text1"/>
                <w:szCs w:val="24"/>
              </w:rPr>
              <w:t>haircut</w:t>
            </w:r>
            <w:r w:rsidRPr="00306115">
              <w:rPr>
                <w:rFonts w:eastAsia="Bookman Old Style" w:cs="Bookman Old Style"/>
                <w:color w:val="000000" w:themeColor="text1"/>
                <w:szCs w:val="24"/>
                <w:lang w:val="en-GB"/>
              </w:rPr>
              <w:t xml:space="preserve"> harian </w:t>
            </w:r>
            <w:r w:rsidRPr="00306115">
              <w:rPr>
                <w:rFonts w:eastAsia="Bookman Old Style" w:cs="Bookman Old Style"/>
                <w:color w:val="000000" w:themeColor="text1"/>
                <w:szCs w:val="24"/>
              </w:rPr>
              <w:t>yang dikenakan terhadap Efek dalam portofolio selama periode penilaian</w:t>
            </w:r>
            <w:r w:rsidRPr="00306115">
              <w:rPr>
                <w:rFonts w:eastAsia="Bookman Old Style" w:cs="Bookman Old Style"/>
                <w:color w:val="000000" w:themeColor="text1"/>
                <w:szCs w:val="24"/>
                <w:lang w:val="en-GB"/>
              </w:rPr>
              <w:t xml:space="preserve"> </w:t>
            </w:r>
            <w:r w:rsidRPr="00306115">
              <w:rPr>
                <w:rFonts w:eastAsia="Bookman Old Style" w:cs="Bookman Old Style"/>
                <w:color w:val="000000" w:themeColor="text1"/>
                <w:szCs w:val="24"/>
              </w:rPr>
              <w:t>dengan rata-rata nilai pasar wajar Efek tersebut pada periode yang sama. Nilai yang lebih tinggi menunjukkan bahwa portofolio Produk Investasi didominasi oleh Efek dengan tingkat likuiditas yang lebih rendah.</w:t>
            </w:r>
          </w:p>
          <w:p w14:paraId="48D45063" w14:textId="77777777" w:rsidR="00584CA4" w:rsidRPr="00306115" w:rsidRDefault="00DD3739" w:rsidP="00584CA4">
            <w:pPr>
              <w:pStyle w:val="ListParagraph"/>
              <w:widowControl w:val="0"/>
              <w:pBdr>
                <w:top w:val="nil"/>
                <w:left w:val="nil"/>
                <w:bottom w:val="nil"/>
                <w:right w:val="nil"/>
                <w:between w:val="nil"/>
              </w:pBdr>
              <w:tabs>
                <w:tab w:val="left" w:pos="735"/>
              </w:tabs>
              <w:spacing w:after="0" w:line="240" w:lineRule="auto"/>
              <w:ind w:left="0" w:firstLine="425"/>
              <w:contextualSpacing w:val="0"/>
              <w:rPr>
                <w:rFonts w:eastAsia="Bookman Old Style" w:cs="Bookman Old Style"/>
                <w:color w:val="000000" w:themeColor="text1"/>
                <w:szCs w:val="24"/>
                <w:lang w:val="en-ID"/>
              </w:rPr>
            </w:pPr>
            <m:oMathPara>
              <m:oMath>
                <m:f>
                  <m:fPr>
                    <m:ctrlPr>
                      <w:rPr>
                        <w:rFonts w:ascii="Cambria Math" w:hAnsi="Cambria Math"/>
                        <w:i/>
                        <w:color w:val="000000" w:themeColor="text1"/>
                        <w:kern w:val="2"/>
                        <w:szCs w:val="24"/>
                        <w:lang w:val="en-ID"/>
                        <w14:ligatures w14:val="standardContextual"/>
                      </w:rPr>
                    </m:ctrlPr>
                  </m:fPr>
                  <m:num>
                    <m:r>
                      <w:rPr>
                        <w:rFonts w:ascii="Cambria Math" w:hAnsi="Cambria Math"/>
                        <w:color w:val="000000" w:themeColor="text1"/>
                        <w:szCs w:val="24"/>
                      </w:rPr>
                      <m:t>Rata</m:t>
                    </m:r>
                    <m:r>
                      <w:rPr>
                        <w:rFonts w:ascii="Cambria Math" w:hAnsi="Cambria Math"/>
                        <w:color w:val="000000" w:themeColor="text1"/>
                        <w:szCs w:val="24"/>
                      </w:rPr>
                      <m:t>-</m:t>
                    </m:r>
                    <m:r>
                      <w:rPr>
                        <w:rFonts w:ascii="Cambria Math" w:hAnsi="Cambria Math"/>
                        <w:color w:val="000000" w:themeColor="text1"/>
                        <w:szCs w:val="24"/>
                      </w:rPr>
                      <m:t>Rata</m:t>
                    </m:r>
                    <m:r>
                      <w:rPr>
                        <w:rFonts w:ascii="Cambria Math" w:hAnsi="Cambria Math"/>
                        <w:color w:val="000000" w:themeColor="text1"/>
                        <w:szCs w:val="24"/>
                      </w:rPr>
                      <m:t xml:space="preserve"> </m:t>
                    </m:r>
                    <m:r>
                      <w:rPr>
                        <w:rFonts w:ascii="Cambria Math" w:hAnsi="Cambria Math"/>
                        <w:color w:val="000000" w:themeColor="text1"/>
                        <w:szCs w:val="24"/>
                      </w:rPr>
                      <m:t>Nilai</m:t>
                    </m:r>
                    <m:r>
                      <w:rPr>
                        <w:rFonts w:ascii="Cambria Math" w:hAnsi="Cambria Math"/>
                        <w:color w:val="000000" w:themeColor="text1"/>
                        <w:szCs w:val="24"/>
                      </w:rPr>
                      <m:t xml:space="preserve"> </m:t>
                    </m:r>
                    <m:r>
                      <w:rPr>
                        <w:rFonts w:ascii="Cambria Math" w:hAnsi="Cambria Math"/>
                        <w:color w:val="000000" w:themeColor="text1"/>
                        <w:szCs w:val="24"/>
                      </w:rPr>
                      <m:t>Haircut</m:t>
                    </m:r>
                  </m:num>
                  <m:den>
                    <m:r>
                      <w:rPr>
                        <w:rFonts w:ascii="Cambria Math" w:hAnsi="Cambria Math"/>
                        <w:color w:val="000000" w:themeColor="text1"/>
                        <w:szCs w:val="24"/>
                      </w:rPr>
                      <m:t>Rata</m:t>
                    </m:r>
                    <m:r>
                      <w:rPr>
                        <w:rFonts w:ascii="Cambria Math" w:hAnsi="Cambria Math"/>
                        <w:color w:val="000000" w:themeColor="text1"/>
                        <w:szCs w:val="24"/>
                      </w:rPr>
                      <m:t>-</m:t>
                    </m:r>
                    <m:r>
                      <w:rPr>
                        <w:rFonts w:ascii="Cambria Math" w:hAnsi="Cambria Math"/>
                        <w:color w:val="000000" w:themeColor="text1"/>
                        <w:szCs w:val="24"/>
                      </w:rPr>
                      <m:t>Rata</m:t>
                    </m:r>
                    <m:r>
                      <w:rPr>
                        <w:rFonts w:ascii="Cambria Math" w:hAnsi="Cambria Math"/>
                        <w:color w:val="000000" w:themeColor="text1"/>
                        <w:szCs w:val="24"/>
                      </w:rPr>
                      <m:t xml:space="preserve"> </m:t>
                    </m:r>
                    <m:r>
                      <w:rPr>
                        <w:rFonts w:ascii="Cambria Math" w:hAnsi="Cambria Math"/>
                        <w:color w:val="000000" w:themeColor="text1"/>
                        <w:szCs w:val="24"/>
                      </w:rPr>
                      <m:t>Nilai</m:t>
                    </m:r>
                    <m:r>
                      <w:rPr>
                        <w:rFonts w:ascii="Cambria Math" w:hAnsi="Cambria Math"/>
                        <w:color w:val="000000" w:themeColor="text1"/>
                        <w:szCs w:val="24"/>
                      </w:rPr>
                      <m:t xml:space="preserve"> </m:t>
                    </m:r>
                    <m:r>
                      <w:rPr>
                        <w:rFonts w:ascii="Cambria Math" w:hAnsi="Cambria Math"/>
                        <w:color w:val="000000" w:themeColor="text1"/>
                        <w:szCs w:val="24"/>
                      </w:rPr>
                      <m:t>Pasar</m:t>
                    </m:r>
                    <m:r>
                      <w:rPr>
                        <w:rFonts w:ascii="Cambria Math" w:hAnsi="Cambria Math"/>
                        <w:color w:val="000000" w:themeColor="text1"/>
                        <w:szCs w:val="24"/>
                      </w:rPr>
                      <m:t xml:space="preserve"> </m:t>
                    </m:r>
                    <m:r>
                      <w:rPr>
                        <w:rFonts w:ascii="Cambria Math" w:hAnsi="Cambria Math"/>
                        <w:color w:val="000000" w:themeColor="text1"/>
                        <w:szCs w:val="24"/>
                      </w:rPr>
                      <m:t>Wajar</m:t>
                    </m:r>
                  </m:den>
                </m:f>
              </m:oMath>
            </m:oMathPara>
          </w:p>
          <w:p w14:paraId="141CC427" w14:textId="77777777" w:rsidR="00584CA4" w:rsidRPr="00306115" w:rsidRDefault="00584CA4">
            <w:pPr>
              <w:pStyle w:val="ListParagraph"/>
              <w:widowControl w:val="0"/>
              <w:numPr>
                <w:ilvl w:val="0"/>
                <w:numId w:val="445"/>
              </w:numPr>
              <w:pBdr>
                <w:top w:val="nil"/>
                <w:left w:val="nil"/>
                <w:bottom w:val="nil"/>
                <w:right w:val="nil"/>
                <w:between w:val="nil"/>
              </w:pBdr>
              <w:tabs>
                <w:tab w:val="left" w:pos="1027"/>
              </w:tabs>
              <w:spacing w:before="120" w:after="0" w:line="240" w:lineRule="auto"/>
              <w:ind w:left="567" w:hanging="567"/>
              <w:contextualSpacing w:val="0"/>
              <w:rPr>
                <w:rFonts w:eastAsia="Bookman Old Style" w:cs="Bookman Old Style"/>
                <w:color w:val="000000" w:themeColor="text1"/>
                <w:szCs w:val="24"/>
                <w:lang w:val="en-GB"/>
              </w:rPr>
            </w:pPr>
            <w:r w:rsidRPr="00306115">
              <w:rPr>
                <w:rFonts w:eastAsia="Bookman Old Style" w:cs="Bookman Old Style"/>
                <w:color w:val="000000" w:themeColor="text1"/>
                <w:szCs w:val="24"/>
              </w:rPr>
              <w:t>Penilaian</w:t>
            </w:r>
            <w:r w:rsidRPr="00306115">
              <w:rPr>
                <w:rFonts w:eastAsia="Bookman Old Style" w:cs="Bookman Old Style"/>
                <w:color w:val="000000" w:themeColor="text1"/>
                <w:szCs w:val="24"/>
                <w:lang w:val="en-ID"/>
              </w:rPr>
              <w:t xml:space="preserve"> indikator dilakukan dengan klasifikasi sebagai berikut:</w:t>
            </w:r>
          </w:p>
          <w:p w14:paraId="2E9DCC02" w14:textId="77777777" w:rsidR="00584CA4" w:rsidRPr="00306115" w:rsidRDefault="00584CA4">
            <w:pPr>
              <w:pStyle w:val="ListParagraph"/>
              <w:widowControl w:val="0"/>
              <w:numPr>
                <w:ilvl w:val="0"/>
                <w:numId w:val="446"/>
              </w:numPr>
              <w:pBdr>
                <w:top w:val="nil"/>
                <w:left w:val="nil"/>
                <w:bottom w:val="nil"/>
                <w:right w:val="nil"/>
                <w:between w:val="nil"/>
              </w:pBdr>
              <w:tabs>
                <w:tab w:val="left" w:pos="391"/>
              </w:tabs>
              <w:spacing w:after="0" w:line="240" w:lineRule="auto"/>
              <w:ind w:left="851" w:hanging="284"/>
              <w:contextualSpacing w:val="0"/>
              <w:rPr>
                <w:rFonts w:eastAsia="Bookman Old Style" w:cs="Bookman Old Style"/>
                <w:color w:val="000000" w:themeColor="text1"/>
                <w:szCs w:val="24"/>
                <w:lang w:val="en-GB"/>
              </w:rPr>
            </w:pPr>
            <w:r w:rsidRPr="00306115">
              <w:rPr>
                <w:rFonts w:eastAsia="Bookman Old Style" w:cs="Bookman Old Style"/>
                <w:color w:val="000000" w:themeColor="text1"/>
                <w:szCs w:val="24"/>
                <w:lang w:val="en-GB"/>
              </w:rPr>
              <w:t>Peringkat 1: &lt;25%</w:t>
            </w:r>
          </w:p>
          <w:p w14:paraId="76A83945" w14:textId="77777777" w:rsidR="00584CA4" w:rsidRPr="00306115" w:rsidRDefault="00584CA4">
            <w:pPr>
              <w:pStyle w:val="ListParagraph"/>
              <w:widowControl w:val="0"/>
              <w:numPr>
                <w:ilvl w:val="0"/>
                <w:numId w:val="446"/>
              </w:numPr>
              <w:pBdr>
                <w:top w:val="nil"/>
                <w:left w:val="nil"/>
                <w:bottom w:val="nil"/>
                <w:right w:val="nil"/>
                <w:between w:val="nil"/>
              </w:pBdr>
              <w:tabs>
                <w:tab w:val="left" w:pos="391"/>
              </w:tabs>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 xml:space="preserve">Peringkat 2: </w:t>
            </w:r>
            <w:r w:rsidRPr="00306115">
              <w:rPr>
                <w:rFonts w:eastAsia="Bookman Old Style" w:cs="Bookman Old Style"/>
                <w:color w:val="000000" w:themeColor="text1"/>
                <w:szCs w:val="24"/>
              </w:rPr>
              <w:t>25% - 47,95%</w:t>
            </w:r>
          </w:p>
          <w:p w14:paraId="2EAA1663" w14:textId="77777777" w:rsidR="00584CA4" w:rsidRPr="00306115" w:rsidRDefault="00584CA4">
            <w:pPr>
              <w:pStyle w:val="ListParagraph"/>
              <w:widowControl w:val="0"/>
              <w:numPr>
                <w:ilvl w:val="0"/>
                <w:numId w:val="446"/>
              </w:numPr>
              <w:pBdr>
                <w:top w:val="nil"/>
                <w:left w:val="nil"/>
                <w:bottom w:val="nil"/>
                <w:right w:val="nil"/>
                <w:between w:val="nil"/>
              </w:pBdr>
              <w:tabs>
                <w:tab w:val="left" w:pos="391"/>
              </w:tabs>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 xml:space="preserve">Peringkat 3: </w:t>
            </w:r>
            <w:r w:rsidRPr="00306115">
              <w:rPr>
                <w:rFonts w:eastAsia="Bookman Old Style" w:cs="Bookman Old Style"/>
                <w:color w:val="000000" w:themeColor="text1"/>
                <w:szCs w:val="24"/>
              </w:rPr>
              <w:t>47,95% - 55,90%</w:t>
            </w:r>
          </w:p>
          <w:p w14:paraId="4E29936E" w14:textId="77777777" w:rsidR="00584CA4" w:rsidRPr="00306115" w:rsidRDefault="00584CA4">
            <w:pPr>
              <w:pStyle w:val="ListParagraph"/>
              <w:widowControl w:val="0"/>
              <w:numPr>
                <w:ilvl w:val="0"/>
                <w:numId w:val="446"/>
              </w:numPr>
              <w:pBdr>
                <w:top w:val="nil"/>
                <w:left w:val="nil"/>
                <w:bottom w:val="nil"/>
                <w:right w:val="nil"/>
                <w:between w:val="nil"/>
              </w:pBdr>
              <w:tabs>
                <w:tab w:val="left" w:pos="391"/>
              </w:tabs>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 4: 55,90</w:t>
            </w:r>
            <w:r w:rsidRPr="00306115">
              <w:rPr>
                <w:rFonts w:eastAsia="Bookman Old Style" w:cs="Bookman Old Style"/>
                <w:color w:val="000000" w:themeColor="text1"/>
                <w:szCs w:val="24"/>
              </w:rPr>
              <w:t>% - 5</w:t>
            </w:r>
            <w:r w:rsidRPr="00306115">
              <w:rPr>
                <w:rFonts w:eastAsia="Bookman Old Style" w:cs="Bookman Old Style"/>
                <w:color w:val="000000" w:themeColor="text1"/>
                <w:szCs w:val="24"/>
                <w:lang w:val="en-GB"/>
              </w:rPr>
              <w:t>9</w:t>
            </w:r>
            <w:r w:rsidRPr="00306115">
              <w:rPr>
                <w:rFonts w:eastAsia="Bookman Old Style" w:cs="Bookman Old Style"/>
                <w:color w:val="000000" w:themeColor="text1"/>
                <w:szCs w:val="24"/>
              </w:rPr>
              <w:t>,</w:t>
            </w:r>
            <w:r w:rsidRPr="00306115">
              <w:rPr>
                <w:rFonts w:eastAsia="Bookman Old Style" w:cs="Bookman Old Style"/>
                <w:color w:val="000000" w:themeColor="text1"/>
                <w:szCs w:val="24"/>
                <w:lang w:val="en-GB"/>
              </w:rPr>
              <w:t>88</w:t>
            </w:r>
            <w:r w:rsidRPr="00306115">
              <w:rPr>
                <w:rFonts w:eastAsia="Bookman Old Style" w:cs="Bookman Old Style"/>
                <w:color w:val="000000" w:themeColor="text1"/>
                <w:szCs w:val="24"/>
              </w:rPr>
              <w:t>%</w:t>
            </w:r>
          </w:p>
          <w:p w14:paraId="36EC9301" w14:textId="2C09B708" w:rsidR="00584CA4" w:rsidRPr="00306115" w:rsidRDefault="00584CA4">
            <w:pPr>
              <w:pStyle w:val="ListParagraph"/>
              <w:widowControl w:val="0"/>
              <w:numPr>
                <w:ilvl w:val="0"/>
                <w:numId w:val="446"/>
              </w:numPr>
              <w:pBdr>
                <w:top w:val="nil"/>
                <w:left w:val="nil"/>
                <w:bottom w:val="nil"/>
                <w:right w:val="nil"/>
                <w:between w:val="nil"/>
              </w:pBdr>
              <w:tabs>
                <w:tab w:val="left" w:pos="391"/>
              </w:tabs>
              <w:spacing w:after="0" w:line="240" w:lineRule="auto"/>
              <w:ind w:left="851" w:hanging="284"/>
              <w:contextualSpacing w:val="0"/>
              <w:rPr>
                <w:rFonts w:eastAsia="Bookman Old Style" w:cs="Bookman Old Style"/>
                <w:strike/>
                <w:color w:val="000000" w:themeColor="text1"/>
                <w:szCs w:val="24"/>
              </w:rPr>
            </w:pPr>
            <w:r w:rsidRPr="00306115">
              <w:rPr>
                <w:rFonts w:eastAsia="Bookman Old Style" w:cs="Bookman Old Style"/>
                <w:color w:val="000000" w:themeColor="text1"/>
                <w:szCs w:val="24"/>
                <w:lang w:val="en-GB"/>
              </w:rPr>
              <w:t xml:space="preserve">Peringkat 5: </w:t>
            </w:r>
            <w:r w:rsidRPr="00306115">
              <w:rPr>
                <w:rFonts w:eastAsia="Bookman Old Style" w:cs="Bookman Old Style"/>
                <w:color w:val="000000" w:themeColor="text1"/>
                <w:szCs w:val="24"/>
              </w:rPr>
              <w:t>&gt;59,88%</w:t>
            </w:r>
          </w:p>
        </w:tc>
      </w:tr>
      <w:tr w:rsidR="007D3FB2" w:rsidRPr="00306115" w14:paraId="4DE6147D" w14:textId="77777777" w:rsidTr="00F51C9E">
        <w:trPr>
          <w:trHeight w:val="379"/>
        </w:trPr>
        <w:tc>
          <w:tcPr>
            <w:tcW w:w="14742" w:type="dxa"/>
            <w:gridSpan w:val="4"/>
            <w:shd w:val="clear" w:color="auto" w:fill="D0CECE"/>
          </w:tcPr>
          <w:p w14:paraId="2F82F462" w14:textId="77777777" w:rsidR="007D3FB2" w:rsidRPr="00306115" w:rsidRDefault="007D3FB2">
            <w:pPr>
              <w:widowControl w:val="0"/>
              <w:numPr>
                <w:ilvl w:val="0"/>
                <w:numId w:val="275"/>
              </w:numPr>
              <w:pBdr>
                <w:top w:val="nil"/>
                <w:left w:val="nil"/>
                <w:bottom w:val="nil"/>
                <w:right w:val="nil"/>
                <w:between w:val="nil"/>
              </w:pBdr>
              <w:spacing w:before="97" w:after="0" w:line="297" w:lineRule="auto"/>
              <w:ind w:left="578" w:right="80"/>
              <w:rPr>
                <w:rFonts w:eastAsia="Bookman Old Style" w:cs="Bookman Old Style"/>
                <w:b/>
                <w:bCs/>
                <w:color w:val="000000" w:themeColor="text1"/>
                <w:szCs w:val="24"/>
              </w:rPr>
            </w:pPr>
            <w:r w:rsidRPr="00306115">
              <w:rPr>
                <w:rFonts w:eastAsia="Bookman Old Style" w:cs="Bookman Old Style"/>
                <w:b/>
                <w:bCs/>
                <w:color w:val="000000" w:themeColor="text1"/>
                <w:szCs w:val="24"/>
              </w:rPr>
              <w:lastRenderedPageBreak/>
              <w:t>Kualitas Penerapan Manajemen Risiko</w:t>
            </w:r>
          </w:p>
        </w:tc>
      </w:tr>
      <w:tr w:rsidR="007D3FB2" w:rsidRPr="00306115" w14:paraId="250B134A" w14:textId="77777777" w:rsidTr="009C3F5B">
        <w:trPr>
          <w:trHeight w:val="379"/>
        </w:trPr>
        <w:tc>
          <w:tcPr>
            <w:tcW w:w="1276" w:type="dxa"/>
          </w:tcPr>
          <w:p w14:paraId="0EACE4CB" w14:textId="77777777" w:rsidR="007D3FB2" w:rsidRPr="00306115" w:rsidRDefault="007D3FB2">
            <w:pPr>
              <w:widowControl w:val="0"/>
              <w:numPr>
                <w:ilvl w:val="2"/>
                <w:numId w:val="276"/>
              </w:numPr>
              <w:pBdr>
                <w:top w:val="nil"/>
                <w:left w:val="nil"/>
                <w:bottom w:val="nil"/>
                <w:right w:val="nil"/>
                <w:between w:val="nil"/>
              </w:pBdr>
              <w:spacing w:before="97" w:after="0" w:line="298" w:lineRule="auto"/>
              <w:ind w:left="468" w:firstLine="0"/>
              <w:jc w:val="left"/>
              <w:rPr>
                <w:rFonts w:eastAsia="Bookman Old Style" w:cs="Bookman Old Style"/>
                <w:b/>
                <w:bCs/>
                <w:color w:val="000000" w:themeColor="text1"/>
                <w:szCs w:val="24"/>
              </w:rPr>
            </w:pPr>
          </w:p>
        </w:tc>
        <w:tc>
          <w:tcPr>
            <w:tcW w:w="13466" w:type="dxa"/>
            <w:gridSpan w:val="3"/>
          </w:tcPr>
          <w:p w14:paraId="19D1EA02" w14:textId="701947E5" w:rsidR="007D3FB2" w:rsidRPr="00306115" w:rsidRDefault="007D3FB2" w:rsidP="002E0432">
            <w:pPr>
              <w:widowControl w:val="0"/>
              <w:pBdr>
                <w:top w:val="nil"/>
                <w:left w:val="nil"/>
                <w:bottom w:val="nil"/>
                <w:right w:val="nil"/>
                <w:between w:val="nil"/>
              </w:pBdr>
              <w:spacing w:before="60" w:after="6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Tata kelola risiko (</w:t>
            </w:r>
            <w:r w:rsidRPr="00306115">
              <w:rPr>
                <w:rFonts w:eastAsia="Bookman Old Style" w:cs="Bookman Old Style"/>
                <w:i/>
                <w:iCs/>
                <w:color w:val="000000" w:themeColor="text1"/>
                <w:szCs w:val="24"/>
              </w:rPr>
              <w:t>risk governance</w:t>
            </w:r>
            <w:r w:rsidRPr="00306115">
              <w:rPr>
                <w:rFonts w:eastAsia="Bookman Old Style" w:cs="Bookman Old Style"/>
                <w:color w:val="000000" w:themeColor="text1"/>
                <w:szCs w:val="24"/>
              </w:rPr>
              <w:t xml:space="preserve">) mencakup evaluasi terhadap: (i) perumusan tingkat </w:t>
            </w:r>
            <w:r w:rsidR="000642E7" w:rsidRPr="00306115">
              <w:rPr>
                <w:rFonts w:eastAsia="Bookman Old Style" w:cs="Bookman Old Style"/>
                <w:color w:val="000000" w:themeColor="text1"/>
                <w:szCs w:val="24"/>
              </w:rPr>
              <w:t>r</w:t>
            </w:r>
            <w:r w:rsidRPr="00306115">
              <w:rPr>
                <w:rFonts w:eastAsia="Bookman Old Style" w:cs="Bookman Old Style"/>
                <w:color w:val="000000" w:themeColor="text1"/>
                <w:szCs w:val="24"/>
              </w:rPr>
              <w:t>isiko yang akan diambil (</w:t>
            </w:r>
            <w:r w:rsidRPr="00306115">
              <w:rPr>
                <w:rFonts w:eastAsia="Bookman Old Style" w:cs="Bookman Old Style"/>
                <w:i/>
                <w:iCs/>
                <w:color w:val="000000" w:themeColor="text1"/>
                <w:szCs w:val="24"/>
              </w:rPr>
              <w:t>risk appetite</w:t>
            </w:r>
            <w:r w:rsidRPr="00306115">
              <w:rPr>
                <w:rFonts w:eastAsia="Bookman Old Style" w:cs="Bookman Old Style"/>
                <w:color w:val="000000" w:themeColor="text1"/>
                <w:szCs w:val="24"/>
              </w:rPr>
              <w:t xml:space="preserve">) dan toleransi </w:t>
            </w:r>
            <w:r w:rsidR="000642E7" w:rsidRPr="00306115">
              <w:rPr>
                <w:rFonts w:eastAsia="Bookman Old Style" w:cs="Bookman Old Style"/>
                <w:color w:val="000000" w:themeColor="text1"/>
                <w:szCs w:val="24"/>
              </w:rPr>
              <w:t xml:space="preserve">risiko </w:t>
            </w:r>
            <w:r w:rsidRPr="00306115">
              <w:rPr>
                <w:rFonts w:eastAsia="Bookman Old Style" w:cs="Bookman Old Style"/>
                <w:color w:val="000000" w:themeColor="text1"/>
                <w:szCs w:val="24"/>
              </w:rPr>
              <w:t>(</w:t>
            </w:r>
            <w:r w:rsidRPr="00306115">
              <w:rPr>
                <w:rFonts w:eastAsia="Bookman Old Style" w:cs="Bookman Old Style"/>
                <w:i/>
                <w:iCs/>
                <w:color w:val="000000" w:themeColor="text1"/>
                <w:szCs w:val="24"/>
              </w:rPr>
              <w:t>risk tolerance</w:t>
            </w:r>
            <w:r w:rsidRPr="00306115">
              <w:rPr>
                <w:rFonts w:eastAsia="Bookman Old Style" w:cs="Bookman Old Style"/>
                <w:color w:val="000000" w:themeColor="text1"/>
                <w:szCs w:val="24"/>
              </w:rPr>
              <w:t>) dan (ii) kecukupan pengawasan aktif oleh Direksi dan Dewan Komisaris termasuk pelaksanaan kewenangan dan tanggung jawab Direksi dan Dewan Komisaris.</w:t>
            </w:r>
          </w:p>
        </w:tc>
      </w:tr>
      <w:tr w:rsidR="007D3FB2" w:rsidRPr="00306115" w14:paraId="59F054D8" w14:textId="77777777" w:rsidTr="009C3F5B">
        <w:trPr>
          <w:trHeight w:val="379"/>
        </w:trPr>
        <w:tc>
          <w:tcPr>
            <w:tcW w:w="1276" w:type="dxa"/>
          </w:tcPr>
          <w:p w14:paraId="34EFB914" w14:textId="77777777" w:rsidR="007D3FB2" w:rsidRPr="00306115" w:rsidRDefault="007D3FB2">
            <w:pPr>
              <w:widowControl w:val="0"/>
              <w:numPr>
                <w:ilvl w:val="2"/>
                <w:numId w:val="276"/>
              </w:numPr>
              <w:pBdr>
                <w:top w:val="nil"/>
                <w:left w:val="nil"/>
                <w:bottom w:val="nil"/>
                <w:right w:val="nil"/>
                <w:between w:val="nil"/>
              </w:pBdr>
              <w:spacing w:before="97" w:after="0" w:line="298" w:lineRule="auto"/>
              <w:ind w:left="468" w:firstLine="0"/>
              <w:jc w:val="left"/>
              <w:rPr>
                <w:rFonts w:eastAsia="Bookman Old Style" w:cs="Bookman Old Style"/>
                <w:b/>
                <w:bCs/>
                <w:color w:val="000000" w:themeColor="text1"/>
                <w:szCs w:val="24"/>
              </w:rPr>
            </w:pPr>
          </w:p>
        </w:tc>
        <w:tc>
          <w:tcPr>
            <w:tcW w:w="13466" w:type="dxa"/>
            <w:gridSpan w:val="3"/>
          </w:tcPr>
          <w:p w14:paraId="6B9BFAC5" w14:textId="76EA8117" w:rsidR="007D3FB2" w:rsidRPr="00306115" w:rsidRDefault="007D3FB2" w:rsidP="002E0432">
            <w:pPr>
              <w:widowControl w:val="0"/>
              <w:pBdr>
                <w:top w:val="nil"/>
                <w:left w:val="nil"/>
                <w:bottom w:val="nil"/>
                <w:right w:val="nil"/>
                <w:between w:val="nil"/>
              </w:pBdr>
              <w:spacing w:before="60" w:after="6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 xml:space="preserve">Kerangka Manajemen Risiko mencakup evaluasi terhadap: (i) strategi Manajemen Risiko yang searah dengan tingkat </w:t>
            </w:r>
            <w:r w:rsidR="00D43DBD" w:rsidRPr="00306115">
              <w:rPr>
                <w:rFonts w:eastAsia="Bookman Old Style" w:cs="Bookman Old Style"/>
                <w:color w:val="000000" w:themeColor="text1"/>
                <w:szCs w:val="24"/>
              </w:rPr>
              <w:t xml:space="preserve">risiko </w:t>
            </w:r>
            <w:r w:rsidRPr="00306115">
              <w:rPr>
                <w:rFonts w:eastAsia="Bookman Old Style" w:cs="Bookman Old Style"/>
                <w:color w:val="000000" w:themeColor="text1"/>
                <w:szCs w:val="24"/>
              </w:rPr>
              <w:t xml:space="preserve">yang akan diambil dan toleransi Risiko; (ii) kecukupan perangkat organisasi dalam mendukung terlaksananya Manajemen Risiko secara efektif termasuk kejelasan wewenang dan tanggung jawab; dan (iii) kecukupan kebijakan dan prosedur Manajemen Risiko serta penetapan limit </w:t>
            </w:r>
            <w:r w:rsidR="00D43DBD" w:rsidRPr="00306115">
              <w:rPr>
                <w:rFonts w:eastAsia="Bookman Old Style" w:cs="Bookman Old Style"/>
                <w:color w:val="000000" w:themeColor="text1"/>
                <w:szCs w:val="24"/>
              </w:rPr>
              <w:t>risiko</w:t>
            </w:r>
            <w:r w:rsidRPr="00306115">
              <w:rPr>
                <w:rFonts w:eastAsia="Bookman Old Style" w:cs="Bookman Old Style"/>
                <w:color w:val="000000" w:themeColor="text1"/>
                <w:szCs w:val="24"/>
              </w:rPr>
              <w:t>.</w:t>
            </w:r>
          </w:p>
        </w:tc>
      </w:tr>
      <w:tr w:rsidR="007D3FB2" w:rsidRPr="00306115" w14:paraId="6F2FA2B0" w14:textId="77777777" w:rsidTr="009C3F5B">
        <w:trPr>
          <w:trHeight w:val="379"/>
        </w:trPr>
        <w:tc>
          <w:tcPr>
            <w:tcW w:w="1276" w:type="dxa"/>
          </w:tcPr>
          <w:p w14:paraId="73F3D747" w14:textId="77777777" w:rsidR="007D3FB2" w:rsidRPr="00306115" w:rsidRDefault="007D3FB2">
            <w:pPr>
              <w:widowControl w:val="0"/>
              <w:numPr>
                <w:ilvl w:val="2"/>
                <w:numId w:val="276"/>
              </w:numPr>
              <w:pBdr>
                <w:top w:val="nil"/>
                <w:left w:val="nil"/>
                <w:bottom w:val="nil"/>
                <w:right w:val="nil"/>
                <w:between w:val="nil"/>
              </w:pBdr>
              <w:spacing w:before="97" w:after="0" w:line="298" w:lineRule="auto"/>
              <w:ind w:left="468" w:firstLine="0"/>
              <w:jc w:val="left"/>
              <w:rPr>
                <w:rFonts w:eastAsia="Bookman Old Style" w:cs="Bookman Old Style"/>
                <w:b/>
                <w:bCs/>
                <w:color w:val="000000" w:themeColor="text1"/>
                <w:szCs w:val="24"/>
              </w:rPr>
            </w:pPr>
          </w:p>
        </w:tc>
        <w:tc>
          <w:tcPr>
            <w:tcW w:w="13466" w:type="dxa"/>
            <w:gridSpan w:val="3"/>
          </w:tcPr>
          <w:p w14:paraId="6C96C5D0" w14:textId="77777777" w:rsidR="007D3FB2" w:rsidRPr="00306115" w:rsidRDefault="007D3FB2" w:rsidP="002E0432">
            <w:pPr>
              <w:widowControl w:val="0"/>
              <w:pBdr>
                <w:top w:val="nil"/>
                <w:left w:val="nil"/>
                <w:bottom w:val="nil"/>
                <w:right w:val="nil"/>
                <w:between w:val="nil"/>
              </w:pBdr>
              <w:spacing w:before="60" w:after="6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Proses Manajemen Risiko, sistem informasi, dan sumber daya manusia mencakup evaluasi terhadap: (i) proses identifikasi, pengukuran, pemantauan, dan pengendalian Risiko; (ii) kecukupan sistem informasi Manajemen Risiko; dan (iii) kecukupan kuantitas dan kualitas sumber daya manusia dalam mendukung efektivitas proses Manajemen Risiko.</w:t>
            </w:r>
          </w:p>
        </w:tc>
      </w:tr>
      <w:tr w:rsidR="007D3FB2" w:rsidRPr="00306115" w14:paraId="05AD4EA1" w14:textId="77777777" w:rsidTr="009C3F5B">
        <w:trPr>
          <w:trHeight w:val="379"/>
        </w:trPr>
        <w:tc>
          <w:tcPr>
            <w:tcW w:w="1276" w:type="dxa"/>
          </w:tcPr>
          <w:p w14:paraId="118129F5" w14:textId="77777777" w:rsidR="007D3FB2" w:rsidRPr="00306115" w:rsidRDefault="007D3FB2">
            <w:pPr>
              <w:widowControl w:val="0"/>
              <w:numPr>
                <w:ilvl w:val="2"/>
                <w:numId w:val="276"/>
              </w:numPr>
              <w:pBdr>
                <w:top w:val="nil"/>
                <w:left w:val="nil"/>
                <w:bottom w:val="nil"/>
                <w:right w:val="nil"/>
                <w:between w:val="nil"/>
              </w:pBdr>
              <w:spacing w:before="97" w:after="0" w:line="298" w:lineRule="auto"/>
              <w:ind w:left="468" w:firstLine="0"/>
              <w:jc w:val="left"/>
              <w:rPr>
                <w:rFonts w:eastAsia="Bookman Old Style" w:cs="Bookman Old Style"/>
                <w:b/>
                <w:bCs/>
                <w:color w:val="000000" w:themeColor="text1"/>
                <w:szCs w:val="24"/>
              </w:rPr>
            </w:pPr>
          </w:p>
        </w:tc>
        <w:tc>
          <w:tcPr>
            <w:tcW w:w="13466" w:type="dxa"/>
            <w:gridSpan w:val="3"/>
          </w:tcPr>
          <w:p w14:paraId="233364C3" w14:textId="22E98871" w:rsidR="007D3FB2" w:rsidRPr="00306115" w:rsidRDefault="007D3FB2" w:rsidP="002E0432">
            <w:pPr>
              <w:widowControl w:val="0"/>
              <w:pBdr>
                <w:top w:val="nil"/>
                <w:left w:val="nil"/>
                <w:bottom w:val="nil"/>
                <w:right w:val="nil"/>
                <w:between w:val="nil"/>
              </w:pBdr>
              <w:spacing w:before="60" w:after="6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 xml:space="preserve">Sistem </w:t>
            </w:r>
            <w:r w:rsidR="00D43DBD" w:rsidRPr="00306115">
              <w:rPr>
                <w:rFonts w:eastAsia="Bookman Old Style" w:cs="Bookman Old Style"/>
                <w:color w:val="000000" w:themeColor="text1"/>
                <w:szCs w:val="24"/>
              </w:rPr>
              <w:t xml:space="preserve">pengendalian risiko </w:t>
            </w:r>
            <w:r w:rsidRPr="00306115">
              <w:rPr>
                <w:rFonts w:eastAsia="Bookman Old Style" w:cs="Bookman Old Style"/>
                <w:color w:val="000000" w:themeColor="text1"/>
                <w:szCs w:val="24"/>
              </w:rPr>
              <w:t xml:space="preserve">mencakup evaluasi terhadap: (i) kecukupan sistem pengendalian internal dan (ii) kecukupan kaji ulang oleh pihak independen dalam Manajer Investasi baik oleh fungsi </w:t>
            </w:r>
            <w:r w:rsidR="001008B5" w:rsidRPr="00306115">
              <w:rPr>
                <w:color w:val="000000" w:themeColor="text1"/>
              </w:rPr>
              <w:t>Manajemen Risiko</w:t>
            </w:r>
            <w:r w:rsidR="001008B5" w:rsidRPr="00306115">
              <w:rPr>
                <w:rFonts w:eastAsia="Bookman Old Style" w:cs="Bookman Old Style"/>
                <w:color w:val="000000" w:themeColor="text1"/>
                <w:szCs w:val="24"/>
              </w:rPr>
              <w:t xml:space="preserve"> </w:t>
            </w:r>
            <w:r w:rsidRPr="00306115">
              <w:rPr>
                <w:rFonts w:eastAsia="Bookman Old Style" w:cs="Bookman Old Style"/>
                <w:color w:val="000000" w:themeColor="text1"/>
                <w:szCs w:val="24"/>
              </w:rPr>
              <w:t>maupun fungsi audit internal.</w:t>
            </w:r>
          </w:p>
        </w:tc>
      </w:tr>
    </w:tbl>
    <w:p w14:paraId="7EEDECE4" w14:textId="3DB0AA8C" w:rsidR="007D3FB2" w:rsidRPr="00306115" w:rsidRDefault="008A52EA" w:rsidP="009C3F5B">
      <w:pPr>
        <w:pStyle w:val="HeadingAwalDaftarIsiLampiran"/>
        <w:numPr>
          <w:ilvl w:val="0"/>
          <w:numId w:val="0"/>
        </w:numPr>
        <w:tabs>
          <w:tab w:val="left" w:pos="1985"/>
        </w:tabs>
        <w:ind w:left="1134"/>
      </w:pPr>
      <w:r w:rsidRPr="00306115">
        <w:rPr>
          <w:rFonts w:eastAsia="Bookman Old Style" w:cs="Bookman Old Style"/>
          <w:sz w:val="22"/>
          <w:szCs w:val="22"/>
        </w:rPr>
        <w:t xml:space="preserve">*) Merupakan parameter atau indikator minimal dan Manajer Investasi dapat menambah parameter atau indikator lain sesuai dengan karakteristik, kompleksitas usaha, dan kemampuan Manajer Investasi. Penilaian dilakukan dengan posisi akhir per 31 Desember posisi dan tren selama yang mencakup penilaian selama 12 (dua belas) bulan terakhir untuk parameter atau indikator pada Lampiran </w:t>
      </w:r>
      <w:r w:rsidR="003574BD" w:rsidRPr="00306115">
        <w:rPr>
          <w:rFonts w:eastAsia="Bookman Old Style" w:cs="Bookman Old Style"/>
          <w:sz w:val="22"/>
          <w:szCs w:val="22"/>
        </w:rPr>
        <w:t xml:space="preserve">IV </w:t>
      </w:r>
      <w:r w:rsidR="003574BD" w:rsidRPr="00306115">
        <w:t>yang merupakan bagian tidak terpisahkan dari Peraturan Anggota Dewan Komisioner Otoritas Jasa Keuangan ini</w:t>
      </w:r>
      <w:r w:rsidRPr="00306115">
        <w:rPr>
          <w:rFonts w:eastAsia="Bookman Old Style" w:cs="Bookman Old Style"/>
          <w:sz w:val="22"/>
          <w:szCs w:val="22"/>
        </w:rPr>
        <w:t>.</w:t>
      </w:r>
    </w:p>
    <w:p w14:paraId="365F554A" w14:textId="77777777" w:rsidR="008A15E5" w:rsidRPr="00306115" w:rsidRDefault="008A15E5" w:rsidP="008A15E5">
      <w:pPr>
        <w:pStyle w:val="HeadingAwalDaftarIsiLampiran"/>
        <w:numPr>
          <w:ilvl w:val="0"/>
          <w:numId w:val="0"/>
        </w:numPr>
        <w:tabs>
          <w:tab w:val="left" w:pos="1134"/>
        </w:tabs>
        <w:ind w:left="1134"/>
      </w:pPr>
    </w:p>
    <w:p w14:paraId="710AA2F2" w14:textId="267A2161" w:rsidR="00715C7D" w:rsidRPr="00306115" w:rsidRDefault="00715C7D">
      <w:pPr>
        <w:pStyle w:val="HeadingAwalDaftarIsiLampiran"/>
        <w:numPr>
          <w:ilvl w:val="7"/>
          <w:numId w:val="257"/>
        </w:numPr>
        <w:tabs>
          <w:tab w:val="left" w:pos="1134"/>
        </w:tabs>
        <w:ind w:left="1134" w:hanging="567"/>
      </w:pPr>
      <w:r w:rsidRPr="00306115">
        <w:rPr>
          <w:rFonts w:eastAsia="Bookman Old Style" w:cs="Bookman Old Style"/>
        </w:rPr>
        <w:t>Penilaian</w:t>
      </w:r>
      <w:r w:rsidRPr="00306115">
        <w:t xml:space="preserve"> Risiko Likuiditas Produk Investasi</w:t>
      </w:r>
    </w:p>
    <w:p w14:paraId="3E39B5AC" w14:textId="168896D5" w:rsidR="00404CEC" w:rsidRPr="00306115" w:rsidRDefault="00D54839">
      <w:pPr>
        <w:pStyle w:val="HeadingAwalDaftarIsiLampiran"/>
        <w:numPr>
          <w:ilvl w:val="3"/>
          <w:numId w:val="275"/>
        </w:numPr>
        <w:tabs>
          <w:tab w:val="left" w:pos="1134"/>
        </w:tabs>
        <w:ind w:left="1701" w:hanging="567"/>
      </w:pPr>
      <w:r w:rsidRPr="00306115">
        <w:rPr>
          <w:rFonts w:eastAsia="Bookman Old Style" w:cs="Bookman Old Style"/>
        </w:rPr>
        <w:t>Penilaian Risiko Likuiditas Produk Investasi dilakukan berdasarkan hasil penilaian masing-masing parameter atau indikator Risiko Likuiditas Produk Investasi didasarkan pada analisis yang komprehensif dan terstruktur yang memberikan gambaran secara menyeluruh terkait Risiko Likuiditas Produk Investasi.</w:t>
      </w:r>
    </w:p>
    <w:p w14:paraId="0FB0BB54" w14:textId="1583E33B" w:rsidR="009127E6" w:rsidRPr="00306115" w:rsidRDefault="00D76366">
      <w:pPr>
        <w:pStyle w:val="HeadingAwalDaftarIsiLampiran"/>
        <w:numPr>
          <w:ilvl w:val="3"/>
          <w:numId w:val="275"/>
        </w:numPr>
        <w:tabs>
          <w:tab w:val="left" w:pos="1134"/>
        </w:tabs>
        <w:ind w:left="1701" w:hanging="567"/>
      </w:pPr>
      <w:r w:rsidRPr="00306115">
        <w:rPr>
          <w:rFonts w:eastAsia="Bookman Old Style" w:cs="Bookman Old Style"/>
        </w:rPr>
        <w:t>Penetapan total peringkat Risiko Likuiditas Produk Investasi, untuk setiap Produk Investasi atau reksa dana, dilakukan dengan cara menyimpulkan hasil penilaian atas seluruh indikator risiko inheren likuiditas Produk Investasi, serta menentukan signifikansi indikator berdasarkan karakteristik Produk Investasi dan/atau Reksa Dana, termasuk komposisi portofolio Produk Investasi tersebut</w:t>
      </w:r>
    </w:p>
    <w:p w14:paraId="57362362" w14:textId="5AE50F4A" w:rsidR="00D54839" w:rsidRPr="00306115" w:rsidRDefault="00C0620A">
      <w:pPr>
        <w:pStyle w:val="HeadingAwalDaftarIsiLampiran"/>
        <w:numPr>
          <w:ilvl w:val="3"/>
          <w:numId w:val="275"/>
        </w:numPr>
        <w:tabs>
          <w:tab w:val="left" w:pos="1134"/>
        </w:tabs>
        <w:ind w:left="1701" w:hanging="567"/>
      </w:pPr>
      <w:r w:rsidRPr="00306115">
        <w:rPr>
          <w:rFonts w:eastAsia="Bookman Old Style" w:cs="Bookman Old Style"/>
        </w:rPr>
        <w:t>Penilaian parameter atau indikator Risiko Likuiditas Produk Investasi dapat menggunakan tabel berikut:</w:t>
      </w:r>
    </w:p>
    <w:tbl>
      <w:tblPr>
        <w:tblW w:w="14175" w:type="dxa"/>
        <w:tblInd w:w="16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977"/>
        <w:gridCol w:w="4785"/>
        <w:gridCol w:w="2870"/>
        <w:gridCol w:w="3543"/>
      </w:tblGrid>
      <w:tr w:rsidR="00392D0A" w:rsidRPr="00306115" w14:paraId="1B90F7D5" w14:textId="77777777" w:rsidTr="000B1140">
        <w:trPr>
          <w:trHeight w:val="406"/>
        </w:trPr>
        <w:tc>
          <w:tcPr>
            <w:tcW w:w="14175" w:type="dxa"/>
            <w:gridSpan w:val="4"/>
            <w:shd w:val="clear" w:color="auto" w:fill="BEBEBE"/>
          </w:tcPr>
          <w:p w14:paraId="256129E5" w14:textId="77777777" w:rsidR="00392D0A" w:rsidRPr="00306115" w:rsidRDefault="00392D0A" w:rsidP="00E20B8B">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lastRenderedPageBreak/>
              <w:t>Reksa Dana A</w:t>
            </w:r>
          </w:p>
        </w:tc>
      </w:tr>
      <w:tr w:rsidR="00392D0A" w:rsidRPr="00306115" w14:paraId="7ED741A1" w14:textId="77777777" w:rsidTr="000B1140">
        <w:trPr>
          <w:trHeight w:val="556"/>
        </w:trPr>
        <w:tc>
          <w:tcPr>
            <w:tcW w:w="2977" w:type="dxa"/>
            <w:shd w:val="clear" w:color="auto" w:fill="BEBEBE"/>
          </w:tcPr>
          <w:p w14:paraId="23805E5A" w14:textId="77777777" w:rsidR="00392D0A" w:rsidRPr="00306115" w:rsidRDefault="00392D0A" w:rsidP="00E20B8B">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Jenis Instrumen</w:t>
            </w:r>
          </w:p>
        </w:tc>
        <w:tc>
          <w:tcPr>
            <w:tcW w:w="4785" w:type="dxa"/>
            <w:shd w:val="clear" w:color="auto" w:fill="BEBEBE"/>
          </w:tcPr>
          <w:p w14:paraId="0EB07079" w14:textId="77777777" w:rsidR="00392D0A" w:rsidRPr="00306115" w:rsidRDefault="00392D0A" w:rsidP="00E20B8B">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Indikator</w:t>
            </w:r>
          </w:p>
        </w:tc>
        <w:tc>
          <w:tcPr>
            <w:tcW w:w="2870" w:type="dxa"/>
            <w:shd w:val="clear" w:color="auto" w:fill="BEBEBE"/>
          </w:tcPr>
          <w:p w14:paraId="21D79A44" w14:textId="6E805D93" w:rsidR="00392D0A" w:rsidRPr="00306115" w:rsidRDefault="00A85178" w:rsidP="00E20B8B">
            <w:pPr>
              <w:widowControl w:val="0"/>
              <w:pBdr>
                <w:top w:val="nil"/>
                <w:left w:val="nil"/>
                <w:bottom w:val="nil"/>
                <w:right w:val="nil"/>
                <w:between w:val="nil"/>
              </w:pBdr>
              <w:spacing w:before="60" w:after="60" w:line="240" w:lineRule="auto"/>
              <w:jc w:val="center"/>
              <w:rPr>
                <w:rFonts w:eastAsia="Bookman Old Style" w:cs="Bookman Old Style"/>
                <w:b/>
                <w:bCs/>
                <w:strike/>
                <w:color w:val="000000" w:themeColor="text1"/>
                <w:szCs w:val="24"/>
              </w:rPr>
            </w:pPr>
            <w:r w:rsidRPr="00306115">
              <w:rPr>
                <w:rFonts w:eastAsia="Bookman Old Style" w:cs="Bookman Old Style"/>
                <w:b/>
                <w:bCs/>
                <w:color w:val="000000" w:themeColor="text1"/>
                <w:szCs w:val="24"/>
              </w:rPr>
              <w:t>Peringkat</w:t>
            </w:r>
          </w:p>
        </w:tc>
        <w:tc>
          <w:tcPr>
            <w:tcW w:w="3543" w:type="dxa"/>
            <w:shd w:val="clear" w:color="auto" w:fill="BEBEBE"/>
          </w:tcPr>
          <w:p w14:paraId="6745E10B" w14:textId="77777777" w:rsidR="00392D0A" w:rsidRPr="00306115" w:rsidRDefault="00392D0A" w:rsidP="00E20B8B">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Keterangan</w:t>
            </w:r>
          </w:p>
        </w:tc>
      </w:tr>
      <w:tr w:rsidR="008B30B0" w:rsidRPr="00306115" w14:paraId="4275456B" w14:textId="77777777" w:rsidTr="000B1140">
        <w:trPr>
          <w:trHeight w:val="421"/>
        </w:trPr>
        <w:tc>
          <w:tcPr>
            <w:tcW w:w="2977" w:type="dxa"/>
            <w:vMerge w:val="restart"/>
            <w:shd w:val="clear" w:color="auto" w:fill="BEBEBE"/>
          </w:tcPr>
          <w:p w14:paraId="7801C80C" w14:textId="77777777" w:rsidR="008B30B0" w:rsidRPr="00306115" w:rsidRDefault="008B30B0" w:rsidP="00E20B8B">
            <w:pPr>
              <w:widowControl w:val="0"/>
              <w:pBdr>
                <w:top w:val="nil"/>
                <w:left w:val="nil"/>
                <w:bottom w:val="nil"/>
                <w:right w:val="nil"/>
                <w:between w:val="nil"/>
              </w:pBdr>
              <w:spacing w:after="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Likuiditas portofolio</w:t>
            </w:r>
          </w:p>
        </w:tc>
        <w:tc>
          <w:tcPr>
            <w:tcW w:w="4785" w:type="dxa"/>
          </w:tcPr>
          <w:p w14:paraId="7764687F" w14:textId="77777777" w:rsidR="008B30B0" w:rsidRPr="00306115" w:rsidRDefault="008B30B0" w:rsidP="00392D0A">
            <w:pPr>
              <w:widowControl w:val="0"/>
              <w:pBdr>
                <w:top w:val="nil"/>
                <w:left w:val="nil"/>
                <w:bottom w:val="nil"/>
                <w:right w:val="nil"/>
                <w:between w:val="nil"/>
              </w:pBdr>
              <w:spacing w:after="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Rata-rata jumlah hari yang diperlukan untuk melikuidasi Efek dalam portofolio</w:t>
            </w:r>
          </w:p>
        </w:tc>
        <w:tc>
          <w:tcPr>
            <w:tcW w:w="2870" w:type="dxa"/>
          </w:tcPr>
          <w:p w14:paraId="6209BEF4" w14:textId="77777777" w:rsidR="008B30B0" w:rsidRPr="00306115" w:rsidRDefault="008B30B0" w:rsidP="00392D0A">
            <w:pPr>
              <w:widowControl w:val="0"/>
              <w:pBdr>
                <w:top w:val="nil"/>
                <w:left w:val="nil"/>
                <w:bottom w:val="nil"/>
                <w:right w:val="nil"/>
                <w:between w:val="nil"/>
              </w:pBdr>
              <w:spacing w:after="0" w:line="240" w:lineRule="auto"/>
              <w:rPr>
                <w:rFonts w:eastAsia="Bookman Old Style" w:cs="Bookman Old Style"/>
                <w:color w:val="000000" w:themeColor="text1"/>
                <w:szCs w:val="24"/>
              </w:rPr>
            </w:pPr>
          </w:p>
        </w:tc>
        <w:tc>
          <w:tcPr>
            <w:tcW w:w="3543" w:type="dxa"/>
          </w:tcPr>
          <w:p w14:paraId="2AEF895C" w14:textId="77777777" w:rsidR="008B30B0" w:rsidRPr="00306115" w:rsidRDefault="008B30B0" w:rsidP="00392D0A">
            <w:pPr>
              <w:widowControl w:val="0"/>
              <w:pBdr>
                <w:top w:val="nil"/>
                <w:left w:val="nil"/>
                <w:bottom w:val="nil"/>
                <w:right w:val="nil"/>
                <w:between w:val="nil"/>
              </w:pBdr>
              <w:spacing w:after="0" w:line="240" w:lineRule="auto"/>
              <w:rPr>
                <w:rFonts w:eastAsia="Bookman Old Style" w:cs="Bookman Old Style"/>
                <w:color w:val="000000" w:themeColor="text1"/>
                <w:szCs w:val="24"/>
              </w:rPr>
            </w:pPr>
          </w:p>
        </w:tc>
      </w:tr>
      <w:tr w:rsidR="008B30B0" w:rsidRPr="00306115" w14:paraId="7A67E8B9" w14:textId="77777777" w:rsidTr="000B1140">
        <w:trPr>
          <w:trHeight w:val="956"/>
        </w:trPr>
        <w:tc>
          <w:tcPr>
            <w:tcW w:w="2977" w:type="dxa"/>
            <w:vMerge/>
            <w:shd w:val="clear" w:color="auto" w:fill="BEBEBE"/>
          </w:tcPr>
          <w:p w14:paraId="7D138951" w14:textId="0A7240DE" w:rsidR="008B30B0" w:rsidRPr="00306115" w:rsidRDefault="008B30B0" w:rsidP="00E20B8B">
            <w:pPr>
              <w:widowControl w:val="0"/>
              <w:pBdr>
                <w:top w:val="nil"/>
                <w:left w:val="nil"/>
                <w:bottom w:val="nil"/>
                <w:right w:val="nil"/>
                <w:between w:val="nil"/>
              </w:pBdr>
              <w:spacing w:after="0" w:line="240" w:lineRule="auto"/>
              <w:jc w:val="center"/>
              <w:rPr>
                <w:rFonts w:eastAsia="Bookman Old Style" w:cs="Bookman Old Style"/>
                <w:b/>
                <w:bCs/>
                <w:strike/>
                <w:color w:val="000000" w:themeColor="text1"/>
                <w:szCs w:val="24"/>
              </w:rPr>
            </w:pPr>
          </w:p>
        </w:tc>
        <w:tc>
          <w:tcPr>
            <w:tcW w:w="4785" w:type="dxa"/>
          </w:tcPr>
          <w:p w14:paraId="7187EE9F" w14:textId="42330605" w:rsidR="008B30B0" w:rsidRPr="00306115" w:rsidRDefault="008B30B0" w:rsidP="00392D0A">
            <w:pPr>
              <w:widowControl w:val="0"/>
              <w:pBdr>
                <w:top w:val="nil"/>
                <w:left w:val="nil"/>
                <w:bottom w:val="nil"/>
                <w:right w:val="nil"/>
                <w:between w:val="nil"/>
              </w:pBdr>
              <w:spacing w:after="0" w:line="240" w:lineRule="auto"/>
              <w:rPr>
                <w:rFonts w:eastAsia="Bookman Old Style" w:cs="Bookman Old Style"/>
                <w:strike/>
                <w:color w:val="000000" w:themeColor="text1"/>
                <w:szCs w:val="24"/>
              </w:rPr>
            </w:pPr>
            <w:r w:rsidRPr="00306115">
              <w:rPr>
                <w:rFonts w:eastAsia="Bookman Old Style" w:cs="Bookman Old Style"/>
                <w:color w:val="000000" w:themeColor="text1"/>
                <w:szCs w:val="24"/>
                <w:lang w:val="en-GB"/>
              </w:rPr>
              <w:t>Rata-Rata Harian</w:t>
            </w:r>
            <w:r w:rsidRPr="00306115">
              <w:rPr>
                <w:rFonts w:eastAsia="Bookman Old Style" w:cs="Bookman Old Style"/>
                <w:i/>
                <w:iCs/>
                <w:color w:val="000000" w:themeColor="text1"/>
                <w:szCs w:val="24"/>
                <w:lang w:val="en-GB"/>
              </w:rPr>
              <w:t xml:space="preserve"> Haircut</w:t>
            </w:r>
            <w:r w:rsidRPr="00306115">
              <w:rPr>
                <w:rFonts w:eastAsia="Bookman Old Style" w:cs="Bookman Old Style"/>
                <w:color w:val="000000" w:themeColor="text1"/>
                <w:szCs w:val="24"/>
                <w:lang w:val="en-GB"/>
              </w:rPr>
              <w:t xml:space="preserve"> nilai kepemilikan portfolio</w:t>
            </w:r>
          </w:p>
        </w:tc>
        <w:tc>
          <w:tcPr>
            <w:tcW w:w="2870" w:type="dxa"/>
          </w:tcPr>
          <w:p w14:paraId="06DA2FE5" w14:textId="77777777" w:rsidR="008B30B0" w:rsidRPr="00306115" w:rsidRDefault="008B30B0" w:rsidP="00392D0A">
            <w:pPr>
              <w:widowControl w:val="0"/>
              <w:pBdr>
                <w:top w:val="nil"/>
                <w:left w:val="nil"/>
                <w:bottom w:val="nil"/>
                <w:right w:val="nil"/>
                <w:between w:val="nil"/>
              </w:pBdr>
              <w:spacing w:after="0" w:line="240" w:lineRule="auto"/>
              <w:rPr>
                <w:rFonts w:eastAsia="Bookman Old Style" w:cs="Bookman Old Style"/>
                <w:color w:val="000000" w:themeColor="text1"/>
                <w:szCs w:val="24"/>
              </w:rPr>
            </w:pPr>
          </w:p>
        </w:tc>
        <w:tc>
          <w:tcPr>
            <w:tcW w:w="3543" w:type="dxa"/>
          </w:tcPr>
          <w:p w14:paraId="7B6C077B" w14:textId="77777777" w:rsidR="008B30B0" w:rsidRPr="00306115" w:rsidRDefault="008B30B0" w:rsidP="00392D0A">
            <w:pPr>
              <w:widowControl w:val="0"/>
              <w:pBdr>
                <w:top w:val="nil"/>
                <w:left w:val="nil"/>
                <w:bottom w:val="nil"/>
                <w:right w:val="nil"/>
                <w:between w:val="nil"/>
              </w:pBdr>
              <w:spacing w:after="0" w:line="240" w:lineRule="auto"/>
              <w:rPr>
                <w:rFonts w:eastAsia="Bookman Old Style" w:cs="Bookman Old Style"/>
                <w:color w:val="000000" w:themeColor="text1"/>
                <w:szCs w:val="24"/>
              </w:rPr>
            </w:pPr>
          </w:p>
        </w:tc>
      </w:tr>
      <w:tr w:rsidR="00392D0A" w:rsidRPr="00306115" w14:paraId="61A2E8C3" w14:textId="77777777" w:rsidTr="000B1140">
        <w:trPr>
          <w:trHeight w:val="262"/>
        </w:trPr>
        <w:tc>
          <w:tcPr>
            <w:tcW w:w="7762" w:type="dxa"/>
            <w:gridSpan w:val="2"/>
          </w:tcPr>
          <w:p w14:paraId="7F5808E6" w14:textId="4D92B435" w:rsidR="00392D0A" w:rsidRPr="00306115" w:rsidRDefault="00821736" w:rsidP="00E20B8B">
            <w:pPr>
              <w:widowControl w:val="0"/>
              <w:pBdr>
                <w:top w:val="nil"/>
                <w:left w:val="nil"/>
                <w:bottom w:val="nil"/>
                <w:right w:val="nil"/>
                <w:between w:val="nil"/>
              </w:pBdr>
              <w:spacing w:after="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 xml:space="preserve">Peringkat </w:t>
            </w:r>
            <w:r w:rsidR="00392D0A" w:rsidRPr="00306115">
              <w:rPr>
                <w:rFonts w:eastAsia="Bookman Old Style" w:cs="Bookman Old Style"/>
                <w:b/>
                <w:bCs/>
                <w:color w:val="000000" w:themeColor="text1"/>
                <w:szCs w:val="24"/>
              </w:rPr>
              <w:t>Risiko Likuiditas Produk Investasi</w:t>
            </w:r>
          </w:p>
        </w:tc>
        <w:tc>
          <w:tcPr>
            <w:tcW w:w="2870" w:type="dxa"/>
          </w:tcPr>
          <w:p w14:paraId="6F5A5DF5" w14:textId="77777777" w:rsidR="00392D0A" w:rsidRPr="00306115" w:rsidRDefault="00392D0A" w:rsidP="00392D0A">
            <w:pPr>
              <w:widowControl w:val="0"/>
              <w:pBdr>
                <w:top w:val="nil"/>
                <w:left w:val="nil"/>
                <w:bottom w:val="nil"/>
                <w:right w:val="nil"/>
                <w:between w:val="nil"/>
              </w:pBdr>
              <w:spacing w:after="0" w:line="240" w:lineRule="auto"/>
              <w:rPr>
                <w:rFonts w:eastAsia="Bookman Old Style" w:cs="Bookman Old Style"/>
                <w:color w:val="000000" w:themeColor="text1"/>
                <w:szCs w:val="24"/>
              </w:rPr>
            </w:pPr>
          </w:p>
        </w:tc>
        <w:tc>
          <w:tcPr>
            <w:tcW w:w="3543" w:type="dxa"/>
          </w:tcPr>
          <w:p w14:paraId="78D36A53" w14:textId="77777777" w:rsidR="00392D0A" w:rsidRPr="00306115" w:rsidRDefault="00392D0A" w:rsidP="00392D0A">
            <w:pPr>
              <w:widowControl w:val="0"/>
              <w:pBdr>
                <w:top w:val="nil"/>
                <w:left w:val="nil"/>
                <w:bottom w:val="nil"/>
                <w:right w:val="nil"/>
                <w:between w:val="nil"/>
              </w:pBdr>
              <w:spacing w:after="0" w:line="240" w:lineRule="auto"/>
              <w:rPr>
                <w:rFonts w:eastAsia="Bookman Old Style" w:cs="Bookman Old Style"/>
                <w:color w:val="000000" w:themeColor="text1"/>
                <w:szCs w:val="24"/>
              </w:rPr>
            </w:pPr>
          </w:p>
        </w:tc>
      </w:tr>
    </w:tbl>
    <w:p w14:paraId="2D690ABB" w14:textId="77777777" w:rsidR="00C0620A" w:rsidRPr="00306115" w:rsidRDefault="00C0620A" w:rsidP="00C0620A">
      <w:pPr>
        <w:pStyle w:val="HeadingAwalDaftarIsiLampiran"/>
        <w:numPr>
          <w:ilvl w:val="0"/>
          <w:numId w:val="0"/>
        </w:numPr>
        <w:tabs>
          <w:tab w:val="left" w:pos="1134"/>
        </w:tabs>
        <w:ind w:left="1701"/>
      </w:pPr>
    </w:p>
    <w:p w14:paraId="376FF9A9" w14:textId="5F2E35BB" w:rsidR="006329C7" w:rsidRPr="00306115" w:rsidRDefault="006329C7">
      <w:pPr>
        <w:pStyle w:val="HeadingAwalDaftarIsiLampiran"/>
        <w:numPr>
          <w:ilvl w:val="0"/>
          <w:numId w:val="255"/>
        </w:numPr>
        <w:tabs>
          <w:tab w:val="left" w:pos="1134"/>
        </w:tabs>
        <w:ind w:left="567" w:hanging="567"/>
      </w:pPr>
      <w:r w:rsidRPr="00306115">
        <w:t>PENILAIAN RISIKO UNTUK RISIKO KREDIT</w:t>
      </w:r>
    </w:p>
    <w:p w14:paraId="55830EFA" w14:textId="1E312674" w:rsidR="00E85D39" w:rsidRPr="00306115" w:rsidRDefault="00815B7B">
      <w:pPr>
        <w:pStyle w:val="HeadingAwalDaftarIsiLampiran"/>
        <w:numPr>
          <w:ilvl w:val="0"/>
          <w:numId w:val="279"/>
        </w:numPr>
        <w:tabs>
          <w:tab w:val="left" w:pos="1985"/>
        </w:tabs>
        <w:ind w:left="1134" w:hanging="567"/>
      </w:pPr>
      <w:r w:rsidRPr="00306115">
        <w:rPr>
          <w:rFonts w:eastAsia="Bookman Old Style" w:cs="Bookman Old Style"/>
        </w:rPr>
        <w:t>Parameter atau Indikator Penilaian Risiko Kredit</w:t>
      </w:r>
    </w:p>
    <w:tbl>
      <w:tblPr>
        <w:tblW w:w="14742" w:type="dxa"/>
        <w:tblInd w:w="1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276"/>
        <w:gridCol w:w="1985"/>
        <w:gridCol w:w="2551"/>
        <w:gridCol w:w="8930"/>
      </w:tblGrid>
      <w:tr w:rsidR="006972B1" w:rsidRPr="00306115" w14:paraId="0537BF49" w14:textId="77777777" w:rsidTr="000B1140">
        <w:trPr>
          <w:trHeight w:val="557"/>
        </w:trPr>
        <w:tc>
          <w:tcPr>
            <w:tcW w:w="14742" w:type="dxa"/>
            <w:gridSpan w:val="4"/>
            <w:shd w:val="clear" w:color="auto" w:fill="D9D9D9" w:themeFill="background1" w:themeFillShade="D9"/>
          </w:tcPr>
          <w:p w14:paraId="3E595C53" w14:textId="7D6C55BB" w:rsidR="006972B1" w:rsidRPr="00306115" w:rsidRDefault="006972B1">
            <w:pPr>
              <w:pStyle w:val="ListParagraph"/>
              <w:widowControl w:val="0"/>
              <w:numPr>
                <w:ilvl w:val="0"/>
                <w:numId w:val="285"/>
              </w:numPr>
              <w:pBdr>
                <w:top w:val="nil"/>
                <w:left w:val="nil"/>
                <w:bottom w:val="nil"/>
                <w:right w:val="nil"/>
                <w:between w:val="nil"/>
              </w:pBdr>
              <w:spacing w:before="60" w:after="60" w:line="240" w:lineRule="auto"/>
              <w:ind w:left="567" w:hanging="567"/>
              <w:contextualSpacing w:val="0"/>
              <w:jc w:val="left"/>
              <w:rPr>
                <w:rFonts w:eastAsia="Bookman Old Style" w:cs="Bookman Old Style"/>
                <w:b/>
                <w:bCs/>
                <w:color w:val="000000" w:themeColor="text1"/>
                <w:szCs w:val="24"/>
              </w:rPr>
            </w:pPr>
            <w:r w:rsidRPr="00306115">
              <w:rPr>
                <w:rFonts w:eastAsia="Bookman Old Style" w:cs="Bookman Old Style"/>
                <w:b/>
                <w:bCs/>
                <w:color w:val="000000" w:themeColor="text1"/>
                <w:szCs w:val="24"/>
              </w:rPr>
              <w:t>Risiko Inheren*)</w:t>
            </w:r>
          </w:p>
        </w:tc>
      </w:tr>
      <w:tr w:rsidR="006972B1" w:rsidRPr="00306115" w14:paraId="11B166D3" w14:textId="77777777" w:rsidTr="004C74FB">
        <w:trPr>
          <w:trHeight w:val="557"/>
        </w:trPr>
        <w:tc>
          <w:tcPr>
            <w:tcW w:w="3261" w:type="dxa"/>
            <w:gridSpan w:val="2"/>
            <w:shd w:val="clear" w:color="auto" w:fill="D9D9D9" w:themeFill="background1" w:themeFillShade="D9"/>
          </w:tcPr>
          <w:p w14:paraId="46B212E9" w14:textId="77777777" w:rsidR="006972B1" w:rsidRPr="00306115" w:rsidRDefault="006972B1" w:rsidP="006972B1">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Indikator</w:t>
            </w:r>
          </w:p>
        </w:tc>
        <w:tc>
          <w:tcPr>
            <w:tcW w:w="2551" w:type="dxa"/>
            <w:shd w:val="clear" w:color="auto" w:fill="D9D9D9" w:themeFill="background1" w:themeFillShade="D9"/>
          </w:tcPr>
          <w:p w14:paraId="388C41BF" w14:textId="77777777" w:rsidR="006972B1" w:rsidRPr="00306115" w:rsidRDefault="006972B1" w:rsidP="006972B1">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Berlaku Untuk</w:t>
            </w:r>
          </w:p>
        </w:tc>
        <w:tc>
          <w:tcPr>
            <w:tcW w:w="8930" w:type="dxa"/>
            <w:shd w:val="clear" w:color="auto" w:fill="D9D9D9" w:themeFill="background1" w:themeFillShade="D9"/>
          </w:tcPr>
          <w:p w14:paraId="77C312B3" w14:textId="77777777" w:rsidR="006972B1" w:rsidRPr="00306115" w:rsidRDefault="006972B1" w:rsidP="006972B1">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Informasi</w:t>
            </w:r>
          </w:p>
        </w:tc>
      </w:tr>
      <w:tr w:rsidR="006972B1" w:rsidRPr="00306115" w14:paraId="5F9E8ED1" w14:textId="77777777" w:rsidTr="004C74FB">
        <w:trPr>
          <w:trHeight w:val="557"/>
        </w:trPr>
        <w:tc>
          <w:tcPr>
            <w:tcW w:w="3261" w:type="dxa"/>
            <w:gridSpan w:val="2"/>
          </w:tcPr>
          <w:p w14:paraId="5DC261A0" w14:textId="00957F60" w:rsidR="00900474" w:rsidRPr="00306115" w:rsidRDefault="00900474" w:rsidP="00EE46E5">
            <w:pPr>
              <w:widowControl w:val="0"/>
              <w:pBdr>
                <w:top w:val="nil"/>
                <w:left w:val="nil"/>
                <w:bottom w:val="nil"/>
                <w:right w:val="nil"/>
                <w:between w:val="nil"/>
              </w:pBdr>
              <w:spacing w:after="0" w:line="240" w:lineRule="auto"/>
              <w:rPr>
                <w:rFonts w:eastAsia="Bookman Old Style" w:cs="Bookman Old Style"/>
                <w:strike/>
                <w:color w:val="000000" w:themeColor="text1"/>
                <w:szCs w:val="24"/>
              </w:rPr>
            </w:pPr>
            <w:bookmarkStart w:id="2" w:name="_Hlk237612577"/>
            <w:r w:rsidRPr="00306115">
              <w:rPr>
                <w:rFonts w:eastAsia="Bookman Old Style" w:cs="Bookman Old Style"/>
                <w:color w:val="000000" w:themeColor="text1"/>
                <w:szCs w:val="24"/>
              </w:rPr>
              <w:t xml:space="preserve">Persentase (%) surat utang dan atau sukuk dengan </w:t>
            </w:r>
            <w:r w:rsidRPr="00306115">
              <w:rPr>
                <w:rFonts w:eastAsia="Bookman Old Style" w:cs="Bookman Old Style"/>
                <w:i/>
                <w:iCs/>
                <w:color w:val="000000" w:themeColor="text1"/>
                <w:szCs w:val="24"/>
              </w:rPr>
              <w:t>rating</w:t>
            </w:r>
            <w:r w:rsidRPr="00306115">
              <w:rPr>
                <w:rFonts w:eastAsia="Bookman Old Style" w:cs="Bookman Old Style"/>
                <w:color w:val="000000" w:themeColor="text1"/>
                <w:szCs w:val="24"/>
              </w:rPr>
              <w:t>/peringkat non-</w:t>
            </w:r>
            <w:r w:rsidRPr="00306115">
              <w:rPr>
                <w:rFonts w:eastAsia="Bookman Old Style" w:cs="Bookman Old Style"/>
                <w:i/>
                <w:iCs/>
                <w:color w:val="000000" w:themeColor="text1"/>
                <w:szCs w:val="24"/>
              </w:rPr>
              <w:t>investment grade</w:t>
            </w:r>
            <w:bookmarkEnd w:id="2"/>
          </w:p>
        </w:tc>
        <w:tc>
          <w:tcPr>
            <w:tcW w:w="2551" w:type="dxa"/>
          </w:tcPr>
          <w:p w14:paraId="05282114" w14:textId="1A43DE26" w:rsidR="006972B1" w:rsidRPr="00306115" w:rsidRDefault="006972B1" w:rsidP="00EE46E5">
            <w:pPr>
              <w:widowControl w:val="0"/>
              <w:pBdr>
                <w:top w:val="nil"/>
                <w:left w:val="nil"/>
                <w:bottom w:val="nil"/>
                <w:right w:val="nil"/>
                <w:between w:val="nil"/>
              </w:pBdr>
              <w:spacing w:before="76" w:after="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Instrumen utang:</w:t>
            </w:r>
          </w:p>
          <w:p w14:paraId="2FDCA1D4" w14:textId="77777777" w:rsidR="006972B1" w:rsidRPr="00306115" w:rsidRDefault="006972B1" w:rsidP="00EE46E5">
            <w:pPr>
              <w:pStyle w:val="ListParagraph"/>
              <w:widowControl w:val="0"/>
              <w:numPr>
                <w:ilvl w:val="0"/>
                <w:numId w:val="282"/>
              </w:numPr>
              <w:pBdr>
                <w:top w:val="nil"/>
                <w:left w:val="nil"/>
                <w:bottom w:val="nil"/>
                <w:right w:val="nil"/>
                <w:between w:val="nil"/>
              </w:pBdr>
              <w:tabs>
                <w:tab w:val="left" w:pos="1016"/>
              </w:tabs>
              <w:spacing w:after="0" w:line="240" w:lineRule="auto"/>
              <w:ind w:left="567" w:hanging="567"/>
              <w:contextualSpacing w:val="0"/>
              <w:jc w:val="left"/>
              <w:rPr>
                <w:rFonts w:eastAsia="Bookman Old Style" w:cs="Bookman Old Style"/>
                <w:color w:val="000000" w:themeColor="text1"/>
                <w:szCs w:val="24"/>
              </w:rPr>
            </w:pPr>
            <w:r w:rsidRPr="00306115">
              <w:rPr>
                <w:rFonts w:eastAsia="Bookman Old Style" w:cs="Bookman Old Style"/>
                <w:color w:val="000000" w:themeColor="text1"/>
                <w:szCs w:val="24"/>
              </w:rPr>
              <w:t>obligasi korporasi; dan/atau</w:t>
            </w:r>
          </w:p>
          <w:p w14:paraId="38200523" w14:textId="4D669B35" w:rsidR="006972B1" w:rsidRPr="00306115" w:rsidRDefault="006972B1" w:rsidP="00EE46E5">
            <w:pPr>
              <w:pStyle w:val="ListParagraph"/>
              <w:widowControl w:val="0"/>
              <w:numPr>
                <w:ilvl w:val="0"/>
                <w:numId w:val="282"/>
              </w:numPr>
              <w:pBdr>
                <w:top w:val="nil"/>
                <w:left w:val="nil"/>
                <w:bottom w:val="nil"/>
                <w:right w:val="nil"/>
                <w:between w:val="nil"/>
              </w:pBdr>
              <w:tabs>
                <w:tab w:val="left" w:pos="1016"/>
              </w:tabs>
              <w:spacing w:after="0" w:line="240" w:lineRule="auto"/>
              <w:ind w:left="567" w:hanging="567"/>
              <w:contextualSpacing w:val="0"/>
              <w:jc w:val="left"/>
              <w:rPr>
                <w:rFonts w:eastAsia="Bookman Old Style" w:cs="Bookman Old Style"/>
                <w:color w:val="000000" w:themeColor="text1"/>
                <w:szCs w:val="24"/>
              </w:rPr>
            </w:pPr>
            <w:r w:rsidRPr="00306115">
              <w:rPr>
                <w:rFonts w:eastAsia="Bookman Old Style" w:cs="Bookman Old Style"/>
                <w:color w:val="000000" w:themeColor="text1"/>
                <w:szCs w:val="24"/>
              </w:rPr>
              <w:t>obligasi negara</w:t>
            </w:r>
            <w:r w:rsidR="004C74FB" w:rsidRPr="00306115">
              <w:rPr>
                <w:rFonts w:eastAsia="Bookman Old Style" w:cs="Bookman Old Style"/>
                <w:color w:val="000000" w:themeColor="text1"/>
                <w:szCs w:val="24"/>
              </w:rPr>
              <w:t>.</w:t>
            </w:r>
          </w:p>
        </w:tc>
        <w:tc>
          <w:tcPr>
            <w:tcW w:w="8930" w:type="dxa"/>
          </w:tcPr>
          <w:p w14:paraId="559E3B75" w14:textId="77777777" w:rsidR="00C5521B" w:rsidRPr="00306115" w:rsidRDefault="00760415">
            <w:pPr>
              <w:pStyle w:val="ListParagraph"/>
              <w:widowControl w:val="0"/>
              <w:numPr>
                <w:ilvl w:val="0"/>
                <w:numId w:val="447"/>
              </w:numPr>
              <w:pBdr>
                <w:top w:val="nil"/>
                <w:left w:val="nil"/>
                <w:bottom w:val="nil"/>
                <w:right w:val="nil"/>
                <w:between w:val="nil"/>
              </w:pBdr>
              <w:tabs>
                <w:tab w:val="left" w:pos="874"/>
              </w:tabs>
              <w:spacing w:after="0" w:line="290" w:lineRule="auto"/>
              <w:ind w:left="567" w:hanging="567"/>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Parameter atau indikator ini mengukur signifikansi kepemilikan Efek Bersifat Utang dan/atau Sukuk dengan peringkat kredit (</w:t>
            </w:r>
            <w:r w:rsidRPr="00306115">
              <w:rPr>
                <w:rFonts w:eastAsia="Bookman Old Style" w:cs="Bookman Old Style"/>
                <w:i/>
                <w:iCs/>
                <w:color w:val="000000" w:themeColor="text1"/>
                <w:szCs w:val="24"/>
              </w:rPr>
              <w:t>credit rating</w:t>
            </w:r>
            <w:r w:rsidRPr="00306115">
              <w:rPr>
                <w:rFonts w:eastAsia="Bookman Old Style" w:cs="Bookman Old Style"/>
                <w:color w:val="000000" w:themeColor="text1"/>
                <w:szCs w:val="24"/>
              </w:rPr>
              <w:t xml:space="preserve">) di bawah </w:t>
            </w:r>
            <w:r w:rsidRPr="00306115">
              <w:rPr>
                <w:rFonts w:eastAsia="Bookman Old Style" w:cs="Bookman Old Style"/>
                <w:i/>
                <w:iCs/>
                <w:color w:val="000000" w:themeColor="text1"/>
                <w:szCs w:val="24"/>
              </w:rPr>
              <w:t>investment grade</w:t>
            </w:r>
            <w:r w:rsidRPr="00306115">
              <w:rPr>
                <w:rFonts w:eastAsia="Bookman Old Style" w:cs="Bookman Old Style"/>
                <w:color w:val="000000" w:themeColor="text1"/>
                <w:szCs w:val="24"/>
              </w:rPr>
              <w:t xml:space="preserve"> (</w:t>
            </w:r>
            <w:r w:rsidRPr="00306115">
              <w:rPr>
                <w:rFonts w:eastAsia="Bookman Old Style" w:cs="Bookman Old Style"/>
                <w:i/>
                <w:iCs/>
                <w:color w:val="000000" w:themeColor="text1"/>
                <w:szCs w:val="24"/>
              </w:rPr>
              <w:t>non-investment grade</w:t>
            </w:r>
            <w:r w:rsidRPr="00306115">
              <w:rPr>
                <w:rFonts w:eastAsia="Bookman Old Style" w:cs="Bookman Old Style"/>
                <w:color w:val="000000" w:themeColor="text1"/>
                <w:szCs w:val="24"/>
              </w:rPr>
              <w:t>) dalam portofolio Produk Investasi, pada posisi akhir tahun.</w:t>
            </w:r>
          </w:p>
          <w:p w14:paraId="7273DDCE" w14:textId="77777777" w:rsidR="00581B22" w:rsidRPr="00306115" w:rsidRDefault="00760415">
            <w:pPr>
              <w:pStyle w:val="ListParagraph"/>
              <w:widowControl w:val="0"/>
              <w:numPr>
                <w:ilvl w:val="0"/>
                <w:numId w:val="447"/>
              </w:numPr>
              <w:pBdr>
                <w:top w:val="nil"/>
                <w:left w:val="nil"/>
                <w:bottom w:val="nil"/>
                <w:right w:val="nil"/>
                <w:between w:val="nil"/>
              </w:pBdr>
              <w:tabs>
                <w:tab w:val="left" w:pos="874"/>
              </w:tabs>
              <w:spacing w:after="0" w:line="290" w:lineRule="auto"/>
              <w:ind w:left="567" w:hanging="567"/>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 xml:space="preserve">Perhitungan dilakukan dengan membandingkan total nilai kepemilikan Efek Bersifat Utang dan/atau Sukuk yang memiliki peringkat kredit </w:t>
            </w:r>
            <w:r w:rsidRPr="00306115">
              <w:rPr>
                <w:rFonts w:eastAsia="Bookman Old Style" w:cs="Bookman Old Style"/>
                <w:i/>
                <w:iCs/>
                <w:color w:val="000000" w:themeColor="text1"/>
                <w:szCs w:val="24"/>
              </w:rPr>
              <w:t>non-investment grade</w:t>
            </w:r>
            <w:r w:rsidRPr="00306115">
              <w:rPr>
                <w:rFonts w:eastAsia="Bookman Old Style" w:cs="Bookman Old Style"/>
                <w:color w:val="000000" w:themeColor="text1"/>
                <w:szCs w:val="24"/>
              </w:rPr>
              <w:t xml:space="preserve"> pada posisi akhir tahun, terhadap total nilai keseluruhan Efek Bersifat Utang dan/atau Sukuk yang dimiliki dalam portofolio Produk Investasi pada periode yang sama, kemudian dinyatakan dalam persentase.</w:t>
            </w:r>
          </w:p>
          <w:p w14:paraId="0805B47C" w14:textId="77777777" w:rsidR="0067691F" w:rsidRPr="00306115" w:rsidRDefault="00760415">
            <w:pPr>
              <w:pStyle w:val="ListParagraph"/>
              <w:widowControl w:val="0"/>
              <w:numPr>
                <w:ilvl w:val="0"/>
                <w:numId w:val="447"/>
              </w:numPr>
              <w:pBdr>
                <w:top w:val="nil"/>
                <w:left w:val="nil"/>
                <w:bottom w:val="nil"/>
                <w:right w:val="nil"/>
                <w:between w:val="nil"/>
              </w:pBdr>
              <w:tabs>
                <w:tab w:val="left" w:pos="874"/>
              </w:tabs>
              <w:spacing w:after="0" w:line="290" w:lineRule="auto"/>
              <w:ind w:left="567" w:hanging="567"/>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 xml:space="preserve">Semakin tinggi persentase kepemilikan Efek dengan peringkat </w:t>
            </w:r>
            <w:r w:rsidRPr="00306115">
              <w:rPr>
                <w:rFonts w:eastAsia="Bookman Old Style" w:cs="Bookman Old Style"/>
                <w:i/>
                <w:iCs/>
                <w:color w:val="000000" w:themeColor="text1"/>
                <w:szCs w:val="24"/>
              </w:rPr>
              <w:t>non-</w:t>
            </w:r>
            <w:r w:rsidRPr="00306115">
              <w:rPr>
                <w:rFonts w:eastAsia="Bookman Old Style" w:cs="Bookman Old Style"/>
                <w:i/>
                <w:iCs/>
                <w:color w:val="000000" w:themeColor="text1"/>
                <w:szCs w:val="24"/>
              </w:rPr>
              <w:lastRenderedPageBreak/>
              <w:t>investment grade</w:t>
            </w:r>
            <w:r w:rsidRPr="00306115">
              <w:rPr>
                <w:rFonts w:eastAsia="Bookman Old Style" w:cs="Bookman Old Style"/>
                <w:color w:val="000000" w:themeColor="text1"/>
                <w:szCs w:val="24"/>
              </w:rPr>
              <w:t xml:space="preserve">, semakin tinggi eksposur Risiko Kredit yang dihadapi Manajer Investasi, mengingat Efek dengan peringkat tersebut memiliki probabilitas gagal bayar yang lebih besar dan/atau tingkat likuiditas perdagangan yang umumnya lebih rendah dibandingkan Efek dengan peringkat </w:t>
            </w:r>
            <w:r w:rsidRPr="00306115">
              <w:rPr>
                <w:rFonts w:eastAsia="Bookman Old Style" w:cs="Bookman Old Style"/>
                <w:i/>
                <w:iCs/>
                <w:color w:val="000000" w:themeColor="text1"/>
                <w:szCs w:val="24"/>
              </w:rPr>
              <w:t>investment grade</w:t>
            </w:r>
            <w:r w:rsidRPr="00306115">
              <w:rPr>
                <w:rFonts w:eastAsia="Bookman Old Style" w:cs="Bookman Old Style"/>
                <w:color w:val="000000" w:themeColor="text1"/>
                <w:szCs w:val="24"/>
              </w:rPr>
              <w:t>.</w:t>
            </w:r>
          </w:p>
          <w:p w14:paraId="6F7426EE" w14:textId="57663B81" w:rsidR="00760415" w:rsidRPr="00306115" w:rsidRDefault="00760415">
            <w:pPr>
              <w:pStyle w:val="ListParagraph"/>
              <w:widowControl w:val="0"/>
              <w:numPr>
                <w:ilvl w:val="0"/>
                <w:numId w:val="447"/>
              </w:numPr>
              <w:pBdr>
                <w:top w:val="nil"/>
                <w:left w:val="nil"/>
                <w:bottom w:val="nil"/>
                <w:right w:val="nil"/>
                <w:between w:val="nil"/>
              </w:pBdr>
              <w:tabs>
                <w:tab w:val="left" w:pos="874"/>
              </w:tabs>
              <w:spacing w:after="0" w:line="290" w:lineRule="auto"/>
              <w:ind w:left="567" w:hanging="567"/>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Formula perhitungan yang digunakan sebagai berikut:</w:t>
            </w:r>
          </w:p>
          <w:p w14:paraId="560665EE" w14:textId="77777777" w:rsidR="00760415" w:rsidRPr="00306115" w:rsidRDefault="00760415" w:rsidP="00760415">
            <w:pPr>
              <w:widowControl w:val="0"/>
              <w:pBdr>
                <w:top w:val="nil"/>
                <w:left w:val="nil"/>
                <w:bottom w:val="nil"/>
                <w:right w:val="nil"/>
                <w:between w:val="nil"/>
              </w:pBdr>
              <w:tabs>
                <w:tab w:val="left" w:pos="278"/>
              </w:tabs>
              <w:spacing w:after="120" w:line="290" w:lineRule="auto"/>
              <w:ind w:left="552" w:right="87"/>
              <w:rPr>
                <w:rFonts w:eastAsia="Bookman Old Style" w:cs="Bookman Old Style"/>
                <w:color w:val="000000" w:themeColor="text1"/>
                <w:szCs w:val="24"/>
              </w:rPr>
            </w:pPr>
            <w:r w:rsidRPr="00306115">
              <w:rPr>
                <w:rFonts w:eastAsia="Bookman Old Style" w:cs="Bookman Old Style"/>
                <w:color w:val="000000" w:themeColor="text1"/>
                <w:szCs w:val="24"/>
              </w:rPr>
              <w:t xml:space="preserve">% Non Investment Grade = </w:t>
            </w:r>
          </w:p>
          <w:p w14:paraId="4E8143D6" w14:textId="77777777" w:rsidR="00760415" w:rsidRPr="00306115" w:rsidRDefault="00DD3739" w:rsidP="00760415">
            <w:pPr>
              <w:widowControl w:val="0"/>
              <w:pBdr>
                <w:top w:val="nil"/>
                <w:left w:val="nil"/>
                <w:bottom w:val="nil"/>
                <w:right w:val="nil"/>
                <w:between w:val="nil"/>
              </w:pBdr>
              <w:tabs>
                <w:tab w:val="left" w:pos="278"/>
              </w:tabs>
              <w:spacing w:after="120" w:line="290" w:lineRule="auto"/>
              <w:ind w:left="269" w:right="87"/>
              <w:rPr>
                <w:rFonts w:eastAsia="Bookman Old Style" w:cs="Bookman Old Style"/>
                <w:color w:val="000000" w:themeColor="text1"/>
                <w:szCs w:val="24"/>
              </w:rPr>
            </w:pPr>
            <m:oMathPara>
              <m:oMath>
                <m:nary>
                  <m:naryPr>
                    <m:chr m:val="∑"/>
                    <m:ctrlPr>
                      <w:rPr>
                        <w:rFonts w:ascii="Cambria Math" w:hAnsi="Cambria Math"/>
                        <w:color w:val="000000" w:themeColor="text1"/>
                        <w:sz w:val="18"/>
                        <w:szCs w:val="18"/>
                      </w:rPr>
                    </m:ctrlPr>
                  </m:naryPr>
                  <m:sub/>
                  <m:sup/>
                  <m:e/>
                </m:nary>
                <m:r>
                  <w:rPr>
                    <w:rFonts w:ascii="Cambria Math" w:eastAsia="Cambria Math" w:hAnsi="Cambria Math" w:cs="Cambria Math"/>
                    <w:color w:val="000000" w:themeColor="text1"/>
                    <w:sz w:val="18"/>
                    <w:szCs w:val="18"/>
                  </w:rPr>
                  <m:t xml:space="preserve"> </m:t>
                </m:r>
                <m:f>
                  <m:fPr>
                    <m:ctrlPr>
                      <w:rPr>
                        <w:rFonts w:ascii="Cambria Math" w:eastAsia="Cambria Math" w:hAnsi="Cambria Math" w:cs="Cambria Math"/>
                        <w:color w:val="000000" w:themeColor="text1"/>
                        <w:sz w:val="18"/>
                        <w:szCs w:val="18"/>
                      </w:rPr>
                    </m:ctrlPr>
                  </m:fPr>
                  <m:num>
                    <m:r>
                      <w:rPr>
                        <w:rFonts w:ascii="Cambria Math" w:eastAsia="Cambria Math" w:hAnsi="Cambria Math" w:cs="Cambria Math"/>
                        <w:color w:val="000000" w:themeColor="text1"/>
                        <w:sz w:val="18"/>
                        <w:szCs w:val="18"/>
                      </w:rPr>
                      <m:t>Nilai</m:t>
                    </m:r>
                    <m:r>
                      <w:rPr>
                        <w:rFonts w:ascii="Cambria Math" w:eastAsia="Cambria Math" w:hAnsi="Cambria Math" w:cs="Cambria Math"/>
                        <w:color w:val="000000" w:themeColor="text1"/>
                        <w:sz w:val="18"/>
                        <w:szCs w:val="18"/>
                      </w:rPr>
                      <m:t xml:space="preserve"> </m:t>
                    </m:r>
                    <m:r>
                      <w:rPr>
                        <w:rFonts w:ascii="Cambria Math" w:eastAsia="Cambria Math" w:hAnsi="Cambria Math" w:cs="Cambria Math"/>
                        <w:color w:val="000000" w:themeColor="text1"/>
                        <w:sz w:val="18"/>
                        <w:szCs w:val="18"/>
                      </w:rPr>
                      <m:t>kepemilikan</m:t>
                    </m:r>
                    <m:r>
                      <w:rPr>
                        <w:rFonts w:ascii="Cambria Math" w:eastAsia="Cambria Math" w:hAnsi="Cambria Math" w:cs="Cambria Math"/>
                        <w:color w:val="000000" w:themeColor="text1"/>
                        <w:sz w:val="18"/>
                        <w:szCs w:val="18"/>
                      </w:rPr>
                      <m:t xml:space="preserve"> </m:t>
                    </m:r>
                    <m:r>
                      <w:rPr>
                        <w:rFonts w:ascii="Cambria Math" w:eastAsia="Cambria Math" w:hAnsi="Cambria Math" w:cs="Cambria Math"/>
                        <w:color w:val="000000" w:themeColor="text1"/>
                        <w:sz w:val="18"/>
                        <w:szCs w:val="18"/>
                      </w:rPr>
                      <m:t>Efek</m:t>
                    </m:r>
                    <m:r>
                      <w:rPr>
                        <w:rFonts w:ascii="Cambria Math" w:eastAsia="Cambria Math" w:hAnsi="Cambria Math" w:cs="Cambria Math"/>
                        <w:color w:val="000000" w:themeColor="text1"/>
                        <w:sz w:val="18"/>
                        <w:szCs w:val="18"/>
                      </w:rPr>
                      <m:t xml:space="preserve"> </m:t>
                    </m:r>
                    <m:r>
                      <w:rPr>
                        <w:rFonts w:ascii="Cambria Math" w:eastAsia="Cambria Math" w:hAnsi="Cambria Math" w:cs="Cambria Math"/>
                        <w:color w:val="000000" w:themeColor="text1"/>
                        <w:sz w:val="18"/>
                        <w:szCs w:val="18"/>
                      </w:rPr>
                      <m:t>Dengan</m:t>
                    </m:r>
                    <m:r>
                      <w:rPr>
                        <w:rFonts w:ascii="Cambria Math" w:eastAsia="Cambria Math" w:hAnsi="Cambria Math" w:cs="Cambria Math"/>
                        <w:color w:val="000000" w:themeColor="text1"/>
                        <w:sz w:val="18"/>
                        <w:szCs w:val="18"/>
                      </w:rPr>
                      <m:t xml:space="preserve"> </m:t>
                    </m:r>
                    <m:r>
                      <w:rPr>
                        <w:rFonts w:ascii="Cambria Math" w:eastAsia="Cambria Math" w:hAnsi="Cambria Math" w:cs="Cambria Math"/>
                        <w:color w:val="000000" w:themeColor="text1"/>
                        <w:sz w:val="18"/>
                        <w:szCs w:val="18"/>
                      </w:rPr>
                      <m:t>Rating</m:t>
                    </m:r>
                    <m:r>
                      <w:rPr>
                        <w:rFonts w:ascii="Cambria Math" w:eastAsia="Cambria Math" w:hAnsi="Cambria Math" w:cs="Cambria Math"/>
                        <w:color w:val="000000" w:themeColor="text1"/>
                        <w:sz w:val="18"/>
                        <w:szCs w:val="18"/>
                      </w:rPr>
                      <m:t xml:space="preserve"> </m:t>
                    </m:r>
                    <m:r>
                      <w:rPr>
                        <w:rFonts w:ascii="Cambria Math" w:eastAsia="Cambria Math" w:hAnsi="Cambria Math" w:cs="Cambria Math"/>
                        <w:color w:val="000000" w:themeColor="text1"/>
                        <w:sz w:val="18"/>
                        <w:szCs w:val="18"/>
                      </w:rPr>
                      <m:t>Non</m:t>
                    </m:r>
                    <m:r>
                      <w:rPr>
                        <w:rFonts w:ascii="Cambria Math" w:eastAsia="Cambria Math" w:hAnsi="Cambria Math" w:cs="Cambria Math"/>
                        <w:color w:val="000000" w:themeColor="text1"/>
                        <w:sz w:val="18"/>
                        <w:szCs w:val="18"/>
                      </w:rPr>
                      <m:t>-</m:t>
                    </m:r>
                    <m:r>
                      <w:rPr>
                        <w:rFonts w:ascii="Cambria Math" w:eastAsia="Cambria Math" w:hAnsi="Cambria Math" w:cs="Cambria Math"/>
                        <w:color w:val="000000" w:themeColor="text1"/>
                        <w:sz w:val="18"/>
                        <w:szCs w:val="18"/>
                      </w:rPr>
                      <m:t>Investment</m:t>
                    </m:r>
                    <m:r>
                      <w:rPr>
                        <w:rFonts w:ascii="Cambria Math" w:eastAsia="Cambria Math" w:hAnsi="Cambria Math" w:cs="Cambria Math"/>
                        <w:color w:val="000000" w:themeColor="text1"/>
                        <w:sz w:val="18"/>
                        <w:szCs w:val="18"/>
                      </w:rPr>
                      <m:t xml:space="preserve"> </m:t>
                    </m:r>
                    <m:r>
                      <w:rPr>
                        <w:rFonts w:ascii="Cambria Math" w:eastAsia="Cambria Math" w:hAnsi="Cambria Math" w:cs="Cambria Math"/>
                        <w:color w:val="000000" w:themeColor="text1"/>
                        <w:sz w:val="18"/>
                        <w:szCs w:val="18"/>
                      </w:rPr>
                      <m:t>Grade</m:t>
                    </m:r>
                  </m:num>
                  <m:den>
                    <m:r>
                      <w:rPr>
                        <w:rFonts w:ascii="Cambria Math" w:eastAsia="Cambria Math" w:hAnsi="Cambria Math" w:cs="Cambria Math"/>
                        <w:color w:val="000000" w:themeColor="text1"/>
                        <w:sz w:val="18"/>
                        <w:szCs w:val="18"/>
                      </w:rPr>
                      <m:t>Total</m:t>
                    </m:r>
                    <m:r>
                      <w:rPr>
                        <w:rFonts w:ascii="Cambria Math" w:eastAsia="Cambria Math" w:hAnsi="Cambria Math" w:cs="Cambria Math"/>
                        <w:color w:val="000000" w:themeColor="text1"/>
                        <w:sz w:val="18"/>
                        <w:szCs w:val="18"/>
                      </w:rPr>
                      <m:t xml:space="preserve"> </m:t>
                    </m:r>
                    <m:r>
                      <w:rPr>
                        <w:rFonts w:ascii="Cambria Math" w:eastAsia="Cambria Math" w:hAnsi="Cambria Math" w:cs="Cambria Math"/>
                        <w:color w:val="000000" w:themeColor="text1"/>
                        <w:sz w:val="18"/>
                        <w:szCs w:val="18"/>
                      </w:rPr>
                      <m:t>nilai</m:t>
                    </m:r>
                    <m:r>
                      <w:rPr>
                        <w:rFonts w:ascii="Cambria Math" w:eastAsia="Cambria Math" w:hAnsi="Cambria Math" w:cs="Cambria Math"/>
                        <w:color w:val="000000" w:themeColor="text1"/>
                        <w:sz w:val="18"/>
                        <w:szCs w:val="18"/>
                      </w:rPr>
                      <m:t xml:space="preserve"> </m:t>
                    </m:r>
                    <m:r>
                      <w:rPr>
                        <w:rFonts w:ascii="Cambria Math" w:eastAsia="Cambria Math" w:hAnsi="Cambria Math" w:cs="Cambria Math"/>
                        <w:color w:val="000000" w:themeColor="text1"/>
                        <w:sz w:val="18"/>
                        <w:szCs w:val="18"/>
                      </w:rPr>
                      <m:t>Efek</m:t>
                    </m:r>
                    <m:r>
                      <w:rPr>
                        <w:rFonts w:ascii="Cambria Math" w:eastAsia="Cambria Math" w:hAnsi="Cambria Math" w:cs="Cambria Math"/>
                        <w:color w:val="000000" w:themeColor="text1"/>
                        <w:sz w:val="18"/>
                        <w:szCs w:val="18"/>
                      </w:rPr>
                      <m:t xml:space="preserve"> </m:t>
                    </m:r>
                    <m:r>
                      <w:rPr>
                        <w:rFonts w:ascii="Cambria Math" w:eastAsia="Cambria Math" w:hAnsi="Cambria Math" w:cs="Cambria Math"/>
                        <w:color w:val="000000" w:themeColor="text1"/>
                        <w:sz w:val="18"/>
                        <w:szCs w:val="18"/>
                      </w:rPr>
                      <m:t>Bersifat</m:t>
                    </m:r>
                    <m:r>
                      <w:rPr>
                        <w:rFonts w:ascii="Cambria Math" w:eastAsia="Cambria Math" w:hAnsi="Cambria Math" w:cs="Cambria Math"/>
                        <w:color w:val="000000" w:themeColor="text1"/>
                        <w:sz w:val="18"/>
                        <w:szCs w:val="18"/>
                      </w:rPr>
                      <m:t xml:space="preserve"> </m:t>
                    </m:r>
                    <m:r>
                      <w:rPr>
                        <w:rFonts w:ascii="Cambria Math" w:eastAsia="Cambria Math" w:hAnsi="Cambria Math" w:cs="Cambria Math"/>
                        <w:color w:val="000000" w:themeColor="text1"/>
                        <w:sz w:val="18"/>
                        <w:szCs w:val="18"/>
                      </w:rPr>
                      <m:t>Utang</m:t>
                    </m:r>
                    <m:r>
                      <w:rPr>
                        <w:rFonts w:ascii="Cambria Math" w:eastAsia="Cambria Math" w:hAnsi="Cambria Math" w:cs="Cambria Math"/>
                        <w:color w:val="000000" w:themeColor="text1"/>
                        <w:sz w:val="18"/>
                        <w:szCs w:val="18"/>
                      </w:rPr>
                      <m:t xml:space="preserve"> </m:t>
                    </m:r>
                    <m:r>
                      <w:rPr>
                        <w:rFonts w:ascii="Cambria Math" w:eastAsia="Cambria Math" w:hAnsi="Cambria Math" w:cs="Cambria Math"/>
                        <w:color w:val="000000" w:themeColor="text1"/>
                        <w:sz w:val="18"/>
                        <w:szCs w:val="18"/>
                      </w:rPr>
                      <m:t>atau</m:t>
                    </m:r>
                    <m:r>
                      <w:rPr>
                        <w:rFonts w:ascii="Cambria Math" w:eastAsia="Cambria Math" w:hAnsi="Cambria Math" w:cs="Cambria Math"/>
                        <w:color w:val="000000" w:themeColor="text1"/>
                        <w:sz w:val="18"/>
                        <w:szCs w:val="18"/>
                      </w:rPr>
                      <m:t xml:space="preserve"> </m:t>
                    </m:r>
                    <m:r>
                      <w:rPr>
                        <w:rFonts w:ascii="Cambria Math" w:eastAsia="Cambria Math" w:hAnsi="Cambria Math" w:cs="Cambria Math"/>
                        <w:color w:val="000000" w:themeColor="text1"/>
                        <w:sz w:val="18"/>
                        <w:szCs w:val="18"/>
                      </w:rPr>
                      <m:t>Sukuk</m:t>
                    </m:r>
                  </m:den>
                </m:f>
                <m:r>
                  <w:rPr>
                    <w:rFonts w:ascii="Cambria Math" w:eastAsia="Cambria Math" w:hAnsi="Cambria Math" w:cs="Cambria Math"/>
                    <w:color w:val="000000" w:themeColor="text1"/>
                    <w:sz w:val="18"/>
                    <w:szCs w:val="18"/>
                  </w:rPr>
                  <m:t>×100%</m:t>
                </m:r>
              </m:oMath>
            </m:oMathPara>
          </w:p>
          <w:p w14:paraId="5014438E" w14:textId="77777777" w:rsidR="00760415" w:rsidRPr="00306115" w:rsidRDefault="00760415">
            <w:pPr>
              <w:pStyle w:val="ListParagraph"/>
              <w:widowControl w:val="0"/>
              <w:numPr>
                <w:ilvl w:val="0"/>
                <w:numId w:val="447"/>
              </w:numPr>
              <w:pBdr>
                <w:top w:val="nil"/>
                <w:left w:val="nil"/>
                <w:bottom w:val="nil"/>
                <w:right w:val="nil"/>
                <w:between w:val="nil"/>
              </w:pBdr>
              <w:tabs>
                <w:tab w:val="left" w:pos="874"/>
              </w:tabs>
              <w:spacing w:after="0" w:line="290" w:lineRule="auto"/>
              <w:ind w:left="567" w:hanging="567"/>
              <w:contextualSpacing w:val="0"/>
              <w:rPr>
                <w:rFonts w:eastAsia="Bookman Old Style" w:cs="Bookman Old Style"/>
                <w:color w:val="000000" w:themeColor="text1"/>
                <w:szCs w:val="24"/>
              </w:rPr>
            </w:pPr>
            <w:r w:rsidRPr="00306115">
              <w:rPr>
                <w:color w:val="000000" w:themeColor="text1"/>
                <w:szCs w:val="24"/>
              </w:rPr>
              <w:t>Adapun</w:t>
            </w:r>
            <w:r w:rsidRPr="00306115">
              <w:rPr>
                <w:rFonts w:eastAsia="Bookman Old Style" w:cs="Bookman Old Style"/>
                <w:color w:val="000000" w:themeColor="text1"/>
                <w:szCs w:val="24"/>
              </w:rPr>
              <w:t xml:space="preserve"> </w:t>
            </w:r>
            <w:r w:rsidRPr="00306115">
              <w:rPr>
                <w:rFonts w:eastAsia="Bookman Old Style" w:cs="Bookman Old Style"/>
                <w:color w:val="000000" w:themeColor="text1"/>
                <w:szCs w:val="24"/>
                <w:lang w:val="en-ID"/>
              </w:rPr>
              <w:t>klasifikasi penilaian indikator ini terbagi menjadi 5 (lima) peringkat sebagai berikut:</w:t>
            </w:r>
          </w:p>
          <w:p w14:paraId="34707E1F" w14:textId="77777777" w:rsidR="00760415" w:rsidRPr="00306115" w:rsidRDefault="00760415">
            <w:pPr>
              <w:pStyle w:val="ListParagraph"/>
              <w:numPr>
                <w:ilvl w:val="0"/>
                <w:numId w:val="448"/>
              </w:numPr>
              <w:pBdr>
                <w:top w:val="nil"/>
                <w:left w:val="nil"/>
                <w:bottom w:val="nil"/>
                <w:right w:val="nil"/>
                <w:between w:val="nil"/>
              </w:pBdr>
              <w:tabs>
                <w:tab w:val="left" w:pos="440"/>
              </w:tabs>
              <w:spacing w:after="0" w:line="240" w:lineRule="auto"/>
              <w:ind w:left="851" w:hanging="284"/>
              <w:contextualSpacing w:val="0"/>
              <w:rPr>
                <w:color w:val="000000" w:themeColor="text1"/>
                <w:szCs w:val="24"/>
              </w:rPr>
            </w:pPr>
            <w:r w:rsidRPr="00306115">
              <w:rPr>
                <w:color w:val="000000" w:themeColor="text1"/>
                <w:szCs w:val="24"/>
              </w:rPr>
              <w:t>Peringkat 1: 0%</w:t>
            </w:r>
          </w:p>
          <w:p w14:paraId="5AA33570" w14:textId="77777777" w:rsidR="00760415" w:rsidRPr="00306115" w:rsidRDefault="00760415">
            <w:pPr>
              <w:pStyle w:val="ListParagraph"/>
              <w:numPr>
                <w:ilvl w:val="0"/>
                <w:numId w:val="448"/>
              </w:numPr>
              <w:pBdr>
                <w:top w:val="nil"/>
                <w:left w:val="nil"/>
                <w:bottom w:val="nil"/>
                <w:right w:val="nil"/>
                <w:between w:val="nil"/>
              </w:pBdr>
              <w:tabs>
                <w:tab w:val="left" w:pos="440"/>
              </w:tabs>
              <w:spacing w:after="0" w:line="240" w:lineRule="auto"/>
              <w:ind w:left="851" w:hanging="284"/>
              <w:contextualSpacing w:val="0"/>
              <w:rPr>
                <w:color w:val="000000" w:themeColor="text1"/>
                <w:szCs w:val="24"/>
              </w:rPr>
            </w:pPr>
            <w:r w:rsidRPr="00306115">
              <w:rPr>
                <w:color w:val="000000" w:themeColor="text1"/>
                <w:szCs w:val="24"/>
              </w:rPr>
              <w:t>Peringkat 2: 0% - ≤ 3%</w:t>
            </w:r>
          </w:p>
          <w:p w14:paraId="42460325" w14:textId="77777777" w:rsidR="00760415" w:rsidRPr="00306115" w:rsidRDefault="00760415">
            <w:pPr>
              <w:pStyle w:val="ListParagraph"/>
              <w:numPr>
                <w:ilvl w:val="0"/>
                <w:numId w:val="448"/>
              </w:numPr>
              <w:pBdr>
                <w:top w:val="nil"/>
                <w:left w:val="nil"/>
                <w:bottom w:val="nil"/>
                <w:right w:val="nil"/>
                <w:between w:val="nil"/>
              </w:pBdr>
              <w:tabs>
                <w:tab w:val="left" w:pos="440"/>
              </w:tabs>
              <w:spacing w:after="0" w:line="240" w:lineRule="auto"/>
              <w:ind w:left="851" w:hanging="284"/>
              <w:contextualSpacing w:val="0"/>
              <w:rPr>
                <w:color w:val="000000" w:themeColor="text1"/>
                <w:szCs w:val="24"/>
              </w:rPr>
            </w:pPr>
            <w:r w:rsidRPr="00306115">
              <w:rPr>
                <w:color w:val="000000" w:themeColor="text1"/>
                <w:szCs w:val="24"/>
              </w:rPr>
              <w:t>Peringkat 3: &gt; 3% - ≤ 8%</w:t>
            </w:r>
          </w:p>
          <w:p w14:paraId="12F38D24" w14:textId="77777777" w:rsidR="00760415" w:rsidRPr="00306115" w:rsidRDefault="00760415">
            <w:pPr>
              <w:pStyle w:val="ListParagraph"/>
              <w:numPr>
                <w:ilvl w:val="0"/>
                <w:numId w:val="448"/>
              </w:numPr>
              <w:pBdr>
                <w:top w:val="nil"/>
                <w:left w:val="nil"/>
                <w:bottom w:val="nil"/>
                <w:right w:val="nil"/>
                <w:between w:val="nil"/>
              </w:pBdr>
              <w:tabs>
                <w:tab w:val="left" w:pos="440"/>
              </w:tabs>
              <w:spacing w:after="0" w:line="240" w:lineRule="auto"/>
              <w:ind w:left="851" w:hanging="284"/>
              <w:contextualSpacing w:val="0"/>
              <w:rPr>
                <w:color w:val="000000" w:themeColor="text1"/>
                <w:szCs w:val="24"/>
              </w:rPr>
            </w:pPr>
            <w:r w:rsidRPr="00306115">
              <w:rPr>
                <w:color w:val="000000" w:themeColor="text1"/>
                <w:szCs w:val="24"/>
              </w:rPr>
              <w:t>Peringkat 4:  &gt; 8% - ≤15</w:t>
            </w:r>
          </w:p>
          <w:p w14:paraId="5AA74F6A" w14:textId="29735DBE" w:rsidR="00EE46E5" w:rsidRPr="00306115" w:rsidRDefault="00760415" w:rsidP="00EE46E5">
            <w:pPr>
              <w:pStyle w:val="ListParagraph"/>
              <w:numPr>
                <w:ilvl w:val="0"/>
                <w:numId w:val="448"/>
              </w:numPr>
              <w:pBdr>
                <w:top w:val="nil"/>
                <w:left w:val="nil"/>
                <w:bottom w:val="nil"/>
                <w:right w:val="nil"/>
                <w:between w:val="nil"/>
              </w:pBdr>
              <w:tabs>
                <w:tab w:val="left" w:pos="440"/>
              </w:tabs>
              <w:spacing w:after="0" w:line="240" w:lineRule="auto"/>
              <w:ind w:left="851" w:hanging="284"/>
              <w:contextualSpacing w:val="0"/>
              <w:rPr>
                <w:rFonts w:eastAsia="Bookman Old Style" w:cs="Bookman Old Style"/>
                <w:b/>
                <w:bCs/>
                <w:color w:val="000000" w:themeColor="text1"/>
                <w:szCs w:val="24"/>
              </w:rPr>
            </w:pPr>
            <w:r w:rsidRPr="00306115">
              <w:rPr>
                <w:color w:val="000000" w:themeColor="text1"/>
                <w:szCs w:val="24"/>
              </w:rPr>
              <w:t>Peringkat 5: &gt; 15%</w:t>
            </w:r>
          </w:p>
        </w:tc>
      </w:tr>
      <w:tr w:rsidR="006972B1" w:rsidRPr="00306115" w14:paraId="53CAAB1B" w14:textId="77777777" w:rsidTr="004C74FB">
        <w:trPr>
          <w:trHeight w:val="4882"/>
        </w:trPr>
        <w:tc>
          <w:tcPr>
            <w:tcW w:w="3261" w:type="dxa"/>
            <w:gridSpan w:val="2"/>
          </w:tcPr>
          <w:p w14:paraId="60D9C4AF" w14:textId="5A751615" w:rsidR="007E1CBA" w:rsidRPr="00306115" w:rsidRDefault="007E1CBA" w:rsidP="001D51B8">
            <w:pPr>
              <w:widowControl w:val="0"/>
              <w:pBdr>
                <w:top w:val="nil"/>
                <w:left w:val="nil"/>
                <w:bottom w:val="nil"/>
                <w:right w:val="nil"/>
                <w:between w:val="nil"/>
              </w:pBdr>
              <w:spacing w:after="0" w:line="240" w:lineRule="auto"/>
              <w:rPr>
                <w:rFonts w:eastAsia="Bookman Old Style" w:cs="Bookman Old Style"/>
                <w:strike/>
                <w:color w:val="000000" w:themeColor="text1"/>
                <w:szCs w:val="24"/>
              </w:rPr>
            </w:pPr>
            <w:bookmarkStart w:id="3" w:name="_Hlk237612592"/>
            <w:r w:rsidRPr="00306115">
              <w:rPr>
                <w:rFonts w:eastAsia="Bookman Old Style" w:cs="Bookman Old Style"/>
                <w:color w:val="000000" w:themeColor="text1"/>
                <w:szCs w:val="24"/>
              </w:rPr>
              <w:lastRenderedPageBreak/>
              <w:t>Persentase</w:t>
            </w:r>
            <w:r w:rsidRPr="00306115">
              <w:rPr>
                <w:rFonts w:eastAsia="Bookman Old Style" w:cs="Bookman Old Style"/>
                <w:color w:val="000000" w:themeColor="text1"/>
                <w:sz w:val="22"/>
              </w:rPr>
              <w:t xml:space="preserve"> (%) Nilai Investasi Tertimbang Berdasarkan Kualitas Kredit (</w:t>
            </w:r>
            <w:r w:rsidRPr="00306115">
              <w:rPr>
                <w:rFonts w:eastAsia="Bookman Old Style" w:cs="Bookman Old Style"/>
                <w:i/>
                <w:iCs/>
                <w:color w:val="000000" w:themeColor="text1"/>
                <w:sz w:val="22"/>
              </w:rPr>
              <w:t>Risk-Weighted Value</w:t>
            </w:r>
            <w:r w:rsidRPr="00306115">
              <w:rPr>
                <w:rFonts w:eastAsia="Bookman Old Style" w:cs="Bookman Old Style"/>
                <w:color w:val="000000" w:themeColor="text1"/>
                <w:sz w:val="22"/>
              </w:rPr>
              <w:t>) atas Efek Bersifat Utang dan/atau Sukuk</w:t>
            </w:r>
            <w:bookmarkEnd w:id="3"/>
          </w:p>
        </w:tc>
        <w:tc>
          <w:tcPr>
            <w:tcW w:w="2551" w:type="dxa"/>
          </w:tcPr>
          <w:p w14:paraId="4ADB31B9" w14:textId="77777777" w:rsidR="00AA7B35" w:rsidRPr="00306115" w:rsidRDefault="00AA7B35" w:rsidP="002C787E">
            <w:pPr>
              <w:widowControl w:val="0"/>
              <w:pBdr>
                <w:top w:val="nil"/>
                <w:left w:val="nil"/>
                <w:bottom w:val="nil"/>
                <w:right w:val="nil"/>
                <w:between w:val="nil"/>
              </w:pBdr>
              <w:spacing w:after="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Instrumen utang:</w:t>
            </w:r>
          </w:p>
          <w:p w14:paraId="560F6298" w14:textId="77777777" w:rsidR="00AA7B35" w:rsidRPr="00306115" w:rsidRDefault="00AA7B35" w:rsidP="002C787E">
            <w:pPr>
              <w:pStyle w:val="ListParagraph"/>
              <w:widowControl w:val="0"/>
              <w:numPr>
                <w:ilvl w:val="0"/>
                <w:numId w:val="286"/>
              </w:numPr>
              <w:pBdr>
                <w:top w:val="nil"/>
                <w:left w:val="nil"/>
                <w:bottom w:val="nil"/>
                <w:right w:val="nil"/>
                <w:between w:val="nil"/>
              </w:pBdr>
              <w:tabs>
                <w:tab w:val="left" w:pos="1016"/>
              </w:tabs>
              <w:spacing w:after="0" w:line="240" w:lineRule="auto"/>
              <w:ind w:left="567" w:hanging="567"/>
              <w:contextualSpacing w:val="0"/>
              <w:jc w:val="left"/>
              <w:rPr>
                <w:rFonts w:eastAsia="Bookman Old Style" w:cs="Bookman Old Style"/>
                <w:color w:val="000000" w:themeColor="text1"/>
                <w:szCs w:val="24"/>
              </w:rPr>
            </w:pPr>
            <w:r w:rsidRPr="00306115">
              <w:rPr>
                <w:rFonts w:eastAsia="Bookman Old Style" w:cs="Bookman Old Style"/>
                <w:color w:val="000000" w:themeColor="text1"/>
                <w:szCs w:val="24"/>
              </w:rPr>
              <w:t>obligasi korporasi; dan/atau</w:t>
            </w:r>
          </w:p>
          <w:p w14:paraId="61C602CE" w14:textId="6B30AD6D" w:rsidR="006972B1" w:rsidRPr="00306115" w:rsidRDefault="00AA7B35" w:rsidP="00EE46E5">
            <w:pPr>
              <w:pStyle w:val="ListParagraph"/>
              <w:widowControl w:val="0"/>
              <w:numPr>
                <w:ilvl w:val="0"/>
                <w:numId w:val="286"/>
              </w:numPr>
              <w:pBdr>
                <w:top w:val="nil"/>
                <w:left w:val="nil"/>
                <w:bottom w:val="nil"/>
                <w:right w:val="nil"/>
                <w:between w:val="nil"/>
              </w:pBdr>
              <w:tabs>
                <w:tab w:val="left" w:pos="1016"/>
              </w:tabs>
              <w:spacing w:after="0" w:line="240" w:lineRule="auto"/>
              <w:ind w:left="567" w:hanging="567"/>
              <w:jc w:val="left"/>
              <w:rPr>
                <w:rFonts w:eastAsia="Bookman Old Style" w:cs="Bookman Old Style"/>
                <w:color w:val="000000" w:themeColor="text1"/>
                <w:szCs w:val="24"/>
              </w:rPr>
            </w:pPr>
            <w:r w:rsidRPr="00306115">
              <w:rPr>
                <w:rFonts w:eastAsia="Bookman Old Style" w:cs="Bookman Old Style"/>
                <w:color w:val="000000" w:themeColor="text1"/>
                <w:szCs w:val="24"/>
              </w:rPr>
              <w:t>obligasi negara</w:t>
            </w:r>
            <w:r w:rsidR="00EE46E5" w:rsidRPr="00306115">
              <w:rPr>
                <w:rFonts w:eastAsia="Bookman Old Style" w:cs="Bookman Old Style"/>
                <w:color w:val="000000" w:themeColor="text1"/>
                <w:szCs w:val="24"/>
              </w:rPr>
              <w:t>.</w:t>
            </w:r>
          </w:p>
        </w:tc>
        <w:tc>
          <w:tcPr>
            <w:tcW w:w="8930" w:type="dxa"/>
          </w:tcPr>
          <w:p w14:paraId="4B0C1E9B" w14:textId="77777777" w:rsidR="000F2E23" w:rsidRPr="00306115" w:rsidRDefault="00B22213">
            <w:pPr>
              <w:pStyle w:val="ListParagraph"/>
              <w:widowControl w:val="0"/>
              <w:numPr>
                <w:ilvl w:val="0"/>
                <w:numId w:val="437"/>
              </w:numPr>
              <w:pBdr>
                <w:top w:val="nil"/>
                <w:left w:val="nil"/>
                <w:bottom w:val="nil"/>
                <w:right w:val="nil"/>
                <w:between w:val="nil"/>
              </w:pBdr>
              <w:tabs>
                <w:tab w:val="left" w:pos="1016"/>
              </w:tabs>
              <w:spacing w:after="0" w:line="240" w:lineRule="auto"/>
              <w:ind w:left="567" w:hanging="567"/>
              <w:contextualSpacing w:val="0"/>
              <w:rPr>
                <w:rFonts w:eastAsia="Bookman Old Style" w:cs="Bookman Old Style"/>
                <w:color w:val="000000" w:themeColor="text1"/>
                <w:sz w:val="22"/>
              </w:rPr>
            </w:pPr>
            <w:r w:rsidRPr="00306115">
              <w:rPr>
                <w:rFonts w:eastAsia="Bookman Old Style" w:cs="Bookman Old Style"/>
                <w:color w:val="000000" w:themeColor="text1"/>
                <w:sz w:val="22"/>
              </w:rPr>
              <w:t>Parameter atau indikator ini mengukur proporsi nilai investasi pada Efek Bersifat Utang dan/atau Sukuk yang telah disesuaikan (ditimbang) berdasarkan kualitas kredit (</w:t>
            </w:r>
            <w:r w:rsidRPr="00306115">
              <w:rPr>
                <w:rFonts w:eastAsia="Bookman Old Style" w:cs="Bookman Old Style"/>
                <w:i/>
                <w:iCs/>
                <w:color w:val="000000" w:themeColor="text1"/>
                <w:sz w:val="22"/>
              </w:rPr>
              <w:t>credit rating</w:t>
            </w:r>
            <w:r w:rsidRPr="00306115">
              <w:rPr>
                <w:rFonts w:eastAsia="Bookman Old Style" w:cs="Bookman Old Style"/>
                <w:color w:val="000000" w:themeColor="text1"/>
                <w:sz w:val="22"/>
              </w:rPr>
              <w:t>) masing-masing Efek, dibandingkan dengan total nilai pasar investasi pada Efek Bersifat Utang dan/atau Sukuk dalam portofolio Produk Investasi, pada posisi akhir tahun.</w:t>
            </w:r>
          </w:p>
          <w:p w14:paraId="508358FD" w14:textId="77777777" w:rsidR="000F2E23" w:rsidRPr="00306115" w:rsidRDefault="00B22213">
            <w:pPr>
              <w:pStyle w:val="ListParagraph"/>
              <w:widowControl w:val="0"/>
              <w:numPr>
                <w:ilvl w:val="0"/>
                <w:numId w:val="437"/>
              </w:numPr>
              <w:pBdr>
                <w:top w:val="nil"/>
                <w:left w:val="nil"/>
                <w:bottom w:val="nil"/>
                <w:right w:val="nil"/>
                <w:between w:val="nil"/>
              </w:pBdr>
              <w:tabs>
                <w:tab w:val="left" w:pos="1016"/>
              </w:tabs>
              <w:spacing w:after="0" w:line="240" w:lineRule="auto"/>
              <w:ind w:left="567" w:hanging="567"/>
              <w:contextualSpacing w:val="0"/>
              <w:rPr>
                <w:rFonts w:eastAsia="Bookman Old Style" w:cs="Bookman Old Style"/>
                <w:color w:val="000000" w:themeColor="text1"/>
                <w:sz w:val="22"/>
              </w:rPr>
            </w:pPr>
            <w:r w:rsidRPr="00306115">
              <w:rPr>
                <w:rFonts w:eastAsia="Bookman Old Style" w:cs="Bookman Old Style"/>
                <w:color w:val="000000" w:themeColor="text1"/>
                <w:sz w:val="22"/>
              </w:rPr>
              <w:t>Setiap kategori peringkat kredit memiliki bobot risiko yang mencerminkan besarnya bagian dari nilai investasi yang dianggap berisiko. Nilai Tertimbang dihitung dengan mengurangkan bagian yang berisiko tersebut dari nilai pasar investasi pada kategori peringkat kredit dimaksud</w:t>
            </w:r>
            <w:r w:rsidR="000F2E23" w:rsidRPr="00306115">
              <w:rPr>
                <w:rFonts w:eastAsia="Bookman Old Style" w:cs="Bookman Old Style"/>
                <w:color w:val="000000" w:themeColor="text1"/>
                <w:sz w:val="22"/>
              </w:rPr>
              <w:t>.</w:t>
            </w:r>
          </w:p>
          <w:p w14:paraId="143ACF6F" w14:textId="77777777" w:rsidR="000F2E23" w:rsidRPr="00306115" w:rsidRDefault="00B22213">
            <w:pPr>
              <w:pStyle w:val="ListParagraph"/>
              <w:widowControl w:val="0"/>
              <w:numPr>
                <w:ilvl w:val="0"/>
                <w:numId w:val="437"/>
              </w:numPr>
              <w:pBdr>
                <w:top w:val="nil"/>
                <w:left w:val="nil"/>
                <w:bottom w:val="nil"/>
                <w:right w:val="nil"/>
                <w:between w:val="nil"/>
              </w:pBdr>
              <w:tabs>
                <w:tab w:val="left" w:pos="1016"/>
              </w:tabs>
              <w:spacing w:after="0" w:line="240" w:lineRule="auto"/>
              <w:ind w:left="567" w:hanging="567"/>
              <w:contextualSpacing w:val="0"/>
              <w:rPr>
                <w:rFonts w:eastAsia="Bookman Old Style" w:cs="Bookman Old Style"/>
                <w:color w:val="000000" w:themeColor="text1"/>
                <w:sz w:val="22"/>
              </w:rPr>
            </w:pPr>
            <w:r w:rsidRPr="00306115">
              <w:rPr>
                <w:rFonts w:eastAsia="Bookman Old Style" w:cs="Bookman Old Style"/>
                <w:color w:val="000000" w:themeColor="text1"/>
                <w:sz w:val="22"/>
                <w:lang w:val="en-ID"/>
              </w:rPr>
              <w:t>Semakin tinggi bobot risiko suatu kategori, semakin besar pengurangan yang dilakukan pada nilai investasi. Semakin rendah persentase Nilai Investasi Tertimbang, semakin tinggi eksposur Risiko Kredit Manajer Investasi.</w:t>
            </w:r>
          </w:p>
          <w:p w14:paraId="4AA7D4B8" w14:textId="1216EACF" w:rsidR="00B22213" w:rsidRPr="00306115" w:rsidRDefault="00B22213">
            <w:pPr>
              <w:pStyle w:val="ListParagraph"/>
              <w:widowControl w:val="0"/>
              <w:numPr>
                <w:ilvl w:val="0"/>
                <w:numId w:val="437"/>
              </w:numPr>
              <w:pBdr>
                <w:top w:val="nil"/>
                <w:left w:val="nil"/>
                <w:bottom w:val="nil"/>
                <w:right w:val="nil"/>
                <w:between w:val="nil"/>
              </w:pBdr>
              <w:tabs>
                <w:tab w:val="left" w:pos="1016"/>
              </w:tabs>
              <w:spacing w:after="0" w:line="240" w:lineRule="auto"/>
              <w:ind w:left="567" w:hanging="567"/>
              <w:contextualSpacing w:val="0"/>
              <w:rPr>
                <w:rFonts w:eastAsia="Bookman Old Style" w:cs="Bookman Old Style"/>
                <w:color w:val="000000" w:themeColor="text1"/>
                <w:sz w:val="22"/>
              </w:rPr>
            </w:pPr>
            <w:r w:rsidRPr="00306115">
              <w:rPr>
                <w:rFonts w:eastAsia="Bookman Old Style" w:cs="Bookman Old Style"/>
                <w:color w:val="000000" w:themeColor="text1"/>
                <w:sz w:val="22"/>
              </w:rPr>
              <w:t>Adapun acuan besaran bobot risiko dapat menggunakan tabel berikut:</w:t>
            </w:r>
          </w:p>
          <w:tbl>
            <w:tblPr>
              <w:tblStyle w:val="TableGrid"/>
              <w:tblW w:w="0" w:type="auto"/>
              <w:tblInd w:w="604" w:type="dxa"/>
              <w:tblLayout w:type="fixed"/>
              <w:tblLook w:val="04A0" w:firstRow="1" w:lastRow="0" w:firstColumn="1" w:lastColumn="0" w:noHBand="0" w:noVBand="1"/>
            </w:tblPr>
            <w:tblGrid>
              <w:gridCol w:w="2639"/>
              <w:gridCol w:w="2126"/>
            </w:tblGrid>
            <w:tr w:rsidR="006B48F7" w:rsidRPr="00306115" w14:paraId="1B597E65" w14:textId="77777777" w:rsidTr="000036BE">
              <w:tc>
                <w:tcPr>
                  <w:tcW w:w="2639" w:type="dxa"/>
                </w:tcPr>
                <w:p w14:paraId="4C46DBFC" w14:textId="7E82568D" w:rsidR="006B48F7" w:rsidRPr="00306115" w:rsidRDefault="006B48F7" w:rsidP="006B48F7">
                  <w:pPr>
                    <w:pStyle w:val="ListParagraph"/>
                    <w:widowControl w:val="0"/>
                    <w:tabs>
                      <w:tab w:val="left" w:pos="712"/>
                    </w:tabs>
                    <w:spacing w:before="81" w:line="295" w:lineRule="auto"/>
                    <w:ind w:left="0" w:right="90"/>
                    <w:jc w:val="center"/>
                    <w:rPr>
                      <w:rFonts w:eastAsia="Bookman Old Style" w:cs="Bookman Old Style"/>
                      <w:color w:val="000000" w:themeColor="text1"/>
                      <w:sz w:val="22"/>
                    </w:rPr>
                  </w:pPr>
                  <w:r w:rsidRPr="00306115">
                    <w:rPr>
                      <w:rFonts w:eastAsia="Bookman Old Style" w:cs="Bookman Old Style"/>
                      <w:color w:val="000000" w:themeColor="text1"/>
                      <w:sz w:val="22"/>
                    </w:rPr>
                    <w:t>Peringkat Instrumen</w:t>
                  </w:r>
                </w:p>
              </w:tc>
              <w:tc>
                <w:tcPr>
                  <w:tcW w:w="2126" w:type="dxa"/>
                </w:tcPr>
                <w:p w14:paraId="557241F7" w14:textId="2C5050A7" w:rsidR="006B48F7" w:rsidRPr="00306115" w:rsidRDefault="006B48F7" w:rsidP="006B48F7">
                  <w:pPr>
                    <w:pStyle w:val="ListParagraph"/>
                    <w:widowControl w:val="0"/>
                    <w:tabs>
                      <w:tab w:val="left" w:pos="712"/>
                    </w:tabs>
                    <w:spacing w:before="81" w:line="295" w:lineRule="auto"/>
                    <w:ind w:left="0" w:right="90"/>
                    <w:jc w:val="center"/>
                    <w:rPr>
                      <w:rFonts w:eastAsia="Bookman Old Style" w:cs="Bookman Old Style"/>
                      <w:color w:val="000000" w:themeColor="text1"/>
                      <w:sz w:val="22"/>
                    </w:rPr>
                  </w:pPr>
                  <w:r w:rsidRPr="00306115">
                    <w:rPr>
                      <w:rFonts w:eastAsia="Bookman Old Style" w:cs="Bookman Old Style"/>
                      <w:color w:val="000000" w:themeColor="text1"/>
                      <w:sz w:val="22"/>
                    </w:rPr>
                    <w:t>Bobot Risiko</w:t>
                  </w:r>
                </w:p>
              </w:tc>
            </w:tr>
            <w:tr w:rsidR="00B22213" w:rsidRPr="00306115" w14:paraId="31E00F66" w14:textId="77777777" w:rsidTr="000036BE">
              <w:tc>
                <w:tcPr>
                  <w:tcW w:w="2639" w:type="dxa"/>
                </w:tcPr>
                <w:p w14:paraId="23986C7D" w14:textId="77777777" w:rsidR="00B22213" w:rsidRPr="00306115" w:rsidRDefault="00B22213" w:rsidP="00B22213">
                  <w:pPr>
                    <w:pStyle w:val="ListParagraph"/>
                    <w:widowControl w:val="0"/>
                    <w:tabs>
                      <w:tab w:val="left" w:pos="712"/>
                    </w:tabs>
                    <w:spacing w:before="81" w:line="295" w:lineRule="auto"/>
                    <w:ind w:left="0" w:right="90"/>
                    <w:rPr>
                      <w:rFonts w:eastAsia="Bookman Old Style" w:cs="Bookman Old Style"/>
                      <w:color w:val="000000" w:themeColor="text1"/>
                      <w:sz w:val="22"/>
                    </w:rPr>
                  </w:pPr>
                  <w:r w:rsidRPr="00306115">
                    <w:rPr>
                      <w:rFonts w:eastAsia="Bookman Old Style" w:cs="Bookman Old Style"/>
                      <w:color w:val="000000" w:themeColor="text1"/>
                      <w:sz w:val="22"/>
                    </w:rPr>
                    <w:t xml:space="preserve">AAA </w:t>
                  </w:r>
                </w:p>
              </w:tc>
              <w:tc>
                <w:tcPr>
                  <w:tcW w:w="2126" w:type="dxa"/>
                </w:tcPr>
                <w:p w14:paraId="2986C27D" w14:textId="77777777" w:rsidR="00B22213" w:rsidRPr="00306115" w:rsidRDefault="00B22213" w:rsidP="00B22213">
                  <w:pPr>
                    <w:pStyle w:val="ListParagraph"/>
                    <w:widowControl w:val="0"/>
                    <w:tabs>
                      <w:tab w:val="left" w:pos="712"/>
                    </w:tabs>
                    <w:spacing w:before="81" w:line="295" w:lineRule="auto"/>
                    <w:ind w:left="0" w:right="90"/>
                    <w:rPr>
                      <w:rFonts w:eastAsia="Bookman Old Style" w:cs="Bookman Old Style"/>
                      <w:color w:val="000000" w:themeColor="text1"/>
                      <w:sz w:val="22"/>
                    </w:rPr>
                  </w:pPr>
                  <w:r w:rsidRPr="00306115">
                    <w:rPr>
                      <w:rFonts w:eastAsia="Bookman Old Style" w:cs="Bookman Old Style"/>
                      <w:color w:val="000000" w:themeColor="text1"/>
                      <w:sz w:val="22"/>
                    </w:rPr>
                    <w:t>5%</w:t>
                  </w:r>
                </w:p>
              </w:tc>
            </w:tr>
            <w:tr w:rsidR="00B22213" w:rsidRPr="00306115" w14:paraId="73D02854" w14:textId="77777777" w:rsidTr="000036BE">
              <w:tc>
                <w:tcPr>
                  <w:tcW w:w="2639" w:type="dxa"/>
                </w:tcPr>
                <w:p w14:paraId="7BBB9BA9" w14:textId="77777777" w:rsidR="00B22213" w:rsidRPr="00306115" w:rsidRDefault="00B22213" w:rsidP="00B22213">
                  <w:pPr>
                    <w:pStyle w:val="ListParagraph"/>
                    <w:widowControl w:val="0"/>
                    <w:tabs>
                      <w:tab w:val="left" w:pos="712"/>
                    </w:tabs>
                    <w:spacing w:before="81" w:line="295" w:lineRule="auto"/>
                    <w:ind w:left="0" w:right="90"/>
                    <w:rPr>
                      <w:rFonts w:eastAsia="Bookman Old Style" w:cs="Bookman Old Style"/>
                      <w:color w:val="000000" w:themeColor="text1"/>
                      <w:sz w:val="22"/>
                    </w:rPr>
                  </w:pPr>
                  <w:r w:rsidRPr="00306115">
                    <w:rPr>
                      <w:rFonts w:eastAsia="Bookman Old Style" w:cs="Bookman Old Style"/>
                      <w:color w:val="000000" w:themeColor="text1"/>
                      <w:sz w:val="22"/>
                    </w:rPr>
                    <w:t>AA s.d &lt;AAA</w:t>
                  </w:r>
                </w:p>
              </w:tc>
              <w:tc>
                <w:tcPr>
                  <w:tcW w:w="2126" w:type="dxa"/>
                </w:tcPr>
                <w:p w14:paraId="674F99E7" w14:textId="77777777" w:rsidR="00B22213" w:rsidRPr="00306115" w:rsidRDefault="00B22213" w:rsidP="00B22213">
                  <w:pPr>
                    <w:pStyle w:val="ListParagraph"/>
                    <w:widowControl w:val="0"/>
                    <w:tabs>
                      <w:tab w:val="left" w:pos="712"/>
                    </w:tabs>
                    <w:spacing w:before="81" w:line="295" w:lineRule="auto"/>
                    <w:ind w:left="0" w:right="90"/>
                    <w:rPr>
                      <w:rFonts w:eastAsia="Bookman Old Style" w:cs="Bookman Old Style"/>
                      <w:color w:val="000000" w:themeColor="text1"/>
                      <w:sz w:val="22"/>
                    </w:rPr>
                  </w:pPr>
                  <w:r w:rsidRPr="00306115">
                    <w:rPr>
                      <w:rFonts w:eastAsia="Bookman Old Style" w:cs="Bookman Old Style"/>
                      <w:color w:val="000000" w:themeColor="text1"/>
                      <w:sz w:val="22"/>
                    </w:rPr>
                    <w:t>15%</w:t>
                  </w:r>
                </w:p>
              </w:tc>
            </w:tr>
            <w:tr w:rsidR="00B22213" w:rsidRPr="00306115" w14:paraId="7CD415BF" w14:textId="77777777" w:rsidTr="000036BE">
              <w:tc>
                <w:tcPr>
                  <w:tcW w:w="2639" w:type="dxa"/>
                </w:tcPr>
                <w:p w14:paraId="13A8108F" w14:textId="77777777" w:rsidR="00B22213" w:rsidRPr="00306115" w:rsidRDefault="00B22213" w:rsidP="00B22213">
                  <w:pPr>
                    <w:pStyle w:val="ListParagraph"/>
                    <w:widowControl w:val="0"/>
                    <w:tabs>
                      <w:tab w:val="left" w:pos="712"/>
                    </w:tabs>
                    <w:spacing w:before="81" w:line="295" w:lineRule="auto"/>
                    <w:ind w:left="0" w:right="90"/>
                    <w:rPr>
                      <w:rFonts w:eastAsia="Bookman Old Style" w:cs="Bookman Old Style"/>
                      <w:color w:val="000000" w:themeColor="text1"/>
                      <w:sz w:val="22"/>
                    </w:rPr>
                  </w:pPr>
                  <w:r w:rsidRPr="00306115">
                    <w:rPr>
                      <w:rFonts w:eastAsia="Bookman Old Style" w:cs="Bookman Old Style"/>
                      <w:color w:val="000000" w:themeColor="text1"/>
                      <w:sz w:val="22"/>
                    </w:rPr>
                    <w:t>A s.d. &lt;AA</w:t>
                  </w:r>
                </w:p>
              </w:tc>
              <w:tc>
                <w:tcPr>
                  <w:tcW w:w="2126" w:type="dxa"/>
                </w:tcPr>
                <w:p w14:paraId="3190031C" w14:textId="77777777" w:rsidR="00B22213" w:rsidRPr="00306115" w:rsidRDefault="00B22213" w:rsidP="00B22213">
                  <w:pPr>
                    <w:pStyle w:val="ListParagraph"/>
                    <w:widowControl w:val="0"/>
                    <w:tabs>
                      <w:tab w:val="left" w:pos="712"/>
                    </w:tabs>
                    <w:spacing w:before="81" w:line="295" w:lineRule="auto"/>
                    <w:ind w:left="0" w:right="90"/>
                    <w:rPr>
                      <w:rFonts w:eastAsia="Bookman Old Style" w:cs="Bookman Old Style"/>
                      <w:color w:val="000000" w:themeColor="text1"/>
                      <w:sz w:val="22"/>
                    </w:rPr>
                  </w:pPr>
                  <w:r w:rsidRPr="00306115">
                    <w:rPr>
                      <w:rFonts w:eastAsia="Bookman Old Style" w:cs="Bookman Old Style"/>
                      <w:color w:val="000000" w:themeColor="text1"/>
                      <w:sz w:val="22"/>
                    </w:rPr>
                    <w:t>25%</w:t>
                  </w:r>
                </w:p>
              </w:tc>
            </w:tr>
            <w:tr w:rsidR="00B22213" w:rsidRPr="00306115" w14:paraId="3964AEB7" w14:textId="77777777" w:rsidTr="000036BE">
              <w:tc>
                <w:tcPr>
                  <w:tcW w:w="2639" w:type="dxa"/>
                </w:tcPr>
                <w:p w14:paraId="6F5332A6" w14:textId="77777777" w:rsidR="00B22213" w:rsidRPr="00306115" w:rsidRDefault="00B22213" w:rsidP="00B22213">
                  <w:pPr>
                    <w:pStyle w:val="ListParagraph"/>
                    <w:widowControl w:val="0"/>
                    <w:tabs>
                      <w:tab w:val="left" w:pos="712"/>
                    </w:tabs>
                    <w:spacing w:before="81" w:line="295" w:lineRule="auto"/>
                    <w:ind w:left="0" w:right="90"/>
                    <w:rPr>
                      <w:rFonts w:eastAsia="Bookman Old Style" w:cs="Bookman Old Style"/>
                      <w:color w:val="000000" w:themeColor="text1"/>
                      <w:sz w:val="22"/>
                    </w:rPr>
                  </w:pPr>
                  <w:r w:rsidRPr="00306115">
                    <w:rPr>
                      <w:rFonts w:eastAsia="Bookman Old Style" w:cs="Bookman Old Style"/>
                      <w:color w:val="000000" w:themeColor="text1"/>
                      <w:sz w:val="22"/>
                    </w:rPr>
                    <w:t>BBB s.d. &lt;A</w:t>
                  </w:r>
                </w:p>
              </w:tc>
              <w:tc>
                <w:tcPr>
                  <w:tcW w:w="2126" w:type="dxa"/>
                </w:tcPr>
                <w:p w14:paraId="65CB0AA8" w14:textId="77777777" w:rsidR="00B22213" w:rsidRPr="00306115" w:rsidRDefault="00B22213" w:rsidP="00B22213">
                  <w:pPr>
                    <w:pStyle w:val="ListParagraph"/>
                    <w:widowControl w:val="0"/>
                    <w:tabs>
                      <w:tab w:val="left" w:pos="712"/>
                    </w:tabs>
                    <w:spacing w:before="81" w:line="295" w:lineRule="auto"/>
                    <w:ind w:left="0" w:right="90"/>
                    <w:rPr>
                      <w:rFonts w:eastAsia="Bookman Old Style" w:cs="Bookman Old Style"/>
                      <w:color w:val="000000" w:themeColor="text1"/>
                      <w:sz w:val="22"/>
                    </w:rPr>
                  </w:pPr>
                  <w:r w:rsidRPr="00306115">
                    <w:rPr>
                      <w:rFonts w:eastAsia="Bookman Old Style" w:cs="Bookman Old Style"/>
                      <w:color w:val="000000" w:themeColor="text1"/>
                      <w:sz w:val="22"/>
                    </w:rPr>
                    <w:t>35%</w:t>
                  </w:r>
                </w:p>
              </w:tc>
            </w:tr>
            <w:tr w:rsidR="00B22213" w:rsidRPr="00306115" w14:paraId="3E202FC6" w14:textId="77777777" w:rsidTr="000036BE">
              <w:tc>
                <w:tcPr>
                  <w:tcW w:w="2639" w:type="dxa"/>
                </w:tcPr>
                <w:p w14:paraId="668F7A98" w14:textId="77777777" w:rsidR="00B22213" w:rsidRPr="00306115" w:rsidRDefault="00B22213" w:rsidP="00B22213">
                  <w:pPr>
                    <w:pStyle w:val="ListParagraph"/>
                    <w:widowControl w:val="0"/>
                    <w:tabs>
                      <w:tab w:val="left" w:pos="712"/>
                    </w:tabs>
                    <w:spacing w:before="81" w:line="295" w:lineRule="auto"/>
                    <w:ind w:left="0" w:right="90"/>
                    <w:rPr>
                      <w:rFonts w:eastAsia="Bookman Old Style" w:cs="Bookman Old Style"/>
                      <w:color w:val="000000" w:themeColor="text1"/>
                      <w:sz w:val="22"/>
                    </w:rPr>
                  </w:pPr>
                  <w:r w:rsidRPr="00306115">
                    <w:rPr>
                      <w:rFonts w:eastAsia="Bookman Old Style" w:cs="Bookman Old Style"/>
                      <w:color w:val="000000" w:themeColor="text1"/>
                      <w:sz w:val="22"/>
                    </w:rPr>
                    <w:t>Kurang dari BBB-</w:t>
                  </w:r>
                </w:p>
              </w:tc>
              <w:tc>
                <w:tcPr>
                  <w:tcW w:w="2126" w:type="dxa"/>
                </w:tcPr>
                <w:p w14:paraId="295F0A70" w14:textId="77777777" w:rsidR="00B22213" w:rsidRPr="00306115" w:rsidRDefault="00B22213" w:rsidP="00B22213">
                  <w:pPr>
                    <w:pStyle w:val="ListParagraph"/>
                    <w:widowControl w:val="0"/>
                    <w:tabs>
                      <w:tab w:val="left" w:pos="712"/>
                    </w:tabs>
                    <w:spacing w:before="81" w:line="295" w:lineRule="auto"/>
                    <w:ind w:left="0" w:right="90"/>
                    <w:rPr>
                      <w:rFonts w:eastAsia="Bookman Old Style" w:cs="Bookman Old Style"/>
                      <w:color w:val="000000" w:themeColor="text1"/>
                      <w:sz w:val="22"/>
                    </w:rPr>
                  </w:pPr>
                  <w:r w:rsidRPr="00306115">
                    <w:rPr>
                      <w:rFonts w:eastAsia="Bookman Old Style" w:cs="Bookman Old Style"/>
                      <w:color w:val="000000" w:themeColor="text1"/>
                      <w:sz w:val="22"/>
                    </w:rPr>
                    <w:t>100%</w:t>
                  </w:r>
                </w:p>
              </w:tc>
            </w:tr>
          </w:tbl>
          <w:p w14:paraId="4EE1D2BE" w14:textId="77777777" w:rsidR="00F3448E" w:rsidRPr="00306115" w:rsidRDefault="00B22213">
            <w:pPr>
              <w:pStyle w:val="ListParagraph"/>
              <w:widowControl w:val="0"/>
              <w:numPr>
                <w:ilvl w:val="0"/>
                <w:numId w:val="437"/>
              </w:numPr>
              <w:pBdr>
                <w:top w:val="nil"/>
                <w:left w:val="nil"/>
                <w:bottom w:val="nil"/>
                <w:right w:val="nil"/>
                <w:between w:val="nil"/>
              </w:pBdr>
              <w:tabs>
                <w:tab w:val="left" w:pos="1016"/>
              </w:tabs>
              <w:spacing w:after="0" w:line="240" w:lineRule="auto"/>
              <w:ind w:left="567" w:hanging="567"/>
              <w:contextualSpacing w:val="0"/>
              <w:rPr>
                <w:rFonts w:eastAsia="Bookman Old Style" w:cs="Bookman Old Style"/>
                <w:color w:val="000000" w:themeColor="text1"/>
                <w:sz w:val="22"/>
              </w:rPr>
            </w:pPr>
            <w:r w:rsidRPr="00306115">
              <w:rPr>
                <w:rFonts w:eastAsia="Bookman Old Style" w:cs="Bookman Old Style"/>
                <w:color w:val="000000" w:themeColor="text1"/>
                <w:sz w:val="22"/>
              </w:rPr>
              <w:t>Perhitungan dapat dilakukan dengan langkah-langkah sebagai berikut:</w:t>
            </w:r>
          </w:p>
          <w:p w14:paraId="7D1FC018" w14:textId="77777777" w:rsidR="00D64102" w:rsidRPr="00306115" w:rsidRDefault="00B22213">
            <w:pPr>
              <w:pStyle w:val="ListParagraph"/>
              <w:widowControl w:val="0"/>
              <w:numPr>
                <w:ilvl w:val="0"/>
                <w:numId w:val="449"/>
              </w:numPr>
              <w:pBdr>
                <w:top w:val="nil"/>
                <w:left w:val="nil"/>
                <w:bottom w:val="nil"/>
                <w:right w:val="nil"/>
                <w:between w:val="nil"/>
              </w:pBdr>
              <w:tabs>
                <w:tab w:val="left" w:pos="1313"/>
              </w:tabs>
              <w:spacing w:after="0" w:line="240" w:lineRule="auto"/>
              <w:ind w:left="1134" w:hanging="567"/>
              <w:contextualSpacing w:val="0"/>
              <w:rPr>
                <w:rFonts w:eastAsia="Bookman Old Style" w:cs="Bookman Old Style"/>
                <w:color w:val="000000" w:themeColor="text1"/>
                <w:sz w:val="22"/>
              </w:rPr>
            </w:pPr>
            <w:r w:rsidRPr="00306115">
              <w:rPr>
                <w:rFonts w:eastAsia="Bookman Old Style" w:cs="Bookman Old Style"/>
                <w:color w:val="000000" w:themeColor="text1"/>
                <w:sz w:val="22"/>
              </w:rPr>
              <w:t>Langkah 1: Hitung nilai tertimbang dari setiap kategori peringkat kredit</w:t>
            </w:r>
          </w:p>
          <w:p w14:paraId="75568C47" w14:textId="322629D6" w:rsidR="00B22213" w:rsidRPr="00306115" w:rsidRDefault="00B22213" w:rsidP="00695632">
            <w:pPr>
              <w:pStyle w:val="ListParagraph"/>
              <w:widowControl w:val="0"/>
              <w:pBdr>
                <w:top w:val="nil"/>
                <w:left w:val="nil"/>
                <w:bottom w:val="nil"/>
                <w:right w:val="nil"/>
                <w:between w:val="nil"/>
              </w:pBdr>
              <w:tabs>
                <w:tab w:val="left" w:pos="1172"/>
              </w:tabs>
              <w:spacing w:after="0" w:line="240" w:lineRule="auto"/>
              <w:ind w:left="1095"/>
              <w:contextualSpacing w:val="0"/>
              <w:rPr>
                <w:rFonts w:eastAsia="Bookman Old Style" w:cs="Bookman Old Style"/>
                <w:color w:val="000000" w:themeColor="text1"/>
                <w:sz w:val="20"/>
                <w:szCs w:val="20"/>
              </w:rPr>
            </w:pPr>
            <w:r w:rsidRPr="00306115">
              <w:rPr>
                <w:rFonts w:eastAsia="Bookman Old Style" w:cs="Bookman Old Style"/>
                <w:i/>
                <w:iCs/>
                <w:color w:val="000000" w:themeColor="text1"/>
                <w:sz w:val="20"/>
                <w:szCs w:val="20"/>
              </w:rPr>
              <w:t>Nilai Tertimbang</w:t>
            </w:r>
            <w:r w:rsidRPr="00306115">
              <w:rPr>
                <w:rFonts w:eastAsia="Bookman Old Style" w:cs="Bookman Old Style"/>
                <w:i/>
                <w:iCs/>
                <w:color w:val="000000" w:themeColor="text1"/>
                <w:sz w:val="20"/>
                <w:szCs w:val="20"/>
                <w:vertAlign w:val="subscript"/>
              </w:rPr>
              <w:t xml:space="preserve">i </w:t>
            </w:r>
            <w:r w:rsidRPr="00306115">
              <w:rPr>
                <w:rFonts w:eastAsia="Bookman Old Style" w:cs="Bookman Old Style"/>
                <w:i/>
                <w:iCs/>
                <w:color w:val="000000" w:themeColor="text1"/>
                <w:sz w:val="20"/>
                <w:szCs w:val="20"/>
              </w:rPr>
              <w:t>= Nilai Pasar Investasi</w:t>
            </w:r>
            <w:r w:rsidRPr="00306115">
              <w:rPr>
                <w:rFonts w:eastAsia="Bookman Old Style" w:cs="Bookman Old Style"/>
                <w:i/>
                <w:iCs/>
                <w:color w:val="000000" w:themeColor="text1"/>
                <w:sz w:val="20"/>
                <w:szCs w:val="20"/>
                <w:vertAlign w:val="subscript"/>
              </w:rPr>
              <w:t xml:space="preserve">i  </w:t>
            </w:r>
            <w:r w:rsidRPr="00306115">
              <w:rPr>
                <w:rFonts w:eastAsia="Bookman Old Style" w:cs="Bookman Old Style"/>
                <w:i/>
                <w:iCs/>
                <w:color w:val="000000" w:themeColor="text1"/>
                <w:sz w:val="20"/>
                <w:szCs w:val="20"/>
              </w:rPr>
              <w:t>x (1- Bobot Risiko</w:t>
            </w:r>
            <w:r w:rsidRPr="00306115">
              <w:rPr>
                <w:rFonts w:eastAsia="Bookman Old Style" w:cs="Bookman Old Style"/>
                <w:i/>
                <w:iCs/>
                <w:color w:val="000000" w:themeColor="text1"/>
                <w:sz w:val="20"/>
                <w:szCs w:val="20"/>
                <w:vertAlign w:val="subscript"/>
              </w:rPr>
              <w:t>i</w:t>
            </w:r>
            <w:r w:rsidRPr="00306115">
              <w:rPr>
                <w:rFonts w:eastAsia="Bookman Old Style" w:cs="Bookman Old Style"/>
                <w:i/>
                <w:iCs/>
                <w:color w:val="000000" w:themeColor="text1"/>
                <w:sz w:val="20"/>
                <w:szCs w:val="20"/>
              </w:rPr>
              <w:t>)</w:t>
            </w:r>
          </w:p>
          <w:p w14:paraId="6FA16780" w14:textId="77777777" w:rsidR="00B22213" w:rsidRPr="00306115" w:rsidRDefault="00B22213">
            <w:pPr>
              <w:pStyle w:val="ListParagraph"/>
              <w:widowControl w:val="0"/>
              <w:numPr>
                <w:ilvl w:val="0"/>
                <w:numId w:val="449"/>
              </w:numPr>
              <w:pBdr>
                <w:top w:val="nil"/>
                <w:left w:val="nil"/>
                <w:bottom w:val="nil"/>
                <w:right w:val="nil"/>
                <w:between w:val="nil"/>
              </w:pBdr>
              <w:tabs>
                <w:tab w:val="left" w:pos="1313"/>
              </w:tabs>
              <w:spacing w:after="0" w:line="240" w:lineRule="auto"/>
              <w:ind w:left="1134" w:hanging="567"/>
              <w:contextualSpacing w:val="0"/>
              <w:rPr>
                <w:rFonts w:eastAsia="Bookman Old Style" w:cs="Bookman Old Style"/>
                <w:color w:val="000000" w:themeColor="text1"/>
                <w:sz w:val="22"/>
              </w:rPr>
            </w:pPr>
            <w:r w:rsidRPr="00306115">
              <w:rPr>
                <w:rFonts w:eastAsia="Bookman Old Style" w:cs="Bookman Old Style"/>
                <w:color w:val="000000" w:themeColor="text1"/>
                <w:sz w:val="22"/>
              </w:rPr>
              <w:t>Langkah 2: Jumlahkan seluruh nilai tertimbang, lalu bandingkan dengan total nilai investasi</w:t>
            </w:r>
          </w:p>
          <w:p w14:paraId="6423C38D" w14:textId="77777777" w:rsidR="00B22213" w:rsidRPr="00306115" w:rsidRDefault="00B22213" w:rsidP="00695632">
            <w:pPr>
              <w:pStyle w:val="ListParagraph"/>
              <w:widowControl w:val="0"/>
              <w:pBdr>
                <w:top w:val="nil"/>
                <w:left w:val="nil"/>
                <w:bottom w:val="nil"/>
                <w:right w:val="nil"/>
                <w:between w:val="nil"/>
              </w:pBdr>
              <w:tabs>
                <w:tab w:val="left" w:pos="1030"/>
              </w:tabs>
              <w:spacing w:before="81" w:line="295" w:lineRule="auto"/>
              <w:ind w:left="1172" w:right="90"/>
              <w:rPr>
                <w:rFonts w:eastAsia="Bookman Old Style" w:cs="Bookman Old Style"/>
                <w:i/>
                <w:iCs/>
                <w:color w:val="000000" w:themeColor="text1"/>
                <w:sz w:val="20"/>
                <w:szCs w:val="18"/>
              </w:rPr>
            </w:pPr>
            <w:r w:rsidRPr="00306115">
              <w:rPr>
                <w:rFonts w:eastAsia="Bookman Old Style" w:cs="Bookman Old Style"/>
                <w:i/>
                <w:iCs/>
                <w:color w:val="000000" w:themeColor="text1"/>
                <w:sz w:val="20"/>
                <w:szCs w:val="18"/>
              </w:rPr>
              <w:t xml:space="preserve">% Nilai Investasi Tertimbang = </w:t>
            </w:r>
            <m:oMath>
              <m:f>
                <m:fPr>
                  <m:ctrlPr>
                    <w:rPr>
                      <w:rFonts w:ascii="Cambria Math" w:eastAsia="Bookman Old Style" w:hAnsi="Cambria Math" w:cs="Bookman Old Style"/>
                      <w:i/>
                      <w:iCs/>
                      <w:color w:val="000000" w:themeColor="text1"/>
                      <w:sz w:val="20"/>
                      <w:szCs w:val="18"/>
                    </w:rPr>
                  </m:ctrlPr>
                </m:fPr>
                <m:num>
                  <m:nary>
                    <m:naryPr>
                      <m:chr m:val="∑"/>
                      <m:grow m:val="1"/>
                      <m:ctrlPr>
                        <w:rPr>
                          <w:rFonts w:ascii="Cambria Math" w:eastAsia="Bookman Old Style" w:hAnsi="Cambria Math" w:cs="Bookman Old Style"/>
                          <w:i/>
                          <w:iCs/>
                          <w:color w:val="000000" w:themeColor="text1"/>
                          <w:sz w:val="20"/>
                          <w:szCs w:val="18"/>
                        </w:rPr>
                      </m:ctrlPr>
                    </m:naryPr>
                    <m:sub>
                      <m:r>
                        <w:rPr>
                          <w:rFonts w:ascii="Cambria Math" w:eastAsia="Cambria Math" w:hAnsi="Cambria Math" w:cs="Cambria Math"/>
                          <w:color w:val="000000" w:themeColor="text1"/>
                          <w:sz w:val="20"/>
                          <w:szCs w:val="18"/>
                        </w:rPr>
                        <m:t>i=1</m:t>
                      </m:r>
                    </m:sub>
                    <m:sup>
                      <m:r>
                        <w:rPr>
                          <w:rFonts w:ascii="Cambria Math" w:eastAsia="Cambria Math" w:hAnsi="Cambria Math" w:cs="Cambria Math"/>
                          <w:color w:val="000000" w:themeColor="text1"/>
                          <w:sz w:val="20"/>
                          <w:szCs w:val="18"/>
                        </w:rPr>
                        <m:t>n</m:t>
                      </m:r>
                    </m:sup>
                    <m:e>
                      <m:r>
                        <w:rPr>
                          <w:rFonts w:ascii="Cambria Math" w:eastAsia="Bookman Old Style" w:hAnsi="Cambria Math" w:cs="Bookman Old Style"/>
                          <w:color w:val="000000" w:themeColor="text1"/>
                          <w:sz w:val="20"/>
                          <w:szCs w:val="18"/>
                        </w:rPr>
                        <m:t>Nilai Tertimbang i</m:t>
                      </m:r>
                    </m:e>
                  </m:nary>
                </m:num>
                <m:den>
                  <m:r>
                    <w:rPr>
                      <w:rFonts w:ascii="Cambria Math" w:eastAsia="Bookman Old Style" w:hAnsi="Cambria Math" w:cs="Bookman Old Style"/>
                      <w:color w:val="000000" w:themeColor="text1"/>
                      <w:sz w:val="20"/>
                      <w:szCs w:val="18"/>
                    </w:rPr>
                    <m:t>Total Nilai Pasar Investasi</m:t>
                  </m:r>
                </m:den>
              </m:f>
            </m:oMath>
            <w:r w:rsidRPr="00306115">
              <w:rPr>
                <w:rFonts w:eastAsia="Bookman Old Style" w:cs="Bookman Old Style"/>
                <w:i/>
                <w:iCs/>
                <w:color w:val="000000" w:themeColor="text1"/>
                <w:sz w:val="20"/>
                <w:szCs w:val="18"/>
              </w:rPr>
              <w:t xml:space="preserve"> x 100%</w:t>
            </w:r>
          </w:p>
          <w:p w14:paraId="4B11F427" w14:textId="77777777" w:rsidR="00B22213" w:rsidRPr="00306115" w:rsidRDefault="00B22213" w:rsidP="00B22213">
            <w:pPr>
              <w:pStyle w:val="ListParagraph"/>
              <w:widowControl w:val="0"/>
              <w:pBdr>
                <w:top w:val="nil"/>
                <w:left w:val="nil"/>
                <w:bottom w:val="nil"/>
                <w:right w:val="nil"/>
                <w:between w:val="nil"/>
              </w:pBdr>
              <w:tabs>
                <w:tab w:val="left" w:pos="712"/>
              </w:tabs>
              <w:spacing w:before="81" w:line="295" w:lineRule="auto"/>
              <w:ind w:right="90"/>
              <w:rPr>
                <w:rFonts w:eastAsia="Bookman Old Style" w:cs="Bookman Old Style"/>
                <w:color w:val="000000" w:themeColor="text1"/>
              </w:rPr>
            </w:pPr>
          </w:p>
          <w:p w14:paraId="0AD066A5" w14:textId="77777777" w:rsidR="00B22213" w:rsidRPr="00306115" w:rsidRDefault="00B22213">
            <w:pPr>
              <w:pStyle w:val="ListParagraph"/>
              <w:widowControl w:val="0"/>
              <w:numPr>
                <w:ilvl w:val="0"/>
                <w:numId w:val="449"/>
              </w:numPr>
              <w:pBdr>
                <w:top w:val="nil"/>
                <w:left w:val="nil"/>
                <w:bottom w:val="nil"/>
                <w:right w:val="nil"/>
                <w:between w:val="nil"/>
              </w:pBdr>
              <w:tabs>
                <w:tab w:val="left" w:pos="1313"/>
              </w:tabs>
              <w:spacing w:after="0" w:line="240" w:lineRule="auto"/>
              <w:ind w:left="1134" w:hanging="567"/>
              <w:contextualSpacing w:val="0"/>
              <w:rPr>
                <w:rFonts w:eastAsia="Bookman Old Style" w:cs="Bookman Old Style"/>
                <w:color w:val="000000" w:themeColor="text1"/>
                <w:sz w:val="22"/>
              </w:rPr>
            </w:pPr>
            <w:r w:rsidRPr="00306115">
              <w:rPr>
                <w:rFonts w:eastAsia="Bookman Old Style" w:cs="Bookman Old Style"/>
                <w:color w:val="000000" w:themeColor="text1"/>
                <w:sz w:val="22"/>
              </w:rPr>
              <w:t>Contoh perhitungan:</w:t>
            </w:r>
          </w:p>
          <w:tbl>
            <w:tblPr>
              <w:tblStyle w:val="TableGrid"/>
              <w:tblW w:w="6219" w:type="dxa"/>
              <w:tblInd w:w="1171" w:type="dxa"/>
              <w:tblLayout w:type="fixed"/>
              <w:tblLook w:val="04A0" w:firstRow="1" w:lastRow="0" w:firstColumn="1" w:lastColumn="0" w:noHBand="0" w:noVBand="1"/>
            </w:tblPr>
            <w:tblGrid>
              <w:gridCol w:w="1559"/>
              <w:gridCol w:w="1276"/>
              <w:gridCol w:w="1275"/>
              <w:gridCol w:w="993"/>
              <w:gridCol w:w="1116"/>
            </w:tblGrid>
            <w:tr w:rsidR="00B22213" w:rsidRPr="00306115" w14:paraId="74A86AF9" w14:textId="77777777" w:rsidTr="00FF77C2">
              <w:tc>
                <w:tcPr>
                  <w:tcW w:w="1559" w:type="dxa"/>
                </w:tcPr>
                <w:p w14:paraId="77FE7FAF" w14:textId="77777777" w:rsidR="00B22213" w:rsidRPr="00306115" w:rsidRDefault="00B22213" w:rsidP="00FF77C2">
                  <w:pPr>
                    <w:widowControl w:val="0"/>
                    <w:tabs>
                      <w:tab w:val="left" w:pos="712"/>
                    </w:tabs>
                    <w:ind w:left="-193" w:right="-106"/>
                    <w:jc w:val="center"/>
                    <w:rPr>
                      <w:rFonts w:eastAsia="Bookman Old Style" w:cs="Bookman Old Style"/>
                      <w:color w:val="000000" w:themeColor="text1"/>
                      <w:sz w:val="22"/>
                    </w:rPr>
                  </w:pPr>
                  <w:r w:rsidRPr="00306115">
                    <w:rPr>
                      <w:rFonts w:eastAsia="Bookman Old Style" w:cs="Bookman Old Style"/>
                      <w:color w:val="000000" w:themeColor="text1"/>
                      <w:sz w:val="22"/>
                    </w:rPr>
                    <w:t xml:space="preserve">Peringkat </w:t>
                  </w:r>
                  <w:r w:rsidRPr="00306115">
                    <w:rPr>
                      <w:rFonts w:eastAsia="Bookman Old Style" w:cs="Bookman Old Style"/>
                      <w:color w:val="000000" w:themeColor="text1"/>
                      <w:sz w:val="22"/>
                    </w:rPr>
                    <w:lastRenderedPageBreak/>
                    <w:t>Instrumen</w:t>
                  </w:r>
                </w:p>
              </w:tc>
              <w:tc>
                <w:tcPr>
                  <w:tcW w:w="1276" w:type="dxa"/>
                </w:tcPr>
                <w:p w14:paraId="7975622B" w14:textId="77777777" w:rsidR="00B22213" w:rsidRPr="00306115" w:rsidRDefault="00B22213" w:rsidP="00FF77C2">
                  <w:pPr>
                    <w:widowControl w:val="0"/>
                    <w:tabs>
                      <w:tab w:val="left" w:pos="712"/>
                    </w:tabs>
                    <w:ind w:left="-116" w:right="-109"/>
                    <w:jc w:val="center"/>
                    <w:rPr>
                      <w:rFonts w:eastAsia="Bookman Old Style" w:cs="Bookman Old Style"/>
                      <w:color w:val="000000" w:themeColor="text1"/>
                      <w:sz w:val="22"/>
                    </w:rPr>
                  </w:pPr>
                  <w:r w:rsidRPr="00306115">
                    <w:rPr>
                      <w:rFonts w:eastAsia="Bookman Old Style" w:cs="Bookman Old Style"/>
                      <w:color w:val="000000" w:themeColor="text1"/>
                      <w:sz w:val="22"/>
                    </w:rPr>
                    <w:lastRenderedPageBreak/>
                    <w:t xml:space="preserve">% </w:t>
                  </w:r>
                  <w:r w:rsidRPr="00306115">
                    <w:rPr>
                      <w:rFonts w:eastAsia="Bookman Old Style" w:cs="Bookman Old Style"/>
                      <w:color w:val="000000" w:themeColor="text1"/>
                      <w:sz w:val="22"/>
                    </w:rPr>
                    <w:lastRenderedPageBreak/>
                    <w:t>Terhadap NAB</w:t>
                  </w:r>
                </w:p>
              </w:tc>
              <w:tc>
                <w:tcPr>
                  <w:tcW w:w="1275" w:type="dxa"/>
                </w:tcPr>
                <w:p w14:paraId="274406BB" w14:textId="77777777" w:rsidR="00B22213" w:rsidRPr="00306115" w:rsidRDefault="00B22213" w:rsidP="00FF77C2">
                  <w:pPr>
                    <w:widowControl w:val="0"/>
                    <w:tabs>
                      <w:tab w:val="left" w:pos="712"/>
                    </w:tabs>
                    <w:ind w:left="-107" w:right="-112"/>
                    <w:jc w:val="center"/>
                    <w:rPr>
                      <w:rFonts w:eastAsia="Bookman Old Style" w:cs="Bookman Old Style"/>
                      <w:color w:val="000000" w:themeColor="text1"/>
                      <w:sz w:val="22"/>
                    </w:rPr>
                  </w:pPr>
                  <w:r w:rsidRPr="00306115">
                    <w:rPr>
                      <w:rFonts w:eastAsia="Bookman Old Style" w:cs="Bookman Old Style"/>
                      <w:color w:val="000000" w:themeColor="text1"/>
                      <w:sz w:val="22"/>
                    </w:rPr>
                    <w:lastRenderedPageBreak/>
                    <w:t xml:space="preserve">Nilai Pasar </w:t>
                  </w:r>
                  <w:r w:rsidRPr="00306115">
                    <w:rPr>
                      <w:rFonts w:eastAsia="Bookman Old Style" w:cs="Bookman Old Style"/>
                      <w:color w:val="000000" w:themeColor="text1"/>
                      <w:sz w:val="22"/>
                    </w:rPr>
                    <w:lastRenderedPageBreak/>
                    <w:t>Investasi (Rp Juta)</w:t>
                  </w:r>
                </w:p>
              </w:tc>
              <w:tc>
                <w:tcPr>
                  <w:tcW w:w="993" w:type="dxa"/>
                </w:tcPr>
                <w:p w14:paraId="77C2F831" w14:textId="77777777" w:rsidR="00B22213" w:rsidRPr="00306115" w:rsidRDefault="00B22213" w:rsidP="00FF77C2">
                  <w:pPr>
                    <w:widowControl w:val="0"/>
                    <w:tabs>
                      <w:tab w:val="left" w:pos="712"/>
                    </w:tabs>
                    <w:ind w:left="-119" w:right="-101"/>
                    <w:jc w:val="center"/>
                    <w:rPr>
                      <w:rFonts w:eastAsia="Bookman Old Style" w:cs="Bookman Old Style"/>
                      <w:color w:val="000000" w:themeColor="text1"/>
                      <w:sz w:val="22"/>
                    </w:rPr>
                  </w:pPr>
                  <w:r w:rsidRPr="00306115">
                    <w:rPr>
                      <w:rFonts w:eastAsia="Bookman Old Style" w:cs="Bookman Old Style"/>
                      <w:color w:val="000000" w:themeColor="text1"/>
                      <w:sz w:val="22"/>
                    </w:rPr>
                    <w:lastRenderedPageBreak/>
                    <w:t xml:space="preserve">Bobot </w:t>
                  </w:r>
                  <w:r w:rsidRPr="00306115">
                    <w:rPr>
                      <w:rFonts w:eastAsia="Bookman Old Style" w:cs="Bookman Old Style"/>
                      <w:color w:val="000000" w:themeColor="text1"/>
                      <w:sz w:val="22"/>
                    </w:rPr>
                    <w:lastRenderedPageBreak/>
                    <w:t>Risiko</w:t>
                  </w:r>
                </w:p>
              </w:tc>
              <w:tc>
                <w:tcPr>
                  <w:tcW w:w="1116" w:type="dxa"/>
                </w:tcPr>
                <w:p w14:paraId="0DB85BDA" w14:textId="77777777" w:rsidR="00B22213" w:rsidRPr="00306115" w:rsidRDefault="00B22213" w:rsidP="00FF77C2">
                  <w:pPr>
                    <w:widowControl w:val="0"/>
                    <w:tabs>
                      <w:tab w:val="left" w:pos="712"/>
                    </w:tabs>
                    <w:ind w:left="-107" w:right="-128"/>
                    <w:jc w:val="center"/>
                    <w:rPr>
                      <w:rFonts w:eastAsia="Bookman Old Style" w:cs="Bookman Old Style"/>
                      <w:color w:val="000000" w:themeColor="text1"/>
                      <w:sz w:val="22"/>
                    </w:rPr>
                  </w:pPr>
                  <w:r w:rsidRPr="00306115">
                    <w:rPr>
                      <w:rFonts w:eastAsia="Bookman Old Style" w:cs="Bookman Old Style"/>
                      <w:color w:val="000000" w:themeColor="text1"/>
                      <w:sz w:val="22"/>
                    </w:rPr>
                    <w:lastRenderedPageBreak/>
                    <w:t xml:space="preserve">Weighted </w:t>
                  </w:r>
                  <w:r w:rsidRPr="00306115">
                    <w:rPr>
                      <w:rFonts w:eastAsia="Bookman Old Style" w:cs="Bookman Old Style"/>
                      <w:color w:val="000000" w:themeColor="text1"/>
                      <w:sz w:val="22"/>
                    </w:rPr>
                    <w:lastRenderedPageBreak/>
                    <w:t>Nilai</w:t>
                  </w:r>
                </w:p>
              </w:tc>
            </w:tr>
            <w:tr w:rsidR="00B22213" w:rsidRPr="00306115" w14:paraId="23A6E151" w14:textId="77777777" w:rsidTr="00FF77C2">
              <w:tc>
                <w:tcPr>
                  <w:tcW w:w="1559" w:type="dxa"/>
                </w:tcPr>
                <w:p w14:paraId="7C1CB5CF" w14:textId="77777777" w:rsidR="00B22213" w:rsidRPr="00306115" w:rsidRDefault="00B22213" w:rsidP="00FF77C2">
                  <w:pPr>
                    <w:widowControl w:val="0"/>
                    <w:tabs>
                      <w:tab w:val="left" w:pos="712"/>
                    </w:tabs>
                    <w:rPr>
                      <w:rFonts w:eastAsia="Bookman Old Style" w:cs="Bookman Old Style"/>
                      <w:color w:val="000000" w:themeColor="text1"/>
                      <w:sz w:val="22"/>
                    </w:rPr>
                  </w:pPr>
                  <w:r w:rsidRPr="00306115">
                    <w:rPr>
                      <w:rFonts w:eastAsia="Bookman Old Style" w:cs="Bookman Old Style"/>
                      <w:color w:val="000000" w:themeColor="text1"/>
                      <w:sz w:val="22"/>
                    </w:rPr>
                    <w:lastRenderedPageBreak/>
                    <w:t xml:space="preserve">AAA </w:t>
                  </w:r>
                </w:p>
              </w:tc>
              <w:tc>
                <w:tcPr>
                  <w:tcW w:w="1276" w:type="dxa"/>
                </w:tcPr>
                <w:p w14:paraId="7477C101" w14:textId="77777777" w:rsidR="00B22213" w:rsidRPr="00306115" w:rsidRDefault="00B22213" w:rsidP="00FF77C2">
                  <w:pPr>
                    <w:widowControl w:val="0"/>
                    <w:tabs>
                      <w:tab w:val="left" w:pos="712"/>
                    </w:tabs>
                    <w:jc w:val="center"/>
                    <w:rPr>
                      <w:rFonts w:eastAsia="Bookman Old Style" w:cs="Bookman Old Style"/>
                      <w:color w:val="000000" w:themeColor="text1"/>
                      <w:sz w:val="22"/>
                    </w:rPr>
                  </w:pPr>
                  <w:r w:rsidRPr="00306115">
                    <w:rPr>
                      <w:rFonts w:eastAsia="Bookman Old Style" w:cs="Bookman Old Style"/>
                      <w:color w:val="000000" w:themeColor="text1"/>
                      <w:sz w:val="22"/>
                    </w:rPr>
                    <w:t>46,66%</w:t>
                  </w:r>
                </w:p>
              </w:tc>
              <w:tc>
                <w:tcPr>
                  <w:tcW w:w="1275" w:type="dxa"/>
                </w:tcPr>
                <w:p w14:paraId="3134387A" w14:textId="77777777" w:rsidR="00B22213" w:rsidRPr="00306115" w:rsidRDefault="00B22213" w:rsidP="00FF77C2">
                  <w:pPr>
                    <w:widowControl w:val="0"/>
                    <w:tabs>
                      <w:tab w:val="left" w:pos="712"/>
                    </w:tabs>
                    <w:jc w:val="center"/>
                    <w:rPr>
                      <w:rFonts w:eastAsia="Bookman Old Style" w:cs="Bookman Old Style"/>
                      <w:color w:val="000000" w:themeColor="text1"/>
                      <w:sz w:val="22"/>
                    </w:rPr>
                  </w:pPr>
                  <w:r w:rsidRPr="00306115">
                    <w:rPr>
                      <w:rFonts w:eastAsia="Bookman Old Style" w:cs="Bookman Old Style"/>
                      <w:color w:val="000000" w:themeColor="text1"/>
                      <w:sz w:val="22"/>
                    </w:rPr>
                    <w:t>280.000</w:t>
                  </w:r>
                </w:p>
              </w:tc>
              <w:tc>
                <w:tcPr>
                  <w:tcW w:w="993" w:type="dxa"/>
                </w:tcPr>
                <w:p w14:paraId="3B677690" w14:textId="77777777" w:rsidR="00B22213" w:rsidRPr="00306115" w:rsidRDefault="00B22213" w:rsidP="00FF77C2">
                  <w:pPr>
                    <w:widowControl w:val="0"/>
                    <w:tabs>
                      <w:tab w:val="left" w:pos="712"/>
                    </w:tabs>
                    <w:jc w:val="center"/>
                    <w:rPr>
                      <w:rFonts w:eastAsia="Bookman Old Style" w:cs="Bookman Old Style"/>
                      <w:color w:val="000000" w:themeColor="text1"/>
                      <w:sz w:val="22"/>
                    </w:rPr>
                  </w:pPr>
                  <w:r w:rsidRPr="00306115">
                    <w:rPr>
                      <w:rFonts w:eastAsia="Bookman Old Style" w:cs="Bookman Old Style"/>
                      <w:color w:val="000000" w:themeColor="text1"/>
                      <w:sz w:val="22"/>
                    </w:rPr>
                    <w:t>5%</w:t>
                  </w:r>
                </w:p>
              </w:tc>
              <w:tc>
                <w:tcPr>
                  <w:tcW w:w="1116" w:type="dxa"/>
                </w:tcPr>
                <w:p w14:paraId="0B3C4EC7" w14:textId="77777777" w:rsidR="00B22213" w:rsidRPr="00306115" w:rsidRDefault="00B22213" w:rsidP="00FF77C2">
                  <w:pPr>
                    <w:widowControl w:val="0"/>
                    <w:tabs>
                      <w:tab w:val="left" w:pos="712"/>
                    </w:tabs>
                    <w:jc w:val="center"/>
                    <w:rPr>
                      <w:rFonts w:eastAsia="Bookman Old Style" w:cs="Bookman Old Style"/>
                      <w:color w:val="000000" w:themeColor="text1"/>
                      <w:sz w:val="22"/>
                    </w:rPr>
                  </w:pPr>
                  <w:r w:rsidRPr="00306115">
                    <w:rPr>
                      <w:rFonts w:eastAsia="Bookman Old Style" w:cs="Bookman Old Style"/>
                      <w:color w:val="000000" w:themeColor="text1"/>
                      <w:sz w:val="22"/>
                    </w:rPr>
                    <w:t>266.000</w:t>
                  </w:r>
                </w:p>
              </w:tc>
            </w:tr>
            <w:tr w:rsidR="00B22213" w:rsidRPr="00306115" w14:paraId="770719E9" w14:textId="77777777" w:rsidTr="00FF77C2">
              <w:tc>
                <w:tcPr>
                  <w:tcW w:w="1559" w:type="dxa"/>
                </w:tcPr>
                <w:p w14:paraId="541E9CAB" w14:textId="77777777" w:rsidR="00B22213" w:rsidRPr="00306115" w:rsidRDefault="00B22213" w:rsidP="00FF77C2">
                  <w:pPr>
                    <w:widowControl w:val="0"/>
                    <w:tabs>
                      <w:tab w:val="left" w:pos="712"/>
                    </w:tabs>
                    <w:rPr>
                      <w:rFonts w:eastAsia="Bookman Old Style" w:cs="Bookman Old Style"/>
                      <w:color w:val="000000" w:themeColor="text1"/>
                      <w:sz w:val="22"/>
                    </w:rPr>
                  </w:pPr>
                  <w:r w:rsidRPr="00306115">
                    <w:rPr>
                      <w:rFonts w:eastAsia="Bookman Old Style" w:cs="Bookman Old Style"/>
                      <w:color w:val="000000" w:themeColor="text1"/>
                      <w:sz w:val="22"/>
                    </w:rPr>
                    <w:t>AA s.d. &lt;AAA</w:t>
                  </w:r>
                </w:p>
              </w:tc>
              <w:tc>
                <w:tcPr>
                  <w:tcW w:w="1276" w:type="dxa"/>
                </w:tcPr>
                <w:p w14:paraId="356D2776" w14:textId="77777777" w:rsidR="00B22213" w:rsidRPr="00306115" w:rsidRDefault="00B22213" w:rsidP="00FF77C2">
                  <w:pPr>
                    <w:widowControl w:val="0"/>
                    <w:tabs>
                      <w:tab w:val="left" w:pos="712"/>
                    </w:tabs>
                    <w:jc w:val="center"/>
                    <w:rPr>
                      <w:rFonts w:eastAsia="Bookman Old Style" w:cs="Bookman Old Style"/>
                      <w:color w:val="000000" w:themeColor="text1"/>
                      <w:sz w:val="22"/>
                    </w:rPr>
                  </w:pPr>
                  <w:r w:rsidRPr="00306115">
                    <w:rPr>
                      <w:rFonts w:eastAsia="Bookman Old Style" w:cs="Bookman Old Style"/>
                      <w:color w:val="000000" w:themeColor="text1"/>
                      <w:sz w:val="22"/>
                    </w:rPr>
                    <w:t>25%</w:t>
                  </w:r>
                </w:p>
              </w:tc>
              <w:tc>
                <w:tcPr>
                  <w:tcW w:w="1275" w:type="dxa"/>
                </w:tcPr>
                <w:p w14:paraId="378F9D74" w14:textId="77777777" w:rsidR="00B22213" w:rsidRPr="00306115" w:rsidRDefault="00B22213" w:rsidP="00FF77C2">
                  <w:pPr>
                    <w:widowControl w:val="0"/>
                    <w:tabs>
                      <w:tab w:val="left" w:pos="712"/>
                    </w:tabs>
                    <w:jc w:val="center"/>
                    <w:rPr>
                      <w:rFonts w:eastAsia="Bookman Old Style" w:cs="Bookman Old Style"/>
                      <w:color w:val="000000" w:themeColor="text1"/>
                      <w:sz w:val="22"/>
                    </w:rPr>
                  </w:pPr>
                  <w:r w:rsidRPr="00306115">
                    <w:rPr>
                      <w:rFonts w:eastAsia="Bookman Old Style" w:cs="Bookman Old Style"/>
                      <w:color w:val="000000" w:themeColor="text1"/>
                      <w:sz w:val="22"/>
                    </w:rPr>
                    <w:t>150.000</w:t>
                  </w:r>
                </w:p>
              </w:tc>
              <w:tc>
                <w:tcPr>
                  <w:tcW w:w="993" w:type="dxa"/>
                </w:tcPr>
                <w:p w14:paraId="1B983ED7" w14:textId="77777777" w:rsidR="00B22213" w:rsidRPr="00306115" w:rsidRDefault="00B22213" w:rsidP="00FF77C2">
                  <w:pPr>
                    <w:widowControl w:val="0"/>
                    <w:tabs>
                      <w:tab w:val="left" w:pos="712"/>
                    </w:tabs>
                    <w:jc w:val="center"/>
                    <w:rPr>
                      <w:rFonts w:eastAsia="Bookman Old Style" w:cs="Bookman Old Style"/>
                      <w:color w:val="000000" w:themeColor="text1"/>
                      <w:sz w:val="22"/>
                    </w:rPr>
                  </w:pPr>
                  <w:r w:rsidRPr="00306115">
                    <w:rPr>
                      <w:rFonts w:eastAsia="Bookman Old Style" w:cs="Bookman Old Style"/>
                      <w:color w:val="000000" w:themeColor="text1"/>
                      <w:sz w:val="22"/>
                    </w:rPr>
                    <w:t>15%</w:t>
                  </w:r>
                </w:p>
              </w:tc>
              <w:tc>
                <w:tcPr>
                  <w:tcW w:w="1116" w:type="dxa"/>
                </w:tcPr>
                <w:p w14:paraId="3AAF6D76" w14:textId="77777777" w:rsidR="00B22213" w:rsidRPr="00306115" w:rsidRDefault="00B22213" w:rsidP="00FF77C2">
                  <w:pPr>
                    <w:widowControl w:val="0"/>
                    <w:tabs>
                      <w:tab w:val="left" w:pos="712"/>
                    </w:tabs>
                    <w:jc w:val="center"/>
                    <w:rPr>
                      <w:rFonts w:eastAsia="Bookman Old Style" w:cs="Bookman Old Style"/>
                      <w:color w:val="000000" w:themeColor="text1"/>
                      <w:sz w:val="22"/>
                    </w:rPr>
                  </w:pPr>
                  <w:r w:rsidRPr="00306115">
                    <w:rPr>
                      <w:rFonts w:eastAsia="Bookman Old Style" w:cs="Bookman Old Style"/>
                      <w:color w:val="000000" w:themeColor="text1"/>
                      <w:sz w:val="22"/>
                    </w:rPr>
                    <w:t>127.500</w:t>
                  </w:r>
                </w:p>
              </w:tc>
            </w:tr>
            <w:tr w:rsidR="00B22213" w:rsidRPr="00306115" w14:paraId="3F51D561" w14:textId="77777777" w:rsidTr="00FF77C2">
              <w:tc>
                <w:tcPr>
                  <w:tcW w:w="1559" w:type="dxa"/>
                </w:tcPr>
                <w:p w14:paraId="6679FBE0" w14:textId="77777777" w:rsidR="00B22213" w:rsidRPr="00306115" w:rsidRDefault="00B22213" w:rsidP="00FF77C2">
                  <w:pPr>
                    <w:widowControl w:val="0"/>
                    <w:tabs>
                      <w:tab w:val="left" w:pos="712"/>
                    </w:tabs>
                    <w:rPr>
                      <w:rFonts w:eastAsia="Bookman Old Style" w:cs="Bookman Old Style"/>
                      <w:color w:val="000000" w:themeColor="text1"/>
                      <w:sz w:val="22"/>
                    </w:rPr>
                  </w:pPr>
                  <w:r w:rsidRPr="00306115">
                    <w:rPr>
                      <w:rFonts w:eastAsia="Bookman Old Style" w:cs="Bookman Old Style"/>
                      <w:color w:val="000000" w:themeColor="text1"/>
                      <w:sz w:val="22"/>
                    </w:rPr>
                    <w:t>BBB s.d. &lt;A</w:t>
                  </w:r>
                </w:p>
              </w:tc>
              <w:tc>
                <w:tcPr>
                  <w:tcW w:w="1276" w:type="dxa"/>
                </w:tcPr>
                <w:p w14:paraId="70C0A081" w14:textId="77777777" w:rsidR="00B22213" w:rsidRPr="00306115" w:rsidRDefault="00B22213" w:rsidP="00FF77C2">
                  <w:pPr>
                    <w:widowControl w:val="0"/>
                    <w:tabs>
                      <w:tab w:val="left" w:pos="712"/>
                    </w:tabs>
                    <w:jc w:val="center"/>
                    <w:rPr>
                      <w:rFonts w:eastAsia="Bookman Old Style" w:cs="Bookman Old Style"/>
                      <w:color w:val="000000" w:themeColor="text1"/>
                      <w:sz w:val="22"/>
                    </w:rPr>
                  </w:pPr>
                  <w:r w:rsidRPr="00306115">
                    <w:rPr>
                      <w:rFonts w:eastAsia="Bookman Old Style" w:cs="Bookman Old Style"/>
                      <w:color w:val="000000" w:themeColor="text1"/>
                      <w:sz w:val="22"/>
                    </w:rPr>
                    <w:t>20%</w:t>
                  </w:r>
                </w:p>
              </w:tc>
              <w:tc>
                <w:tcPr>
                  <w:tcW w:w="1275" w:type="dxa"/>
                </w:tcPr>
                <w:p w14:paraId="28DA76CA" w14:textId="77777777" w:rsidR="00B22213" w:rsidRPr="00306115" w:rsidRDefault="00B22213" w:rsidP="00FF77C2">
                  <w:pPr>
                    <w:widowControl w:val="0"/>
                    <w:tabs>
                      <w:tab w:val="left" w:pos="712"/>
                    </w:tabs>
                    <w:jc w:val="center"/>
                    <w:rPr>
                      <w:rFonts w:eastAsia="Bookman Old Style" w:cs="Bookman Old Style"/>
                      <w:color w:val="000000" w:themeColor="text1"/>
                      <w:sz w:val="22"/>
                    </w:rPr>
                  </w:pPr>
                  <w:r w:rsidRPr="00306115">
                    <w:rPr>
                      <w:rFonts w:eastAsia="Bookman Old Style" w:cs="Bookman Old Style"/>
                      <w:color w:val="000000" w:themeColor="text1"/>
                      <w:sz w:val="22"/>
                    </w:rPr>
                    <w:t>120.000</w:t>
                  </w:r>
                </w:p>
              </w:tc>
              <w:tc>
                <w:tcPr>
                  <w:tcW w:w="993" w:type="dxa"/>
                </w:tcPr>
                <w:p w14:paraId="600BFC05" w14:textId="77777777" w:rsidR="00B22213" w:rsidRPr="00306115" w:rsidRDefault="00B22213" w:rsidP="00FF77C2">
                  <w:pPr>
                    <w:widowControl w:val="0"/>
                    <w:tabs>
                      <w:tab w:val="left" w:pos="712"/>
                    </w:tabs>
                    <w:jc w:val="center"/>
                    <w:rPr>
                      <w:rFonts w:eastAsia="Bookman Old Style" w:cs="Bookman Old Style"/>
                      <w:color w:val="000000" w:themeColor="text1"/>
                      <w:sz w:val="22"/>
                    </w:rPr>
                  </w:pPr>
                  <w:r w:rsidRPr="00306115">
                    <w:rPr>
                      <w:rFonts w:eastAsia="Bookman Old Style" w:cs="Bookman Old Style"/>
                      <w:color w:val="000000" w:themeColor="text1"/>
                      <w:sz w:val="22"/>
                    </w:rPr>
                    <w:t>35%</w:t>
                  </w:r>
                </w:p>
              </w:tc>
              <w:tc>
                <w:tcPr>
                  <w:tcW w:w="1116" w:type="dxa"/>
                </w:tcPr>
                <w:p w14:paraId="46D04773" w14:textId="77777777" w:rsidR="00B22213" w:rsidRPr="00306115" w:rsidRDefault="00B22213" w:rsidP="00FF77C2">
                  <w:pPr>
                    <w:widowControl w:val="0"/>
                    <w:tabs>
                      <w:tab w:val="left" w:pos="712"/>
                    </w:tabs>
                    <w:jc w:val="center"/>
                    <w:rPr>
                      <w:rFonts w:eastAsia="Bookman Old Style" w:cs="Bookman Old Style"/>
                      <w:color w:val="000000" w:themeColor="text1"/>
                      <w:sz w:val="22"/>
                    </w:rPr>
                  </w:pPr>
                  <w:r w:rsidRPr="00306115">
                    <w:rPr>
                      <w:rFonts w:eastAsia="Bookman Old Style" w:cs="Bookman Old Style"/>
                      <w:color w:val="000000" w:themeColor="text1"/>
                      <w:sz w:val="22"/>
                    </w:rPr>
                    <w:t>78.000</w:t>
                  </w:r>
                </w:p>
              </w:tc>
            </w:tr>
            <w:tr w:rsidR="00B22213" w:rsidRPr="00306115" w14:paraId="5D3FC081" w14:textId="77777777" w:rsidTr="00FF77C2">
              <w:tc>
                <w:tcPr>
                  <w:tcW w:w="1559" w:type="dxa"/>
                </w:tcPr>
                <w:p w14:paraId="4173B278" w14:textId="77777777" w:rsidR="00B22213" w:rsidRPr="00306115" w:rsidRDefault="00B22213" w:rsidP="00FF77C2">
                  <w:pPr>
                    <w:widowControl w:val="0"/>
                    <w:tabs>
                      <w:tab w:val="left" w:pos="712"/>
                    </w:tabs>
                    <w:rPr>
                      <w:rFonts w:eastAsia="Bookman Old Style" w:cs="Bookman Old Style"/>
                      <w:color w:val="000000" w:themeColor="text1"/>
                      <w:sz w:val="22"/>
                    </w:rPr>
                  </w:pPr>
                  <w:r w:rsidRPr="00306115">
                    <w:rPr>
                      <w:rFonts w:eastAsia="Bookman Old Style" w:cs="Bookman Old Style"/>
                      <w:color w:val="000000" w:themeColor="text1"/>
                      <w:sz w:val="22"/>
                    </w:rPr>
                    <w:t>Kurang dari BBB-</w:t>
                  </w:r>
                </w:p>
              </w:tc>
              <w:tc>
                <w:tcPr>
                  <w:tcW w:w="1276" w:type="dxa"/>
                </w:tcPr>
                <w:p w14:paraId="0E928355" w14:textId="77777777" w:rsidR="00B22213" w:rsidRPr="00306115" w:rsidRDefault="00B22213" w:rsidP="00FF77C2">
                  <w:pPr>
                    <w:widowControl w:val="0"/>
                    <w:tabs>
                      <w:tab w:val="left" w:pos="712"/>
                    </w:tabs>
                    <w:jc w:val="center"/>
                    <w:rPr>
                      <w:rFonts w:eastAsia="Bookman Old Style" w:cs="Bookman Old Style"/>
                      <w:color w:val="000000" w:themeColor="text1"/>
                      <w:sz w:val="22"/>
                    </w:rPr>
                  </w:pPr>
                  <w:r w:rsidRPr="00306115">
                    <w:rPr>
                      <w:rFonts w:eastAsia="Bookman Old Style" w:cs="Bookman Old Style"/>
                      <w:color w:val="000000" w:themeColor="text1"/>
                      <w:sz w:val="22"/>
                    </w:rPr>
                    <w:t>8,33%</w:t>
                  </w:r>
                </w:p>
              </w:tc>
              <w:tc>
                <w:tcPr>
                  <w:tcW w:w="1275" w:type="dxa"/>
                </w:tcPr>
                <w:p w14:paraId="25C51046" w14:textId="77777777" w:rsidR="00B22213" w:rsidRPr="00306115" w:rsidRDefault="00B22213" w:rsidP="00FF77C2">
                  <w:pPr>
                    <w:widowControl w:val="0"/>
                    <w:tabs>
                      <w:tab w:val="left" w:pos="712"/>
                    </w:tabs>
                    <w:jc w:val="center"/>
                    <w:rPr>
                      <w:rFonts w:eastAsia="Bookman Old Style" w:cs="Bookman Old Style"/>
                      <w:color w:val="000000" w:themeColor="text1"/>
                      <w:sz w:val="22"/>
                    </w:rPr>
                  </w:pPr>
                  <w:r w:rsidRPr="00306115">
                    <w:rPr>
                      <w:rFonts w:eastAsia="Bookman Old Style" w:cs="Bookman Old Style"/>
                      <w:color w:val="000000" w:themeColor="text1"/>
                      <w:sz w:val="22"/>
                    </w:rPr>
                    <w:t>50.000</w:t>
                  </w:r>
                </w:p>
              </w:tc>
              <w:tc>
                <w:tcPr>
                  <w:tcW w:w="993" w:type="dxa"/>
                </w:tcPr>
                <w:p w14:paraId="140E1058" w14:textId="77777777" w:rsidR="00B22213" w:rsidRPr="00306115" w:rsidRDefault="00B22213" w:rsidP="00FF77C2">
                  <w:pPr>
                    <w:widowControl w:val="0"/>
                    <w:tabs>
                      <w:tab w:val="left" w:pos="712"/>
                    </w:tabs>
                    <w:jc w:val="center"/>
                    <w:rPr>
                      <w:rFonts w:eastAsia="Bookman Old Style" w:cs="Bookman Old Style"/>
                      <w:color w:val="000000" w:themeColor="text1"/>
                      <w:sz w:val="22"/>
                    </w:rPr>
                  </w:pPr>
                  <w:r w:rsidRPr="00306115">
                    <w:rPr>
                      <w:rFonts w:eastAsia="Bookman Old Style" w:cs="Bookman Old Style"/>
                      <w:color w:val="000000" w:themeColor="text1"/>
                      <w:sz w:val="22"/>
                    </w:rPr>
                    <w:t>100%</w:t>
                  </w:r>
                </w:p>
              </w:tc>
              <w:tc>
                <w:tcPr>
                  <w:tcW w:w="1116" w:type="dxa"/>
                </w:tcPr>
                <w:p w14:paraId="7A95BB4F" w14:textId="77777777" w:rsidR="00B22213" w:rsidRPr="00306115" w:rsidRDefault="00B22213" w:rsidP="00FF77C2">
                  <w:pPr>
                    <w:widowControl w:val="0"/>
                    <w:tabs>
                      <w:tab w:val="left" w:pos="712"/>
                    </w:tabs>
                    <w:jc w:val="center"/>
                    <w:rPr>
                      <w:rFonts w:eastAsia="Bookman Old Style" w:cs="Bookman Old Style"/>
                      <w:color w:val="000000" w:themeColor="text1"/>
                      <w:sz w:val="22"/>
                    </w:rPr>
                  </w:pPr>
                  <w:r w:rsidRPr="00306115">
                    <w:rPr>
                      <w:rFonts w:eastAsia="Bookman Old Style" w:cs="Bookman Old Style"/>
                      <w:color w:val="000000" w:themeColor="text1"/>
                      <w:sz w:val="22"/>
                    </w:rPr>
                    <w:t>0</w:t>
                  </w:r>
                </w:p>
              </w:tc>
            </w:tr>
            <w:tr w:rsidR="00B22213" w:rsidRPr="00306115" w14:paraId="2E0AA3BD" w14:textId="77777777" w:rsidTr="00FF77C2">
              <w:tc>
                <w:tcPr>
                  <w:tcW w:w="1559" w:type="dxa"/>
                </w:tcPr>
                <w:p w14:paraId="71C909F9" w14:textId="77777777" w:rsidR="00B22213" w:rsidRPr="00306115" w:rsidRDefault="00B22213" w:rsidP="00FF77C2">
                  <w:pPr>
                    <w:widowControl w:val="0"/>
                    <w:tabs>
                      <w:tab w:val="left" w:pos="712"/>
                    </w:tabs>
                    <w:rPr>
                      <w:rFonts w:eastAsia="Bookman Old Style" w:cs="Bookman Old Style"/>
                      <w:color w:val="000000" w:themeColor="text1"/>
                      <w:sz w:val="22"/>
                    </w:rPr>
                  </w:pPr>
                  <w:r w:rsidRPr="00306115">
                    <w:rPr>
                      <w:rFonts w:eastAsia="Bookman Old Style" w:cs="Bookman Old Style"/>
                      <w:color w:val="000000" w:themeColor="text1"/>
                      <w:sz w:val="22"/>
                    </w:rPr>
                    <w:t>Total</w:t>
                  </w:r>
                </w:p>
              </w:tc>
              <w:tc>
                <w:tcPr>
                  <w:tcW w:w="1276" w:type="dxa"/>
                </w:tcPr>
                <w:p w14:paraId="489091FD" w14:textId="77777777" w:rsidR="00B22213" w:rsidRPr="00306115" w:rsidRDefault="00B22213" w:rsidP="00FF77C2">
                  <w:pPr>
                    <w:widowControl w:val="0"/>
                    <w:tabs>
                      <w:tab w:val="left" w:pos="712"/>
                    </w:tabs>
                    <w:jc w:val="center"/>
                    <w:rPr>
                      <w:rFonts w:eastAsia="Bookman Old Style" w:cs="Bookman Old Style"/>
                      <w:color w:val="000000" w:themeColor="text1"/>
                      <w:sz w:val="22"/>
                    </w:rPr>
                  </w:pPr>
                  <w:r w:rsidRPr="00306115">
                    <w:rPr>
                      <w:rFonts w:eastAsia="Bookman Old Style" w:cs="Bookman Old Style"/>
                      <w:color w:val="000000" w:themeColor="text1"/>
                      <w:sz w:val="22"/>
                    </w:rPr>
                    <w:t>100%</w:t>
                  </w:r>
                </w:p>
              </w:tc>
              <w:tc>
                <w:tcPr>
                  <w:tcW w:w="1275" w:type="dxa"/>
                </w:tcPr>
                <w:p w14:paraId="6D3D6C8D" w14:textId="77777777" w:rsidR="00B22213" w:rsidRPr="00306115" w:rsidRDefault="00B22213" w:rsidP="00FF77C2">
                  <w:pPr>
                    <w:widowControl w:val="0"/>
                    <w:tabs>
                      <w:tab w:val="left" w:pos="712"/>
                    </w:tabs>
                    <w:jc w:val="center"/>
                    <w:rPr>
                      <w:rFonts w:eastAsia="Bookman Old Style" w:cs="Bookman Old Style"/>
                      <w:color w:val="000000" w:themeColor="text1"/>
                      <w:sz w:val="22"/>
                    </w:rPr>
                  </w:pPr>
                  <w:r w:rsidRPr="00306115">
                    <w:rPr>
                      <w:rFonts w:eastAsia="Bookman Old Style" w:cs="Bookman Old Style"/>
                      <w:b/>
                      <w:bCs/>
                      <w:color w:val="000000" w:themeColor="text1"/>
                      <w:sz w:val="22"/>
                    </w:rPr>
                    <w:t>600.000</w:t>
                  </w:r>
                </w:p>
              </w:tc>
              <w:tc>
                <w:tcPr>
                  <w:tcW w:w="993" w:type="dxa"/>
                </w:tcPr>
                <w:p w14:paraId="687A4EA9" w14:textId="77777777" w:rsidR="00B22213" w:rsidRPr="00306115" w:rsidRDefault="00B22213" w:rsidP="00FF77C2">
                  <w:pPr>
                    <w:widowControl w:val="0"/>
                    <w:tabs>
                      <w:tab w:val="left" w:pos="712"/>
                    </w:tabs>
                    <w:jc w:val="center"/>
                    <w:rPr>
                      <w:rFonts w:eastAsia="Bookman Old Style" w:cs="Bookman Old Style"/>
                      <w:color w:val="000000" w:themeColor="text1"/>
                      <w:sz w:val="22"/>
                    </w:rPr>
                  </w:pPr>
                </w:p>
              </w:tc>
              <w:tc>
                <w:tcPr>
                  <w:tcW w:w="1116" w:type="dxa"/>
                </w:tcPr>
                <w:p w14:paraId="3728A9E6" w14:textId="77777777" w:rsidR="00B22213" w:rsidRPr="00306115" w:rsidRDefault="00B22213" w:rsidP="00FF77C2">
                  <w:pPr>
                    <w:widowControl w:val="0"/>
                    <w:tabs>
                      <w:tab w:val="left" w:pos="712"/>
                    </w:tabs>
                    <w:jc w:val="center"/>
                    <w:rPr>
                      <w:rFonts w:eastAsia="Bookman Old Style" w:cs="Bookman Old Style"/>
                      <w:color w:val="000000" w:themeColor="text1"/>
                      <w:sz w:val="22"/>
                    </w:rPr>
                  </w:pPr>
                  <w:r w:rsidRPr="00306115">
                    <w:rPr>
                      <w:rFonts w:eastAsia="Bookman Old Style" w:cs="Bookman Old Style"/>
                      <w:b/>
                      <w:bCs/>
                      <w:color w:val="000000" w:themeColor="text1"/>
                      <w:sz w:val="22"/>
                    </w:rPr>
                    <w:t>471.500</w:t>
                  </w:r>
                </w:p>
              </w:tc>
            </w:tr>
          </w:tbl>
          <w:p w14:paraId="30C45467" w14:textId="77777777" w:rsidR="00B22213" w:rsidRPr="00306115" w:rsidRDefault="00B22213" w:rsidP="00FF77C2">
            <w:pPr>
              <w:pStyle w:val="ListParagraph"/>
              <w:widowControl w:val="0"/>
              <w:pBdr>
                <w:top w:val="nil"/>
                <w:left w:val="nil"/>
                <w:bottom w:val="nil"/>
                <w:right w:val="nil"/>
                <w:between w:val="nil"/>
              </w:pBdr>
              <w:tabs>
                <w:tab w:val="left" w:pos="1035"/>
              </w:tabs>
              <w:spacing w:before="81" w:line="295" w:lineRule="auto"/>
              <w:ind w:left="1177" w:right="90"/>
              <w:rPr>
                <w:rFonts w:eastAsia="Bookman Old Style" w:cs="Bookman Old Style"/>
                <w:color w:val="000000" w:themeColor="text1"/>
                <w:sz w:val="22"/>
              </w:rPr>
            </w:pPr>
            <w:r w:rsidRPr="00306115">
              <w:rPr>
                <w:rFonts w:eastAsia="Bookman Old Style" w:cs="Bookman Old Style"/>
                <w:color w:val="000000" w:themeColor="text1"/>
                <w:sz w:val="22"/>
              </w:rPr>
              <w:t xml:space="preserve">% Nilai Investasi Tertimbang = </w:t>
            </w:r>
            <m:oMath>
              <m:f>
                <m:fPr>
                  <m:ctrlPr>
                    <w:rPr>
                      <w:rFonts w:ascii="Cambria Math" w:eastAsia="Bookman Old Style" w:hAnsi="Cambria Math" w:cs="Bookman Old Style"/>
                      <w:i/>
                      <w:color w:val="000000" w:themeColor="text1"/>
                      <w:sz w:val="28"/>
                      <w:szCs w:val="28"/>
                    </w:rPr>
                  </m:ctrlPr>
                </m:fPr>
                <m:num>
                  <m:r>
                    <w:rPr>
                      <w:rFonts w:ascii="Cambria Math" w:eastAsia="Bookman Old Style" w:hAnsi="Cambria Math" w:cs="Bookman Old Style"/>
                      <w:color w:val="000000" w:themeColor="text1"/>
                      <w:sz w:val="28"/>
                      <w:szCs w:val="28"/>
                    </w:rPr>
                    <m:t>471.500</m:t>
                  </m:r>
                </m:num>
                <m:den>
                  <m:r>
                    <w:rPr>
                      <w:rFonts w:ascii="Cambria Math" w:eastAsia="Bookman Old Style" w:hAnsi="Cambria Math" w:cs="Bookman Old Style"/>
                      <w:color w:val="000000" w:themeColor="text1"/>
                      <w:sz w:val="28"/>
                      <w:szCs w:val="28"/>
                    </w:rPr>
                    <m:t>600.000</m:t>
                  </m:r>
                </m:den>
              </m:f>
            </m:oMath>
            <w:r w:rsidRPr="00306115">
              <w:rPr>
                <w:rFonts w:eastAsia="Bookman Old Style" w:cs="Bookman Old Style"/>
                <w:color w:val="000000" w:themeColor="text1"/>
                <w:sz w:val="28"/>
                <w:szCs w:val="28"/>
              </w:rPr>
              <w:t xml:space="preserve"> </w:t>
            </w:r>
            <w:r w:rsidRPr="00306115">
              <w:rPr>
                <w:rFonts w:eastAsia="Bookman Old Style" w:cs="Bookman Old Style"/>
                <w:color w:val="000000" w:themeColor="text1"/>
                <w:sz w:val="22"/>
              </w:rPr>
              <w:t>x 100% = 78,58%</w:t>
            </w:r>
          </w:p>
          <w:p w14:paraId="0B245F47" w14:textId="77777777" w:rsidR="00B22213" w:rsidRPr="00306115" w:rsidRDefault="00B22213">
            <w:pPr>
              <w:pStyle w:val="ListParagraph"/>
              <w:widowControl w:val="0"/>
              <w:numPr>
                <w:ilvl w:val="0"/>
                <w:numId w:val="437"/>
              </w:numPr>
              <w:pBdr>
                <w:top w:val="nil"/>
                <w:left w:val="nil"/>
                <w:bottom w:val="nil"/>
                <w:right w:val="nil"/>
                <w:between w:val="nil"/>
              </w:pBdr>
              <w:tabs>
                <w:tab w:val="left" w:pos="1016"/>
              </w:tabs>
              <w:spacing w:after="0" w:line="240" w:lineRule="auto"/>
              <w:ind w:left="567" w:hanging="567"/>
              <w:contextualSpacing w:val="0"/>
              <w:rPr>
                <w:rFonts w:eastAsia="Bookman Old Style" w:cs="Bookman Old Style"/>
                <w:color w:val="000000" w:themeColor="text1"/>
                <w:sz w:val="22"/>
              </w:rPr>
            </w:pPr>
            <w:r w:rsidRPr="00306115">
              <w:rPr>
                <w:rFonts w:eastAsia="Bookman Old Style" w:cs="Bookman Old Style"/>
                <w:color w:val="000000" w:themeColor="text1"/>
                <w:sz w:val="22"/>
              </w:rPr>
              <w:t xml:space="preserve">Adapun </w:t>
            </w:r>
            <w:r w:rsidRPr="00306115">
              <w:rPr>
                <w:rFonts w:eastAsia="Bookman Old Style" w:cs="Bookman Old Style"/>
                <w:color w:val="000000" w:themeColor="text1"/>
                <w:sz w:val="22"/>
                <w:lang w:val="en-ID"/>
              </w:rPr>
              <w:t>klasifikasi penilaian indikator ini terbagi menjadi 5 (lima) peringkat sebagai berikut:</w:t>
            </w:r>
          </w:p>
          <w:p w14:paraId="0D67E8F5" w14:textId="77777777" w:rsidR="00B22213" w:rsidRPr="00306115" w:rsidRDefault="00B22213">
            <w:pPr>
              <w:pStyle w:val="ListParagraph"/>
              <w:numPr>
                <w:ilvl w:val="0"/>
                <w:numId w:val="450"/>
              </w:numPr>
              <w:pBdr>
                <w:top w:val="nil"/>
                <w:left w:val="nil"/>
                <w:bottom w:val="nil"/>
                <w:right w:val="nil"/>
                <w:between w:val="nil"/>
              </w:pBdr>
              <w:tabs>
                <w:tab w:val="left" w:pos="440"/>
              </w:tabs>
              <w:spacing w:after="0" w:line="240" w:lineRule="auto"/>
              <w:ind w:left="851" w:hanging="284"/>
              <w:contextualSpacing w:val="0"/>
              <w:rPr>
                <w:color w:val="000000" w:themeColor="text1"/>
                <w:sz w:val="22"/>
              </w:rPr>
            </w:pPr>
            <w:r w:rsidRPr="00306115">
              <w:rPr>
                <w:color w:val="000000" w:themeColor="text1"/>
                <w:sz w:val="22"/>
              </w:rPr>
              <w:t>Peringkat 1: &gt; 90%</w:t>
            </w:r>
          </w:p>
          <w:p w14:paraId="6660C163" w14:textId="77777777" w:rsidR="00B22213" w:rsidRPr="00306115" w:rsidRDefault="00B22213">
            <w:pPr>
              <w:pStyle w:val="ListParagraph"/>
              <w:numPr>
                <w:ilvl w:val="0"/>
                <w:numId w:val="450"/>
              </w:numPr>
              <w:pBdr>
                <w:top w:val="nil"/>
                <w:left w:val="nil"/>
                <w:bottom w:val="nil"/>
                <w:right w:val="nil"/>
                <w:between w:val="nil"/>
              </w:pBdr>
              <w:tabs>
                <w:tab w:val="left" w:pos="440"/>
              </w:tabs>
              <w:spacing w:after="0" w:line="240" w:lineRule="auto"/>
              <w:ind w:left="851" w:hanging="284"/>
              <w:contextualSpacing w:val="0"/>
              <w:rPr>
                <w:color w:val="000000" w:themeColor="text1"/>
                <w:sz w:val="22"/>
              </w:rPr>
            </w:pPr>
            <w:r w:rsidRPr="00306115">
              <w:rPr>
                <w:color w:val="000000" w:themeColor="text1"/>
                <w:sz w:val="22"/>
              </w:rPr>
              <w:t>Peringkat 2: &gt; 80% - ≤ 90%</w:t>
            </w:r>
          </w:p>
          <w:p w14:paraId="28E7F09F" w14:textId="77777777" w:rsidR="00B22213" w:rsidRPr="00306115" w:rsidRDefault="00B22213">
            <w:pPr>
              <w:pStyle w:val="ListParagraph"/>
              <w:numPr>
                <w:ilvl w:val="0"/>
                <w:numId w:val="450"/>
              </w:numPr>
              <w:pBdr>
                <w:top w:val="nil"/>
                <w:left w:val="nil"/>
                <w:bottom w:val="nil"/>
                <w:right w:val="nil"/>
                <w:between w:val="nil"/>
              </w:pBdr>
              <w:tabs>
                <w:tab w:val="left" w:pos="440"/>
              </w:tabs>
              <w:spacing w:after="0" w:line="240" w:lineRule="auto"/>
              <w:ind w:left="851" w:hanging="284"/>
              <w:contextualSpacing w:val="0"/>
              <w:rPr>
                <w:color w:val="000000" w:themeColor="text1"/>
                <w:sz w:val="22"/>
              </w:rPr>
            </w:pPr>
            <w:r w:rsidRPr="00306115">
              <w:rPr>
                <w:color w:val="000000" w:themeColor="text1"/>
                <w:sz w:val="22"/>
              </w:rPr>
              <w:t>Peringkat 3: &gt; 70% - ≤ 80%</w:t>
            </w:r>
          </w:p>
          <w:p w14:paraId="5547CF26" w14:textId="77777777" w:rsidR="00FF77C2" w:rsidRPr="00306115" w:rsidRDefault="00B22213">
            <w:pPr>
              <w:pStyle w:val="ListParagraph"/>
              <w:numPr>
                <w:ilvl w:val="0"/>
                <w:numId w:val="450"/>
              </w:numPr>
              <w:pBdr>
                <w:top w:val="nil"/>
                <w:left w:val="nil"/>
                <w:bottom w:val="nil"/>
                <w:right w:val="nil"/>
                <w:between w:val="nil"/>
              </w:pBdr>
              <w:tabs>
                <w:tab w:val="left" w:pos="440"/>
              </w:tabs>
              <w:spacing w:after="0" w:line="240" w:lineRule="auto"/>
              <w:ind w:left="851" w:hanging="284"/>
              <w:contextualSpacing w:val="0"/>
              <w:rPr>
                <w:color w:val="000000" w:themeColor="text1"/>
                <w:sz w:val="22"/>
              </w:rPr>
            </w:pPr>
            <w:r w:rsidRPr="00306115">
              <w:rPr>
                <w:color w:val="000000" w:themeColor="text1"/>
                <w:sz w:val="22"/>
              </w:rPr>
              <w:t>Peringkat 4: &gt; 50% - ≤ 70%</w:t>
            </w:r>
          </w:p>
          <w:p w14:paraId="6E9135D2" w14:textId="1F4FD915" w:rsidR="00610733" w:rsidRPr="00306115" w:rsidRDefault="00B22213">
            <w:pPr>
              <w:pStyle w:val="ListParagraph"/>
              <w:numPr>
                <w:ilvl w:val="0"/>
                <w:numId w:val="450"/>
              </w:numPr>
              <w:pBdr>
                <w:top w:val="nil"/>
                <w:left w:val="nil"/>
                <w:bottom w:val="nil"/>
                <w:right w:val="nil"/>
                <w:between w:val="nil"/>
              </w:pBdr>
              <w:tabs>
                <w:tab w:val="left" w:pos="440"/>
              </w:tabs>
              <w:spacing w:after="0" w:line="240" w:lineRule="auto"/>
              <w:ind w:left="851" w:hanging="284"/>
              <w:contextualSpacing w:val="0"/>
              <w:rPr>
                <w:color w:val="000000" w:themeColor="text1"/>
                <w:sz w:val="22"/>
              </w:rPr>
            </w:pPr>
            <w:r w:rsidRPr="00306115">
              <w:rPr>
                <w:color w:val="000000" w:themeColor="text1"/>
                <w:sz w:val="22"/>
              </w:rPr>
              <w:t>Peringkat 5: ≤ 50%</w:t>
            </w:r>
          </w:p>
        </w:tc>
      </w:tr>
      <w:tr w:rsidR="006972B1" w:rsidRPr="00306115" w14:paraId="77DDE7C6" w14:textId="77777777" w:rsidTr="00EE46E5">
        <w:trPr>
          <w:trHeight w:val="1123"/>
        </w:trPr>
        <w:tc>
          <w:tcPr>
            <w:tcW w:w="3261" w:type="dxa"/>
            <w:gridSpan w:val="2"/>
          </w:tcPr>
          <w:p w14:paraId="2F07B823" w14:textId="4A43BC0F" w:rsidR="00485EB9" w:rsidRPr="00306115" w:rsidRDefault="00485EB9" w:rsidP="00485EB9">
            <w:pPr>
              <w:widowControl w:val="0"/>
              <w:pBdr>
                <w:top w:val="nil"/>
                <w:left w:val="nil"/>
                <w:bottom w:val="nil"/>
                <w:right w:val="nil"/>
                <w:between w:val="nil"/>
              </w:pBdr>
              <w:spacing w:after="0" w:line="240" w:lineRule="auto"/>
              <w:rPr>
                <w:rFonts w:eastAsia="Bookman Old Style" w:cs="Bookman Old Style"/>
                <w:i/>
                <w:iCs/>
                <w:strike/>
                <w:color w:val="000000" w:themeColor="text1"/>
                <w:szCs w:val="24"/>
              </w:rPr>
            </w:pPr>
            <w:r w:rsidRPr="00306115">
              <w:rPr>
                <w:rFonts w:eastAsia="Bookman Old Style" w:cs="Bookman Old Style"/>
                <w:color w:val="000000" w:themeColor="text1"/>
                <w:szCs w:val="24"/>
              </w:rPr>
              <w:lastRenderedPageBreak/>
              <w:t>Persentase (%)  Aset Dasar yang Gagal Bayar</w:t>
            </w:r>
            <w:r w:rsidRPr="00306115">
              <w:rPr>
                <w:rFonts w:eastAsia="Bookman Old Style" w:cs="Bookman Old Style"/>
                <w:i/>
                <w:iCs/>
                <w:color w:val="000000" w:themeColor="text1"/>
                <w:szCs w:val="24"/>
              </w:rPr>
              <w:t xml:space="preserve"> (Default)</w:t>
            </w:r>
          </w:p>
          <w:p w14:paraId="72B61307" w14:textId="77777777" w:rsidR="00485EB9" w:rsidRPr="00306115" w:rsidRDefault="00485EB9" w:rsidP="001D51B8">
            <w:pPr>
              <w:widowControl w:val="0"/>
              <w:pBdr>
                <w:top w:val="nil"/>
                <w:left w:val="nil"/>
                <w:bottom w:val="nil"/>
                <w:right w:val="nil"/>
                <w:between w:val="nil"/>
              </w:pBdr>
              <w:spacing w:after="0" w:line="240" w:lineRule="auto"/>
              <w:ind w:hanging="353"/>
              <w:rPr>
                <w:rFonts w:eastAsia="Bookman Old Style" w:cs="Bookman Old Style"/>
                <w:i/>
                <w:iCs/>
                <w:strike/>
                <w:color w:val="000000" w:themeColor="text1"/>
                <w:szCs w:val="24"/>
              </w:rPr>
            </w:pPr>
          </w:p>
          <w:p w14:paraId="43591570" w14:textId="77777777" w:rsidR="00485EB9" w:rsidRPr="00306115" w:rsidRDefault="00485EB9" w:rsidP="001D51B8">
            <w:pPr>
              <w:widowControl w:val="0"/>
              <w:pBdr>
                <w:top w:val="nil"/>
                <w:left w:val="nil"/>
                <w:bottom w:val="nil"/>
                <w:right w:val="nil"/>
                <w:between w:val="nil"/>
              </w:pBdr>
              <w:spacing w:after="0" w:line="240" w:lineRule="auto"/>
              <w:ind w:hanging="353"/>
              <w:rPr>
                <w:rFonts w:eastAsia="Bookman Old Style" w:cs="Bookman Old Style"/>
                <w:i/>
                <w:iCs/>
                <w:strike/>
                <w:color w:val="000000" w:themeColor="text1"/>
                <w:szCs w:val="24"/>
              </w:rPr>
            </w:pPr>
          </w:p>
          <w:p w14:paraId="30A8412D" w14:textId="77777777" w:rsidR="00485EB9" w:rsidRPr="00306115" w:rsidRDefault="00485EB9" w:rsidP="001D51B8">
            <w:pPr>
              <w:widowControl w:val="0"/>
              <w:pBdr>
                <w:top w:val="nil"/>
                <w:left w:val="nil"/>
                <w:bottom w:val="nil"/>
                <w:right w:val="nil"/>
                <w:between w:val="nil"/>
              </w:pBdr>
              <w:spacing w:after="0" w:line="240" w:lineRule="auto"/>
              <w:ind w:hanging="353"/>
              <w:rPr>
                <w:rFonts w:eastAsia="Bookman Old Style" w:cs="Bookman Old Style"/>
                <w:i/>
                <w:iCs/>
                <w:strike/>
                <w:color w:val="000000" w:themeColor="text1"/>
                <w:szCs w:val="24"/>
              </w:rPr>
            </w:pPr>
          </w:p>
          <w:p w14:paraId="2113015A" w14:textId="77777777" w:rsidR="00485EB9" w:rsidRPr="00306115" w:rsidRDefault="00485EB9" w:rsidP="001D51B8">
            <w:pPr>
              <w:widowControl w:val="0"/>
              <w:pBdr>
                <w:top w:val="nil"/>
                <w:left w:val="nil"/>
                <w:bottom w:val="nil"/>
                <w:right w:val="nil"/>
                <w:between w:val="nil"/>
              </w:pBdr>
              <w:spacing w:after="0" w:line="240" w:lineRule="auto"/>
              <w:ind w:hanging="353"/>
              <w:rPr>
                <w:rFonts w:eastAsia="Bookman Old Style" w:cs="Bookman Old Style"/>
                <w:strike/>
                <w:color w:val="000000" w:themeColor="text1"/>
                <w:szCs w:val="24"/>
              </w:rPr>
            </w:pPr>
          </w:p>
        </w:tc>
        <w:tc>
          <w:tcPr>
            <w:tcW w:w="2551" w:type="dxa"/>
          </w:tcPr>
          <w:p w14:paraId="7127ABAA" w14:textId="77777777" w:rsidR="006972B1" w:rsidRPr="00306115" w:rsidRDefault="006972B1" w:rsidP="002C787E">
            <w:pPr>
              <w:widowControl w:val="0"/>
              <w:pBdr>
                <w:top w:val="nil"/>
                <w:left w:val="nil"/>
                <w:bottom w:val="nil"/>
                <w:right w:val="nil"/>
                <w:between w:val="nil"/>
              </w:pBdr>
              <w:spacing w:after="0" w:line="240" w:lineRule="auto"/>
              <w:ind w:left="101"/>
              <w:rPr>
                <w:rFonts w:eastAsia="Bookman Old Style" w:cs="Bookman Old Style"/>
                <w:color w:val="000000" w:themeColor="text1"/>
                <w:szCs w:val="24"/>
              </w:rPr>
            </w:pPr>
            <w:r w:rsidRPr="00306115">
              <w:rPr>
                <w:rFonts w:eastAsia="Bookman Old Style" w:cs="Bookman Old Style"/>
                <w:color w:val="000000" w:themeColor="text1"/>
                <w:szCs w:val="24"/>
              </w:rPr>
              <w:t>KIK EBA</w:t>
            </w:r>
          </w:p>
        </w:tc>
        <w:tc>
          <w:tcPr>
            <w:tcW w:w="8930" w:type="dxa"/>
          </w:tcPr>
          <w:p w14:paraId="69C5B4E5" w14:textId="77777777" w:rsidR="002153AD" w:rsidRPr="00306115" w:rsidRDefault="00D13B88">
            <w:pPr>
              <w:pStyle w:val="ListParagraph"/>
              <w:widowControl w:val="0"/>
              <w:numPr>
                <w:ilvl w:val="0"/>
                <w:numId w:val="451"/>
              </w:numPr>
              <w:pBdr>
                <w:top w:val="nil"/>
                <w:left w:val="nil"/>
                <w:bottom w:val="nil"/>
                <w:right w:val="nil"/>
                <w:between w:val="nil"/>
              </w:pBdr>
              <w:tabs>
                <w:tab w:val="left" w:pos="1158"/>
              </w:tabs>
              <w:spacing w:after="0" w:line="240" w:lineRule="auto"/>
              <w:ind w:left="567" w:hanging="567"/>
              <w:contextualSpacing w:val="0"/>
              <w:rPr>
                <w:rFonts w:eastAsia="Bookman Old Style" w:cs="Bookman Old Style"/>
                <w:color w:val="000000" w:themeColor="text1"/>
                <w:szCs w:val="24"/>
              </w:rPr>
            </w:pPr>
            <w:r w:rsidRPr="00306115">
              <w:rPr>
                <w:rFonts w:eastAsia="Bookman Old Style" w:cs="Bookman Old Style"/>
                <w:i/>
                <w:iCs/>
                <w:color w:val="000000" w:themeColor="text1"/>
                <w:szCs w:val="24"/>
              </w:rPr>
              <w:t>Parameter</w:t>
            </w:r>
            <w:r w:rsidRPr="00306115">
              <w:rPr>
                <w:rFonts w:eastAsia="Bookman Old Style" w:cs="Bookman Old Style"/>
                <w:color w:val="000000" w:themeColor="text1"/>
                <w:szCs w:val="24"/>
              </w:rPr>
              <w:t xml:space="preserve"> atau indikator ini mengukur kualitas kredit pada Kontrak Investasi Kolektif Efek Beragun Aset (KIK EBA) melalui signifikansi </w:t>
            </w:r>
            <w:r w:rsidRPr="00306115">
              <w:rPr>
                <w:rFonts w:eastAsia="Bookman Old Style" w:cs="Bookman Old Style"/>
                <w:i/>
                <w:iCs/>
                <w:color w:val="000000" w:themeColor="text1"/>
                <w:szCs w:val="24"/>
              </w:rPr>
              <w:t>default rate</w:t>
            </w:r>
            <w:r w:rsidRPr="00306115">
              <w:rPr>
                <w:rFonts w:eastAsia="Bookman Old Style" w:cs="Bookman Old Style"/>
                <w:color w:val="000000" w:themeColor="text1"/>
                <w:szCs w:val="24"/>
              </w:rPr>
              <w:t xml:space="preserve"> atas piutang atau aset dasar (</w:t>
            </w:r>
            <w:r w:rsidRPr="00306115">
              <w:rPr>
                <w:rFonts w:eastAsia="Bookman Old Style" w:cs="Bookman Old Style"/>
                <w:i/>
                <w:iCs/>
                <w:color w:val="000000" w:themeColor="text1"/>
                <w:szCs w:val="24"/>
              </w:rPr>
              <w:t>underlying asset</w:t>
            </w:r>
            <w:r w:rsidRPr="00306115">
              <w:rPr>
                <w:rFonts w:eastAsia="Bookman Old Style" w:cs="Bookman Old Style"/>
                <w:color w:val="000000" w:themeColor="text1"/>
                <w:szCs w:val="24"/>
              </w:rPr>
              <w:t>) yang mendasari penerbitan KIK EBA.</w:t>
            </w:r>
          </w:p>
          <w:p w14:paraId="64402CFF" w14:textId="77777777" w:rsidR="002153AD" w:rsidRPr="00306115" w:rsidRDefault="00D13B88">
            <w:pPr>
              <w:pStyle w:val="ListParagraph"/>
              <w:widowControl w:val="0"/>
              <w:numPr>
                <w:ilvl w:val="0"/>
                <w:numId w:val="451"/>
              </w:numPr>
              <w:pBdr>
                <w:top w:val="nil"/>
                <w:left w:val="nil"/>
                <w:bottom w:val="nil"/>
                <w:right w:val="nil"/>
                <w:between w:val="nil"/>
              </w:pBdr>
              <w:tabs>
                <w:tab w:val="left" w:pos="1158"/>
              </w:tabs>
              <w:spacing w:after="0" w:line="240" w:lineRule="auto"/>
              <w:ind w:left="567" w:hanging="567"/>
              <w:contextualSpacing w:val="0"/>
              <w:rPr>
                <w:rFonts w:eastAsia="Bookman Old Style" w:cs="Bookman Old Style"/>
                <w:color w:val="000000" w:themeColor="text1"/>
                <w:szCs w:val="24"/>
              </w:rPr>
            </w:pPr>
            <w:r w:rsidRPr="00306115">
              <w:rPr>
                <w:rFonts w:eastAsia="Bookman Old Style" w:cs="Bookman Old Style"/>
                <w:i/>
                <w:iCs/>
                <w:color w:val="000000" w:themeColor="text1"/>
                <w:szCs w:val="24"/>
              </w:rPr>
              <w:t>Default rate</w:t>
            </w:r>
            <w:r w:rsidRPr="00306115">
              <w:rPr>
                <w:rFonts w:eastAsia="Bookman Old Style" w:cs="Bookman Old Style"/>
                <w:color w:val="000000" w:themeColor="text1"/>
                <w:szCs w:val="24"/>
              </w:rPr>
              <w:t xml:space="preserve"> mengukur persentase nilai piutang yang telah dinyatakan gagal bayar (</w:t>
            </w:r>
            <w:r w:rsidRPr="00306115">
              <w:rPr>
                <w:rFonts w:eastAsia="Bookman Old Style" w:cs="Bookman Old Style"/>
                <w:i/>
                <w:iCs/>
                <w:color w:val="000000" w:themeColor="text1"/>
                <w:szCs w:val="24"/>
              </w:rPr>
              <w:t>default</w:t>
            </w:r>
            <w:r w:rsidRPr="00306115">
              <w:rPr>
                <w:rFonts w:eastAsia="Bookman Old Style" w:cs="Bookman Old Style"/>
                <w:color w:val="000000" w:themeColor="text1"/>
                <w:szCs w:val="24"/>
              </w:rPr>
              <w:t>).</w:t>
            </w:r>
          </w:p>
          <w:p w14:paraId="61BEF89D" w14:textId="33EB4844" w:rsidR="00D13B88" w:rsidRPr="00306115" w:rsidRDefault="00D13B88">
            <w:pPr>
              <w:pStyle w:val="ListParagraph"/>
              <w:widowControl w:val="0"/>
              <w:numPr>
                <w:ilvl w:val="0"/>
                <w:numId w:val="451"/>
              </w:numPr>
              <w:pBdr>
                <w:top w:val="nil"/>
                <w:left w:val="nil"/>
                <w:bottom w:val="nil"/>
                <w:right w:val="nil"/>
                <w:between w:val="nil"/>
              </w:pBdr>
              <w:tabs>
                <w:tab w:val="left" w:pos="1158"/>
              </w:tabs>
              <w:spacing w:after="0" w:line="240" w:lineRule="auto"/>
              <w:ind w:left="567" w:hanging="567"/>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Formula perhitungan yang digunakan sebagai berikut:</w:t>
            </w:r>
          </w:p>
          <w:p w14:paraId="765486E2" w14:textId="77777777" w:rsidR="00D13B88" w:rsidRPr="00306115" w:rsidRDefault="00D13B88" w:rsidP="00D41A26">
            <w:pPr>
              <w:widowControl w:val="0"/>
              <w:pBdr>
                <w:top w:val="nil"/>
                <w:left w:val="nil"/>
                <w:bottom w:val="nil"/>
                <w:right w:val="nil"/>
                <w:between w:val="nil"/>
              </w:pBdr>
              <w:tabs>
                <w:tab w:val="left" w:pos="1030"/>
              </w:tabs>
              <w:spacing w:after="120" w:line="240" w:lineRule="auto"/>
              <w:ind w:left="874"/>
              <w:rPr>
                <w:rFonts w:eastAsia="Bookman Old Style" w:cs="Bookman Old Style"/>
                <w:color w:val="000000" w:themeColor="text1"/>
                <w:szCs w:val="24"/>
              </w:rPr>
            </w:pPr>
            <w:r w:rsidRPr="00306115">
              <w:rPr>
                <w:rFonts w:eastAsia="Bookman Old Style" w:cs="Bookman Old Style"/>
                <w:i/>
                <w:iCs/>
                <w:color w:val="000000" w:themeColor="text1"/>
                <w:szCs w:val="24"/>
              </w:rPr>
              <w:t>Default rate</w:t>
            </w:r>
            <w:r w:rsidRPr="00306115">
              <w:rPr>
                <w:rFonts w:eastAsia="Bookman Old Style" w:cs="Bookman Old Style"/>
                <w:color w:val="000000" w:themeColor="text1"/>
                <w:szCs w:val="24"/>
              </w:rPr>
              <w:t xml:space="preserve"> = </w:t>
            </w:r>
            <m:oMath>
              <m:f>
                <m:fPr>
                  <m:ctrlPr>
                    <w:rPr>
                      <w:rFonts w:ascii="Cambria Math" w:eastAsia="Cambria Math" w:hAnsi="Cambria Math" w:cs="Cambria Math"/>
                      <w:color w:val="000000" w:themeColor="text1"/>
                      <w:szCs w:val="24"/>
                    </w:rPr>
                  </m:ctrlPr>
                </m:fPr>
                <m:num>
                  <m:r>
                    <w:rPr>
                      <w:rFonts w:ascii="Cambria Math" w:eastAsia="Cambria Math" w:hAnsi="Cambria Math" w:cs="Cambria Math"/>
                      <w:color w:val="000000" w:themeColor="text1"/>
                      <w:szCs w:val="24"/>
                    </w:rPr>
                    <m:t xml:space="preserve">Nilai Piutang yang Dinyatakan Gagal Bayar </m:t>
                  </m:r>
                </m:num>
                <m:den>
                  <m:r>
                    <w:rPr>
                      <w:rFonts w:ascii="Cambria Math" w:eastAsia="Cambria Math" w:hAnsi="Cambria Math" w:cs="Cambria Math"/>
                      <w:color w:val="000000" w:themeColor="text1"/>
                      <w:szCs w:val="24"/>
                    </w:rPr>
                    <m:t>Total Nilai Piutang dalam Portfolio KIK EBA</m:t>
                  </m:r>
                </m:den>
              </m:f>
              <m:r>
                <w:rPr>
                  <w:rFonts w:ascii="Cambria Math" w:eastAsia="Cambria Math" w:hAnsi="Cambria Math" w:cs="Cambria Math"/>
                  <w:color w:val="000000" w:themeColor="text1"/>
                  <w:szCs w:val="24"/>
                </w:rPr>
                <m:t xml:space="preserve"> x 100%</m:t>
              </m:r>
            </m:oMath>
          </w:p>
          <w:p w14:paraId="23C782DD" w14:textId="77777777" w:rsidR="00D13B88" w:rsidRPr="00306115" w:rsidRDefault="00D13B88">
            <w:pPr>
              <w:pStyle w:val="ListParagraph"/>
              <w:widowControl w:val="0"/>
              <w:numPr>
                <w:ilvl w:val="0"/>
                <w:numId w:val="451"/>
              </w:numPr>
              <w:pBdr>
                <w:top w:val="nil"/>
                <w:left w:val="nil"/>
                <w:bottom w:val="nil"/>
                <w:right w:val="nil"/>
                <w:between w:val="nil"/>
              </w:pBdr>
              <w:tabs>
                <w:tab w:val="left" w:pos="1158"/>
              </w:tabs>
              <w:spacing w:after="0" w:line="240" w:lineRule="auto"/>
              <w:ind w:left="567" w:hanging="567"/>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Perhitungan  dilakukan  untuk posisi  akhir tahun.</w:t>
            </w:r>
          </w:p>
          <w:p w14:paraId="406CEFC3" w14:textId="77777777" w:rsidR="00D41A26" w:rsidRPr="00306115" w:rsidRDefault="00D13B88">
            <w:pPr>
              <w:pStyle w:val="ListParagraph"/>
              <w:widowControl w:val="0"/>
              <w:numPr>
                <w:ilvl w:val="0"/>
                <w:numId w:val="451"/>
              </w:numPr>
              <w:pBdr>
                <w:top w:val="nil"/>
                <w:left w:val="nil"/>
                <w:bottom w:val="nil"/>
                <w:right w:val="nil"/>
                <w:between w:val="nil"/>
              </w:pBdr>
              <w:tabs>
                <w:tab w:val="left" w:pos="1158"/>
              </w:tabs>
              <w:spacing w:after="0" w:line="240" w:lineRule="auto"/>
              <w:ind w:left="567" w:hanging="567"/>
              <w:contextualSpacing w:val="0"/>
              <w:rPr>
                <w:rFonts w:eastAsia="Bookman Old Style" w:cs="Bookman Old Style"/>
                <w:color w:val="000000" w:themeColor="text1"/>
                <w:szCs w:val="24"/>
              </w:rPr>
            </w:pPr>
            <w:r w:rsidRPr="00306115">
              <w:rPr>
                <w:color w:val="000000" w:themeColor="text1"/>
                <w:szCs w:val="24"/>
              </w:rPr>
              <w:t>Adapun</w:t>
            </w:r>
            <w:r w:rsidRPr="00306115">
              <w:rPr>
                <w:rFonts w:eastAsia="Bookman Old Style" w:cs="Bookman Old Style"/>
                <w:color w:val="000000" w:themeColor="text1"/>
                <w:szCs w:val="24"/>
              </w:rPr>
              <w:t xml:space="preserve"> </w:t>
            </w:r>
            <w:r w:rsidRPr="00306115">
              <w:rPr>
                <w:rFonts w:eastAsia="Bookman Old Style" w:cs="Bookman Old Style"/>
                <w:color w:val="000000" w:themeColor="text1"/>
                <w:szCs w:val="24"/>
                <w:lang w:val="en-ID"/>
              </w:rPr>
              <w:t>klasifikasi penilaian indikator ini terbagi menjadi 5 (lima) peringkat sebagai berikut:</w:t>
            </w:r>
          </w:p>
          <w:p w14:paraId="2DA40DC4" w14:textId="38B6306F" w:rsidR="00D13B88" w:rsidRPr="00306115" w:rsidRDefault="00D13B88">
            <w:pPr>
              <w:pStyle w:val="ListParagraph"/>
              <w:widowControl w:val="0"/>
              <w:numPr>
                <w:ilvl w:val="0"/>
                <w:numId w:val="452"/>
              </w:numPr>
              <w:pBdr>
                <w:top w:val="nil"/>
                <w:left w:val="nil"/>
                <w:bottom w:val="nil"/>
                <w:right w:val="nil"/>
                <w:between w:val="nil"/>
              </w:pBdr>
              <w:tabs>
                <w:tab w:val="left" w:pos="1583"/>
              </w:tabs>
              <w:spacing w:after="0" w:line="240" w:lineRule="auto"/>
              <w:ind w:left="851" w:hanging="284"/>
              <w:contextualSpacing w:val="0"/>
              <w:rPr>
                <w:rFonts w:eastAsia="Bookman Old Style" w:cs="Bookman Old Style"/>
                <w:color w:val="000000" w:themeColor="text1"/>
                <w:szCs w:val="24"/>
              </w:rPr>
            </w:pPr>
            <w:r w:rsidRPr="00306115">
              <w:rPr>
                <w:color w:val="000000" w:themeColor="text1"/>
                <w:szCs w:val="24"/>
              </w:rPr>
              <w:t>Peringkat 1: 0 %</w:t>
            </w:r>
          </w:p>
          <w:p w14:paraId="09B0D978" w14:textId="77777777" w:rsidR="00D13B88" w:rsidRPr="00306115" w:rsidRDefault="00D13B88">
            <w:pPr>
              <w:pStyle w:val="ListParagraph"/>
              <w:widowControl w:val="0"/>
              <w:numPr>
                <w:ilvl w:val="0"/>
                <w:numId w:val="452"/>
              </w:numPr>
              <w:pBdr>
                <w:top w:val="nil"/>
                <w:left w:val="nil"/>
                <w:bottom w:val="nil"/>
                <w:right w:val="nil"/>
                <w:between w:val="nil"/>
              </w:pBdr>
              <w:tabs>
                <w:tab w:val="left" w:pos="1583"/>
              </w:tabs>
              <w:spacing w:after="0" w:line="240" w:lineRule="auto"/>
              <w:ind w:left="851" w:hanging="284"/>
              <w:contextualSpacing w:val="0"/>
              <w:rPr>
                <w:color w:val="000000" w:themeColor="text1"/>
                <w:szCs w:val="24"/>
              </w:rPr>
            </w:pPr>
            <w:r w:rsidRPr="00306115">
              <w:rPr>
                <w:color w:val="000000" w:themeColor="text1"/>
                <w:szCs w:val="24"/>
              </w:rPr>
              <w:lastRenderedPageBreak/>
              <w:t>Peringkat 2: 0% - ≤ 3%</w:t>
            </w:r>
          </w:p>
          <w:p w14:paraId="60938C16" w14:textId="77777777" w:rsidR="00D13B88" w:rsidRPr="00306115" w:rsidRDefault="00D13B88">
            <w:pPr>
              <w:pStyle w:val="ListParagraph"/>
              <w:widowControl w:val="0"/>
              <w:numPr>
                <w:ilvl w:val="0"/>
                <w:numId w:val="452"/>
              </w:numPr>
              <w:pBdr>
                <w:top w:val="nil"/>
                <w:left w:val="nil"/>
                <w:bottom w:val="nil"/>
                <w:right w:val="nil"/>
                <w:between w:val="nil"/>
              </w:pBdr>
              <w:tabs>
                <w:tab w:val="left" w:pos="1583"/>
              </w:tabs>
              <w:spacing w:after="0" w:line="240" w:lineRule="auto"/>
              <w:ind w:left="851" w:hanging="284"/>
              <w:contextualSpacing w:val="0"/>
              <w:rPr>
                <w:color w:val="000000" w:themeColor="text1"/>
                <w:szCs w:val="24"/>
              </w:rPr>
            </w:pPr>
            <w:r w:rsidRPr="00306115">
              <w:rPr>
                <w:color w:val="000000" w:themeColor="text1"/>
                <w:szCs w:val="24"/>
              </w:rPr>
              <w:t>Peringkat 3: &gt; 3% - ≤ 8%</w:t>
            </w:r>
          </w:p>
          <w:p w14:paraId="17720A60" w14:textId="77777777" w:rsidR="00D13B88" w:rsidRPr="00306115" w:rsidRDefault="00D13B88">
            <w:pPr>
              <w:pStyle w:val="ListParagraph"/>
              <w:widowControl w:val="0"/>
              <w:numPr>
                <w:ilvl w:val="0"/>
                <w:numId w:val="452"/>
              </w:numPr>
              <w:pBdr>
                <w:top w:val="nil"/>
                <w:left w:val="nil"/>
                <w:bottom w:val="nil"/>
                <w:right w:val="nil"/>
                <w:between w:val="nil"/>
              </w:pBdr>
              <w:tabs>
                <w:tab w:val="left" w:pos="1583"/>
              </w:tabs>
              <w:spacing w:after="0" w:line="240" w:lineRule="auto"/>
              <w:ind w:left="851" w:hanging="284"/>
              <w:contextualSpacing w:val="0"/>
              <w:rPr>
                <w:color w:val="000000" w:themeColor="text1"/>
                <w:szCs w:val="24"/>
              </w:rPr>
            </w:pPr>
            <w:r w:rsidRPr="00306115">
              <w:rPr>
                <w:color w:val="000000" w:themeColor="text1"/>
                <w:szCs w:val="24"/>
              </w:rPr>
              <w:t>Peringkat 4: &gt; 8% - ≤15%</w:t>
            </w:r>
          </w:p>
          <w:p w14:paraId="686EA5DC" w14:textId="048AE24D" w:rsidR="00D13B88" w:rsidRPr="00306115" w:rsidRDefault="00D13B88">
            <w:pPr>
              <w:pStyle w:val="ListParagraph"/>
              <w:widowControl w:val="0"/>
              <w:numPr>
                <w:ilvl w:val="0"/>
                <w:numId w:val="452"/>
              </w:numPr>
              <w:pBdr>
                <w:top w:val="nil"/>
                <w:left w:val="nil"/>
                <w:bottom w:val="nil"/>
                <w:right w:val="nil"/>
                <w:between w:val="nil"/>
              </w:pBdr>
              <w:tabs>
                <w:tab w:val="left" w:pos="1583"/>
              </w:tabs>
              <w:spacing w:after="0" w:line="240" w:lineRule="auto"/>
              <w:ind w:left="851" w:hanging="284"/>
              <w:contextualSpacing w:val="0"/>
              <w:rPr>
                <w:color w:val="000000" w:themeColor="text1"/>
                <w:szCs w:val="24"/>
              </w:rPr>
            </w:pPr>
            <w:r w:rsidRPr="00306115">
              <w:rPr>
                <w:color w:val="000000" w:themeColor="text1"/>
                <w:szCs w:val="24"/>
              </w:rPr>
              <w:t>Peringkat 5: &gt; 15%</w:t>
            </w:r>
          </w:p>
        </w:tc>
      </w:tr>
      <w:tr w:rsidR="006972B1" w:rsidRPr="00306115" w14:paraId="1619C4F8" w14:textId="77777777" w:rsidTr="000B1140">
        <w:trPr>
          <w:trHeight w:val="379"/>
        </w:trPr>
        <w:tc>
          <w:tcPr>
            <w:tcW w:w="14742" w:type="dxa"/>
            <w:gridSpan w:val="4"/>
            <w:shd w:val="clear" w:color="auto" w:fill="D0CECE" w:themeFill="background2" w:themeFillShade="E6"/>
          </w:tcPr>
          <w:p w14:paraId="171184A1" w14:textId="77777777" w:rsidR="006972B1" w:rsidRPr="00306115" w:rsidRDefault="006972B1">
            <w:pPr>
              <w:pStyle w:val="ListParagraph"/>
              <w:widowControl w:val="0"/>
              <w:numPr>
                <w:ilvl w:val="0"/>
                <w:numId w:val="285"/>
              </w:numPr>
              <w:pBdr>
                <w:top w:val="nil"/>
                <w:left w:val="nil"/>
                <w:bottom w:val="nil"/>
                <w:right w:val="nil"/>
                <w:between w:val="nil"/>
              </w:pBdr>
              <w:spacing w:before="60" w:after="60" w:line="240" w:lineRule="auto"/>
              <w:ind w:left="567" w:hanging="567"/>
              <w:contextualSpacing w:val="0"/>
              <w:jc w:val="left"/>
              <w:rPr>
                <w:rFonts w:eastAsia="Bookman Old Style" w:cs="Bookman Old Style"/>
                <w:b/>
                <w:bCs/>
                <w:color w:val="000000" w:themeColor="text1"/>
                <w:szCs w:val="24"/>
              </w:rPr>
            </w:pPr>
            <w:r w:rsidRPr="00306115">
              <w:rPr>
                <w:rFonts w:eastAsia="Bookman Old Style" w:cs="Bookman Old Style"/>
                <w:b/>
                <w:bCs/>
                <w:color w:val="000000" w:themeColor="text1"/>
                <w:szCs w:val="24"/>
              </w:rPr>
              <w:lastRenderedPageBreak/>
              <w:t>Kualitas Penerapan Manajemen Risiko</w:t>
            </w:r>
          </w:p>
        </w:tc>
      </w:tr>
      <w:tr w:rsidR="006972B1" w:rsidRPr="00306115" w14:paraId="498F9363" w14:textId="77777777" w:rsidTr="002C787E">
        <w:trPr>
          <w:trHeight w:val="379"/>
        </w:trPr>
        <w:tc>
          <w:tcPr>
            <w:tcW w:w="1276" w:type="dxa"/>
          </w:tcPr>
          <w:p w14:paraId="75A62593" w14:textId="77777777" w:rsidR="006972B1" w:rsidRPr="00306115" w:rsidRDefault="006972B1">
            <w:pPr>
              <w:widowControl w:val="0"/>
              <w:numPr>
                <w:ilvl w:val="2"/>
                <w:numId w:val="284"/>
              </w:numPr>
              <w:pBdr>
                <w:top w:val="nil"/>
                <w:left w:val="nil"/>
                <w:bottom w:val="nil"/>
                <w:right w:val="nil"/>
                <w:between w:val="nil"/>
              </w:pBdr>
              <w:spacing w:before="97" w:after="0" w:line="240" w:lineRule="auto"/>
              <w:ind w:left="847" w:right="80"/>
              <w:jc w:val="left"/>
              <w:rPr>
                <w:rFonts w:eastAsia="Bookman Old Style" w:cs="Bookman Old Style"/>
                <w:color w:val="000000" w:themeColor="text1"/>
                <w:szCs w:val="24"/>
              </w:rPr>
            </w:pPr>
          </w:p>
        </w:tc>
        <w:tc>
          <w:tcPr>
            <w:tcW w:w="13466" w:type="dxa"/>
            <w:gridSpan w:val="3"/>
          </w:tcPr>
          <w:p w14:paraId="01FC5D2F" w14:textId="0AD1C5BF" w:rsidR="006972B1" w:rsidRPr="00306115" w:rsidRDefault="006972B1" w:rsidP="001D0A8C">
            <w:pPr>
              <w:widowControl w:val="0"/>
              <w:pBdr>
                <w:top w:val="nil"/>
                <w:left w:val="nil"/>
                <w:bottom w:val="nil"/>
                <w:right w:val="nil"/>
                <w:between w:val="nil"/>
              </w:pBdr>
              <w:spacing w:before="60" w:after="6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Tata kelola risiko (</w:t>
            </w:r>
            <w:r w:rsidRPr="00306115">
              <w:rPr>
                <w:rFonts w:eastAsia="Bookman Old Style" w:cs="Bookman Old Style"/>
                <w:i/>
                <w:iCs/>
                <w:color w:val="000000" w:themeColor="text1"/>
                <w:szCs w:val="24"/>
              </w:rPr>
              <w:t>risk governance</w:t>
            </w:r>
            <w:r w:rsidRPr="00306115">
              <w:rPr>
                <w:rFonts w:eastAsia="Bookman Old Style" w:cs="Bookman Old Style"/>
                <w:color w:val="000000" w:themeColor="text1"/>
                <w:szCs w:val="24"/>
              </w:rPr>
              <w:t xml:space="preserve">) mencakup evaluasi terhadap: (i) perumusan tingkat </w:t>
            </w:r>
            <w:r w:rsidR="004B20FC" w:rsidRPr="00306115">
              <w:rPr>
                <w:rFonts w:eastAsia="Bookman Old Style" w:cs="Bookman Old Style"/>
                <w:color w:val="000000" w:themeColor="text1"/>
                <w:szCs w:val="24"/>
              </w:rPr>
              <w:t>r</w:t>
            </w:r>
            <w:r w:rsidRPr="00306115">
              <w:rPr>
                <w:rFonts w:eastAsia="Bookman Old Style" w:cs="Bookman Old Style"/>
                <w:color w:val="000000" w:themeColor="text1"/>
                <w:szCs w:val="24"/>
              </w:rPr>
              <w:t>isiko yang akan diambil (</w:t>
            </w:r>
            <w:r w:rsidRPr="00306115">
              <w:rPr>
                <w:rFonts w:eastAsia="Bookman Old Style" w:cs="Bookman Old Style"/>
                <w:i/>
                <w:iCs/>
                <w:color w:val="000000" w:themeColor="text1"/>
                <w:szCs w:val="24"/>
              </w:rPr>
              <w:t>risk appetite</w:t>
            </w:r>
            <w:r w:rsidRPr="00306115">
              <w:rPr>
                <w:rFonts w:eastAsia="Bookman Old Style" w:cs="Bookman Old Style"/>
                <w:color w:val="000000" w:themeColor="text1"/>
                <w:szCs w:val="24"/>
              </w:rPr>
              <w:t>) dan toleransi Risiko (</w:t>
            </w:r>
            <w:r w:rsidRPr="00306115">
              <w:rPr>
                <w:rFonts w:eastAsia="Bookman Old Style" w:cs="Bookman Old Style"/>
                <w:i/>
                <w:iCs/>
                <w:color w:val="000000" w:themeColor="text1"/>
                <w:szCs w:val="24"/>
              </w:rPr>
              <w:t>risk tolerance</w:t>
            </w:r>
            <w:r w:rsidRPr="00306115">
              <w:rPr>
                <w:rFonts w:eastAsia="Bookman Old Style" w:cs="Bookman Old Style"/>
                <w:color w:val="000000" w:themeColor="text1"/>
                <w:szCs w:val="24"/>
              </w:rPr>
              <w:t>) dan (ii) kecukupan pengawasan aktif oleh Direksi dan Dewan Komisaris termasuk pelaksanaan kewenangan dan tanggung jawab Direksi dan Dewan Komisaris.</w:t>
            </w:r>
          </w:p>
        </w:tc>
      </w:tr>
      <w:tr w:rsidR="006972B1" w:rsidRPr="00306115" w14:paraId="49A401B0" w14:textId="77777777" w:rsidTr="002C787E">
        <w:trPr>
          <w:trHeight w:val="379"/>
        </w:trPr>
        <w:tc>
          <w:tcPr>
            <w:tcW w:w="1276" w:type="dxa"/>
          </w:tcPr>
          <w:p w14:paraId="24162977" w14:textId="77777777" w:rsidR="006972B1" w:rsidRPr="00306115" w:rsidRDefault="006972B1">
            <w:pPr>
              <w:widowControl w:val="0"/>
              <w:numPr>
                <w:ilvl w:val="2"/>
                <w:numId w:val="284"/>
              </w:numPr>
              <w:pBdr>
                <w:top w:val="nil"/>
                <w:left w:val="nil"/>
                <w:bottom w:val="nil"/>
                <w:right w:val="nil"/>
                <w:between w:val="nil"/>
              </w:pBdr>
              <w:spacing w:before="97" w:after="0" w:line="240" w:lineRule="auto"/>
              <w:ind w:left="847" w:right="80"/>
              <w:jc w:val="left"/>
              <w:rPr>
                <w:rFonts w:eastAsia="Bookman Old Style" w:cs="Bookman Old Style"/>
                <w:color w:val="000000" w:themeColor="text1"/>
                <w:szCs w:val="24"/>
              </w:rPr>
            </w:pPr>
          </w:p>
        </w:tc>
        <w:tc>
          <w:tcPr>
            <w:tcW w:w="13466" w:type="dxa"/>
            <w:gridSpan w:val="3"/>
          </w:tcPr>
          <w:p w14:paraId="01418550" w14:textId="47CB54AC" w:rsidR="006972B1" w:rsidRPr="00306115" w:rsidRDefault="006972B1" w:rsidP="001D0A8C">
            <w:pPr>
              <w:widowControl w:val="0"/>
              <w:pBdr>
                <w:top w:val="nil"/>
                <w:left w:val="nil"/>
                <w:bottom w:val="nil"/>
                <w:right w:val="nil"/>
                <w:between w:val="nil"/>
              </w:pBdr>
              <w:spacing w:before="60" w:after="6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 xml:space="preserve">Kerangka Manajemen Risiko mencakup evaluasi terhadap: (i) strategi Manajemen Risiko yang searah dengan tingkat </w:t>
            </w:r>
            <w:r w:rsidR="00D43DBD" w:rsidRPr="00306115">
              <w:rPr>
                <w:rFonts w:eastAsia="Bookman Old Style" w:cs="Bookman Old Style"/>
                <w:color w:val="000000" w:themeColor="text1"/>
                <w:szCs w:val="24"/>
              </w:rPr>
              <w:t>r</w:t>
            </w:r>
            <w:r w:rsidRPr="00306115">
              <w:rPr>
                <w:rFonts w:eastAsia="Bookman Old Style" w:cs="Bookman Old Style"/>
                <w:color w:val="000000" w:themeColor="text1"/>
                <w:szCs w:val="24"/>
              </w:rPr>
              <w:t xml:space="preserve">isiko yang akan diambil dan toleransi </w:t>
            </w:r>
            <w:r w:rsidR="00D43DBD" w:rsidRPr="00306115">
              <w:rPr>
                <w:rFonts w:eastAsia="Bookman Old Style" w:cs="Bookman Old Style"/>
                <w:color w:val="000000" w:themeColor="text1"/>
                <w:szCs w:val="24"/>
              </w:rPr>
              <w:t>risiko</w:t>
            </w:r>
            <w:r w:rsidRPr="00306115">
              <w:rPr>
                <w:rFonts w:eastAsia="Bookman Old Style" w:cs="Bookman Old Style"/>
                <w:color w:val="000000" w:themeColor="text1"/>
                <w:szCs w:val="24"/>
              </w:rPr>
              <w:t xml:space="preserve">; (ii) kecukupan perangkat organisasi dalam mendukung terlaksananya Manajemen Risiko secara efektif termasuk kejelasan wewenang dan tanggung jawab; dan (iii) kecukupan kebijakan dan prosedur Manajemen Risiko serta penetapan limit </w:t>
            </w:r>
            <w:r w:rsidR="00D43DBD" w:rsidRPr="00306115">
              <w:rPr>
                <w:rFonts w:eastAsia="Bookman Old Style" w:cs="Bookman Old Style"/>
                <w:color w:val="000000" w:themeColor="text1"/>
                <w:szCs w:val="24"/>
              </w:rPr>
              <w:t>risiko</w:t>
            </w:r>
            <w:r w:rsidRPr="00306115">
              <w:rPr>
                <w:rFonts w:eastAsia="Bookman Old Style" w:cs="Bookman Old Style"/>
                <w:color w:val="000000" w:themeColor="text1"/>
                <w:szCs w:val="24"/>
              </w:rPr>
              <w:t>.</w:t>
            </w:r>
          </w:p>
        </w:tc>
      </w:tr>
      <w:tr w:rsidR="006972B1" w:rsidRPr="00306115" w14:paraId="2CA37FEA" w14:textId="77777777" w:rsidTr="002C787E">
        <w:trPr>
          <w:trHeight w:val="379"/>
        </w:trPr>
        <w:tc>
          <w:tcPr>
            <w:tcW w:w="1276" w:type="dxa"/>
          </w:tcPr>
          <w:p w14:paraId="33E19C8C" w14:textId="77777777" w:rsidR="006972B1" w:rsidRPr="00306115" w:rsidRDefault="006972B1">
            <w:pPr>
              <w:widowControl w:val="0"/>
              <w:numPr>
                <w:ilvl w:val="2"/>
                <w:numId w:val="284"/>
              </w:numPr>
              <w:pBdr>
                <w:top w:val="nil"/>
                <w:left w:val="nil"/>
                <w:bottom w:val="nil"/>
                <w:right w:val="nil"/>
                <w:between w:val="nil"/>
              </w:pBdr>
              <w:spacing w:before="97" w:after="0" w:line="240" w:lineRule="auto"/>
              <w:ind w:left="847" w:right="80"/>
              <w:jc w:val="left"/>
              <w:rPr>
                <w:rFonts w:eastAsia="Bookman Old Style" w:cs="Bookman Old Style"/>
                <w:color w:val="000000" w:themeColor="text1"/>
                <w:szCs w:val="24"/>
              </w:rPr>
            </w:pPr>
          </w:p>
        </w:tc>
        <w:tc>
          <w:tcPr>
            <w:tcW w:w="13466" w:type="dxa"/>
            <w:gridSpan w:val="3"/>
          </w:tcPr>
          <w:p w14:paraId="713F8378" w14:textId="1CD76FFB" w:rsidR="006972B1" w:rsidRPr="00306115" w:rsidRDefault="006972B1" w:rsidP="001D0A8C">
            <w:pPr>
              <w:widowControl w:val="0"/>
              <w:pBdr>
                <w:top w:val="nil"/>
                <w:left w:val="nil"/>
                <w:bottom w:val="nil"/>
                <w:right w:val="nil"/>
                <w:between w:val="nil"/>
              </w:pBdr>
              <w:spacing w:before="60" w:after="6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 xml:space="preserve">Proses Manajemen Risiko, sistem informasi, dan sumber daya manusia mencakup evaluasi terhadap: (i) proses identifikasi, pengukuran, pemantauan, dan pengendalian </w:t>
            </w:r>
            <w:r w:rsidR="00D43DBD" w:rsidRPr="00306115">
              <w:rPr>
                <w:rFonts w:eastAsia="Bookman Old Style" w:cs="Bookman Old Style"/>
                <w:color w:val="000000" w:themeColor="text1"/>
                <w:szCs w:val="24"/>
              </w:rPr>
              <w:t>risiko</w:t>
            </w:r>
            <w:r w:rsidRPr="00306115">
              <w:rPr>
                <w:rFonts w:eastAsia="Bookman Old Style" w:cs="Bookman Old Style"/>
                <w:color w:val="000000" w:themeColor="text1"/>
                <w:szCs w:val="24"/>
              </w:rPr>
              <w:t>; (ii) kecukupan sistem informasi Manajemen Risiko; dan (iii) kecukupan kuantitas dan kualitas sumber daya manusia dalam mendukung efektivitas proses Manajemen Risiko.</w:t>
            </w:r>
          </w:p>
        </w:tc>
      </w:tr>
      <w:tr w:rsidR="006972B1" w:rsidRPr="00306115" w14:paraId="3D59F061" w14:textId="77777777" w:rsidTr="002C787E">
        <w:trPr>
          <w:trHeight w:val="379"/>
        </w:trPr>
        <w:tc>
          <w:tcPr>
            <w:tcW w:w="1276" w:type="dxa"/>
          </w:tcPr>
          <w:p w14:paraId="176F0E73" w14:textId="77777777" w:rsidR="006972B1" w:rsidRPr="00306115" w:rsidRDefault="006972B1">
            <w:pPr>
              <w:widowControl w:val="0"/>
              <w:numPr>
                <w:ilvl w:val="2"/>
                <w:numId w:val="284"/>
              </w:numPr>
              <w:pBdr>
                <w:top w:val="nil"/>
                <w:left w:val="nil"/>
                <w:bottom w:val="nil"/>
                <w:right w:val="nil"/>
                <w:between w:val="nil"/>
              </w:pBdr>
              <w:spacing w:before="97" w:after="0" w:line="240" w:lineRule="auto"/>
              <w:ind w:left="847" w:right="80"/>
              <w:jc w:val="left"/>
              <w:rPr>
                <w:rFonts w:eastAsia="Bookman Old Style" w:cs="Bookman Old Style"/>
                <w:color w:val="000000" w:themeColor="text1"/>
                <w:szCs w:val="24"/>
              </w:rPr>
            </w:pPr>
          </w:p>
        </w:tc>
        <w:tc>
          <w:tcPr>
            <w:tcW w:w="13466" w:type="dxa"/>
            <w:gridSpan w:val="3"/>
          </w:tcPr>
          <w:p w14:paraId="1A8A0E79" w14:textId="5E6DCFC6" w:rsidR="006972B1" w:rsidRPr="00306115" w:rsidRDefault="006972B1" w:rsidP="001D0A8C">
            <w:pPr>
              <w:widowControl w:val="0"/>
              <w:pBdr>
                <w:top w:val="nil"/>
                <w:left w:val="nil"/>
                <w:bottom w:val="nil"/>
                <w:right w:val="nil"/>
                <w:between w:val="nil"/>
              </w:pBdr>
              <w:spacing w:before="60" w:after="6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 xml:space="preserve">Sistem </w:t>
            </w:r>
            <w:r w:rsidR="00D43DBD" w:rsidRPr="00306115">
              <w:rPr>
                <w:rFonts w:eastAsia="Bookman Old Style" w:cs="Bookman Old Style"/>
                <w:color w:val="000000" w:themeColor="text1"/>
                <w:szCs w:val="24"/>
              </w:rPr>
              <w:t>p</w:t>
            </w:r>
            <w:r w:rsidRPr="00306115">
              <w:rPr>
                <w:rFonts w:eastAsia="Bookman Old Style" w:cs="Bookman Old Style"/>
                <w:color w:val="000000" w:themeColor="text1"/>
                <w:szCs w:val="24"/>
              </w:rPr>
              <w:t xml:space="preserve">engendalian </w:t>
            </w:r>
            <w:r w:rsidR="00D43DBD" w:rsidRPr="00306115">
              <w:rPr>
                <w:rFonts w:eastAsia="Bookman Old Style" w:cs="Bookman Old Style"/>
                <w:color w:val="000000" w:themeColor="text1"/>
                <w:szCs w:val="24"/>
              </w:rPr>
              <w:t xml:space="preserve">risiko </w:t>
            </w:r>
            <w:r w:rsidRPr="00306115">
              <w:rPr>
                <w:rFonts w:eastAsia="Bookman Old Style" w:cs="Bookman Old Style"/>
                <w:color w:val="000000" w:themeColor="text1"/>
                <w:szCs w:val="24"/>
              </w:rPr>
              <w:t xml:space="preserve">mencakup evaluasi terhadap: (i) kecukupan sistem pengendalian internal dan (ii) kecukupan kaji ulang oleh pihak independen dalam Manajer Investasi baik oleh fungsi </w:t>
            </w:r>
            <w:r w:rsidR="001008B5" w:rsidRPr="00306115">
              <w:rPr>
                <w:color w:val="000000" w:themeColor="text1"/>
              </w:rPr>
              <w:t>Manajemen Risiko</w:t>
            </w:r>
            <w:r w:rsidR="001008B5" w:rsidRPr="00306115">
              <w:rPr>
                <w:rFonts w:eastAsia="Bookman Old Style" w:cs="Bookman Old Style"/>
                <w:color w:val="000000" w:themeColor="text1"/>
                <w:szCs w:val="24"/>
              </w:rPr>
              <w:t xml:space="preserve"> </w:t>
            </w:r>
            <w:r w:rsidRPr="00306115">
              <w:rPr>
                <w:rFonts w:eastAsia="Bookman Old Style" w:cs="Bookman Old Style"/>
                <w:color w:val="000000" w:themeColor="text1"/>
                <w:szCs w:val="24"/>
              </w:rPr>
              <w:t>maupun fungsi audit internal.</w:t>
            </w:r>
          </w:p>
        </w:tc>
      </w:tr>
    </w:tbl>
    <w:p w14:paraId="5C4B5F9D" w14:textId="264A348D" w:rsidR="00C13986" w:rsidRPr="00306115" w:rsidRDefault="000B1140" w:rsidP="000B1140">
      <w:pPr>
        <w:pStyle w:val="HeadingAwalDaftarIsiLampiran"/>
        <w:numPr>
          <w:ilvl w:val="0"/>
          <w:numId w:val="0"/>
        </w:numPr>
        <w:tabs>
          <w:tab w:val="left" w:pos="1985"/>
        </w:tabs>
        <w:ind w:left="1134"/>
        <w:rPr>
          <w:rFonts w:eastAsia="Bookman Old Style" w:cs="Bookman Old Style"/>
        </w:rPr>
      </w:pPr>
      <w:r w:rsidRPr="00306115">
        <w:rPr>
          <w:rFonts w:eastAsia="Bookman Old Style" w:cs="Bookman Old Style"/>
        </w:rPr>
        <w:t xml:space="preserve">*) Merupakan parameter atau indikator minimal dan Manajer Investasi dapat menambah parameter atau indikator lain sesuai dengan karakteristik, kompleksitas usaha, dan kemampuan Manajer Investasi. Penilaian dilakukan dengan posisi akhir per 31 Desember posisi dan tren selama yang mencakup penilaian selama 12 (dua belas) bulan terakhir untuk parameter atau indikator pada Lampiran </w:t>
      </w:r>
      <w:r w:rsidR="00D41A26" w:rsidRPr="00306115">
        <w:rPr>
          <w:rFonts w:eastAsia="Bookman Old Style" w:cs="Bookman Old Style"/>
        </w:rPr>
        <w:t xml:space="preserve">IV </w:t>
      </w:r>
      <w:r w:rsidR="00D41A26" w:rsidRPr="00306115">
        <w:t>yang merupakan bagian tidak terpisahkan dari Peraturan Anggota Dewan Komisioner Otoritas Jasa Keuangan ini</w:t>
      </w:r>
      <w:r w:rsidRPr="00306115">
        <w:rPr>
          <w:rFonts w:eastAsia="Bookman Old Style" w:cs="Bookman Old Style"/>
        </w:rPr>
        <w:t>.</w:t>
      </w:r>
    </w:p>
    <w:p w14:paraId="0E47529E" w14:textId="77777777" w:rsidR="00DB0573" w:rsidRPr="00306115" w:rsidRDefault="00DB0573" w:rsidP="000B1140">
      <w:pPr>
        <w:pStyle w:val="HeadingAwalDaftarIsiLampiran"/>
        <w:numPr>
          <w:ilvl w:val="0"/>
          <w:numId w:val="0"/>
        </w:numPr>
        <w:tabs>
          <w:tab w:val="left" w:pos="1985"/>
        </w:tabs>
        <w:ind w:left="1134"/>
      </w:pPr>
    </w:p>
    <w:p w14:paraId="18727A84" w14:textId="69D47186" w:rsidR="00815B7B" w:rsidRPr="00306115" w:rsidRDefault="00815B7B" w:rsidP="007A131F">
      <w:pPr>
        <w:pStyle w:val="HeadingAwalDaftarIsiLampiran"/>
        <w:numPr>
          <w:ilvl w:val="0"/>
          <w:numId w:val="279"/>
        </w:numPr>
        <w:tabs>
          <w:tab w:val="left" w:pos="1985"/>
        </w:tabs>
        <w:ind w:left="1134" w:hanging="567"/>
      </w:pPr>
      <w:r w:rsidRPr="00306115">
        <w:rPr>
          <w:rFonts w:eastAsia="Bookman Old Style" w:cs="Bookman Old Style"/>
        </w:rPr>
        <w:t>Penilaian Risiko Kredit</w:t>
      </w:r>
    </w:p>
    <w:p w14:paraId="4199348C" w14:textId="07CEDB18" w:rsidR="008A5EEE" w:rsidRPr="00306115" w:rsidRDefault="008A5EEE">
      <w:pPr>
        <w:pStyle w:val="HeadingAwalDaftarIsiLampiran"/>
        <w:numPr>
          <w:ilvl w:val="3"/>
          <w:numId w:val="283"/>
        </w:numPr>
        <w:tabs>
          <w:tab w:val="left" w:pos="1985"/>
        </w:tabs>
        <w:ind w:left="1701" w:hanging="567"/>
      </w:pPr>
      <w:r w:rsidRPr="00306115">
        <w:rPr>
          <w:rFonts w:eastAsia="Bookman Old Style" w:cs="Bookman Old Style"/>
        </w:rPr>
        <w:t>Penilaian Risiko Kredit dilakukan berdasarkan hasil penilaian masing-masing parameter atau indikator Risiko Kredit yang didasarkan pada analisis yang komprehensif dan terstruktur yang memberikan gambaran secara menyeluruh Risiko Kredit.</w:t>
      </w:r>
    </w:p>
    <w:p w14:paraId="54F3DEBC" w14:textId="345AF5E4" w:rsidR="003871A3" w:rsidRPr="00306115" w:rsidRDefault="00FF4FCE">
      <w:pPr>
        <w:pStyle w:val="HeadingAwalDaftarIsiLampiran"/>
        <w:numPr>
          <w:ilvl w:val="3"/>
          <w:numId w:val="283"/>
        </w:numPr>
        <w:tabs>
          <w:tab w:val="left" w:pos="1985"/>
        </w:tabs>
        <w:ind w:left="1701" w:hanging="567"/>
      </w:pPr>
      <w:r w:rsidRPr="00306115">
        <w:rPr>
          <w:rFonts w:eastAsia="Bookman Old Style" w:cs="Bookman Old Style"/>
        </w:rPr>
        <w:lastRenderedPageBreak/>
        <w:t xml:space="preserve">Penetapan total peringkat Risiko Kredit untuk setiap Produk Investasi atau Reksa Dana dilakukan dengan cara menyimpulkan hasil penilaian atas seluruh indikator risiko inheren kredit, serta menentukan signifikansi indikator berdasarkan karakteristik </w:t>
      </w:r>
      <w:r w:rsidR="00536544" w:rsidRPr="00306115">
        <w:rPr>
          <w:rFonts w:eastAsia="Bookman Old Style" w:cs="Bookman Old Style"/>
        </w:rPr>
        <w:t>P</w:t>
      </w:r>
      <w:r w:rsidRPr="00306115">
        <w:rPr>
          <w:rFonts w:eastAsia="Bookman Old Style" w:cs="Bookman Old Style"/>
        </w:rPr>
        <w:t>roduk</w:t>
      </w:r>
      <w:r w:rsidR="00536544" w:rsidRPr="00306115">
        <w:rPr>
          <w:rFonts w:eastAsia="Bookman Old Style" w:cs="Bookman Old Style"/>
        </w:rPr>
        <w:t xml:space="preserve"> Investasi</w:t>
      </w:r>
      <w:r w:rsidRPr="00306115">
        <w:rPr>
          <w:rFonts w:eastAsia="Bookman Old Style" w:cs="Bookman Old Style"/>
        </w:rPr>
        <w:t xml:space="preserve"> dan/atau Reksa Dana, termasuk komposisi portofolio </w:t>
      </w:r>
      <w:r w:rsidR="00536544" w:rsidRPr="00306115">
        <w:rPr>
          <w:rFonts w:eastAsia="Bookman Old Style" w:cs="Bookman Old Style"/>
        </w:rPr>
        <w:t>P</w:t>
      </w:r>
      <w:r w:rsidRPr="00306115">
        <w:rPr>
          <w:rFonts w:eastAsia="Bookman Old Style" w:cs="Bookman Old Style"/>
        </w:rPr>
        <w:t>roduk</w:t>
      </w:r>
      <w:r w:rsidR="00536544" w:rsidRPr="00306115">
        <w:rPr>
          <w:rFonts w:eastAsia="Bookman Old Style" w:cs="Bookman Old Style"/>
        </w:rPr>
        <w:t xml:space="preserve"> Investasi</w:t>
      </w:r>
      <w:r w:rsidRPr="00306115">
        <w:rPr>
          <w:rFonts w:eastAsia="Bookman Old Style" w:cs="Bookman Old Style"/>
        </w:rPr>
        <w:t xml:space="preserve"> tersebut.</w:t>
      </w:r>
    </w:p>
    <w:p w14:paraId="33F612B9" w14:textId="7905A4D7" w:rsidR="00FF4FCE" w:rsidRPr="00306115" w:rsidRDefault="006D7EE5" w:rsidP="00FF4FCE">
      <w:pPr>
        <w:pStyle w:val="HeadingAwalDaftarIsiLampiran"/>
        <w:numPr>
          <w:ilvl w:val="0"/>
          <w:numId w:val="0"/>
        </w:numPr>
        <w:tabs>
          <w:tab w:val="left" w:pos="1985"/>
        </w:tabs>
        <w:ind w:left="1701"/>
      </w:pPr>
      <w:r w:rsidRPr="00306115">
        <w:rPr>
          <w:rFonts w:eastAsia="Bookman Old Style" w:cs="Bookman Old Style"/>
        </w:rPr>
        <w:t>Sebagai contoh, untuk Reksa Dana pendapatan tetap dan Reksa Dana campuran yang memiliki eksposur signifikan pada Efek Bersifat Utang dan/atau Sukuk, indikator risiko kredit sangat relevan untuk digunakan. Sedangkan untuk Reksa Dana Campuran yang eksposur Efek bersifat Utang dan/atau Sukuk tidak dominan dan signifikan, maka hasil penetapan nilai risiko kredit bisa dijustifikasi dan memberikan informasi yang mendukung</w:t>
      </w:r>
    </w:p>
    <w:p w14:paraId="540D056A" w14:textId="02835DBB" w:rsidR="008A5EEE" w:rsidRPr="00306115" w:rsidRDefault="00790364">
      <w:pPr>
        <w:pStyle w:val="HeadingAwalDaftarIsiLampiran"/>
        <w:numPr>
          <w:ilvl w:val="3"/>
          <w:numId w:val="283"/>
        </w:numPr>
        <w:tabs>
          <w:tab w:val="left" w:pos="1985"/>
        </w:tabs>
        <w:ind w:left="1701" w:hanging="567"/>
      </w:pPr>
      <w:r w:rsidRPr="00306115">
        <w:rPr>
          <w:rFonts w:eastAsia="Bookman Old Style" w:cs="Bookman Old Style"/>
        </w:rPr>
        <w:t>Penilaian parameter atau indikator Risiko Kredit dapat menggunakan tabel berikut:</w:t>
      </w:r>
    </w:p>
    <w:tbl>
      <w:tblPr>
        <w:tblW w:w="14175" w:type="dxa"/>
        <w:tblInd w:w="16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402"/>
        <w:gridCol w:w="5529"/>
        <w:gridCol w:w="1842"/>
        <w:gridCol w:w="3402"/>
      </w:tblGrid>
      <w:tr w:rsidR="0029145E" w:rsidRPr="00306115" w14:paraId="0F5CCFBF" w14:textId="77777777" w:rsidTr="0029145E">
        <w:trPr>
          <w:trHeight w:val="556"/>
        </w:trPr>
        <w:tc>
          <w:tcPr>
            <w:tcW w:w="14175" w:type="dxa"/>
            <w:gridSpan w:val="4"/>
            <w:shd w:val="clear" w:color="auto" w:fill="BEBEBE"/>
          </w:tcPr>
          <w:p w14:paraId="1937DE6E" w14:textId="77777777" w:rsidR="0029145E" w:rsidRPr="00306115" w:rsidRDefault="0029145E" w:rsidP="0029145E">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Reksa Dana A</w:t>
            </w:r>
          </w:p>
        </w:tc>
      </w:tr>
      <w:tr w:rsidR="0029145E" w:rsidRPr="00306115" w14:paraId="35165AB2" w14:textId="77777777" w:rsidTr="0029145E">
        <w:trPr>
          <w:trHeight w:val="540"/>
        </w:trPr>
        <w:tc>
          <w:tcPr>
            <w:tcW w:w="3402" w:type="dxa"/>
            <w:shd w:val="clear" w:color="auto" w:fill="BEBEBE"/>
          </w:tcPr>
          <w:p w14:paraId="769A852F" w14:textId="77777777" w:rsidR="0029145E" w:rsidRPr="00306115" w:rsidRDefault="0029145E" w:rsidP="0029145E">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Jenis instrumen</w:t>
            </w:r>
          </w:p>
        </w:tc>
        <w:tc>
          <w:tcPr>
            <w:tcW w:w="5529" w:type="dxa"/>
            <w:shd w:val="clear" w:color="auto" w:fill="BEBEBE"/>
          </w:tcPr>
          <w:p w14:paraId="20F46220" w14:textId="3CC9E4A8" w:rsidR="0029145E" w:rsidRPr="00306115" w:rsidRDefault="0029145E" w:rsidP="0029145E">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Indikator</w:t>
            </w:r>
          </w:p>
        </w:tc>
        <w:tc>
          <w:tcPr>
            <w:tcW w:w="1842" w:type="dxa"/>
            <w:shd w:val="clear" w:color="auto" w:fill="BEBEBE"/>
          </w:tcPr>
          <w:p w14:paraId="5A651773" w14:textId="25B7E157" w:rsidR="0029145E" w:rsidRPr="00306115" w:rsidRDefault="00685663" w:rsidP="0029145E">
            <w:pPr>
              <w:widowControl w:val="0"/>
              <w:pBdr>
                <w:top w:val="nil"/>
                <w:left w:val="nil"/>
                <w:bottom w:val="nil"/>
                <w:right w:val="nil"/>
                <w:between w:val="nil"/>
              </w:pBdr>
              <w:spacing w:before="60" w:after="60" w:line="240" w:lineRule="auto"/>
              <w:jc w:val="center"/>
              <w:rPr>
                <w:rFonts w:eastAsia="Bookman Old Style" w:cs="Bookman Old Style"/>
                <w:b/>
                <w:bCs/>
                <w:strike/>
                <w:color w:val="000000" w:themeColor="text1"/>
                <w:szCs w:val="24"/>
              </w:rPr>
            </w:pPr>
            <w:r w:rsidRPr="00306115">
              <w:rPr>
                <w:rFonts w:eastAsia="Bookman Old Style" w:cs="Bookman Old Style"/>
                <w:b/>
                <w:bCs/>
                <w:color w:val="000000" w:themeColor="text1"/>
                <w:szCs w:val="24"/>
              </w:rPr>
              <w:t>Peringkat</w:t>
            </w:r>
          </w:p>
        </w:tc>
        <w:tc>
          <w:tcPr>
            <w:tcW w:w="3402" w:type="dxa"/>
            <w:shd w:val="clear" w:color="auto" w:fill="BEBEBE"/>
          </w:tcPr>
          <w:p w14:paraId="73418EF6" w14:textId="77777777" w:rsidR="0029145E" w:rsidRPr="00306115" w:rsidRDefault="0029145E" w:rsidP="0029145E">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Keterangan</w:t>
            </w:r>
          </w:p>
        </w:tc>
      </w:tr>
      <w:tr w:rsidR="0029145E" w:rsidRPr="00306115" w14:paraId="51044B4A" w14:textId="77777777" w:rsidTr="009B792A">
        <w:trPr>
          <w:trHeight w:val="322"/>
        </w:trPr>
        <w:tc>
          <w:tcPr>
            <w:tcW w:w="3402" w:type="dxa"/>
            <w:vMerge w:val="restart"/>
          </w:tcPr>
          <w:p w14:paraId="35A224B9" w14:textId="77777777" w:rsidR="0029145E" w:rsidRPr="00306115" w:rsidRDefault="0029145E" w:rsidP="0029145E">
            <w:pPr>
              <w:widowControl w:val="0"/>
              <w:pBdr>
                <w:top w:val="nil"/>
                <w:left w:val="nil"/>
                <w:bottom w:val="nil"/>
                <w:right w:val="nil"/>
                <w:between w:val="nil"/>
              </w:pBdr>
              <w:spacing w:after="0" w:line="240" w:lineRule="auto"/>
              <w:rPr>
                <w:rFonts w:eastAsia="Bookman Old Style" w:cs="Bookman Old Style"/>
                <w:color w:val="000000" w:themeColor="text1"/>
                <w:szCs w:val="24"/>
              </w:rPr>
            </w:pPr>
          </w:p>
          <w:p w14:paraId="2867A0AE" w14:textId="77777777" w:rsidR="0029145E" w:rsidRPr="00306115" w:rsidRDefault="0029145E" w:rsidP="0029145E">
            <w:pPr>
              <w:widowControl w:val="0"/>
              <w:pBdr>
                <w:top w:val="nil"/>
                <w:left w:val="nil"/>
                <w:bottom w:val="nil"/>
                <w:right w:val="nil"/>
                <w:between w:val="nil"/>
              </w:pBdr>
              <w:spacing w:after="0" w:line="240" w:lineRule="auto"/>
              <w:rPr>
                <w:rFonts w:eastAsia="Bookman Old Style" w:cs="Bookman Old Style"/>
                <w:color w:val="000000" w:themeColor="text1"/>
                <w:szCs w:val="24"/>
              </w:rPr>
            </w:pPr>
          </w:p>
          <w:p w14:paraId="561D6897" w14:textId="77777777" w:rsidR="0029145E" w:rsidRPr="00306115" w:rsidRDefault="0029145E" w:rsidP="0029145E">
            <w:pPr>
              <w:widowControl w:val="0"/>
              <w:pBdr>
                <w:top w:val="nil"/>
                <w:left w:val="nil"/>
                <w:bottom w:val="nil"/>
                <w:right w:val="nil"/>
                <w:between w:val="nil"/>
              </w:pBdr>
              <w:spacing w:after="0" w:line="240" w:lineRule="auto"/>
              <w:rPr>
                <w:rFonts w:eastAsia="Bookman Old Style" w:cs="Bookman Old Style"/>
                <w:b/>
                <w:bCs/>
                <w:color w:val="000000" w:themeColor="text1"/>
                <w:szCs w:val="24"/>
              </w:rPr>
            </w:pPr>
            <w:r w:rsidRPr="00306115">
              <w:rPr>
                <w:rFonts w:eastAsia="Bookman Old Style" w:cs="Bookman Old Style"/>
                <w:b/>
                <w:bCs/>
                <w:color w:val="000000" w:themeColor="text1"/>
                <w:szCs w:val="24"/>
              </w:rPr>
              <w:t>Instrumen utang</w:t>
            </w:r>
          </w:p>
        </w:tc>
        <w:tc>
          <w:tcPr>
            <w:tcW w:w="5529" w:type="dxa"/>
          </w:tcPr>
          <w:p w14:paraId="41423D9A" w14:textId="79990315" w:rsidR="009B792A" w:rsidRPr="00306115" w:rsidRDefault="009B792A" w:rsidP="0029145E">
            <w:pPr>
              <w:widowControl w:val="0"/>
              <w:pBdr>
                <w:top w:val="nil"/>
                <w:left w:val="nil"/>
                <w:bottom w:val="nil"/>
                <w:right w:val="nil"/>
                <w:between w:val="nil"/>
              </w:pBdr>
              <w:spacing w:after="0" w:line="240" w:lineRule="auto"/>
              <w:rPr>
                <w:rFonts w:eastAsia="Bookman Old Style" w:cs="Bookman Old Style"/>
                <w:strike/>
                <w:color w:val="000000" w:themeColor="text1"/>
                <w:szCs w:val="24"/>
              </w:rPr>
            </w:pPr>
            <w:r w:rsidRPr="00306115">
              <w:rPr>
                <w:rFonts w:eastAsia="Bookman Old Style" w:cs="Bookman Old Style"/>
                <w:color w:val="000000" w:themeColor="text1"/>
                <w:szCs w:val="24"/>
              </w:rPr>
              <w:t xml:space="preserve">Persentase (%) surat utang dan atau sukuk dengan </w:t>
            </w:r>
            <w:r w:rsidRPr="00306115">
              <w:rPr>
                <w:rFonts w:eastAsia="Bookman Old Style" w:cs="Bookman Old Style"/>
                <w:i/>
                <w:iCs/>
                <w:color w:val="000000" w:themeColor="text1"/>
                <w:szCs w:val="24"/>
              </w:rPr>
              <w:t>rating</w:t>
            </w:r>
            <w:r w:rsidRPr="00306115">
              <w:rPr>
                <w:rFonts w:eastAsia="Bookman Old Style" w:cs="Bookman Old Style"/>
                <w:color w:val="000000" w:themeColor="text1"/>
                <w:szCs w:val="24"/>
              </w:rPr>
              <w:t>/peringkat non-</w:t>
            </w:r>
            <w:r w:rsidRPr="00306115">
              <w:rPr>
                <w:rFonts w:eastAsia="Bookman Old Style" w:cs="Bookman Old Style"/>
                <w:i/>
                <w:iCs/>
                <w:color w:val="000000" w:themeColor="text1"/>
                <w:szCs w:val="24"/>
              </w:rPr>
              <w:t>investment grade</w:t>
            </w:r>
          </w:p>
        </w:tc>
        <w:tc>
          <w:tcPr>
            <w:tcW w:w="1842" w:type="dxa"/>
          </w:tcPr>
          <w:p w14:paraId="25420122" w14:textId="77777777" w:rsidR="0029145E" w:rsidRPr="00306115" w:rsidRDefault="0029145E" w:rsidP="0029145E">
            <w:pPr>
              <w:widowControl w:val="0"/>
              <w:pBdr>
                <w:top w:val="nil"/>
                <w:left w:val="nil"/>
                <w:bottom w:val="nil"/>
                <w:right w:val="nil"/>
                <w:between w:val="nil"/>
              </w:pBdr>
              <w:spacing w:line="240" w:lineRule="auto"/>
              <w:rPr>
                <w:rFonts w:eastAsia="Bookman Old Style" w:cs="Bookman Old Style"/>
                <w:color w:val="000000" w:themeColor="text1"/>
                <w:szCs w:val="24"/>
              </w:rPr>
            </w:pPr>
          </w:p>
        </w:tc>
        <w:tc>
          <w:tcPr>
            <w:tcW w:w="3402" w:type="dxa"/>
          </w:tcPr>
          <w:p w14:paraId="70323410" w14:textId="77777777" w:rsidR="0029145E" w:rsidRPr="00306115" w:rsidRDefault="0029145E" w:rsidP="0029145E">
            <w:pPr>
              <w:widowControl w:val="0"/>
              <w:pBdr>
                <w:top w:val="nil"/>
                <w:left w:val="nil"/>
                <w:bottom w:val="nil"/>
                <w:right w:val="nil"/>
                <w:between w:val="nil"/>
              </w:pBdr>
              <w:spacing w:line="240" w:lineRule="auto"/>
              <w:rPr>
                <w:rFonts w:eastAsia="Bookman Old Style" w:cs="Bookman Old Style"/>
                <w:color w:val="000000" w:themeColor="text1"/>
                <w:szCs w:val="24"/>
              </w:rPr>
            </w:pPr>
          </w:p>
        </w:tc>
      </w:tr>
      <w:tr w:rsidR="0029145E" w:rsidRPr="00306115" w14:paraId="2631DC1F" w14:textId="77777777" w:rsidTr="0029145E">
        <w:trPr>
          <w:trHeight w:val="419"/>
        </w:trPr>
        <w:tc>
          <w:tcPr>
            <w:tcW w:w="3402" w:type="dxa"/>
            <w:vMerge/>
          </w:tcPr>
          <w:p w14:paraId="2CC92AEE" w14:textId="77777777" w:rsidR="0029145E" w:rsidRPr="00306115" w:rsidRDefault="0029145E" w:rsidP="0029145E">
            <w:pPr>
              <w:widowControl w:val="0"/>
              <w:pBdr>
                <w:top w:val="nil"/>
                <w:left w:val="nil"/>
                <w:bottom w:val="nil"/>
                <w:right w:val="nil"/>
                <w:between w:val="nil"/>
              </w:pBdr>
              <w:spacing w:after="0" w:line="240" w:lineRule="auto"/>
              <w:rPr>
                <w:rFonts w:eastAsia="Bookman Old Style" w:cs="Bookman Old Style"/>
                <w:color w:val="000000" w:themeColor="text1"/>
                <w:szCs w:val="24"/>
              </w:rPr>
            </w:pPr>
          </w:p>
        </w:tc>
        <w:tc>
          <w:tcPr>
            <w:tcW w:w="5529" w:type="dxa"/>
          </w:tcPr>
          <w:p w14:paraId="3C80A628" w14:textId="3335C6B2" w:rsidR="001C2757" w:rsidRPr="00306115" w:rsidRDefault="001C2757" w:rsidP="0029145E">
            <w:pPr>
              <w:widowControl w:val="0"/>
              <w:pBdr>
                <w:top w:val="nil"/>
                <w:left w:val="nil"/>
                <w:bottom w:val="nil"/>
                <w:right w:val="nil"/>
                <w:between w:val="nil"/>
              </w:pBdr>
              <w:spacing w:after="0" w:line="240" w:lineRule="auto"/>
              <w:rPr>
                <w:rFonts w:eastAsia="Bookman Old Style" w:cs="Bookman Old Style"/>
                <w:strike/>
                <w:color w:val="000000" w:themeColor="text1"/>
                <w:szCs w:val="24"/>
              </w:rPr>
            </w:pPr>
            <w:r w:rsidRPr="00306115">
              <w:rPr>
                <w:rFonts w:eastAsia="Bookman Old Style" w:cs="Bookman Old Style"/>
                <w:color w:val="000000" w:themeColor="text1"/>
                <w:szCs w:val="24"/>
              </w:rPr>
              <w:t>Persentase</w:t>
            </w:r>
            <w:r w:rsidRPr="00306115">
              <w:rPr>
                <w:rFonts w:eastAsia="Bookman Old Style" w:cs="Bookman Old Style"/>
                <w:color w:val="000000" w:themeColor="text1"/>
                <w:sz w:val="22"/>
              </w:rPr>
              <w:t xml:space="preserve"> (%) Nilai Investasi Tertimbang Berdasarkan Kualitas Kredit (</w:t>
            </w:r>
            <w:r w:rsidRPr="00306115">
              <w:rPr>
                <w:rFonts w:eastAsia="Bookman Old Style" w:cs="Bookman Old Style"/>
                <w:i/>
                <w:iCs/>
                <w:color w:val="000000" w:themeColor="text1"/>
                <w:sz w:val="22"/>
              </w:rPr>
              <w:t>Risk-Weighted Value</w:t>
            </w:r>
            <w:r w:rsidRPr="00306115">
              <w:rPr>
                <w:rFonts w:eastAsia="Bookman Old Style" w:cs="Bookman Old Style"/>
                <w:color w:val="000000" w:themeColor="text1"/>
                <w:sz w:val="22"/>
              </w:rPr>
              <w:t>) atas Efek Bersifat Utang dan/atau Sukuk</w:t>
            </w:r>
          </w:p>
        </w:tc>
        <w:tc>
          <w:tcPr>
            <w:tcW w:w="1842" w:type="dxa"/>
          </w:tcPr>
          <w:p w14:paraId="2E732120" w14:textId="77777777" w:rsidR="0029145E" w:rsidRPr="00306115" w:rsidRDefault="0029145E" w:rsidP="0029145E">
            <w:pPr>
              <w:widowControl w:val="0"/>
              <w:pBdr>
                <w:top w:val="nil"/>
                <w:left w:val="nil"/>
                <w:bottom w:val="nil"/>
                <w:right w:val="nil"/>
                <w:between w:val="nil"/>
              </w:pBdr>
              <w:spacing w:line="240" w:lineRule="auto"/>
              <w:rPr>
                <w:rFonts w:eastAsia="Bookman Old Style" w:cs="Bookman Old Style"/>
                <w:color w:val="000000" w:themeColor="text1"/>
                <w:szCs w:val="24"/>
              </w:rPr>
            </w:pPr>
          </w:p>
        </w:tc>
        <w:tc>
          <w:tcPr>
            <w:tcW w:w="3402" w:type="dxa"/>
          </w:tcPr>
          <w:p w14:paraId="11CAA53D" w14:textId="77777777" w:rsidR="0029145E" w:rsidRPr="00306115" w:rsidRDefault="0029145E" w:rsidP="0029145E">
            <w:pPr>
              <w:widowControl w:val="0"/>
              <w:pBdr>
                <w:top w:val="nil"/>
                <w:left w:val="nil"/>
                <w:bottom w:val="nil"/>
                <w:right w:val="nil"/>
                <w:between w:val="nil"/>
              </w:pBdr>
              <w:spacing w:line="240" w:lineRule="auto"/>
              <w:rPr>
                <w:rFonts w:eastAsia="Bookman Old Style" w:cs="Bookman Old Style"/>
                <w:color w:val="000000" w:themeColor="text1"/>
                <w:szCs w:val="24"/>
              </w:rPr>
            </w:pPr>
          </w:p>
        </w:tc>
      </w:tr>
      <w:tr w:rsidR="0029145E" w:rsidRPr="00306115" w14:paraId="68F27111" w14:textId="77777777" w:rsidTr="0029145E">
        <w:trPr>
          <w:trHeight w:val="669"/>
        </w:trPr>
        <w:tc>
          <w:tcPr>
            <w:tcW w:w="3402" w:type="dxa"/>
          </w:tcPr>
          <w:p w14:paraId="015B8FCA" w14:textId="17E6ACDC" w:rsidR="0029145E" w:rsidRPr="00306115" w:rsidRDefault="0029145E" w:rsidP="0029145E">
            <w:pPr>
              <w:widowControl w:val="0"/>
              <w:pBdr>
                <w:top w:val="nil"/>
                <w:left w:val="nil"/>
                <w:bottom w:val="nil"/>
                <w:right w:val="nil"/>
                <w:between w:val="nil"/>
              </w:pBdr>
              <w:spacing w:after="0" w:line="240" w:lineRule="auto"/>
              <w:rPr>
                <w:rFonts w:eastAsia="Bookman Old Style" w:cs="Bookman Old Style"/>
                <w:b/>
                <w:bCs/>
                <w:color w:val="000000" w:themeColor="text1"/>
                <w:szCs w:val="24"/>
              </w:rPr>
            </w:pPr>
            <w:r w:rsidRPr="00306115">
              <w:rPr>
                <w:rFonts w:eastAsia="Bookman Old Style" w:cs="Bookman Old Style"/>
                <w:b/>
                <w:bCs/>
                <w:color w:val="000000" w:themeColor="text1"/>
                <w:szCs w:val="24"/>
              </w:rPr>
              <w:t>Produk terstruktur atau tersekuritisasi</w:t>
            </w:r>
          </w:p>
        </w:tc>
        <w:tc>
          <w:tcPr>
            <w:tcW w:w="5529" w:type="dxa"/>
          </w:tcPr>
          <w:p w14:paraId="330ABFE0" w14:textId="5DD1E3F5" w:rsidR="00536544" w:rsidRPr="00306115" w:rsidRDefault="00536544" w:rsidP="0029145E">
            <w:pPr>
              <w:widowControl w:val="0"/>
              <w:pBdr>
                <w:top w:val="nil"/>
                <w:left w:val="nil"/>
                <w:bottom w:val="nil"/>
                <w:right w:val="nil"/>
                <w:between w:val="nil"/>
              </w:pBdr>
              <w:spacing w:after="0" w:line="240" w:lineRule="auto"/>
              <w:rPr>
                <w:rFonts w:eastAsia="Bookman Old Style" w:cs="Bookman Old Style"/>
                <w:i/>
                <w:iCs/>
                <w:strike/>
                <w:color w:val="000000" w:themeColor="text1"/>
                <w:szCs w:val="24"/>
              </w:rPr>
            </w:pPr>
            <w:r w:rsidRPr="00306115">
              <w:rPr>
                <w:rFonts w:eastAsia="Bookman Old Style" w:cs="Bookman Old Style"/>
                <w:color w:val="000000" w:themeColor="text1"/>
                <w:szCs w:val="24"/>
              </w:rPr>
              <w:t>Persentase (%)  Aset Dasar yang Gagal Bayar</w:t>
            </w:r>
            <w:r w:rsidRPr="00306115">
              <w:rPr>
                <w:rFonts w:eastAsia="Bookman Old Style" w:cs="Bookman Old Style"/>
                <w:i/>
                <w:iCs/>
                <w:color w:val="000000" w:themeColor="text1"/>
                <w:szCs w:val="24"/>
              </w:rPr>
              <w:t xml:space="preserve"> (Default)</w:t>
            </w:r>
          </w:p>
        </w:tc>
        <w:tc>
          <w:tcPr>
            <w:tcW w:w="1842" w:type="dxa"/>
          </w:tcPr>
          <w:p w14:paraId="3E6FBFCA" w14:textId="77777777" w:rsidR="0029145E" w:rsidRPr="00306115" w:rsidRDefault="0029145E" w:rsidP="0029145E">
            <w:pPr>
              <w:widowControl w:val="0"/>
              <w:pBdr>
                <w:top w:val="nil"/>
                <w:left w:val="nil"/>
                <w:bottom w:val="nil"/>
                <w:right w:val="nil"/>
                <w:between w:val="nil"/>
              </w:pBdr>
              <w:spacing w:line="240" w:lineRule="auto"/>
              <w:rPr>
                <w:rFonts w:eastAsia="Bookman Old Style" w:cs="Bookman Old Style"/>
                <w:color w:val="000000" w:themeColor="text1"/>
                <w:szCs w:val="24"/>
              </w:rPr>
            </w:pPr>
          </w:p>
        </w:tc>
        <w:tc>
          <w:tcPr>
            <w:tcW w:w="3402" w:type="dxa"/>
          </w:tcPr>
          <w:p w14:paraId="601D8E8C" w14:textId="77777777" w:rsidR="0029145E" w:rsidRPr="00306115" w:rsidRDefault="0029145E" w:rsidP="0029145E">
            <w:pPr>
              <w:widowControl w:val="0"/>
              <w:pBdr>
                <w:top w:val="nil"/>
                <w:left w:val="nil"/>
                <w:bottom w:val="nil"/>
                <w:right w:val="nil"/>
                <w:between w:val="nil"/>
              </w:pBdr>
              <w:spacing w:line="240" w:lineRule="auto"/>
              <w:rPr>
                <w:rFonts w:eastAsia="Bookman Old Style" w:cs="Bookman Old Style"/>
                <w:color w:val="000000" w:themeColor="text1"/>
                <w:szCs w:val="24"/>
              </w:rPr>
            </w:pPr>
          </w:p>
        </w:tc>
      </w:tr>
      <w:tr w:rsidR="0029145E" w:rsidRPr="00306115" w14:paraId="0272F247" w14:textId="77777777" w:rsidTr="0029145E">
        <w:trPr>
          <w:trHeight w:val="267"/>
        </w:trPr>
        <w:tc>
          <w:tcPr>
            <w:tcW w:w="8931" w:type="dxa"/>
            <w:gridSpan w:val="2"/>
          </w:tcPr>
          <w:p w14:paraId="37E87BB5" w14:textId="54AEFA33" w:rsidR="0029145E" w:rsidRPr="00306115" w:rsidRDefault="009B792A" w:rsidP="0029145E">
            <w:pPr>
              <w:widowControl w:val="0"/>
              <w:pBdr>
                <w:top w:val="nil"/>
                <w:left w:val="nil"/>
                <w:bottom w:val="nil"/>
                <w:right w:val="nil"/>
                <w:between w:val="nil"/>
              </w:pBdr>
              <w:spacing w:after="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Peringkat</w:t>
            </w:r>
            <w:r w:rsidR="0029145E" w:rsidRPr="00306115">
              <w:rPr>
                <w:rFonts w:eastAsia="Bookman Old Style" w:cs="Bookman Old Style"/>
                <w:b/>
                <w:bCs/>
                <w:color w:val="000000" w:themeColor="text1"/>
                <w:szCs w:val="24"/>
              </w:rPr>
              <w:t xml:space="preserve"> Risiko Kredit</w:t>
            </w:r>
          </w:p>
        </w:tc>
        <w:tc>
          <w:tcPr>
            <w:tcW w:w="1842" w:type="dxa"/>
          </w:tcPr>
          <w:p w14:paraId="6CDEA31F" w14:textId="77777777" w:rsidR="0029145E" w:rsidRPr="00306115" w:rsidRDefault="0029145E" w:rsidP="0029145E">
            <w:pPr>
              <w:widowControl w:val="0"/>
              <w:pBdr>
                <w:top w:val="nil"/>
                <w:left w:val="nil"/>
                <w:bottom w:val="nil"/>
                <w:right w:val="nil"/>
                <w:between w:val="nil"/>
              </w:pBdr>
              <w:spacing w:line="240" w:lineRule="auto"/>
              <w:rPr>
                <w:rFonts w:eastAsia="Bookman Old Style" w:cs="Bookman Old Style"/>
                <w:color w:val="000000" w:themeColor="text1"/>
                <w:szCs w:val="24"/>
              </w:rPr>
            </w:pPr>
          </w:p>
        </w:tc>
        <w:tc>
          <w:tcPr>
            <w:tcW w:w="3402" w:type="dxa"/>
          </w:tcPr>
          <w:p w14:paraId="3424CA55" w14:textId="77777777" w:rsidR="0029145E" w:rsidRPr="00306115" w:rsidRDefault="0029145E" w:rsidP="0029145E">
            <w:pPr>
              <w:widowControl w:val="0"/>
              <w:pBdr>
                <w:top w:val="nil"/>
                <w:left w:val="nil"/>
                <w:bottom w:val="nil"/>
                <w:right w:val="nil"/>
                <w:between w:val="nil"/>
              </w:pBdr>
              <w:spacing w:line="240" w:lineRule="auto"/>
              <w:rPr>
                <w:rFonts w:eastAsia="Bookman Old Style" w:cs="Bookman Old Style"/>
                <w:color w:val="000000" w:themeColor="text1"/>
                <w:szCs w:val="24"/>
              </w:rPr>
            </w:pPr>
          </w:p>
        </w:tc>
      </w:tr>
    </w:tbl>
    <w:p w14:paraId="5B3F126C" w14:textId="77777777" w:rsidR="00790364" w:rsidRPr="00306115" w:rsidRDefault="00790364" w:rsidP="00790364">
      <w:pPr>
        <w:pStyle w:val="HeadingAwalDaftarIsiLampiran"/>
        <w:numPr>
          <w:ilvl w:val="0"/>
          <w:numId w:val="0"/>
        </w:numPr>
        <w:tabs>
          <w:tab w:val="left" w:pos="1985"/>
        </w:tabs>
        <w:ind w:left="1701"/>
      </w:pPr>
    </w:p>
    <w:p w14:paraId="7137D30D" w14:textId="0E754157" w:rsidR="006329C7" w:rsidRPr="00306115" w:rsidRDefault="006329C7">
      <w:pPr>
        <w:pStyle w:val="HeadingAwalDaftarIsiLampiran"/>
        <w:numPr>
          <w:ilvl w:val="0"/>
          <w:numId w:val="255"/>
        </w:numPr>
        <w:tabs>
          <w:tab w:val="left" w:pos="1134"/>
        </w:tabs>
        <w:ind w:left="567" w:hanging="567"/>
      </w:pPr>
      <w:r w:rsidRPr="00306115">
        <w:t>PENILAIAN RISIKO UNTUK RISIKO KONSENTRASI PORTOFOLIO EFEK</w:t>
      </w:r>
    </w:p>
    <w:p w14:paraId="20695BAE" w14:textId="4B118BA1" w:rsidR="0029145E" w:rsidRPr="00306115" w:rsidRDefault="00B10D7C">
      <w:pPr>
        <w:pStyle w:val="HeadingAwalDaftarIsiLampiran"/>
        <w:numPr>
          <w:ilvl w:val="0"/>
          <w:numId w:val="287"/>
        </w:numPr>
        <w:tabs>
          <w:tab w:val="left" w:pos="1560"/>
        </w:tabs>
        <w:ind w:left="1134" w:hanging="567"/>
      </w:pPr>
      <w:r w:rsidRPr="00306115">
        <w:rPr>
          <w:rFonts w:eastAsia="Bookman Old Style" w:cs="Bookman Old Style"/>
        </w:rPr>
        <w:t>Parameter atau Indikator Penilaian Risiko Konsentrasi Portofolio Efek</w:t>
      </w:r>
    </w:p>
    <w:tbl>
      <w:tblPr>
        <w:tblW w:w="14742" w:type="dxa"/>
        <w:tblInd w:w="1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276"/>
        <w:gridCol w:w="2126"/>
        <w:gridCol w:w="2552"/>
        <w:gridCol w:w="8788"/>
      </w:tblGrid>
      <w:tr w:rsidR="002B0715" w:rsidRPr="00306115" w14:paraId="5DDA523B" w14:textId="77777777" w:rsidTr="002B0715">
        <w:trPr>
          <w:trHeight w:val="556"/>
        </w:trPr>
        <w:tc>
          <w:tcPr>
            <w:tcW w:w="14742" w:type="dxa"/>
            <w:gridSpan w:val="4"/>
            <w:shd w:val="clear" w:color="auto" w:fill="D9D9D9"/>
          </w:tcPr>
          <w:p w14:paraId="1AA5988E" w14:textId="77777777" w:rsidR="002B0715" w:rsidRPr="00306115" w:rsidRDefault="002B0715">
            <w:pPr>
              <w:widowControl w:val="0"/>
              <w:numPr>
                <w:ilvl w:val="0"/>
                <w:numId w:val="292"/>
              </w:numPr>
              <w:pBdr>
                <w:top w:val="nil"/>
                <w:left w:val="nil"/>
                <w:bottom w:val="nil"/>
                <w:right w:val="nil"/>
                <w:between w:val="nil"/>
              </w:pBdr>
              <w:spacing w:before="60" w:after="60" w:line="240" w:lineRule="auto"/>
              <w:ind w:left="567" w:hanging="567"/>
              <w:jc w:val="left"/>
              <w:rPr>
                <w:rFonts w:eastAsia="Bookman Old Style" w:cs="Bookman Old Style"/>
                <w:b/>
                <w:bCs/>
                <w:color w:val="000000" w:themeColor="text1"/>
                <w:szCs w:val="24"/>
              </w:rPr>
            </w:pPr>
            <w:r w:rsidRPr="00306115">
              <w:rPr>
                <w:rFonts w:eastAsia="Bookman Old Style" w:cs="Bookman Old Style"/>
                <w:b/>
                <w:bCs/>
                <w:color w:val="000000" w:themeColor="text1"/>
                <w:szCs w:val="24"/>
              </w:rPr>
              <w:t>Risiko Inheren*)</w:t>
            </w:r>
          </w:p>
        </w:tc>
      </w:tr>
      <w:tr w:rsidR="002B0715" w:rsidRPr="00306115" w14:paraId="39616843" w14:textId="77777777" w:rsidTr="002C787E">
        <w:trPr>
          <w:trHeight w:val="556"/>
        </w:trPr>
        <w:tc>
          <w:tcPr>
            <w:tcW w:w="3402" w:type="dxa"/>
            <w:gridSpan w:val="2"/>
            <w:shd w:val="clear" w:color="auto" w:fill="D9D9D9"/>
          </w:tcPr>
          <w:p w14:paraId="1B9188B0" w14:textId="77777777" w:rsidR="002B0715" w:rsidRPr="00306115" w:rsidRDefault="002B0715" w:rsidP="002B0715">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Indikator</w:t>
            </w:r>
          </w:p>
        </w:tc>
        <w:tc>
          <w:tcPr>
            <w:tcW w:w="2552" w:type="dxa"/>
            <w:shd w:val="clear" w:color="auto" w:fill="D9D9D9"/>
          </w:tcPr>
          <w:p w14:paraId="393586F4" w14:textId="77777777" w:rsidR="002B0715" w:rsidRPr="00306115" w:rsidRDefault="002B0715" w:rsidP="002B0715">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Berlaku Untuk</w:t>
            </w:r>
          </w:p>
        </w:tc>
        <w:tc>
          <w:tcPr>
            <w:tcW w:w="8788" w:type="dxa"/>
            <w:shd w:val="clear" w:color="auto" w:fill="D9D9D9"/>
          </w:tcPr>
          <w:p w14:paraId="55870F43" w14:textId="77777777" w:rsidR="002B0715" w:rsidRPr="00306115" w:rsidRDefault="002B0715" w:rsidP="002B0715">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Informasi</w:t>
            </w:r>
          </w:p>
        </w:tc>
      </w:tr>
      <w:tr w:rsidR="000F47BB" w:rsidRPr="00306115" w14:paraId="34C4D209" w14:textId="77777777" w:rsidTr="002C787E">
        <w:trPr>
          <w:trHeight w:val="668"/>
        </w:trPr>
        <w:tc>
          <w:tcPr>
            <w:tcW w:w="3402" w:type="dxa"/>
            <w:gridSpan w:val="2"/>
          </w:tcPr>
          <w:p w14:paraId="0BFCB66E" w14:textId="3D2C8073" w:rsidR="000F47BB" w:rsidRPr="00306115" w:rsidRDefault="000F47BB" w:rsidP="000F47BB">
            <w:pPr>
              <w:widowControl w:val="0"/>
              <w:pBdr>
                <w:top w:val="nil"/>
                <w:left w:val="nil"/>
                <w:bottom w:val="nil"/>
                <w:right w:val="nil"/>
                <w:between w:val="nil"/>
              </w:pBdr>
              <w:spacing w:after="0" w:line="240" w:lineRule="auto"/>
              <w:rPr>
                <w:rFonts w:eastAsia="Bookman Old Style" w:cs="Bookman Old Style"/>
                <w:strike/>
                <w:color w:val="000000" w:themeColor="text1"/>
                <w:szCs w:val="24"/>
              </w:rPr>
            </w:pPr>
            <w:bookmarkStart w:id="4" w:name="_Hlk237612713"/>
            <w:r w:rsidRPr="00306115">
              <w:rPr>
                <w:rFonts w:eastAsia="Bookman Old Style" w:cs="Bookman Old Style"/>
                <w:color w:val="000000" w:themeColor="text1"/>
                <w:szCs w:val="24"/>
              </w:rPr>
              <w:lastRenderedPageBreak/>
              <w:t xml:space="preserve">Kepemilikan atas 5 (lima) Efek Bersifat Ekuitas (saham) terbesar dari seluruh </w:t>
            </w:r>
            <w:r w:rsidR="00E406EE" w:rsidRPr="00306115">
              <w:rPr>
                <w:rFonts w:eastAsia="Bookman Old Style" w:cs="Bookman Old Style"/>
                <w:color w:val="000000" w:themeColor="text1"/>
                <w:szCs w:val="24"/>
              </w:rPr>
              <w:t>P</w:t>
            </w:r>
            <w:r w:rsidRPr="00306115">
              <w:rPr>
                <w:rFonts w:eastAsia="Bookman Old Style" w:cs="Bookman Old Style"/>
                <w:color w:val="000000" w:themeColor="text1"/>
                <w:szCs w:val="24"/>
              </w:rPr>
              <w:t>roduk</w:t>
            </w:r>
            <w:r w:rsidR="00E406EE" w:rsidRPr="00306115">
              <w:rPr>
                <w:rFonts w:eastAsia="Bookman Old Style" w:cs="Bookman Old Style"/>
                <w:color w:val="000000" w:themeColor="text1"/>
                <w:szCs w:val="24"/>
              </w:rPr>
              <w:t xml:space="preserve"> Investasi</w:t>
            </w:r>
            <w:r w:rsidRPr="00306115">
              <w:rPr>
                <w:rFonts w:eastAsia="Bookman Old Style" w:cs="Bookman Old Style"/>
                <w:color w:val="000000" w:themeColor="text1"/>
                <w:szCs w:val="24"/>
              </w:rPr>
              <w:t>, pada posisi akhir tahun</w:t>
            </w:r>
            <w:bookmarkEnd w:id="4"/>
          </w:p>
        </w:tc>
        <w:tc>
          <w:tcPr>
            <w:tcW w:w="2552" w:type="dxa"/>
          </w:tcPr>
          <w:p w14:paraId="78EF6350" w14:textId="05097D62" w:rsidR="000F47BB" w:rsidRPr="00306115" w:rsidRDefault="000F47BB" w:rsidP="000F47BB">
            <w:pPr>
              <w:widowControl w:val="0"/>
              <w:pBdr>
                <w:top w:val="nil"/>
                <w:left w:val="nil"/>
                <w:bottom w:val="nil"/>
                <w:right w:val="nil"/>
                <w:between w:val="nil"/>
              </w:pBdr>
              <w:tabs>
                <w:tab w:val="left" w:pos="1270"/>
                <w:tab w:val="left" w:pos="2756"/>
              </w:tabs>
              <w:spacing w:after="0" w:line="240" w:lineRule="auto"/>
              <w:rPr>
                <w:rFonts w:eastAsia="Bookman Old Style" w:cs="Bookman Old Style"/>
                <w:strike/>
                <w:color w:val="000000" w:themeColor="text1"/>
                <w:szCs w:val="24"/>
              </w:rPr>
            </w:pPr>
            <w:r w:rsidRPr="00306115">
              <w:rPr>
                <w:rFonts w:eastAsia="Bookman Old Style" w:cs="Bookman Old Style"/>
                <w:color w:val="000000" w:themeColor="text1"/>
                <w:szCs w:val="24"/>
              </w:rPr>
              <w:t>Dana</w:t>
            </w:r>
            <w:r w:rsidRPr="00306115">
              <w:rPr>
                <w:rFonts w:eastAsia="Bookman Old Style" w:cs="Bookman Old Style"/>
                <w:color w:val="000000" w:themeColor="text1"/>
                <w:szCs w:val="24"/>
              </w:rPr>
              <w:tab/>
              <w:t xml:space="preserve">kelolaan secara akumulatif dari seluruh </w:t>
            </w:r>
            <w:r w:rsidR="008E049C" w:rsidRPr="00306115">
              <w:rPr>
                <w:rFonts w:eastAsia="Bookman Old Style" w:cs="Bookman Old Style"/>
                <w:color w:val="000000" w:themeColor="text1"/>
                <w:szCs w:val="24"/>
              </w:rPr>
              <w:t>P</w:t>
            </w:r>
            <w:r w:rsidRPr="00306115">
              <w:rPr>
                <w:rFonts w:eastAsia="Bookman Old Style" w:cs="Bookman Old Style"/>
                <w:color w:val="000000" w:themeColor="text1"/>
                <w:szCs w:val="24"/>
              </w:rPr>
              <w:t>roduk</w:t>
            </w:r>
            <w:r w:rsidR="008E049C" w:rsidRPr="00306115">
              <w:rPr>
                <w:rFonts w:eastAsia="Bookman Old Style" w:cs="Bookman Old Style"/>
                <w:color w:val="000000" w:themeColor="text1"/>
                <w:szCs w:val="24"/>
              </w:rPr>
              <w:t xml:space="preserve"> Investasi</w:t>
            </w:r>
            <w:r w:rsidRPr="00306115">
              <w:rPr>
                <w:rFonts w:eastAsia="Bookman Old Style" w:cs="Bookman Old Style"/>
                <w:color w:val="000000" w:themeColor="text1"/>
                <w:szCs w:val="24"/>
              </w:rPr>
              <w:t xml:space="preserve"> kelolaan.</w:t>
            </w:r>
          </w:p>
        </w:tc>
        <w:tc>
          <w:tcPr>
            <w:tcW w:w="8788" w:type="dxa"/>
          </w:tcPr>
          <w:p w14:paraId="71CE6FEE" w14:textId="0C6F5CFA" w:rsidR="00050F81" w:rsidRPr="00306115" w:rsidRDefault="000F47BB">
            <w:pPr>
              <w:widowControl w:val="0"/>
              <w:numPr>
                <w:ilvl w:val="0"/>
                <w:numId w:val="453"/>
              </w:numPr>
              <w:pBdr>
                <w:top w:val="nil"/>
                <w:left w:val="nil"/>
                <w:bottom w:val="nil"/>
                <w:right w:val="nil"/>
                <w:between w:val="nil"/>
              </w:pBdr>
              <w:tabs>
                <w:tab w:val="left" w:pos="737"/>
              </w:tabs>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 xml:space="preserve">Indikator ini mengukur kualitas dari 5 (lima) </w:t>
            </w:r>
            <w:r w:rsidR="008E049C" w:rsidRPr="00306115">
              <w:rPr>
                <w:rFonts w:eastAsia="Bookman Old Style" w:cs="Bookman Old Style"/>
                <w:color w:val="000000" w:themeColor="text1"/>
                <w:szCs w:val="24"/>
              </w:rPr>
              <w:t>E</w:t>
            </w:r>
            <w:r w:rsidRPr="00306115">
              <w:rPr>
                <w:rFonts w:eastAsia="Bookman Old Style" w:cs="Bookman Old Style"/>
                <w:color w:val="000000" w:themeColor="text1"/>
                <w:szCs w:val="24"/>
              </w:rPr>
              <w:t xml:space="preserve">fek bersifat ekuitas (saham) dengan total nilai konsentrasi kepemilikan secara agregat lintas keseluruhan </w:t>
            </w:r>
            <w:r w:rsidR="008E049C" w:rsidRPr="00306115">
              <w:rPr>
                <w:rFonts w:eastAsia="Bookman Old Style" w:cs="Bookman Old Style"/>
                <w:color w:val="000000" w:themeColor="text1"/>
                <w:szCs w:val="24"/>
              </w:rPr>
              <w:t xml:space="preserve">Produk Investasi </w:t>
            </w:r>
            <w:r w:rsidRPr="00306115">
              <w:rPr>
                <w:rFonts w:eastAsia="Bookman Old Style" w:cs="Bookman Old Style"/>
                <w:color w:val="000000" w:themeColor="text1"/>
                <w:szCs w:val="24"/>
              </w:rPr>
              <w:t xml:space="preserve">yang dikelola Manajer Investasi, pada posisi akhir tahun (31 Desember). </w:t>
            </w:r>
          </w:p>
          <w:p w14:paraId="130E2DAA" w14:textId="77777777" w:rsidR="00DF67FC" w:rsidRPr="00306115" w:rsidRDefault="000F47BB">
            <w:pPr>
              <w:widowControl w:val="0"/>
              <w:numPr>
                <w:ilvl w:val="0"/>
                <w:numId w:val="453"/>
              </w:numPr>
              <w:pBdr>
                <w:top w:val="nil"/>
                <w:left w:val="nil"/>
                <w:bottom w:val="nil"/>
                <w:right w:val="nil"/>
                <w:between w:val="nil"/>
              </w:pBdr>
              <w:tabs>
                <w:tab w:val="left" w:pos="737"/>
              </w:tabs>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Penilaian dilakukan untuk memastikan kualitas dari saham-saham yang menjadi konsentrasi kepemilikan tersebut.</w:t>
            </w:r>
          </w:p>
          <w:p w14:paraId="5D7C103F" w14:textId="796AD8DA" w:rsidR="000F47BB" w:rsidRPr="00306115" w:rsidRDefault="000F47BB">
            <w:pPr>
              <w:widowControl w:val="0"/>
              <w:numPr>
                <w:ilvl w:val="0"/>
                <w:numId w:val="453"/>
              </w:numPr>
              <w:pBdr>
                <w:top w:val="nil"/>
                <w:left w:val="nil"/>
                <w:bottom w:val="nil"/>
                <w:right w:val="nil"/>
                <w:between w:val="nil"/>
              </w:pBdr>
              <w:tabs>
                <w:tab w:val="left" w:pos="737"/>
              </w:tabs>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Kriteria penilaian menggunakan 5 (lima) aspek kualitas:</w:t>
            </w:r>
          </w:p>
          <w:p w14:paraId="4E496EFE" w14:textId="77777777" w:rsidR="00DF67FC" w:rsidRPr="00306115" w:rsidRDefault="000F47BB" w:rsidP="00DF67FC">
            <w:pPr>
              <w:widowControl w:val="0"/>
              <w:numPr>
                <w:ilvl w:val="1"/>
                <w:numId w:val="289"/>
              </w:numPr>
              <w:pBdr>
                <w:top w:val="nil"/>
                <w:left w:val="nil"/>
                <w:bottom w:val="nil"/>
                <w:right w:val="nil"/>
                <w:between w:val="nil"/>
              </w:pBdr>
              <w:tabs>
                <w:tab w:val="left" w:pos="1594"/>
              </w:tabs>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rPr>
              <w:t>Status Indeks BEI</w:t>
            </w:r>
          </w:p>
          <w:p w14:paraId="2F1A2762" w14:textId="272B96EB" w:rsidR="000F47BB" w:rsidRPr="00306115" w:rsidRDefault="000F47BB" w:rsidP="00DF67FC">
            <w:pPr>
              <w:widowControl w:val="0"/>
              <w:pBdr>
                <w:top w:val="nil"/>
                <w:left w:val="nil"/>
                <w:bottom w:val="nil"/>
                <w:right w:val="nil"/>
                <w:between w:val="nil"/>
              </w:pBdr>
              <w:tabs>
                <w:tab w:val="left" w:pos="1594"/>
              </w:tabs>
              <w:spacing w:after="0" w:line="240" w:lineRule="auto"/>
              <w:ind w:left="851"/>
              <w:rPr>
                <w:rFonts w:eastAsia="Bookman Old Style" w:cs="Bookman Old Style"/>
                <w:color w:val="000000" w:themeColor="text1"/>
                <w:szCs w:val="24"/>
              </w:rPr>
            </w:pPr>
            <w:r w:rsidRPr="00306115">
              <w:rPr>
                <w:rFonts w:eastAsia="Bookman Old Style" w:cs="Bookman Old Style"/>
                <w:color w:val="000000" w:themeColor="text1"/>
                <w:szCs w:val="24"/>
              </w:rPr>
              <w:t>Apakah saham masuk dalam indeks unggulan BEI (IDX30, LQ45, IDX80, atau kompas100) pada periode penilaian. Inklusi indeks mencerminkan kualitas likuiditas dan fundamentalnya yang telah memenuhi metodologi seleksi BEI.</w:t>
            </w:r>
          </w:p>
          <w:p w14:paraId="4AFCB986" w14:textId="77777777" w:rsidR="00DF67FC" w:rsidRPr="00306115" w:rsidRDefault="000F47BB" w:rsidP="00DF67FC">
            <w:pPr>
              <w:widowControl w:val="0"/>
              <w:numPr>
                <w:ilvl w:val="1"/>
                <w:numId w:val="289"/>
              </w:numPr>
              <w:pBdr>
                <w:top w:val="nil"/>
                <w:left w:val="nil"/>
                <w:bottom w:val="nil"/>
                <w:right w:val="nil"/>
                <w:between w:val="nil"/>
              </w:pBdr>
              <w:tabs>
                <w:tab w:val="left" w:pos="1594"/>
              </w:tabs>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rPr>
              <w:t>Status Indeks Indeks Global &amp; ESG Indonesia</w:t>
            </w:r>
          </w:p>
          <w:p w14:paraId="6A80CA7C" w14:textId="23107F9F" w:rsidR="000F47BB" w:rsidRPr="00306115" w:rsidRDefault="000F47BB" w:rsidP="00DF67FC">
            <w:pPr>
              <w:widowControl w:val="0"/>
              <w:pBdr>
                <w:top w:val="nil"/>
                <w:left w:val="nil"/>
                <w:bottom w:val="nil"/>
                <w:right w:val="nil"/>
                <w:between w:val="nil"/>
              </w:pBdr>
              <w:tabs>
                <w:tab w:val="left" w:pos="1594"/>
              </w:tabs>
              <w:spacing w:after="0" w:line="240" w:lineRule="auto"/>
              <w:ind w:left="851"/>
              <w:rPr>
                <w:rFonts w:eastAsia="Bookman Old Style" w:cs="Bookman Old Style"/>
                <w:color w:val="000000" w:themeColor="text1"/>
                <w:szCs w:val="24"/>
              </w:rPr>
            </w:pPr>
            <w:r w:rsidRPr="00306115">
              <w:rPr>
                <w:rFonts w:eastAsia="Bookman Old Style" w:cs="Bookman Old Style"/>
                <w:color w:val="000000" w:themeColor="text1"/>
                <w:szCs w:val="24"/>
              </w:rPr>
              <w:t xml:space="preserve">Apakah saham masuk dalam indeks global (MSCI, FTSE) dan/atau indeks ESG Indonesia (SRI-KEHATI, IDX ESG Leaders, ESG KEHATI). Informasi tersebut mencerminkan pengakuan kualitas tata kelola, </w:t>
            </w:r>
            <w:r w:rsidRPr="00306115">
              <w:rPr>
                <w:rFonts w:eastAsia="Bookman Old Style" w:cs="Bookman Old Style"/>
                <w:i/>
                <w:iCs/>
                <w:color w:val="000000" w:themeColor="text1"/>
                <w:szCs w:val="24"/>
              </w:rPr>
              <w:t>free float</w:t>
            </w:r>
            <w:r w:rsidRPr="00306115">
              <w:rPr>
                <w:rFonts w:eastAsia="Bookman Old Style" w:cs="Bookman Old Style"/>
                <w:color w:val="000000" w:themeColor="text1"/>
                <w:szCs w:val="24"/>
              </w:rPr>
              <w:t xml:space="preserve">, dan </w:t>
            </w:r>
            <w:r w:rsidRPr="00306115">
              <w:rPr>
                <w:rFonts w:eastAsia="Bookman Old Style" w:cs="Bookman Old Style"/>
                <w:i/>
                <w:iCs/>
                <w:color w:val="000000" w:themeColor="text1"/>
                <w:szCs w:val="24"/>
              </w:rPr>
              <w:t>sustainabililty</w:t>
            </w:r>
            <w:r w:rsidRPr="00306115">
              <w:rPr>
                <w:rFonts w:eastAsia="Bookman Old Style" w:cs="Bookman Old Style"/>
                <w:color w:val="000000" w:themeColor="text1"/>
                <w:szCs w:val="24"/>
              </w:rPr>
              <w:t xml:space="preserve"> dari perspektif nasional dan internasional.</w:t>
            </w:r>
          </w:p>
          <w:p w14:paraId="602C7764" w14:textId="77777777" w:rsidR="00A62182" w:rsidRPr="00306115" w:rsidRDefault="000F47BB" w:rsidP="00A62182">
            <w:pPr>
              <w:widowControl w:val="0"/>
              <w:numPr>
                <w:ilvl w:val="1"/>
                <w:numId w:val="289"/>
              </w:numPr>
              <w:pBdr>
                <w:top w:val="nil"/>
                <w:left w:val="nil"/>
                <w:bottom w:val="nil"/>
                <w:right w:val="nil"/>
                <w:between w:val="nil"/>
              </w:pBdr>
              <w:tabs>
                <w:tab w:val="left" w:pos="1594"/>
              </w:tabs>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rPr>
              <w:t xml:space="preserve">Status </w:t>
            </w:r>
            <w:r w:rsidRPr="00306115">
              <w:rPr>
                <w:rFonts w:eastAsia="Bookman Old Style" w:cs="Bookman Old Style"/>
                <w:i/>
                <w:iCs/>
                <w:color w:val="000000" w:themeColor="text1"/>
                <w:szCs w:val="24"/>
              </w:rPr>
              <w:t>High Shareholder Concentration</w:t>
            </w:r>
            <w:r w:rsidRPr="00306115">
              <w:rPr>
                <w:rFonts w:eastAsia="Bookman Old Style" w:cs="Bookman Old Style"/>
                <w:color w:val="000000" w:themeColor="text1"/>
                <w:szCs w:val="24"/>
              </w:rPr>
              <w:t xml:space="preserve"> (HSC)</w:t>
            </w:r>
          </w:p>
          <w:p w14:paraId="0C398E9A" w14:textId="7659700C" w:rsidR="000F47BB" w:rsidRPr="00306115" w:rsidRDefault="000F47BB" w:rsidP="00A62182">
            <w:pPr>
              <w:widowControl w:val="0"/>
              <w:pBdr>
                <w:top w:val="nil"/>
                <w:left w:val="nil"/>
                <w:bottom w:val="nil"/>
                <w:right w:val="nil"/>
                <w:between w:val="nil"/>
              </w:pBdr>
              <w:tabs>
                <w:tab w:val="left" w:pos="1594"/>
              </w:tabs>
              <w:spacing w:after="0" w:line="240" w:lineRule="auto"/>
              <w:ind w:left="851"/>
              <w:rPr>
                <w:rFonts w:eastAsia="Bookman Old Style" w:cs="Bookman Old Style"/>
                <w:color w:val="000000" w:themeColor="text1"/>
                <w:szCs w:val="24"/>
              </w:rPr>
            </w:pPr>
            <w:r w:rsidRPr="00306115">
              <w:rPr>
                <w:rFonts w:eastAsia="Bookman Old Style" w:cs="Bookman Old Style"/>
                <w:color w:val="000000" w:themeColor="text1"/>
                <w:szCs w:val="24"/>
              </w:rPr>
              <w:t xml:space="preserve">Apakah saham masuk dalam daftar HSC yang diterbitkan oleh BEI. Saham HSC memiliki potensi </w:t>
            </w:r>
            <w:r w:rsidRPr="00306115">
              <w:rPr>
                <w:rFonts w:eastAsia="Bookman Old Style" w:cs="Bookman Old Style"/>
                <w:i/>
                <w:iCs/>
                <w:color w:val="000000" w:themeColor="text1"/>
                <w:szCs w:val="24"/>
              </w:rPr>
              <w:t>free float</w:t>
            </w:r>
            <w:r w:rsidRPr="00306115">
              <w:rPr>
                <w:rFonts w:eastAsia="Bookman Old Style" w:cs="Bookman Old Style"/>
                <w:color w:val="000000" w:themeColor="text1"/>
                <w:szCs w:val="24"/>
              </w:rPr>
              <w:t xml:space="preserve"> yang terkonsentrasi dan </w:t>
            </w:r>
            <w:r w:rsidRPr="00306115">
              <w:rPr>
                <w:rFonts w:eastAsia="Bookman Old Style" w:cs="Bookman Old Style"/>
                <w:i/>
                <w:iCs/>
                <w:color w:val="000000" w:themeColor="text1"/>
                <w:szCs w:val="24"/>
              </w:rPr>
              <w:t>price impact ratio</w:t>
            </w:r>
            <w:r w:rsidRPr="00306115">
              <w:rPr>
                <w:rFonts w:eastAsia="Bookman Old Style" w:cs="Bookman Old Style"/>
                <w:color w:val="000000" w:themeColor="text1"/>
                <w:szCs w:val="24"/>
              </w:rPr>
              <w:t xml:space="preserve"> tinggi yang meningkatkan risiko likuiditas dan potensi manipulasi harga. </w:t>
            </w:r>
          </w:p>
          <w:p w14:paraId="4FD18EA7" w14:textId="77777777" w:rsidR="00A62182" w:rsidRPr="00306115" w:rsidRDefault="000F47BB" w:rsidP="00A62182">
            <w:pPr>
              <w:widowControl w:val="0"/>
              <w:numPr>
                <w:ilvl w:val="1"/>
                <w:numId w:val="289"/>
              </w:numPr>
              <w:pBdr>
                <w:top w:val="nil"/>
                <w:left w:val="nil"/>
                <w:bottom w:val="nil"/>
                <w:right w:val="nil"/>
                <w:between w:val="nil"/>
              </w:pBdr>
              <w:tabs>
                <w:tab w:val="left" w:pos="1594"/>
              </w:tabs>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rPr>
              <w:t>Notasi &amp; Status pengawasan khusus BEI</w:t>
            </w:r>
          </w:p>
          <w:p w14:paraId="5230ACF0" w14:textId="23CEFA6A" w:rsidR="000F47BB" w:rsidRPr="00306115" w:rsidRDefault="000F47BB" w:rsidP="00A62182">
            <w:pPr>
              <w:widowControl w:val="0"/>
              <w:pBdr>
                <w:top w:val="nil"/>
                <w:left w:val="nil"/>
                <w:bottom w:val="nil"/>
                <w:right w:val="nil"/>
                <w:between w:val="nil"/>
              </w:pBdr>
              <w:tabs>
                <w:tab w:val="left" w:pos="1594"/>
              </w:tabs>
              <w:spacing w:after="0" w:line="240" w:lineRule="auto"/>
              <w:ind w:left="851"/>
              <w:rPr>
                <w:rFonts w:eastAsia="Bookman Old Style" w:cs="Bookman Old Style"/>
                <w:color w:val="000000" w:themeColor="text1"/>
                <w:szCs w:val="24"/>
              </w:rPr>
            </w:pPr>
            <w:r w:rsidRPr="00306115">
              <w:rPr>
                <w:rFonts w:eastAsia="Bookman Old Style" w:cs="Bookman Old Style"/>
                <w:color w:val="000000" w:themeColor="text1"/>
                <w:szCs w:val="24"/>
              </w:rPr>
              <w:t xml:space="preserve">Apakah saham memiliki notasi atau status pengawasan khusus dari BEI, seperti </w:t>
            </w:r>
            <w:r w:rsidRPr="00306115">
              <w:rPr>
                <w:rFonts w:eastAsia="Bookman Old Style" w:cs="Bookman Old Style"/>
                <w:i/>
                <w:iCs/>
                <w:color w:val="000000" w:themeColor="text1"/>
                <w:szCs w:val="24"/>
              </w:rPr>
              <w:t>Unusual Market Activity</w:t>
            </w:r>
            <w:r w:rsidRPr="00306115">
              <w:rPr>
                <w:rFonts w:eastAsia="Bookman Old Style" w:cs="Bookman Old Style"/>
                <w:color w:val="000000" w:themeColor="text1"/>
                <w:szCs w:val="24"/>
              </w:rPr>
              <w:t xml:space="preserve"> (UMA), suspensi, papan pemantauan khusus, notasi pailit, </w:t>
            </w:r>
            <w:r w:rsidRPr="00306115">
              <w:rPr>
                <w:rFonts w:eastAsia="Bookman Old Style" w:cs="Bookman Old Style"/>
                <w:i/>
                <w:iCs/>
                <w:color w:val="000000" w:themeColor="text1"/>
                <w:szCs w:val="24"/>
              </w:rPr>
              <w:t>going concern</w:t>
            </w:r>
            <w:r w:rsidR="00723790" w:rsidRPr="00306115">
              <w:rPr>
                <w:rFonts w:eastAsia="Bookman Old Style" w:cs="Bookman Old Style"/>
                <w:color w:val="000000" w:themeColor="text1"/>
                <w:szCs w:val="24"/>
              </w:rPr>
              <w:t xml:space="preserve">, </w:t>
            </w:r>
            <w:r w:rsidRPr="00306115">
              <w:rPr>
                <w:rFonts w:eastAsia="Bookman Old Style" w:cs="Bookman Old Style"/>
                <w:color w:val="000000" w:themeColor="text1"/>
                <w:szCs w:val="24"/>
              </w:rPr>
              <w:t>atau keterlambatan pelaporan.</w:t>
            </w:r>
          </w:p>
          <w:p w14:paraId="58492FAD" w14:textId="77777777" w:rsidR="00B80363" w:rsidRPr="00306115" w:rsidRDefault="000F47BB" w:rsidP="00B80363">
            <w:pPr>
              <w:widowControl w:val="0"/>
              <w:numPr>
                <w:ilvl w:val="1"/>
                <w:numId w:val="289"/>
              </w:numPr>
              <w:pBdr>
                <w:top w:val="nil"/>
                <w:left w:val="nil"/>
                <w:bottom w:val="nil"/>
                <w:right w:val="nil"/>
                <w:between w:val="nil"/>
              </w:pBdr>
              <w:tabs>
                <w:tab w:val="left" w:pos="1594"/>
              </w:tabs>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rPr>
              <w:t>Kualitas Laporan Keuangan Emiten terakhir.</w:t>
            </w:r>
          </w:p>
          <w:p w14:paraId="05959C22" w14:textId="5970D285" w:rsidR="000F47BB" w:rsidRPr="00306115" w:rsidRDefault="000F47BB" w:rsidP="00B80363">
            <w:pPr>
              <w:widowControl w:val="0"/>
              <w:pBdr>
                <w:top w:val="nil"/>
                <w:left w:val="nil"/>
                <w:bottom w:val="nil"/>
                <w:right w:val="nil"/>
                <w:between w:val="nil"/>
              </w:pBdr>
              <w:tabs>
                <w:tab w:val="left" w:pos="1594"/>
              </w:tabs>
              <w:spacing w:after="0" w:line="240" w:lineRule="auto"/>
              <w:ind w:left="851"/>
              <w:rPr>
                <w:rFonts w:eastAsia="Bookman Old Style" w:cs="Bookman Old Style"/>
                <w:color w:val="000000" w:themeColor="text1"/>
                <w:szCs w:val="24"/>
              </w:rPr>
            </w:pPr>
            <w:r w:rsidRPr="00306115">
              <w:rPr>
                <w:rFonts w:eastAsia="Bookman Old Style" w:cs="Bookman Old Style"/>
                <w:color w:val="000000" w:themeColor="text1"/>
                <w:szCs w:val="24"/>
              </w:rPr>
              <w:t>Opini auditor atas laporan keuangan terakhir emiten tersebut mencerminkan reliabilitas informasi fundamental yang menjadi dasar valuasi saham.</w:t>
            </w:r>
          </w:p>
          <w:p w14:paraId="4FD04D08" w14:textId="3E1D77E4" w:rsidR="000F47BB" w:rsidRPr="00306115" w:rsidRDefault="000F47BB">
            <w:pPr>
              <w:widowControl w:val="0"/>
              <w:numPr>
                <w:ilvl w:val="0"/>
                <w:numId w:val="453"/>
              </w:numPr>
              <w:pBdr>
                <w:top w:val="nil"/>
                <w:left w:val="nil"/>
                <w:bottom w:val="nil"/>
                <w:right w:val="nil"/>
                <w:between w:val="nil"/>
              </w:pBdr>
              <w:tabs>
                <w:tab w:val="left" w:pos="737"/>
              </w:tabs>
              <w:spacing w:after="0" w:line="240" w:lineRule="auto"/>
              <w:ind w:left="567" w:hanging="567"/>
              <w:rPr>
                <w:rFonts w:eastAsia="Bookman Old Style" w:cs="Bookman Old Style"/>
                <w:color w:val="000000" w:themeColor="text1"/>
                <w:szCs w:val="24"/>
              </w:rPr>
            </w:pPr>
            <w:bookmarkStart w:id="5" w:name="OLE_LINK1"/>
            <w:r w:rsidRPr="00306115">
              <w:rPr>
                <w:rFonts w:eastAsia="Bookman Old Style" w:cs="Bookman Old Style"/>
                <w:color w:val="000000" w:themeColor="text1"/>
                <w:szCs w:val="24"/>
              </w:rPr>
              <w:lastRenderedPageBreak/>
              <w:t>Peringkat Risiko Konsentrasi dari Kualitas Saham</w:t>
            </w:r>
          </w:p>
          <w:p w14:paraId="7711F22F" w14:textId="77777777" w:rsidR="008D52F0" w:rsidRPr="00306115" w:rsidRDefault="000F47BB">
            <w:pPr>
              <w:widowControl w:val="0"/>
              <w:numPr>
                <w:ilvl w:val="1"/>
                <w:numId w:val="455"/>
              </w:numPr>
              <w:pBdr>
                <w:top w:val="nil"/>
                <w:left w:val="nil"/>
                <w:bottom w:val="nil"/>
                <w:right w:val="nil"/>
                <w:between w:val="nil"/>
              </w:pBdr>
              <w:tabs>
                <w:tab w:val="left" w:pos="2161"/>
              </w:tabs>
              <w:spacing w:after="0" w:line="240" w:lineRule="auto"/>
              <w:ind w:left="851" w:hanging="284"/>
              <w:rPr>
                <w:rFonts w:eastAsia="Bookman Old Style" w:cs="Bookman Old Style"/>
                <w:b/>
                <w:bCs/>
                <w:color w:val="000000" w:themeColor="text1"/>
                <w:szCs w:val="24"/>
              </w:rPr>
            </w:pPr>
            <w:r w:rsidRPr="00306115">
              <w:rPr>
                <w:rFonts w:eastAsia="Bookman Old Style" w:cs="Bookman Old Style"/>
                <w:color w:val="000000" w:themeColor="text1"/>
                <w:szCs w:val="24"/>
              </w:rPr>
              <w:t>Peringkat</w:t>
            </w:r>
            <w:r w:rsidRPr="00306115">
              <w:rPr>
                <w:rFonts w:eastAsia="Bookman Old Style" w:cs="Bookman Old Style"/>
                <w:b/>
                <w:bCs/>
                <w:color w:val="000000" w:themeColor="text1"/>
                <w:szCs w:val="24"/>
              </w:rPr>
              <w:t xml:space="preserve"> 1</w:t>
            </w:r>
          </w:p>
          <w:p w14:paraId="6C237A0A" w14:textId="7F282099" w:rsidR="000F47BB" w:rsidRPr="00306115" w:rsidRDefault="000F47BB" w:rsidP="008D52F0">
            <w:pPr>
              <w:widowControl w:val="0"/>
              <w:pBdr>
                <w:top w:val="nil"/>
                <w:left w:val="nil"/>
                <w:bottom w:val="nil"/>
                <w:right w:val="nil"/>
                <w:between w:val="nil"/>
              </w:pBdr>
              <w:tabs>
                <w:tab w:val="left" w:pos="2161"/>
              </w:tabs>
              <w:spacing w:after="0" w:line="240" w:lineRule="auto"/>
              <w:ind w:left="851"/>
              <w:rPr>
                <w:rFonts w:eastAsia="Bookman Old Style" w:cs="Bookman Old Style"/>
                <w:b/>
                <w:bCs/>
                <w:color w:val="000000" w:themeColor="text1"/>
                <w:szCs w:val="24"/>
              </w:rPr>
            </w:pPr>
            <w:r w:rsidRPr="00306115">
              <w:rPr>
                <w:rFonts w:eastAsia="Bookman Old Style" w:cs="Bookman Old Style"/>
                <w:color w:val="000000" w:themeColor="text1"/>
                <w:szCs w:val="24"/>
              </w:rPr>
              <w:t>Seluruh atau hampir seluruh dari 5</w:t>
            </w:r>
            <w:r w:rsidR="005F05AA" w:rsidRPr="00306115">
              <w:rPr>
                <w:rFonts w:eastAsia="Bookman Old Style" w:cs="Bookman Old Style"/>
                <w:color w:val="000000" w:themeColor="text1"/>
                <w:szCs w:val="24"/>
              </w:rPr>
              <w:t xml:space="preserve"> (lima)</w:t>
            </w:r>
            <w:r w:rsidRPr="00306115">
              <w:rPr>
                <w:rFonts w:eastAsia="Bookman Old Style" w:cs="Bookman Old Style"/>
                <w:color w:val="000000" w:themeColor="text1"/>
                <w:szCs w:val="24"/>
              </w:rPr>
              <w:t xml:space="preserve"> saham terbesar masuk indeks unggulan BEI, tidak ada yang masuk list HSC, tidak ada notasi pengawasan khusus BEI, dan laporan keuangan emiten seluruhnya beropini wajar tanpa pengecualian. Sebagian besar juga masuk indeks global atau ESG.</w:t>
            </w:r>
          </w:p>
          <w:p w14:paraId="3B6B8518" w14:textId="77777777" w:rsidR="00DE233B" w:rsidRPr="00306115" w:rsidRDefault="000F47BB">
            <w:pPr>
              <w:widowControl w:val="0"/>
              <w:numPr>
                <w:ilvl w:val="1"/>
                <w:numId w:val="455"/>
              </w:numPr>
              <w:pBdr>
                <w:top w:val="nil"/>
                <w:left w:val="nil"/>
                <w:bottom w:val="nil"/>
                <w:right w:val="nil"/>
                <w:between w:val="nil"/>
              </w:pBdr>
              <w:tabs>
                <w:tab w:val="left" w:pos="2161"/>
              </w:tabs>
              <w:spacing w:after="0" w:line="240" w:lineRule="auto"/>
              <w:ind w:left="851" w:hanging="284"/>
              <w:rPr>
                <w:rFonts w:eastAsia="Bookman Old Style" w:cs="Bookman Old Style"/>
                <w:b/>
                <w:bCs/>
                <w:color w:val="000000" w:themeColor="text1"/>
                <w:szCs w:val="24"/>
              </w:rPr>
            </w:pPr>
            <w:r w:rsidRPr="00306115">
              <w:rPr>
                <w:rFonts w:eastAsia="Bookman Old Style" w:cs="Bookman Old Style"/>
                <w:color w:val="000000" w:themeColor="text1"/>
                <w:szCs w:val="24"/>
              </w:rPr>
              <w:t>Peringkat</w:t>
            </w:r>
            <w:r w:rsidRPr="00306115">
              <w:rPr>
                <w:rFonts w:eastAsia="Bookman Old Style" w:cs="Bookman Old Style"/>
                <w:b/>
                <w:bCs/>
                <w:color w:val="000000" w:themeColor="text1"/>
                <w:szCs w:val="24"/>
              </w:rPr>
              <w:t xml:space="preserve"> 2</w:t>
            </w:r>
          </w:p>
          <w:p w14:paraId="315AFCFA" w14:textId="74BF196F" w:rsidR="000F47BB" w:rsidRPr="00306115" w:rsidRDefault="000F47BB">
            <w:pPr>
              <w:pStyle w:val="ListParagraph"/>
              <w:widowControl w:val="0"/>
              <w:numPr>
                <w:ilvl w:val="0"/>
                <w:numId w:val="456"/>
              </w:numPr>
              <w:pBdr>
                <w:top w:val="nil"/>
                <w:left w:val="nil"/>
                <w:bottom w:val="nil"/>
                <w:right w:val="nil"/>
                <w:between w:val="nil"/>
              </w:pBdr>
              <w:tabs>
                <w:tab w:val="left" w:pos="2161"/>
              </w:tabs>
              <w:spacing w:after="0" w:line="240" w:lineRule="auto"/>
              <w:ind w:left="1135" w:hanging="284"/>
              <w:rPr>
                <w:rFonts w:eastAsia="Bookman Old Style" w:cs="Bookman Old Style"/>
                <w:b/>
                <w:bCs/>
                <w:color w:val="000000" w:themeColor="text1"/>
                <w:szCs w:val="24"/>
              </w:rPr>
            </w:pPr>
            <w:r w:rsidRPr="00306115">
              <w:rPr>
                <w:rFonts w:eastAsia="Bookman Old Style" w:cs="Bookman Old Style"/>
                <w:color w:val="000000" w:themeColor="text1"/>
                <w:szCs w:val="24"/>
              </w:rPr>
              <w:t>Sebagian besar dari 5</w:t>
            </w:r>
            <w:r w:rsidR="005F05AA" w:rsidRPr="00306115">
              <w:rPr>
                <w:rFonts w:eastAsia="Bookman Old Style" w:cs="Bookman Old Style"/>
                <w:color w:val="000000" w:themeColor="text1"/>
                <w:szCs w:val="24"/>
              </w:rPr>
              <w:t xml:space="preserve"> (lima)</w:t>
            </w:r>
            <w:r w:rsidRPr="00306115">
              <w:rPr>
                <w:rFonts w:eastAsia="Bookman Old Style" w:cs="Bookman Old Style"/>
                <w:color w:val="000000" w:themeColor="text1"/>
                <w:szCs w:val="24"/>
              </w:rPr>
              <w:t xml:space="preserve"> saham terbesar berkualitas baik; </w:t>
            </w:r>
          </w:p>
          <w:p w14:paraId="0AA7E162" w14:textId="2C4FA41B" w:rsidR="000F47BB" w:rsidRPr="00306115" w:rsidRDefault="000F47BB">
            <w:pPr>
              <w:pStyle w:val="ListParagraph"/>
              <w:widowControl w:val="0"/>
              <w:numPr>
                <w:ilvl w:val="0"/>
                <w:numId w:val="456"/>
              </w:numPr>
              <w:pBdr>
                <w:top w:val="nil"/>
                <w:left w:val="nil"/>
                <w:bottom w:val="nil"/>
                <w:right w:val="nil"/>
                <w:between w:val="nil"/>
              </w:pBdr>
              <w:tabs>
                <w:tab w:val="left" w:pos="2161"/>
              </w:tabs>
              <w:spacing w:after="0" w:line="240" w:lineRule="auto"/>
              <w:ind w:left="1135" w:hanging="284"/>
              <w:rPr>
                <w:rFonts w:eastAsia="Bookman Old Style" w:cs="Bookman Old Style"/>
                <w:color w:val="000000" w:themeColor="text1"/>
                <w:szCs w:val="24"/>
              </w:rPr>
            </w:pPr>
            <w:r w:rsidRPr="00306115">
              <w:rPr>
                <w:rFonts w:eastAsia="Bookman Old Style" w:cs="Bookman Old Style"/>
                <w:color w:val="000000" w:themeColor="text1"/>
                <w:szCs w:val="24"/>
              </w:rPr>
              <w:t xml:space="preserve">Terdapat paling banyak 1 </w:t>
            </w:r>
            <w:r w:rsidR="005F05AA" w:rsidRPr="00306115">
              <w:rPr>
                <w:rFonts w:eastAsia="Bookman Old Style" w:cs="Bookman Old Style"/>
                <w:color w:val="000000" w:themeColor="text1"/>
                <w:szCs w:val="24"/>
              </w:rPr>
              <w:t xml:space="preserve">(satu) </w:t>
            </w:r>
            <w:r w:rsidRPr="00306115">
              <w:rPr>
                <w:rFonts w:eastAsia="Bookman Old Style" w:cs="Bookman Old Style"/>
                <w:color w:val="000000" w:themeColor="text1"/>
                <w:szCs w:val="24"/>
              </w:rPr>
              <w:t>saham yang tidak masuk indeks unggulan BEI, atau tidak masuk indeks global/ESG; dan</w:t>
            </w:r>
          </w:p>
          <w:p w14:paraId="657E28EB" w14:textId="3C2A26F4" w:rsidR="000F47BB" w:rsidRPr="00306115" w:rsidRDefault="000F47BB">
            <w:pPr>
              <w:pStyle w:val="ListParagraph"/>
              <w:widowControl w:val="0"/>
              <w:numPr>
                <w:ilvl w:val="0"/>
                <w:numId w:val="456"/>
              </w:numPr>
              <w:pBdr>
                <w:top w:val="nil"/>
                <w:left w:val="nil"/>
                <w:bottom w:val="nil"/>
                <w:right w:val="nil"/>
                <w:between w:val="nil"/>
              </w:pBdr>
              <w:tabs>
                <w:tab w:val="left" w:pos="2161"/>
              </w:tabs>
              <w:spacing w:after="0" w:line="240" w:lineRule="auto"/>
              <w:ind w:left="1135" w:hanging="284"/>
              <w:rPr>
                <w:rFonts w:eastAsia="Bookman Old Style" w:cs="Bookman Old Style"/>
                <w:color w:val="000000" w:themeColor="text1"/>
                <w:szCs w:val="24"/>
              </w:rPr>
            </w:pPr>
            <w:r w:rsidRPr="00306115">
              <w:rPr>
                <w:rFonts w:eastAsia="Bookman Old Style" w:cs="Bookman Old Style"/>
                <w:color w:val="000000" w:themeColor="text1"/>
                <w:szCs w:val="24"/>
              </w:rPr>
              <w:t xml:space="preserve">Tidak ada HSC aktif, tidak ada notasi, </w:t>
            </w:r>
            <w:r w:rsidR="005F05AA" w:rsidRPr="00306115">
              <w:rPr>
                <w:rFonts w:eastAsia="Bookman Old Style" w:cs="Bookman Old Style"/>
                <w:color w:val="000000" w:themeColor="text1"/>
                <w:szCs w:val="24"/>
              </w:rPr>
              <w:t xml:space="preserve">dan </w:t>
            </w:r>
            <w:r w:rsidRPr="00306115">
              <w:rPr>
                <w:rFonts w:eastAsia="Bookman Old Style" w:cs="Bookman Old Style"/>
                <w:color w:val="000000" w:themeColor="text1"/>
                <w:szCs w:val="24"/>
              </w:rPr>
              <w:t>laporan keuangan seluruhnya WTP.</w:t>
            </w:r>
          </w:p>
          <w:p w14:paraId="33F4A1AE" w14:textId="77777777" w:rsidR="000F47BB" w:rsidRPr="00306115" w:rsidRDefault="000F47BB">
            <w:pPr>
              <w:widowControl w:val="0"/>
              <w:numPr>
                <w:ilvl w:val="1"/>
                <w:numId w:val="455"/>
              </w:numPr>
              <w:pBdr>
                <w:top w:val="nil"/>
                <w:left w:val="nil"/>
                <w:bottom w:val="nil"/>
                <w:right w:val="nil"/>
                <w:between w:val="nil"/>
              </w:pBdr>
              <w:tabs>
                <w:tab w:val="left" w:pos="2161"/>
              </w:tabs>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rPr>
              <w:t>Peringkat 3</w:t>
            </w:r>
          </w:p>
          <w:p w14:paraId="4AEB4FAD" w14:textId="77777777" w:rsidR="000F47BB" w:rsidRPr="00306115" w:rsidRDefault="000F47BB">
            <w:pPr>
              <w:pStyle w:val="ListParagraph"/>
              <w:widowControl w:val="0"/>
              <w:numPr>
                <w:ilvl w:val="0"/>
                <w:numId w:val="456"/>
              </w:numPr>
              <w:pBdr>
                <w:top w:val="nil"/>
                <w:left w:val="nil"/>
                <w:bottom w:val="nil"/>
                <w:right w:val="nil"/>
                <w:between w:val="nil"/>
              </w:pBdr>
              <w:tabs>
                <w:tab w:val="left" w:pos="2161"/>
              </w:tabs>
              <w:spacing w:after="0" w:line="240" w:lineRule="auto"/>
              <w:ind w:left="1135" w:hanging="284"/>
              <w:rPr>
                <w:rFonts w:eastAsia="Bookman Old Style" w:cs="Bookman Old Style"/>
                <w:color w:val="000000" w:themeColor="text1"/>
                <w:szCs w:val="24"/>
              </w:rPr>
            </w:pPr>
            <w:r w:rsidRPr="00306115">
              <w:rPr>
                <w:rFonts w:eastAsia="Bookman Old Style" w:cs="Bookman Old Style"/>
                <w:color w:val="000000" w:themeColor="text1"/>
                <w:szCs w:val="24"/>
              </w:rPr>
              <w:t>Terdapat 2 (dua) saham atau lebih yang tidak masuk indeks unggulan BEI; atau</w:t>
            </w:r>
          </w:p>
          <w:p w14:paraId="405C73EB" w14:textId="036DD7E1" w:rsidR="000F47BB" w:rsidRPr="00306115" w:rsidRDefault="000F47BB">
            <w:pPr>
              <w:pStyle w:val="ListParagraph"/>
              <w:widowControl w:val="0"/>
              <w:numPr>
                <w:ilvl w:val="0"/>
                <w:numId w:val="456"/>
              </w:numPr>
              <w:pBdr>
                <w:top w:val="nil"/>
                <w:left w:val="nil"/>
                <w:bottom w:val="nil"/>
                <w:right w:val="nil"/>
                <w:between w:val="nil"/>
              </w:pBdr>
              <w:tabs>
                <w:tab w:val="left" w:pos="2161"/>
              </w:tabs>
              <w:spacing w:after="0" w:line="240" w:lineRule="auto"/>
              <w:ind w:left="1135" w:hanging="284"/>
              <w:rPr>
                <w:rFonts w:eastAsia="Bookman Old Style" w:cs="Bookman Old Style"/>
                <w:color w:val="000000" w:themeColor="text1"/>
                <w:szCs w:val="24"/>
              </w:rPr>
            </w:pPr>
            <w:r w:rsidRPr="00306115">
              <w:rPr>
                <w:rFonts w:eastAsia="Bookman Old Style" w:cs="Bookman Old Style"/>
                <w:color w:val="000000" w:themeColor="text1"/>
                <w:szCs w:val="24"/>
              </w:rPr>
              <w:t>Terdapat 1</w:t>
            </w:r>
            <w:r w:rsidR="005F05AA" w:rsidRPr="00306115">
              <w:rPr>
                <w:rFonts w:eastAsia="Bookman Old Style" w:cs="Bookman Old Style"/>
                <w:color w:val="000000" w:themeColor="text1"/>
                <w:szCs w:val="24"/>
              </w:rPr>
              <w:t xml:space="preserve"> (satu)</w:t>
            </w:r>
            <w:r w:rsidRPr="00306115">
              <w:rPr>
                <w:rFonts w:eastAsia="Bookman Old Style" w:cs="Bookman Old Style"/>
                <w:color w:val="000000" w:themeColor="text1"/>
                <w:szCs w:val="24"/>
              </w:rPr>
              <w:t xml:space="preserve"> saham yang masuk daftar HSC, dengan status UMA aktif, atau laporan keuangan dengan opini WTP namun terdapat paragraf penekanan atas suatu hal  yang material.</w:t>
            </w:r>
          </w:p>
          <w:p w14:paraId="35D7D092" w14:textId="77777777" w:rsidR="000F47BB" w:rsidRPr="00306115" w:rsidRDefault="000F47BB">
            <w:pPr>
              <w:widowControl w:val="0"/>
              <w:numPr>
                <w:ilvl w:val="1"/>
                <w:numId w:val="455"/>
              </w:numPr>
              <w:pBdr>
                <w:top w:val="nil"/>
                <w:left w:val="nil"/>
                <w:bottom w:val="nil"/>
                <w:right w:val="nil"/>
                <w:between w:val="nil"/>
              </w:pBdr>
              <w:tabs>
                <w:tab w:val="left" w:pos="2161"/>
              </w:tabs>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rPr>
              <w:t>Peringkat 4</w:t>
            </w:r>
          </w:p>
          <w:p w14:paraId="33692E7B" w14:textId="77777777" w:rsidR="000F47BB" w:rsidRPr="00306115" w:rsidRDefault="000F47BB">
            <w:pPr>
              <w:pStyle w:val="ListParagraph"/>
              <w:widowControl w:val="0"/>
              <w:numPr>
                <w:ilvl w:val="0"/>
                <w:numId w:val="456"/>
              </w:numPr>
              <w:pBdr>
                <w:top w:val="nil"/>
                <w:left w:val="nil"/>
                <w:bottom w:val="nil"/>
                <w:right w:val="nil"/>
                <w:between w:val="nil"/>
              </w:pBdr>
              <w:tabs>
                <w:tab w:val="left" w:pos="2161"/>
              </w:tabs>
              <w:spacing w:after="0" w:line="240" w:lineRule="auto"/>
              <w:ind w:left="1135" w:hanging="284"/>
              <w:rPr>
                <w:rFonts w:eastAsia="Bookman Old Style" w:cs="Bookman Old Style"/>
                <w:color w:val="000000" w:themeColor="text1"/>
                <w:szCs w:val="24"/>
              </w:rPr>
            </w:pPr>
            <w:r w:rsidRPr="00306115">
              <w:rPr>
                <w:rFonts w:eastAsia="Bookman Old Style" w:cs="Bookman Old Style"/>
                <w:color w:val="000000" w:themeColor="text1"/>
                <w:szCs w:val="24"/>
              </w:rPr>
              <w:t>Terdapat 2 (dua) saham atau lebih yang masuk daftar HSC;</w:t>
            </w:r>
          </w:p>
          <w:p w14:paraId="6528FC6C" w14:textId="77777777" w:rsidR="000F47BB" w:rsidRPr="00306115" w:rsidRDefault="000F47BB">
            <w:pPr>
              <w:pStyle w:val="ListParagraph"/>
              <w:widowControl w:val="0"/>
              <w:numPr>
                <w:ilvl w:val="0"/>
                <w:numId w:val="456"/>
              </w:numPr>
              <w:pBdr>
                <w:top w:val="nil"/>
                <w:left w:val="nil"/>
                <w:bottom w:val="nil"/>
                <w:right w:val="nil"/>
                <w:between w:val="nil"/>
              </w:pBdr>
              <w:tabs>
                <w:tab w:val="left" w:pos="2161"/>
              </w:tabs>
              <w:spacing w:after="0" w:line="240" w:lineRule="auto"/>
              <w:ind w:left="1135" w:hanging="284"/>
              <w:rPr>
                <w:rFonts w:eastAsia="Bookman Old Style" w:cs="Bookman Old Style"/>
                <w:color w:val="000000" w:themeColor="text1"/>
                <w:szCs w:val="24"/>
              </w:rPr>
            </w:pPr>
            <w:r w:rsidRPr="00306115">
              <w:rPr>
                <w:rFonts w:eastAsia="Bookman Old Style" w:cs="Bookman Old Style"/>
                <w:color w:val="000000" w:themeColor="text1"/>
                <w:szCs w:val="24"/>
              </w:rPr>
              <w:t xml:space="preserve">Terdapat saham dalam status suspensi/PPK atau terdapat laporan keuangan dengan opini WDP; </w:t>
            </w:r>
            <w:r w:rsidRPr="00306115">
              <w:rPr>
                <w:rFonts w:eastAsia="Bookman Old Style" w:cs="Bookman Old Style"/>
                <w:b/>
                <w:bCs/>
                <w:color w:val="000000" w:themeColor="text1"/>
                <w:szCs w:val="24"/>
              </w:rPr>
              <w:t>atau</w:t>
            </w:r>
            <w:r w:rsidRPr="00306115">
              <w:rPr>
                <w:rFonts w:eastAsia="Bookman Old Style" w:cs="Bookman Old Style"/>
                <w:color w:val="000000" w:themeColor="text1"/>
                <w:szCs w:val="24"/>
              </w:rPr>
              <w:t xml:space="preserve"> </w:t>
            </w:r>
          </w:p>
          <w:p w14:paraId="7068AFF8" w14:textId="77777777" w:rsidR="000F47BB" w:rsidRPr="00306115" w:rsidRDefault="000F47BB">
            <w:pPr>
              <w:pStyle w:val="ListParagraph"/>
              <w:widowControl w:val="0"/>
              <w:numPr>
                <w:ilvl w:val="0"/>
                <w:numId w:val="456"/>
              </w:numPr>
              <w:pBdr>
                <w:top w:val="nil"/>
                <w:left w:val="nil"/>
                <w:bottom w:val="nil"/>
                <w:right w:val="nil"/>
                <w:between w:val="nil"/>
              </w:pBdr>
              <w:tabs>
                <w:tab w:val="left" w:pos="2161"/>
              </w:tabs>
              <w:spacing w:after="0" w:line="240" w:lineRule="auto"/>
              <w:ind w:left="1135" w:hanging="284"/>
              <w:rPr>
                <w:rFonts w:eastAsia="Bookman Old Style" w:cs="Bookman Old Style"/>
                <w:color w:val="000000" w:themeColor="text1"/>
                <w:szCs w:val="24"/>
              </w:rPr>
            </w:pPr>
            <w:r w:rsidRPr="00306115">
              <w:rPr>
                <w:rFonts w:eastAsia="Bookman Old Style" w:cs="Bookman Old Style"/>
                <w:color w:val="000000" w:themeColor="text1"/>
                <w:szCs w:val="24"/>
              </w:rPr>
              <w:t>kombinasi beberapa kondisi di peringkat 3 yang terjadi secara bersamaan.</w:t>
            </w:r>
          </w:p>
          <w:p w14:paraId="7B33BD25" w14:textId="77777777" w:rsidR="000F47BB" w:rsidRPr="00306115" w:rsidRDefault="000F47BB">
            <w:pPr>
              <w:widowControl w:val="0"/>
              <w:numPr>
                <w:ilvl w:val="1"/>
                <w:numId w:val="455"/>
              </w:numPr>
              <w:pBdr>
                <w:top w:val="nil"/>
                <w:left w:val="nil"/>
                <w:bottom w:val="nil"/>
                <w:right w:val="nil"/>
                <w:between w:val="nil"/>
              </w:pBdr>
              <w:tabs>
                <w:tab w:val="left" w:pos="2161"/>
              </w:tabs>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rPr>
              <w:t>Peringkat 5</w:t>
            </w:r>
          </w:p>
          <w:p w14:paraId="0AEC1E9E" w14:textId="77777777" w:rsidR="000F47BB" w:rsidRPr="00306115" w:rsidRDefault="000F47BB">
            <w:pPr>
              <w:pStyle w:val="ListParagraph"/>
              <w:widowControl w:val="0"/>
              <w:numPr>
                <w:ilvl w:val="0"/>
                <w:numId w:val="456"/>
              </w:numPr>
              <w:pBdr>
                <w:top w:val="nil"/>
                <w:left w:val="nil"/>
                <w:bottom w:val="nil"/>
                <w:right w:val="nil"/>
                <w:between w:val="nil"/>
              </w:pBdr>
              <w:tabs>
                <w:tab w:val="left" w:pos="2161"/>
              </w:tabs>
              <w:spacing w:after="0" w:line="240" w:lineRule="auto"/>
              <w:ind w:left="1135" w:hanging="284"/>
              <w:rPr>
                <w:rFonts w:eastAsia="Bookman Old Style" w:cs="Bookman Old Style"/>
                <w:color w:val="000000" w:themeColor="text1"/>
                <w:szCs w:val="24"/>
              </w:rPr>
            </w:pPr>
            <w:r w:rsidRPr="00306115">
              <w:rPr>
                <w:rFonts w:eastAsia="Bookman Old Style" w:cs="Bookman Old Style"/>
                <w:color w:val="000000" w:themeColor="text1"/>
                <w:szCs w:val="24"/>
              </w:rPr>
              <w:t>Terdapat saham dalam proses delisting;</w:t>
            </w:r>
          </w:p>
          <w:p w14:paraId="1F5F55B6" w14:textId="77777777" w:rsidR="000F47BB" w:rsidRPr="00306115" w:rsidRDefault="000F47BB">
            <w:pPr>
              <w:pStyle w:val="ListParagraph"/>
              <w:widowControl w:val="0"/>
              <w:numPr>
                <w:ilvl w:val="0"/>
                <w:numId w:val="456"/>
              </w:numPr>
              <w:pBdr>
                <w:top w:val="nil"/>
                <w:left w:val="nil"/>
                <w:bottom w:val="nil"/>
                <w:right w:val="nil"/>
                <w:between w:val="nil"/>
              </w:pBdr>
              <w:tabs>
                <w:tab w:val="left" w:pos="2161"/>
              </w:tabs>
              <w:spacing w:after="0" w:line="240" w:lineRule="auto"/>
              <w:ind w:left="1135" w:hanging="284"/>
              <w:rPr>
                <w:rFonts w:eastAsia="Bookman Old Style" w:cs="Bookman Old Style"/>
                <w:color w:val="000000" w:themeColor="text1"/>
                <w:szCs w:val="24"/>
              </w:rPr>
            </w:pPr>
            <w:r w:rsidRPr="00306115">
              <w:rPr>
                <w:rFonts w:eastAsia="Bookman Old Style" w:cs="Bookman Old Style"/>
                <w:color w:val="000000" w:themeColor="text1"/>
                <w:szCs w:val="24"/>
              </w:rPr>
              <w:t>Terdapat laporan keuangan dengan opini tidak wajar/</w:t>
            </w:r>
            <w:r w:rsidRPr="00306115">
              <w:rPr>
                <w:rFonts w:eastAsia="Bookman Old Style" w:cs="Bookman Old Style"/>
                <w:i/>
                <w:iCs/>
                <w:color w:val="000000" w:themeColor="text1"/>
                <w:szCs w:val="24"/>
              </w:rPr>
              <w:t>adverse</w:t>
            </w:r>
            <w:r w:rsidRPr="00306115">
              <w:rPr>
                <w:rFonts w:eastAsia="Bookman Old Style" w:cs="Bookman Old Style"/>
                <w:color w:val="000000" w:themeColor="text1"/>
                <w:szCs w:val="24"/>
              </w:rPr>
              <w:t>;</w:t>
            </w:r>
          </w:p>
          <w:p w14:paraId="2767F771" w14:textId="77777777" w:rsidR="000F47BB" w:rsidRPr="00306115" w:rsidRDefault="000F47BB">
            <w:pPr>
              <w:pStyle w:val="ListParagraph"/>
              <w:widowControl w:val="0"/>
              <w:numPr>
                <w:ilvl w:val="0"/>
                <w:numId w:val="456"/>
              </w:numPr>
              <w:pBdr>
                <w:top w:val="nil"/>
                <w:left w:val="nil"/>
                <w:bottom w:val="nil"/>
                <w:right w:val="nil"/>
                <w:between w:val="nil"/>
              </w:pBdr>
              <w:tabs>
                <w:tab w:val="left" w:pos="2161"/>
              </w:tabs>
              <w:spacing w:after="0" w:line="240" w:lineRule="auto"/>
              <w:ind w:left="1135" w:hanging="284"/>
              <w:rPr>
                <w:rFonts w:eastAsia="Bookman Old Style" w:cs="Bookman Old Style"/>
                <w:color w:val="000000" w:themeColor="text1"/>
                <w:szCs w:val="24"/>
              </w:rPr>
            </w:pPr>
            <w:r w:rsidRPr="00306115">
              <w:rPr>
                <w:rFonts w:eastAsia="Bookman Old Style" w:cs="Bookman Old Style"/>
                <w:color w:val="000000" w:themeColor="text1"/>
                <w:szCs w:val="24"/>
              </w:rPr>
              <w:t>Terdapat saham dengan notasi pailit/PKPU, notasi going concern; atau</w:t>
            </w:r>
          </w:p>
          <w:p w14:paraId="5A8C7919" w14:textId="77777777" w:rsidR="000F47BB" w:rsidRPr="00306115" w:rsidRDefault="000F47BB">
            <w:pPr>
              <w:pStyle w:val="ListParagraph"/>
              <w:widowControl w:val="0"/>
              <w:numPr>
                <w:ilvl w:val="0"/>
                <w:numId w:val="456"/>
              </w:numPr>
              <w:pBdr>
                <w:top w:val="nil"/>
                <w:left w:val="nil"/>
                <w:bottom w:val="nil"/>
                <w:right w:val="nil"/>
                <w:between w:val="nil"/>
              </w:pBdr>
              <w:tabs>
                <w:tab w:val="left" w:pos="2161"/>
              </w:tabs>
              <w:spacing w:after="0" w:line="240" w:lineRule="auto"/>
              <w:ind w:left="1135" w:hanging="284"/>
              <w:rPr>
                <w:rFonts w:eastAsia="Bookman Old Style" w:cs="Bookman Old Style"/>
                <w:color w:val="000000" w:themeColor="text1"/>
                <w:szCs w:val="24"/>
              </w:rPr>
            </w:pPr>
            <w:r w:rsidRPr="00306115">
              <w:rPr>
                <w:rFonts w:eastAsia="Bookman Old Style" w:cs="Bookman Old Style"/>
                <w:color w:val="000000" w:themeColor="text1"/>
                <w:szCs w:val="24"/>
              </w:rPr>
              <w:lastRenderedPageBreak/>
              <w:t>kombinasi kondisi peringkat 4 yang dominan.</w:t>
            </w:r>
          </w:p>
          <w:bookmarkEnd w:id="5"/>
          <w:p w14:paraId="5A0EA61F" w14:textId="12442889" w:rsidR="000F47BB" w:rsidRPr="00306115" w:rsidRDefault="000F47BB">
            <w:pPr>
              <w:widowControl w:val="0"/>
              <w:numPr>
                <w:ilvl w:val="0"/>
                <w:numId w:val="453"/>
              </w:numPr>
              <w:pBdr>
                <w:top w:val="nil"/>
                <w:left w:val="nil"/>
                <w:bottom w:val="nil"/>
                <w:right w:val="nil"/>
                <w:between w:val="nil"/>
              </w:pBdr>
              <w:tabs>
                <w:tab w:val="left" w:pos="737"/>
              </w:tabs>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 xml:space="preserve">Dalam menentukan peringkat </w:t>
            </w:r>
            <w:r w:rsidR="00723790" w:rsidRPr="00306115">
              <w:rPr>
                <w:rFonts w:eastAsia="Bookman Old Style" w:cs="Bookman Old Style"/>
                <w:color w:val="000000" w:themeColor="text1"/>
                <w:szCs w:val="24"/>
              </w:rPr>
              <w:t>r</w:t>
            </w:r>
            <w:r w:rsidRPr="00306115">
              <w:rPr>
                <w:rFonts w:eastAsia="Bookman Old Style" w:cs="Bookman Old Style"/>
                <w:color w:val="000000" w:themeColor="text1"/>
                <w:szCs w:val="24"/>
              </w:rPr>
              <w:t>isiko, selain mengacu pada kondisi yang disajikan, Manajer Investasi juga perlu mempertimbangkan beberapa tambahan pertimbangan yang dapat menjustifikasi penetapan peringkat risiko konsentrasi, di antaranya:</w:t>
            </w:r>
          </w:p>
          <w:p w14:paraId="7F07DEA1" w14:textId="7378A0D1" w:rsidR="000F47BB" w:rsidRPr="00306115" w:rsidRDefault="00511745">
            <w:pPr>
              <w:widowControl w:val="0"/>
              <w:numPr>
                <w:ilvl w:val="1"/>
                <w:numId w:val="454"/>
              </w:numPr>
              <w:pBdr>
                <w:top w:val="nil"/>
                <w:left w:val="nil"/>
                <w:bottom w:val="nil"/>
                <w:right w:val="nil"/>
                <w:between w:val="nil"/>
              </w:pBdr>
              <w:tabs>
                <w:tab w:val="left" w:pos="1453"/>
              </w:tabs>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rPr>
              <w:t>k</w:t>
            </w:r>
            <w:r w:rsidR="000F47BB" w:rsidRPr="00306115">
              <w:rPr>
                <w:rFonts w:eastAsia="Bookman Old Style" w:cs="Bookman Old Style"/>
                <w:color w:val="000000" w:themeColor="text1"/>
                <w:szCs w:val="24"/>
              </w:rPr>
              <w:t>onsentrasi pada kelompok usaha dan sektor industri tertentu;</w:t>
            </w:r>
          </w:p>
          <w:p w14:paraId="6BF4D1DA" w14:textId="77777777" w:rsidR="000F47BB" w:rsidRPr="00306115" w:rsidRDefault="000F47BB">
            <w:pPr>
              <w:widowControl w:val="0"/>
              <w:numPr>
                <w:ilvl w:val="1"/>
                <w:numId w:val="454"/>
              </w:numPr>
              <w:pBdr>
                <w:top w:val="nil"/>
                <w:left w:val="nil"/>
                <w:bottom w:val="nil"/>
                <w:right w:val="nil"/>
                <w:between w:val="nil"/>
              </w:pBdr>
              <w:tabs>
                <w:tab w:val="left" w:pos="1453"/>
              </w:tabs>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rPr>
              <w:t>terdapatnya isu negatif, kasus hukum dan/atau sanksi regulator yang dapat berpotensi mempengaruhi nilai dan/atau likuiditas efek; dan/atau</w:t>
            </w:r>
          </w:p>
          <w:p w14:paraId="2A2392B4" w14:textId="409A7FDB" w:rsidR="000F47BB" w:rsidRPr="00306115" w:rsidRDefault="00FC038F">
            <w:pPr>
              <w:widowControl w:val="0"/>
              <w:numPr>
                <w:ilvl w:val="1"/>
                <w:numId w:val="454"/>
              </w:numPr>
              <w:pBdr>
                <w:top w:val="nil"/>
                <w:left w:val="nil"/>
                <w:bottom w:val="nil"/>
                <w:right w:val="nil"/>
                <w:between w:val="nil"/>
              </w:pBdr>
              <w:tabs>
                <w:tab w:val="left" w:pos="1453"/>
              </w:tabs>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rPr>
              <w:t>f</w:t>
            </w:r>
            <w:r w:rsidR="000F47BB" w:rsidRPr="00306115">
              <w:rPr>
                <w:rFonts w:eastAsia="Bookman Old Style" w:cs="Bookman Old Style"/>
                <w:color w:val="000000" w:themeColor="text1"/>
                <w:szCs w:val="24"/>
              </w:rPr>
              <w:t>aktor lain yang dapat mempengaruhi peringkat risiko konsentrasi</w:t>
            </w:r>
            <w:r w:rsidRPr="00306115">
              <w:rPr>
                <w:rFonts w:eastAsia="Bookman Old Style" w:cs="Bookman Old Style"/>
                <w:color w:val="000000" w:themeColor="text1"/>
                <w:szCs w:val="24"/>
              </w:rPr>
              <w:t>.</w:t>
            </w:r>
          </w:p>
          <w:p w14:paraId="12C1ED99" w14:textId="31BFDCA2" w:rsidR="000F47BB" w:rsidRPr="00306115" w:rsidRDefault="000F47BB">
            <w:pPr>
              <w:widowControl w:val="0"/>
              <w:numPr>
                <w:ilvl w:val="0"/>
                <w:numId w:val="453"/>
              </w:numPr>
              <w:pBdr>
                <w:top w:val="nil"/>
                <w:left w:val="nil"/>
                <w:bottom w:val="nil"/>
                <w:right w:val="nil"/>
                <w:between w:val="nil"/>
              </w:pBdr>
              <w:tabs>
                <w:tab w:val="left" w:pos="737"/>
              </w:tabs>
              <w:spacing w:after="0" w:line="240" w:lineRule="auto"/>
              <w:ind w:left="567" w:hanging="567"/>
              <w:rPr>
                <w:rFonts w:eastAsia="Bookman Old Style" w:cs="Bookman Old Style"/>
                <w:strike/>
                <w:color w:val="000000" w:themeColor="text1"/>
                <w:szCs w:val="24"/>
              </w:rPr>
            </w:pPr>
            <w:r w:rsidRPr="00306115">
              <w:rPr>
                <w:rFonts w:eastAsia="Bookman Old Style" w:cs="Bookman Old Style"/>
                <w:color w:val="000000" w:themeColor="text1"/>
                <w:szCs w:val="24"/>
              </w:rPr>
              <w:t xml:space="preserve">Setiap penilaian tersebut diharapkan memuat keterangan atau analisis kualitatif yang menjelaskan penyebab, karakteristik dan/atau implikasi dari konsentrasi yang terjadi, ataupun keterkaitannya dengan risiko-risiko lain yang relevan. </w:t>
            </w:r>
          </w:p>
        </w:tc>
      </w:tr>
      <w:tr w:rsidR="0018385F" w:rsidRPr="00306115" w14:paraId="13C4B76C" w14:textId="77777777" w:rsidTr="002C787E">
        <w:trPr>
          <w:trHeight w:val="1405"/>
        </w:trPr>
        <w:tc>
          <w:tcPr>
            <w:tcW w:w="3402" w:type="dxa"/>
            <w:gridSpan w:val="2"/>
          </w:tcPr>
          <w:p w14:paraId="3977054B" w14:textId="59FEF1FD" w:rsidR="0018385F" w:rsidRPr="00306115" w:rsidRDefault="0018385F" w:rsidP="0018385F">
            <w:pPr>
              <w:widowControl w:val="0"/>
              <w:pBdr>
                <w:top w:val="nil"/>
                <w:left w:val="nil"/>
                <w:bottom w:val="nil"/>
                <w:right w:val="nil"/>
                <w:between w:val="nil"/>
              </w:pBdr>
              <w:spacing w:after="0" w:line="240" w:lineRule="auto"/>
              <w:rPr>
                <w:rFonts w:eastAsia="Bookman Old Style" w:cs="Bookman Old Style"/>
                <w:strike/>
                <w:color w:val="000000" w:themeColor="text1"/>
                <w:szCs w:val="24"/>
              </w:rPr>
            </w:pPr>
            <w:r w:rsidRPr="00306115">
              <w:rPr>
                <w:rFonts w:eastAsia="Bookman Old Style" w:cs="Bookman Old Style"/>
                <w:color w:val="000000" w:themeColor="text1"/>
                <w:szCs w:val="24"/>
              </w:rPr>
              <w:lastRenderedPageBreak/>
              <w:t>Kepemilikan atas 5 (lima) Efek Bersifat Utang atau Sukuk (EBUS) terbesar dari seluruh produk, pada posisi akhir tahun</w:t>
            </w:r>
          </w:p>
        </w:tc>
        <w:tc>
          <w:tcPr>
            <w:tcW w:w="2552" w:type="dxa"/>
          </w:tcPr>
          <w:p w14:paraId="2612D2A8" w14:textId="24966309" w:rsidR="0018385F" w:rsidRPr="00306115" w:rsidRDefault="0018385F" w:rsidP="0018385F">
            <w:pPr>
              <w:widowControl w:val="0"/>
              <w:pBdr>
                <w:top w:val="nil"/>
                <w:left w:val="nil"/>
                <w:bottom w:val="nil"/>
                <w:right w:val="nil"/>
                <w:between w:val="nil"/>
              </w:pBdr>
              <w:tabs>
                <w:tab w:val="left" w:pos="1270"/>
                <w:tab w:val="left" w:pos="2756"/>
              </w:tabs>
              <w:spacing w:after="0" w:line="240" w:lineRule="auto"/>
              <w:rPr>
                <w:rFonts w:eastAsia="Bookman Old Style" w:cs="Bookman Old Style"/>
                <w:strike/>
                <w:color w:val="000000" w:themeColor="text1"/>
                <w:szCs w:val="24"/>
              </w:rPr>
            </w:pPr>
            <w:r w:rsidRPr="00306115">
              <w:rPr>
                <w:rFonts w:eastAsia="Bookman Old Style" w:cs="Bookman Old Style"/>
                <w:color w:val="000000" w:themeColor="text1"/>
                <w:szCs w:val="24"/>
              </w:rPr>
              <w:t>Dana</w:t>
            </w:r>
            <w:r w:rsidRPr="00306115">
              <w:rPr>
                <w:rFonts w:eastAsia="Bookman Old Style" w:cs="Bookman Old Style"/>
                <w:color w:val="000000" w:themeColor="text1"/>
                <w:szCs w:val="24"/>
              </w:rPr>
              <w:tab/>
              <w:t>kelolaan secara akumulatif dari seluruh produk kelolaan.</w:t>
            </w:r>
          </w:p>
        </w:tc>
        <w:tc>
          <w:tcPr>
            <w:tcW w:w="8788" w:type="dxa"/>
          </w:tcPr>
          <w:p w14:paraId="05D0295A" w14:textId="77777777" w:rsidR="00404313" w:rsidRPr="00306115" w:rsidRDefault="0018385F">
            <w:pPr>
              <w:widowControl w:val="0"/>
              <w:numPr>
                <w:ilvl w:val="0"/>
                <w:numId w:val="459"/>
              </w:numPr>
              <w:pBdr>
                <w:top w:val="nil"/>
                <w:left w:val="nil"/>
                <w:bottom w:val="nil"/>
                <w:right w:val="nil"/>
                <w:between w:val="nil"/>
              </w:pBdr>
              <w:tabs>
                <w:tab w:val="left" w:pos="737"/>
              </w:tabs>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 xml:space="preserve">Indikator ini mengukur kualitas dari 5 (lima) penerbit </w:t>
            </w:r>
            <w:r w:rsidR="00404313" w:rsidRPr="00306115">
              <w:rPr>
                <w:rFonts w:eastAsia="Bookman Old Style" w:cs="Bookman Old Style"/>
                <w:color w:val="000000" w:themeColor="text1"/>
                <w:szCs w:val="24"/>
              </w:rPr>
              <w:t>E</w:t>
            </w:r>
            <w:r w:rsidRPr="00306115">
              <w:rPr>
                <w:rFonts w:eastAsia="Bookman Old Style" w:cs="Bookman Old Style"/>
                <w:color w:val="000000" w:themeColor="text1"/>
                <w:szCs w:val="24"/>
              </w:rPr>
              <w:t>fek bersifat utang dan/atau sukuk (EBUS) korporasi terbesar yang dimiliki secara agregat lintas atau seluruh produk investasi yang dikelola oleh Manajer Investasi pada posisi akhir tahun (31 Desember).</w:t>
            </w:r>
          </w:p>
          <w:p w14:paraId="478809B5" w14:textId="77777777" w:rsidR="00404313" w:rsidRPr="00306115" w:rsidRDefault="0018385F">
            <w:pPr>
              <w:widowControl w:val="0"/>
              <w:numPr>
                <w:ilvl w:val="0"/>
                <w:numId w:val="459"/>
              </w:numPr>
              <w:pBdr>
                <w:top w:val="nil"/>
                <w:left w:val="nil"/>
                <w:bottom w:val="nil"/>
                <w:right w:val="nil"/>
                <w:between w:val="nil"/>
              </w:pBdr>
              <w:tabs>
                <w:tab w:val="left" w:pos="737"/>
              </w:tabs>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 xml:space="preserve">Penilaian tidak mencakup EBUS Negara, seperti SUN dan SRBI, deposito, dan instrumen pasar uang lainnya. </w:t>
            </w:r>
          </w:p>
          <w:p w14:paraId="481501FC" w14:textId="77777777" w:rsidR="00404313" w:rsidRPr="00306115" w:rsidRDefault="0018385F">
            <w:pPr>
              <w:widowControl w:val="0"/>
              <w:numPr>
                <w:ilvl w:val="0"/>
                <w:numId w:val="459"/>
              </w:numPr>
              <w:pBdr>
                <w:top w:val="nil"/>
                <w:left w:val="nil"/>
                <w:bottom w:val="nil"/>
                <w:right w:val="nil"/>
                <w:between w:val="nil"/>
              </w:pBdr>
              <w:tabs>
                <w:tab w:val="left" w:pos="737"/>
              </w:tabs>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Seluruh seri EBUS dari korporasi yang sama diagregasikan menjadi satu.</w:t>
            </w:r>
          </w:p>
          <w:p w14:paraId="59180947" w14:textId="77777777" w:rsidR="00404313" w:rsidRPr="00306115" w:rsidRDefault="0018385F">
            <w:pPr>
              <w:widowControl w:val="0"/>
              <w:numPr>
                <w:ilvl w:val="0"/>
                <w:numId w:val="459"/>
              </w:numPr>
              <w:pBdr>
                <w:top w:val="nil"/>
                <w:left w:val="nil"/>
                <w:bottom w:val="nil"/>
                <w:right w:val="nil"/>
                <w:between w:val="nil"/>
              </w:pBdr>
              <w:tabs>
                <w:tab w:val="left" w:pos="737"/>
              </w:tabs>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Penilaian dilakukan untuk memastikan kualitas dari EBUS korporasi yang menjadi konsentrasi kepemilikan tersebut.</w:t>
            </w:r>
          </w:p>
          <w:p w14:paraId="43C97BED" w14:textId="78927C04" w:rsidR="0018385F" w:rsidRPr="00306115" w:rsidRDefault="0018385F">
            <w:pPr>
              <w:widowControl w:val="0"/>
              <w:numPr>
                <w:ilvl w:val="0"/>
                <w:numId w:val="459"/>
              </w:numPr>
              <w:pBdr>
                <w:top w:val="nil"/>
                <w:left w:val="nil"/>
                <w:bottom w:val="nil"/>
                <w:right w:val="nil"/>
                <w:between w:val="nil"/>
              </w:pBdr>
              <w:tabs>
                <w:tab w:val="left" w:pos="737"/>
              </w:tabs>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 xml:space="preserve">Kriteria penilaian menggunakan 4 </w:t>
            </w:r>
            <w:r w:rsidR="00404313" w:rsidRPr="00306115">
              <w:rPr>
                <w:rFonts w:eastAsia="Bookman Old Style" w:cs="Bookman Old Style"/>
                <w:color w:val="000000" w:themeColor="text1"/>
                <w:szCs w:val="24"/>
              </w:rPr>
              <w:t xml:space="preserve">(empat) </w:t>
            </w:r>
            <w:r w:rsidRPr="00306115">
              <w:rPr>
                <w:rFonts w:eastAsia="Bookman Old Style" w:cs="Bookman Old Style"/>
                <w:color w:val="000000" w:themeColor="text1"/>
                <w:szCs w:val="24"/>
              </w:rPr>
              <w:t>aspek kualitas, yaitu:</w:t>
            </w:r>
          </w:p>
          <w:p w14:paraId="2D26BFD7" w14:textId="77777777" w:rsidR="00404313" w:rsidRPr="00306115" w:rsidRDefault="0018385F">
            <w:pPr>
              <w:widowControl w:val="0"/>
              <w:numPr>
                <w:ilvl w:val="1"/>
                <w:numId w:val="457"/>
              </w:numPr>
              <w:pBdr>
                <w:top w:val="nil"/>
                <w:left w:val="nil"/>
                <w:bottom w:val="nil"/>
                <w:right w:val="nil"/>
                <w:between w:val="nil"/>
              </w:pBdr>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rPr>
              <w:t>Rating</w:t>
            </w:r>
          </w:p>
          <w:p w14:paraId="6820DE64" w14:textId="09AC2C28" w:rsidR="0018385F" w:rsidRPr="00306115" w:rsidRDefault="0018385F" w:rsidP="00404313">
            <w:pPr>
              <w:widowControl w:val="0"/>
              <w:pBdr>
                <w:top w:val="nil"/>
                <w:left w:val="nil"/>
                <w:bottom w:val="nil"/>
                <w:right w:val="nil"/>
                <w:between w:val="nil"/>
              </w:pBdr>
              <w:spacing w:after="0" w:line="240" w:lineRule="auto"/>
              <w:ind w:left="851"/>
              <w:rPr>
                <w:rFonts w:eastAsia="Bookman Old Style" w:cs="Bookman Old Style"/>
                <w:color w:val="000000" w:themeColor="text1"/>
                <w:szCs w:val="24"/>
              </w:rPr>
            </w:pPr>
            <w:r w:rsidRPr="00306115">
              <w:rPr>
                <w:rFonts w:eastAsia="Bookman Old Style" w:cs="Bookman Old Style"/>
                <w:color w:val="000000" w:themeColor="text1"/>
                <w:szCs w:val="24"/>
              </w:rPr>
              <w:t>Rating yang diberikan mencerminkan penilaian independen atas kemampuan emiten dalam memenuhi kewajiban atas obligasi tersebut.</w:t>
            </w:r>
          </w:p>
          <w:p w14:paraId="0F9836B9" w14:textId="2D6E7C78" w:rsidR="00404313" w:rsidRPr="00306115" w:rsidRDefault="0018385F">
            <w:pPr>
              <w:widowControl w:val="0"/>
              <w:numPr>
                <w:ilvl w:val="1"/>
                <w:numId w:val="457"/>
              </w:numPr>
              <w:pBdr>
                <w:top w:val="nil"/>
                <w:left w:val="nil"/>
                <w:bottom w:val="nil"/>
                <w:right w:val="nil"/>
                <w:between w:val="nil"/>
              </w:pBdr>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rPr>
              <w:t xml:space="preserve">Peringkat </w:t>
            </w:r>
            <w:r w:rsidR="00543A86" w:rsidRPr="00306115">
              <w:rPr>
                <w:rFonts w:eastAsia="Bookman Old Style" w:cs="Bookman Old Style"/>
                <w:i/>
                <w:iCs/>
                <w:color w:val="000000" w:themeColor="text1"/>
                <w:szCs w:val="24"/>
              </w:rPr>
              <w:t>Outlook</w:t>
            </w:r>
            <w:r w:rsidRPr="00306115">
              <w:rPr>
                <w:rFonts w:eastAsia="Bookman Old Style" w:cs="Bookman Old Style"/>
                <w:color w:val="000000" w:themeColor="text1"/>
                <w:szCs w:val="24"/>
              </w:rPr>
              <w:t xml:space="preserve"> EBUS Korporasi</w:t>
            </w:r>
          </w:p>
          <w:p w14:paraId="4134A66D" w14:textId="176EC56A" w:rsidR="0018385F" w:rsidRPr="00306115" w:rsidRDefault="0018385F" w:rsidP="00404313">
            <w:pPr>
              <w:widowControl w:val="0"/>
              <w:pBdr>
                <w:top w:val="nil"/>
                <w:left w:val="nil"/>
                <w:bottom w:val="nil"/>
                <w:right w:val="nil"/>
                <w:between w:val="nil"/>
              </w:pBdr>
              <w:spacing w:after="0" w:line="240" w:lineRule="auto"/>
              <w:ind w:left="851"/>
              <w:rPr>
                <w:rFonts w:eastAsia="Bookman Old Style" w:cs="Bookman Old Style"/>
                <w:color w:val="000000" w:themeColor="text1"/>
                <w:szCs w:val="24"/>
              </w:rPr>
            </w:pPr>
            <w:r w:rsidRPr="00306115">
              <w:rPr>
                <w:rFonts w:eastAsia="Bookman Old Style" w:cs="Bookman Old Style"/>
                <w:color w:val="000000" w:themeColor="text1"/>
                <w:szCs w:val="24"/>
              </w:rPr>
              <w:lastRenderedPageBreak/>
              <w:t xml:space="preserve">Aspek ini merupakan pelengkap dari aspek rating sebelumnya dengan dimensi arah pergerakan ke depan (Stabil, Positif, Negatif, atau </w:t>
            </w:r>
            <w:r w:rsidRPr="00306115">
              <w:rPr>
                <w:rFonts w:eastAsia="Bookman Old Style" w:cs="Bookman Old Style"/>
                <w:i/>
                <w:iCs/>
                <w:color w:val="000000" w:themeColor="text1"/>
                <w:szCs w:val="24"/>
              </w:rPr>
              <w:t>Watch</w:t>
            </w:r>
            <w:r w:rsidRPr="00306115">
              <w:rPr>
                <w:rFonts w:eastAsia="Bookman Old Style" w:cs="Bookman Old Style"/>
                <w:color w:val="000000" w:themeColor="text1"/>
                <w:szCs w:val="24"/>
              </w:rPr>
              <w:t>).</w:t>
            </w:r>
          </w:p>
          <w:p w14:paraId="75C28479" w14:textId="77777777" w:rsidR="00404313" w:rsidRPr="00306115" w:rsidRDefault="0018385F">
            <w:pPr>
              <w:widowControl w:val="0"/>
              <w:numPr>
                <w:ilvl w:val="1"/>
                <w:numId w:val="457"/>
              </w:numPr>
              <w:pBdr>
                <w:top w:val="nil"/>
                <w:left w:val="nil"/>
                <w:bottom w:val="nil"/>
                <w:right w:val="nil"/>
                <w:between w:val="nil"/>
              </w:pBdr>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rPr>
              <w:t>Riwayat Ketepatan Pembayaran Kupan</w:t>
            </w:r>
          </w:p>
          <w:p w14:paraId="34D54084" w14:textId="28AC168A" w:rsidR="0018385F" w:rsidRPr="00306115" w:rsidRDefault="0018385F" w:rsidP="00404313">
            <w:pPr>
              <w:widowControl w:val="0"/>
              <w:pBdr>
                <w:top w:val="nil"/>
                <w:left w:val="nil"/>
                <w:bottom w:val="nil"/>
                <w:right w:val="nil"/>
                <w:between w:val="nil"/>
              </w:pBdr>
              <w:spacing w:after="0" w:line="240" w:lineRule="auto"/>
              <w:ind w:left="851"/>
              <w:rPr>
                <w:rFonts w:eastAsia="Bookman Old Style" w:cs="Bookman Old Style"/>
                <w:color w:val="000000" w:themeColor="text1"/>
                <w:szCs w:val="24"/>
              </w:rPr>
            </w:pPr>
            <w:r w:rsidRPr="00306115">
              <w:rPr>
                <w:rFonts w:eastAsia="Bookman Old Style" w:cs="Bookman Old Style"/>
                <w:color w:val="000000" w:themeColor="text1"/>
                <w:szCs w:val="24"/>
              </w:rPr>
              <w:t xml:space="preserve">Aspek ini melihat apakah emiten EBUS pernah melakukan keterlambatan pembayaran kupon dalam 3 </w:t>
            </w:r>
            <w:r w:rsidR="00404313" w:rsidRPr="00306115">
              <w:rPr>
                <w:rFonts w:eastAsia="Bookman Old Style" w:cs="Bookman Old Style"/>
                <w:color w:val="000000" w:themeColor="text1"/>
                <w:szCs w:val="24"/>
              </w:rPr>
              <w:t xml:space="preserve">(tiga) </w:t>
            </w:r>
            <w:r w:rsidRPr="00306115">
              <w:rPr>
                <w:rFonts w:eastAsia="Bookman Old Style" w:cs="Bookman Old Style"/>
                <w:color w:val="000000" w:themeColor="text1"/>
                <w:szCs w:val="24"/>
              </w:rPr>
              <w:t>tahun terakhir.</w:t>
            </w:r>
          </w:p>
          <w:p w14:paraId="0431302D" w14:textId="77777777" w:rsidR="00404313" w:rsidRPr="00306115" w:rsidRDefault="0018385F">
            <w:pPr>
              <w:widowControl w:val="0"/>
              <w:numPr>
                <w:ilvl w:val="1"/>
                <w:numId w:val="457"/>
              </w:numPr>
              <w:pBdr>
                <w:top w:val="nil"/>
                <w:left w:val="nil"/>
                <w:bottom w:val="nil"/>
                <w:right w:val="nil"/>
                <w:between w:val="nil"/>
              </w:pBdr>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rPr>
              <w:t>Kualitas Laporan Keuangan Emiten</w:t>
            </w:r>
          </w:p>
          <w:p w14:paraId="7773133F" w14:textId="6F8CB60E" w:rsidR="0018385F" w:rsidRPr="00306115" w:rsidRDefault="0018385F" w:rsidP="00404313">
            <w:pPr>
              <w:widowControl w:val="0"/>
              <w:pBdr>
                <w:top w:val="nil"/>
                <w:left w:val="nil"/>
                <w:bottom w:val="nil"/>
                <w:right w:val="nil"/>
                <w:between w:val="nil"/>
              </w:pBdr>
              <w:spacing w:after="0" w:line="240" w:lineRule="auto"/>
              <w:ind w:left="851"/>
              <w:rPr>
                <w:rFonts w:eastAsia="Bookman Old Style" w:cs="Bookman Old Style"/>
                <w:color w:val="000000" w:themeColor="text1"/>
                <w:szCs w:val="24"/>
              </w:rPr>
            </w:pPr>
            <w:r w:rsidRPr="00306115">
              <w:rPr>
                <w:rFonts w:eastAsia="Bookman Old Style" w:cs="Bookman Old Style"/>
                <w:color w:val="000000" w:themeColor="text1"/>
                <w:szCs w:val="24"/>
              </w:rPr>
              <w:t xml:space="preserve">Opini auditor atas laporan keuangan terakhir emiten tersebut mencerminkan reliabilitas informasi fundamental yang menjadi dasar penilaian kemampuan bayar emiten. </w:t>
            </w:r>
          </w:p>
          <w:p w14:paraId="14B64968" w14:textId="1FBEDB91" w:rsidR="0018385F" w:rsidRPr="00306115" w:rsidRDefault="0018385F">
            <w:pPr>
              <w:widowControl w:val="0"/>
              <w:numPr>
                <w:ilvl w:val="0"/>
                <w:numId w:val="459"/>
              </w:numPr>
              <w:pBdr>
                <w:top w:val="nil"/>
                <w:left w:val="nil"/>
                <w:bottom w:val="nil"/>
                <w:right w:val="nil"/>
                <w:between w:val="nil"/>
              </w:pBdr>
              <w:tabs>
                <w:tab w:val="left" w:pos="737"/>
              </w:tabs>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Peringkat Risiko Konsentrasi</w:t>
            </w:r>
            <w:r w:rsidR="00404313" w:rsidRPr="00306115">
              <w:rPr>
                <w:rFonts w:eastAsia="Bookman Old Style" w:cs="Bookman Old Style"/>
                <w:color w:val="000000" w:themeColor="text1"/>
                <w:szCs w:val="24"/>
              </w:rPr>
              <w:t xml:space="preserve"> Portofolio Efek</w:t>
            </w:r>
            <w:r w:rsidRPr="00306115">
              <w:rPr>
                <w:rFonts w:eastAsia="Bookman Old Style" w:cs="Bookman Old Style"/>
                <w:color w:val="000000" w:themeColor="text1"/>
                <w:szCs w:val="24"/>
              </w:rPr>
              <w:t xml:space="preserve"> dari kualitas EBUS Korporasi:</w:t>
            </w:r>
          </w:p>
          <w:p w14:paraId="67215C5A" w14:textId="77777777" w:rsidR="00404313" w:rsidRPr="00306115" w:rsidRDefault="0018385F" w:rsidP="002C787E">
            <w:pPr>
              <w:pStyle w:val="ListParagraph"/>
              <w:widowControl w:val="0"/>
              <w:numPr>
                <w:ilvl w:val="1"/>
                <w:numId w:val="518"/>
              </w:numPr>
              <w:pBdr>
                <w:top w:val="nil"/>
                <w:left w:val="nil"/>
                <w:bottom w:val="nil"/>
                <w:right w:val="nil"/>
                <w:between w:val="nil"/>
              </w:pBdr>
              <w:tabs>
                <w:tab w:val="left" w:pos="737"/>
              </w:tabs>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Peringkat 1</w:t>
            </w:r>
          </w:p>
          <w:p w14:paraId="764B7F3B" w14:textId="4765D196" w:rsidR="0018385F" w:rsidRPr="00306115" w:rsidRDefault="0018385F" w:rsidP="00404313">
            <w:pPr>
              <w:pStyle w:val="ListParagraph"/>
              <w:widowControl w:val="0"/>
              <w:pBdr>
                <w:top w:val="nil"/>
                <w:left w:val="nil"/>
                <w:bottom w:val="nil"/>
                <w:right w:val="nil"/>
                <w:between w:val="nil"/>
              </w:pBdr>
              <w:tabs>
                <w:tab w:val="left" w:pos="737"/>
              </w:tabs>
              <w:spacing w:after="0" w:line="240" w:lineRule="auto"/>
              <w:ind w:left="851"/>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 xml:space="preserve">Seluruh atau hampir seluruh dari 5 (lima) EBUS Korporasi memiliki rating AAA s.d AA (atau setara), </w:t>
            </w:r>
            <w:r w:rsidR="00543A86" w:rsidRPr="00306115">
              <w:rPr>
                <w:rFonts w:eastAsia="Bookman Old Style" w:cs="Bookman Old Style"/>
                <w:i/>
                <w:iCs/>
                <w:color w:val="000000" w:themeColor="text1"/>
                <w:szCs w:val="24"/>
              </w:rPr>
              <w:t>outlook</w:t>
            </w:r>
            <w:r w:rsidRPr="00306115">
              <w:rPr>
                <w:rFonts w:eastAsia="Bookman Old Style" w:cs="Bookman Old Style"/>
                <w:color w:val="000000" w:themeColor="text1"/>
                <w:szCs w:val="24"/>
              </w:rPr>
              <w:t xml:space="preserve"> minimal stabil, tidak pernah ada riwayat keterlambatan, dan laporan keuangan keuangan emiten wajar tanpa pengecualian (WTP).</w:t>
            </w:r>
          </w:p>
          <w:p w14:paraId="495CEE33" w14:textId="77777777" w:rsidR="0018385F" w:rsidRPr="00306115" w:rsidRDefault="0018385F" w:rsidP="002C787E">
            <w:pPr>
              <w:pStyle w:val="ListParagraph"/>
              <w:widowControl w:val="0"/>
              <w:numPr>
                <w:ilvl w:val="1"/>
                <w:numId w:val="518"/>
              </w:numPr>
              <w:pBdr>
                <w:top w:val="nil"/>
                <w:left w:val="nil"/>
                <w:bottom w:val="nil"/>
                <w:right w:val="nil"/>
                <w:between w:val="nil"/>
              </w:pBdr>
              <w:tabs>
                <w:tab w:val="left" w:pos="737"/>
              </w:tabs>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Peringkat 2</w:t>
            </w:r>
          </w:p>
          <w:p w14:paraId="0D2AE66F" w14:textId="5EFB7EAC" w:rsidR="0018385F" w:rsidRPr="00306115" w:rsidRDefault="0018385F">
            <w:pPr>
              <w:widowControl w:val="0"/>
              <w:numPr>
                <w:ilvl w:val="0"/>
                <w:numId w:val="458"/>
              </w:numPr>
              <w:pBdr>
                <w:top w:val="nil"/>
                <w:left w:val="nil"/>
                <w:bottom w:val="nil"/>
                <w:right w:val="nil"/>
                <w:between w:val="nil"/>
              </w:pBdr>
              <w:tabs>
                <w:tab w:val="left" w:pos="737"/>
              </w:tabs>
              <w:spacing w:after="0" w:line="240" w:lineRule="auto"/>
              <w:ind w:left="1135" w:hanging="284"/>
              <w:rPr>
                <w:rFonts w:eastAsia="Bookman Old Style" w:cs="Bookman Old Style"/>
                <w:color w:val="000000" w:themeColor="text1"/>
                <w:szCs w:val="24"/>
              </w:rPr>
            </w:pPr>
            <w:r w:rsidRPr="00306115">
              <w:rPr>
                <w:rFonts w:eastAsia="Bookman Old Style" w:cs="Bookman Old Style"/>
                <w:color w:val="000000" w:themeColor="text1"/>
                <w:szCs w:val="24"/>
              </w:rPr>
              <w:t xml:space="preserve">Sebagian besar emiten memiliki </w:t>
            </w:r>
            <w:r w:rsidRPr="00306115">
              <w:rPr>
                <w:rFonts w:eastAsia="Bookman Old Style" w:cs="Bookman Old Style"/>
                <w:i/>
                <w:iCs/>
                <w:color w:val="000000" w:themeColor="text1"/>
                <w:szCs w:val="24"/>
              </w:rPr>
              <w:t xml:space="preserve">rating </w:t>
            </w:r>
            <w:r w:rsidRPr="00306115">
              <w:rPr>
                <w:rFonts w:eastAsia="Bookman Old Style" w:cs="Bookman Old Style"/>
                <w:color w:val="000000" w:themeColor="text1"/>
                <w:szCs w:val="24"/>
              </w:rPr>
              <w:t xml:space="preserve">minimal A- (atau setara) dan memiliki </w:t>
            </w:r>
            <w:r w:rsidR="00543A86" w:rsidRPr="00306115">
              <w:rPr>
                <w:rFonts w:eastAsia="Bookman Old Style" w:cs="Bookman Old Style"/>
                <w:i/>
                <w:iCs/>
                <w:color w:val="000000" w:themeColor="text1"/>
                <w:szCs w:val="24"/>
              </w:rPr>
              <w:t>outlook</w:t>
            </w:r>
            <w:r w:rsidRPr="00306115">
              <w:rPr>
                <w:rFonts w:eastAsia="Bookman Old Style" w:cs="Bookman Old Style"/>
                <w:color w:val="000000" w:themeColor="text1"/>
                <w:szCs w:val="24"/>
              </w:rPr>
              <w:t xml:space="preserve"> stabil;</w:t>
            </w:r>
          </w:p>
          <w:p w14:paraId="41D6E3E0" w14:textId="77777777" w:rsidR="0018385F" w:rsidRPr="00306115" w:rsidRDefault="0018385F">
            <w:pPr>
              <w:widowControl w:val="0"/>
              <w:numPr>
                <w:ilvl w:val="0"/>
                <w:numId w:val="458"/>
              </w:numPr>
              <w:pBdr>
                <w:top w:val="nil"/>
                <w:left w:val="nil"/>
                <w:bottom w:val="nil"/>
                <w:right w:val="nil"/>
                <w:between w:val="nil"/>
              </w:pBdr>
              <w:tabs>
                <w:tab w:val="left" w:pos="737"/>
              </w:tabs>
              <w:spacing w:after="0" w:line="240" w:lineRule="auto"/>
              <w:ind w:left="1135" w:hanging="284"/>
              <w:rPr>
                <w:rFonts w:eastAsia="Bookman Old Style" w:cs="Bookman Old Style"/>
                <w:color w:val="000000" w:themeColor="text1"/>
                <w:szCs w:val="24"/>
              </w:rPr>
            </w:pPr>
            <w:r w:rsidRPr="00306115">
              <w:rPr>
                <w:rFonts w:eastAsia="Bookman Old Style" w:cs="Bookman Old Style"/>
                <w:color w:val="000000" w:themeColor="text1"/>
                <w:szCs w:val="24"/>
              </w:rPr>
              <w:t xml:space="preserve">Tidak pernah ada yang memiliki riwayat keterlambatan pembayaran kupon; </w:t>
            </w:r>
          </w:p>
          <w:p w14:paraId="6BF0E103" w14:textId="4BF89209" w:rsidR="0018385F" w:rsidRPr="00306115" w:rsidRDefault="0018385F">
            <w:pPr>
              <w:widowControl w:val="0"/>
              <w:numPr>
                <w:ilvl w:val="0"/>
                <w:numId w:val="458"/>
              </w:numPr>
              <w:pBdr>
                <w:top w:val="nil"/>
                <w:left w:val="nil"/>
                <w:bottom w:val="nil"/>
                <w:right w:val="nil"/>
                <w:between w:val="nil"/>
              </w:pBdr>
              <w:tabs>
                <w:tab w:val="left" w:pos="737"/>
              </w:tabs>
              <w:spacing w:after="0" w:line="240" w:lineRule="auto"/>
              <w:ind w:left="1135" w:hanging="284"/>
              <w:rPr>
                <w:rFonts w:eastAsia="Bookman Old Style" w:cs="Bookman Old Style"/>
                <w:color w:val="000000" w:themeColor="text1"/>
                <w:szCs w:val="24"/>
              </w:rPr>
            </w:pPr>
            <w:r w:rsidRPr="00306115">
              <w:rPr>
                <w:rFonts w:eastAsia="Bookman Old Style" w:cs="Bookman Old Style"/>
                <w:color w:val="000000" w:themeColor="text1"/>
                <w:szCs w:val="24"/>
              </w:rPr>
              <w:t>Terdapat paling banyak 1</w:t>
            </w:r>
            <w:r w:rsidR="00013519" w:rsidRPr="00306115">
              <w:rPr>
                <w:rFonts w:eastAsia="Bookman Old Style" w:cs="Bookman Old Style"/>
                <w:color w:val="000000" w:themeColor="text1"/>
                <w:szCs w:val="24"/>
              </w:rPr>
              <w:t xml:space="preserve"> (satu)</w:t>
            </w:r>
            <w:r w:rsidRPr="00306115">
              <w:rPr>
                <w:rFonts w:eastAsia="Bookman Old Style" w:cs="Bookman Old Style"/>
                <w:color w:val="000000" w:themeColor="text1"/>
                <w:szCs w:val="24"/>
              </w:rPr>
              <w:t xml:space="preserve"> emiten dengan </w:t>
            </w:r>
            <w:r w:rsidRPr="00306115">
              <w:rPr>
                <w:rFonts w:eastAsia="Bookman Old Style" w:cs="Bookman Old Style"/>
                <w:i/>
                <w:iCs/>
                <w:color w:val="000000" w:themeColor="text1"/>
                <w:szCs w:val="24"/>
              </w:rPr>
              <w:t>rating</w:t>
            </w:r>
            <w:r w:rsidRPr="00306115">
              <w:rPr>
                <w:rFonts w:eastAsia="Bookman Old Style" w:cs="Bookman Old Style"/>
                <w:color w:val="000000" w:themeColor="text1"/>
                <w:szCs w:val="24"/>
              </w:rPr>
              <w:t xml:space="preserve"> BBB- (atau setara); dan</w:t>
            </w:r>
          </w:p>
          <w:p w14:paraId="12F52BBA" w14:textId="77777777" w:rsidR="0018385F" w:rsidRPr="00306115" w:rsidRDefault="0018385F">
            <w:pPr>
              <w:widowControl w:val="0"/>
              <w:numPr>
                <w:ilvl w:val="0"/>
                <w:numId w:val="458"/>
              </w:numPr>
              <w:pBdr>
                <w:top w:val="nil"/>
                <w:left w:val="nil"/>
                <w:bottom w:val="nil"/>
                <w:right w:val="nil"/>
                <w:between w:val="nil"/>
              </w:pBdr>
              <w:tabs>
                <w:tab w:val="left" w:pos="737"/>
              </w:tabs>
              <w:spacing w:after="0" w:line="240" w:lineRule="auto"/>
              <w:ind w:left="1135" w:hanging="284"/>
              <w:rPr>
                <w:rFonts w:eastAsia="Bookman Old Style" w:cs="Bookman Old Style"/>
                <w:color w:val="000000" w:themeColor="text1"/>
                <w:szCs w:val="24"/>
              </w:rPr>
            </w:pPr>
            <w:r w:rsidRPr="00306115">
              <w:rPr>
                <w:rFonts w:eastAsia="Bookman Old Style" w:cs="Bookman Old Style"/>
                <w:color w:val="000000" w:themeColor="text1"/>
                <w:szCs w:val="24"/>
              </w:rPr>
              <w:t>Laporan Keuangan seluruhnya WTP.</w:t>
            </w:r>
          </w:p>
          <w:p w14:paraId="629B26F4" w14:textId="77777777" w:rsidR="0018385F" w:rsidRPr="00306115" w:rsidRDefault="0018385F" w:rsidP="002C787E">
            <w:pPr>
              <w:pStyle w:val="ListParagraph"/>
              <w:widowControl w:val="0"/>
              <w:numPr>
                <w:ilvl w:val="1"/>
                <w:numId w:val="518"/>
              </w:numPr>
              <w:pBdr>
                <w:top w:val="nil"/>
                <w:left w:val="nil"/>
                <w:bottom w:val="nil"/>
                <w:right w:val="nil"/>
                <w:between w:val="nil"/>
              </w:pBdr>
              <w:tabs>
                <w:tab w:val="left" w:pos="737"/>
              </w:tabs>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Peringkat 3</w:t>
            </w:r>
          </w:p>
          <w:p w14:paraId="75325B2B" w14:textId="2388799F" w:rsidR="0018385F" w:rsidRPr="00306115" w:rsidRDefault="0018385F">
            <w:pPr>
              <w:widowControl w:val="0"/>
              <w:numPr>
                <w:ilvl w:val="0"/>
                <w:numId w:val="458"/>
              </w:numPr>
              <w:pBdr>
                <w:top w:val="nil"/>
                <w:left w:val="nil"/>
                <w:bottom w:val="nil"/>
                <w:right w:val="nil"/>
                <w:between w:val="nil"/>
              </w:pBdr>
              <w:tabs>
                <w:tab w:val="left" w:pos="737"/>
              </w:tabs>
              <w:spacing w:after="0" w:line="240" w:lineRule="auto"/>
              <w:ind w:left="1135" w:hanging="284"/>
              <w:rPr>
                <w:rFonts w:eastAsia="Bookman Old Style" w:cs="Bookman Old Style"/>
                <w:color w:val="000000" w:themeColor="text1"/>
                <w:szCs w:val="24"/>
              </w:rPr>
            </w:pPr>
            <w:r w:rsidRPr="00306115">
              <w:rPr>
                <w:rFonts w:eastAsia="Bookman Old Style" w:cs="Bookman Old Style"/>
                <w:color w:val="000000" w:themeColor="text1"/>
                <w:szCs w:val="24"/>
              </w:rPr>
              <w:t xml:space="preserve">Terdapat 1 </w:t>
            </w:r>
            <w:r w:rsidR="00013519" w:rsidRPr="00306115">
              <w:rPr>
                <w:rFonts w:eastAsia="Bookman Old Style" w:cs="Bookman Old Style"/>
                <w:color w:val="000000" w:themeColor="text1"/>
                <w:szCs w:val="24"/>
              </w:rPr>
              <w:t xml:space="preserve">(satu) </w:t>
            </w:r>
            <w:r w:rsidRPr="00306115">
              <w:rPr>
                <w:rFonts w:eastAsia="Bookman Old Style" w:cs="Bookman Old Style"/>
                <w:color w:val="000000" w:themeColor="text1"/>
                <w:szCs w:val="24"/>
              </w:rPr>
              <w:t>emiten dengan rating BB+ (atau setara);</w:t>
            </w:r>
          </w:p>
          <w:p w14:paraId="27E07C7B" w14:textId="521D5F1E" w:rsidR="0018385F" w:rsidRPr="00306115" w:rsidRDefault="0018385F">
            <w:pPr>
              <w:widowControl w:val="0"/>
              <w:numPr>
                <w:ilvl w:val="0"/>
                <w:numId w:val="458"/>
              </w:numPr>
              <w:pBdr>
                <w:top w:val="nil"/>
                <w:left w:val="nil"/>
                <w:bottom w:val="nil"/>
                <w:right w:val="nil"/>
                <w:between w:val="nil"/>
              </w:pBdr>
              <w:tabs>
                <w:tab w:val="left" w:pos="737"/>
              </w:tabs>
              <w:spacing w:after="0" w:line="240" w:lineRule="auto"/>
              <w:ind w:left="1135" w:hanging="284"/>
              <w:rPr>
                <w:rFonts w:eastAsia="Bookman Old Style" w:cs="Bookman Old Style"/>
                <w:color w:val="000000" w:themeColor="text1"/>
                <w:szCs w:val="24"/>
              </w:rPr>
            </w:pPr>
            <w:r w:rsidRPr="00306115">
              <w:rPr>
                <w:rFonts w:eastAsia="Bookman Old Style" w:cs="Bookman Old Style"/>
                <w:color w:val="000000" w:themeColor="text1"/>
                <w:szCs w:val="24"/>
              </w:rPr>
              <w:t>Terdapat 1</w:t>
            </w:r>
            <w:r w:rsidR="00013519" w:rsidRPr="00306115">
              <w:rPr>
                <w:rFonts w:eastAsia="Bookman Old Style" w:cs="Bookman Old Style"/>
                <w:color w:val="000000" w:themeColor="text1"/>
                <w:szCs w:val="24"/>
              </w:rPr>
              <w:t xml:space="preserve"> (satu)</w:t>
            </w:r>
            <w:r w:rsidRPr="00306115">
              <w:rPr>
                <w:rFonts w:eastAsia="Bookman Old Style" w:cs="Bookman Old Style"/>
                <w:color w:val="000000" w:themeColor="text1"/>
                <w:szCs w:val="24"/>
              </w:rPr>
              <w:t xml:space="preserve"> emiten yang memiliki BBB-/Negatif (atau setara);</w:t>
            </w:r>
          </w:p>
          <w:p w14:paraId="6A1437E6" w14:textId="0B2EE50E" w:rsidR="0018385F" w:rsidRPr="00306115" w:rsidRDefault="0018385F">
            <w:pPr>
              <w:widowControl w:val="0"/>
              <w:numPr>
                <w:ilvl w:val="0"/>
                <w:numId w:val="458"/>
              </w:numPr>
              <w:pBdr>
                <w:top w:val="nil"/>
                <w:left w:val="nil"/>
                <w:bottom w:val="nil"/>
                <w:right w:val="nil"/>
                <w:between w:val="nil"/>
              </w:pBdr>
              <w:tabs>
                <w:tab w:val="left" w:pos="737"/>
              </w:tabs>
              <w:spacing w:after="0" w:line="240" w:lineRule="auto"/>
              <w:ind w:left="1135" w:hanging="284"/>
              <w:rPr>
                <w:rFonts w:eastAsia="Bookman Old Style" w:cs="Bookman Old Style"/>
                <w:color w:val="000000" w:themeColor="text1"/>
                <w:szCs w:val="24"/>
              </w:rPr>
            </w:pPr>
            <w:r w:rsidRPr="00306115">
              <w:rPr>
                <w:rFonts w:eastAsia="Bookman Old Style" w:cs="Bookman Old Style"/>
                <w:color w:val="000000" w:themeColor="text1"/>
                <w:szCs w:val="24"/>
              </w:rPr>
              <w:t xml:space="preserve">Terdapat 1 </w:t>
            </w:r>
            <w:r w:rsidR="00013519" w:rsidRPr="00306115">
              <w:rPr>
                <w:rFonts w:eastAsia="Bookman Old Style" w:cs="Bookman Old Style"/>
                <w:color w:val="000000" w:themeColor="text1"/>
                <w:szCs w:val="24"/>
              </w:rPr>
              <w:t xml:space="preserve">(satu) </w:t>
            </w:r>
            <w:r w:rsidRPr="00306115">
              <w:rPr>
                <w:rFonts w:eastAsia="Bookman Old Style" w:cs="Bookman Old Style"/>
                <w:color w:val="000000" w:themeColor="text1"/>
                <w:szCs w:val="24"/>
              </w:rPr>
              <w:t>emiten yang memiliki riwayat keterlambatan pembayaran kupon; atau</w:t>
            </w:r>
          </w:p>
          <w:p w14:paraId="24B15BC2" w14:textId="61FB4283" w:rsidR="0018385F" w:rsidRPr="00306115" w:rsidRDefault="0018385F">
            <w:pPr>
              <w:widowControl w:val="0"/>
              <w:numPr>
                <w:ilvl w:val="0"/>
                <w:numId w:val="458"/>
              </w:numPr>
              <w:pBdr>
                <w:top w:val="nil"/>
                <w:left w:val="nil"/>
                <w:bottom w:val="nil"/>
                <w:right w:val="nil"/>
                <w:between w:val="nil"/>
              </w:pBdr>
              <w:tabs>
                <w:tab w:val="left" w:pos="737"/>
              </w:tabs>
              <w:spacing w:after="0" w:line="240" w:lineRule="auto"/>
              <w:ind w:left="1135" w:hanging="284"/>
              <w:rPr>
                <w:rFonts w:eastAsia="Bookman Old Style" w:cs="Bookman Old Style"/>
                <w:color w:val="000000" w:themeColor="text1"/>
                <w:szCs w:val="24"/>
              </w:rPr>
            </w:pPr>
            <w:r w:rsidRPr="00306115">
              <w:rPr>
                <w:rFonts w:eastAsia="Bookman Old Style" w:cs="Bookman Old Style"/>
                <w:color w:val="000000" w:themeColor="text1"/>
                <w:szCs w:val="24"/>
              </w:rPr>
              <w:lastRenderedPageBreak/>
              <w:t xml:space="preserve">Terdapat 1 </w:t>
            </w:r>
            <w:r w:rsidR="00013519" w:rsidRPr="00306115">
              <w:rPr>
                <w:rFonts w:eastAsia="Bookman Old Style" w:cs="Bookman Old Style"/>
                <w:color w:val="000000" w:themeColor="text1"/>
                <w:szCs w:val="24"/>
              </w:rPr>
              <w:t xml:space="preserve">(satu) </w:t>
            </w:r>
            <w:r w:rsidRPr="00306115">
              <w:rPr>
                <w:rFonts w:eastAsia="Bookman Old Style" w:cs="Bookman Old Style"/>
                <w:color w:val="000000" w:themeColor="text1"/>
                <w:szCs w:val="24"/>
              </w:rPr>
              <w:t>emiten dengan laporan keuangan dengan opini WTP namun terdapat paragraf penekanan atas suatu hal  yang material.</w:t>
            </w:r>
          </w:p>
          <w:p w14:paraId="4319D5DA" w14:textId="77777777" w:rsidR="0018385F" w:rsidRPr="00306115" w:rsidRDefault="0018385F" w:rsidP="002C787E">
            <w:pPr>
              <w:pStyle w:val="ListParagraph"/>
              <w:widowControl w:val="0"/>
              <w:numPr>
                <w:ilvl w:val="1"/>
                <w:numId w:val="518"/>
              </w:numPr>
              <w:pBdr>
                <w:top w:val="nil"/>
                <w:left w:val="nil"/>
                <w:bottom w:val="nil"/>
                <w:right w:val="nil"/>
                <w:between w:val="nil"/>
              </w:pBdr>
              <w:tabs>
                <w:tab w:val="left" w:pos="737"/>
              </w:tabs>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Peringkat 4</w:t>
            </w:r>
          </w:p>
          <w:p w14:paraId="512DE4C3" w14:textId="756060CB" w:rsidR="0018385F" w:rsidRPr="00306115" w:rsidRDefault="0018385F">
            <w:pPr>
              <w:widowControl w:val="0"/>
              <w:numPr>
                <w:ilvl w:val="0"/>
                <w:numId w:val="458"/>
              </w:numPr>
              <w:pBdr>
                <w:top w:val="nil"/>
                <w:left w:val="nil"/>
                <w:bottom w:val="nil"/>
                <w:right w:val="nil"/>
                <w:between w:val="nil"/>
              </w:pBdr>
              <w:tabs>
                <w:tab w:val="left" w:pos="737"/>
              </w:tabs>
              <w:spacing w:after="0" w:line="240" w:lineRule="auto"/>
              <w:ind w:left="1135" w:hanging="284"/>
              <w:rPr>
                <w:rFonts w:eastAsia="Bookman Old Style" w:cs="Bookman Old Style"/>
                <w:color w:val="000000" w:themeColor="text1"/>
                <w:szCs w:val="24"/>
              </w:rPr>
            </w:pPr>
            <w:r w:rsidRPr="00306115">
              <w:rPr>
                <w:rFonts w:eastAsia="Bookman Old Style" w:cs="Bookman Old Style"/>
                <w:color w:val="000000" w:themeColor="text1"/>
                <w:szCs w:val="24"/>
              </w:rPr>
              <w:t xml:space="preserve">Terdapat 1 </w:t>
            </w:r>
            <w:r w:rsidR="00013519" w:rsidRPr="00306115">
              <w:rPr>
                <w:rFonts w:eastAsia="Bookman Old Style" w:cs="Bookman Old Style"/>
                <w:color w:val="000000" w:themeColor="text1"/>
                <w:szCs w:val="24"/>
              </w:rPr>
              <w:t xml:space="preserve">(satu) </w:t>
            </w:r>
            <w:r w:rsidRPr="00306115">
              <w:rPr>
                <w:rFonts w:eastAsia="Bookman Old Style" w:cs="Bookman Old Style"/>
                <w:color w:val="000000" w:themeColor="text1"/>
                <w:szCs w:val="24"/>
              </w:rPr>
              <w:t>emiten dengan rating B- (atau setara);</w:t>
            </w:r>
          </w:p>
          <w:p w14:paraId="68ADDB23" w14:textId="2DFA227A" w:rsidR="0018385F" w:rsidRPr="00306115" w:rsidRDefault="0018385F">
            <w:pPr>
              <w:widowControl w:val="0"/>
              <w:numPr>
                <w:ilvl w:val="0"/>
                <w:numId w:val="458"/>
              </w:numPr>
              <w:pBdr>
                <w:top w:val="nil"/>
                <w:left w:val="nil"/>
                <w:bottom w:val="nil"/>
                <w:right w:val="nil"/>
                <w:between w:val="nil"/>
              </w:pBdr>
              <w:tabs>
                <w:tab w:val="left" w:pos="737"/>
              </w:tabs>
              <w:spacing w:after="0" w:line="240" w:lineRule="auto"/>
              <w:ind w:left="1135" w:hanging="284"/>
              <w:rPr>
                <w:rFonts w:eastAsia="Bookman Old Style" w:cs="Bookman Old Style"/>
                <w:color w:val="000000" w:themeColor="text1"/>
                <w:szCs w:val="24"/>
              </w:rPr>
            </w:pPr>
            <w:r w:rsidRPr="00306115">
              <w:rPr>
                <w:rFonts w:eastAsia="Bookman Old Style" w:cs="Bookman Old Style"/>
                <w:color w:val="000000" w:themeColor="text1"/>
                <w:szCs w:val="24"/>
              </w:rPr>
              <w:t>Terdapat paling banyak 2</w:t>
            </w:r>
            <w:r w:rsidR="00013519" w:rsidRPr="00306115">
              <w:rPr>
                <w:rFonts w:eastAsia="Bookman Old Style" w:cs="Bookman Old Style"/>
                <w:color w:val="000000" w:themeColor="text1"/>
                <w:szCs w:val="24"/>
              </w:rPr>
              <w:t xml:space="preserve"> (dua)</w:t>
            </w:r>
            <w:r w:rsidRPr="00306115">
              <w:rPr>
                <w:rFonts w:eastAsia="Bookman Old Style" w:cs="Bookman Old Style"/>
                <w:color w:val="000000" w:themeColor="text1"/>
                <w:szCs w:val="24"/>
              </w:rPr>
              <w:t xml:space="preserve"> emiten dengan rating BB+/negatif; </w:t>
            </w:r>
          </w:p>
          <w:p w14:paraId="70BCC6CC" w14:textId="0764278C" w:rsidR="0018385F" w:rsidRPr="00306115" w:rsidRDefault="0018385F">
            <w:pPr>
              <w:widowControl w:val="0"/>
              <w:numPr>
                <w:ilvl w:val="0"/>
                <w:numId w:val="458"/>
              </w:numPr>
              <w:pBdr>
                <w:top w:val="nil"/>
                <w:left w:val="nil"/>
                <w:bottom w:val="nil"/>
                <w:right w:val="nil"/>
                <w:between w:val="nil"/>
              </w:pBdr>
              <w:tabs>
                <w:tab w:val="left" w:pos="737"/>
              </w:tabs>
              <w:spacing w:after="0" w:line="240" w:lineRule="auto"/>
              <w:ind w:left="1135" w:hanging="284"/>
              <w:rPr>
                <w:rFonts w:eastAsia="Bookman Old Style" w:cs="Bookman Old Style"/>
                <w:color w:val="000000" w:themeColor="text1"/>
                <w:szCs w:val="24"/>
              </w:rPr>
            </w:pPr>
            <w:r w:rsidRPr="00306115">
              <w:rPr>
                <w:rFonts w:eastAsia="Bookman Old Style" w:cs="Bookman Old Style"/>
                <w:color w:val="000000" w:themeColor="text1"/>
                <w:szCs w:val="24"/>
              </w:rPr>
              <w:t xml:space="preserve">Terdapat 2 </w:t>
            </w:r>
            <w:r w:rsidR="00D21F27" w:rsidRPr="00306115">
              <w:rPr>
                <w:rFonts w:eastAsia="Bookman Old Style" w:cs="Bookman Old Style"/>
                <w:color w:val="000000" w:themeColor="text1"/>
                <w:szCs w:val="24"/>
              </w:rPr>
              <w:t xml:space="preserve">(dua) </w:t>
            </w:r>
            <w:r w:rsidRPr="00306115">
              <w:rPr>
                <w:rFonts w:eastAsia="Bookman Old Style" w:cs="Bookman Old Style"/>
                <w:color w:val="000000" w:themeColor="text1"/>
                <w:szCs w:val="24"/>
              </w:rPr>
              <w:t xml:space="preserve">emiten yang memiliki riwayat </w:t>
            </w:r>
            <w:r w:rsidR="00D21F27" w:rsidRPr="00306115">
              <w:rPr>
                <w:rFonts w:eastAsia="Bookman Old Style" w:cs="Bookman Old Style"/>
                <w:color w:val="000000" w:themeColor="text1"/>
                <w:szCs w:val="24"/>
              </w:rPr>
              <w:t xml:space="preserve">keterlambatan </w:t>
            </w:r>
            <w:r w:rsidRPr="00306115">
              <w:rPr>
                <w:rFonts w:eastAsia="Bookman Old Style" w:cs="Bookman Old Style"/>
                <w:color w:val="000000" w:themeColor="text1"/>
                <w:szCs w:val="24"/>
              </w:rPr>
              <w:t xml:space="preserve">pembayaran kupon; </w:t>
            </w:r>
          </w:p>
          <w:p w14:paraId="15236E55" w14:textId="3E002EA3" w:rsidR="0018385F" w:rsidRPr="00306115" w:rsidRDefault="0018385F">
            <w:pPr>
              <w:widowControl w:val="0"/>
              <w:numPr>
                <w:ilvl w:val="0"/>
                <w:numId w:val="458"/>
              </w:numPr>
              <w:pBdr>
                <w:top w:val="nil"/>
                <w:left w:val="nil"/>
                <w:bottom w:val="nil"/>
                <w:right w:val="nil"/>
                <w:between w:val="nil"/>
              </w:pBdr>
              <w:tabs>
                <w:tab w:val="left" w:pos="737"/>
              </w:tabs>
              <w:spacing w:after="0" w:line="240" w:lineRule="auto"/>
              <w:ind w:left="1135" w:hanging="284"/>
              <w:rPr>
                <w:rFonts w:eastAsia="Bookman Old Style" w:cs="Bookman Old Style"/>
                <w:color w:val="000000" w:themeColor="text1"/>
                <w:szCs w:val="24"/>
              </w:rPr>
            </w:pPr>
            <w:r w:rsidRPr="00306115">
              <w:rPr>
                <w:rFonts w:eastAsia="Bookman Old Style" w:cs="Bookman Old Style"/>
                <w:color w:val="000000" w:themeColor="text1"/>
                <w:szCs w:val="24"/>
              </w:rPr>
              <w:t xml:space="preserve">Terdapat 1 </w:t>
            </w:r>
            <w:r w:rsidR="00D21F27" w:rsidRPr="00306115">
              <w:rPr>
                <w:rFonts w:eastAsia="Bookman Old Style" w:cs="Bookman Old Style"/>
                <w:color w:val="000000" w:themeColor="text1"/>
                <w:szCs w:val="24"/>
              </w:rPr>
              <w:t xml:space="preserve">(satu) </w:t>
            </w:r>
            <w:r w:rsidRPr="00306115">
              <w:rPr>
                <w:rFonts w:eastAsia="Bookman Old Style" w:cs="Bookman Old Style"/>
                <w:color w:val="000000" w:themeColor="text1"/>
                <w:szCs w:val="24"/>
              </w:rPr>
              <w:t xml:space="preserve">laporan keuangan emiten dengan opini WDP; atau </w:t>
            </w:r>
          </w:p>
          <w:p w14:paraId="0B4C6DDA" w14:textId="77777777" w:rsidR="0018385F" w:rsidRPr="00306115" w:rsidRDefault="0018385F">
            <w:pPr>
              <w:widowControl w:val="0"/>
              <w:numPr>
                <w:ilvl w:val="0"/>
                <w:numId w:val="458"/>
              </w:numPr>
              <w:pBdr>
                <w:top w:val="nil"/>
                <w:left w:val="nil"/>
                <w:bottom w:val="nil"/>
                <w:right w:val="nil"/>
                <w:between w:val="nil"/>
              </w:pBdr>
              <w:tabs>
                <w:tab w:val="left" w:pos="737"/>
              </w:tabs>
              <w:spacing w:after="0" w:line="240" w:lineRule="auto"/>
              <w:ind w:left="1135" w:hanging="284"/>
              <w:rPr>
                <w:rFonts w:eastAsia="Bookman Old Style" w:cs="Bookman Old Style"/>
                <w:color w:val="000000" w:themeColor="text1"/>
                <w:szCs w:val="24"/>
              </w:rPr>
            </w:pPr>
            <w:r w:rsidRPr="00306115">
              <w:rPr>
                <w:rFonts w:eastAsia="Bookman Old Style" w:cs="Bookman Old Style"/>
                <w:color w:val="000000" w:themeColor="text1"/>
                <w:szCs w:val="24"/>
              </w:rPr>
              <w:t>kombinasi beberapa kondisi di peringkat 3 yang terjadi secara bersamaan.</w:t>
            </w:r>
          </w:p>
          <w:p w14:paraId="0E1EF5CD" w14:textId="77777777" w:rsidR="0018385F" w:rsidRPr="00306115" w:rsidRDefault="0018385F" w:rsidP="002C787E">
            <w:pPr>
              <w:pStyle w:val="ListParagraph"/>
              <w:widowControl w:val="0"/>
              <w:numPr>
                <w:ilvl w:val="1"/>
                <w:numId w:val="518"/>
              </w:numPr>
              <w:pBdr>
                <w:top w:val="nil"/>
                <w:left w:val="nil"/>
                <w:bottom w:val="nil"/>
                <w:right w:val="nil"/>
                <w:between w:val="nil"/>
              </w:pBdr>
              <w:tabs>
                <w:tab w:val="left" w:pos="737"/>
              </w:tabs>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Peringkat 5</w:t>
            </w:r>
          </w:p>
          <w:p w14:paraId="54C87663" w14:textId="1867BC95" w:rsidR="0018385F" w:rsidRPr="00306115" w:rsidRDefault="0018385F">
            <w:pPr>
              <w:widowControl w:val="0"/>
              <w:numPr>
                <w:ilvl w:val="0"/>
                <w:numId w:val="458"/>
              </w:numPr>
              <w:pBdr>
                <w:top w:val="nil"/>
                <w:left w:val="nil"/>
                <w:bottom w:val="nil"/>
                <w:right w:val="nil"/>
                <w:between w:val="nil"/>
              </w:pBdr>
              <w:tabs>
                <w:tab w:val="left" w:pos="737"/>
              </w:tabs>
              <w:spacing w:after="0" w:line="240" w:lineRule="auto"/>
              <w:ind w:left="1135" w:hanging="284"/>
              <w:rPr>
                <w:rFonts w:eastAsia="Bookman Old Style" w:cs="Bookman Old Style"/>
                <w:color w:val="000000" w:themeColor="text1"/>
                <w:szCs w:val="24"/>
              </w:rPr>
            </w:pPr>
            <w:r w:rsidRPr="00306115">
              <w:rPr>
                <w:rFonts w:eastAsia="Bookman Old Style" w:cs="Bookman Old Style"/>
                <w:color w:val="000000" w:themeColor="text1"/>
                <w:szCs w:val="24"/>
              </w:rPr>
              <w:t>Terdapat 1</w:t>
            </w:r>
            <w:r w:rsidR="00D21F27" w:rsidRPr="00306115">
              <w:rPr>
                <w:rFonts w:eastAsia="Bookman Old Style" w:cs="Bookman Old Style"/>
                <w:color w:val="000000" w:themeColor="text1"/>
                <w:szCs w:val="24"/>
              </w:rPr>
              <w:t xml:space="preserve"> (satu)</w:t>
            </w:r>
            <w:r w:rsidRPr="00306115">
              <w:rPr>
                <w:rFonts w:eastAsia="Bookman Old Style" w:cs="Bookman Old Style"/>
                <w:color w:val="000000" w:themeColor="text1"/>
                <w:szCs w:val="24"/>
              </w:rPr>
              <w:t xml:space="preserve"> emiten dengan rating di bawah B- (atau setara)</w:t>
            </w:r>
          </w:p>
          <w:p w14:paraId="2972A7A8" w14:textId="3B29D2C5" w:rsidR="0018385F" w:rsidRPr="00306115" w:rsidRDefault="0018385F">
            <w:pPr>
              <w:widowControl w:val="0"/>
              <w:numPr>
                <w:ilvl w:val="0"/>
                <w:numId w:val="458"/>
              </w:numPr>
              <w:pBdr>
                <w:top w:val="nil"/>
                <w:left w:val="nil"/>
                <w:bottom w:val="nil"/>
                <w:right w:val="nil"/>
                <w:between w:val="nil"/>
              </w:pBdr>
              <w:tabs>
                <w:tab w:val="left" w:pos="737"/>
              </w:tabs>
              <w:spacing w:after="0" w:line="240" w:lineRule="auto"/>
              <w:ind w:left="1135" w:hanging="284"/>
              <w:rPr>
                <w:rFonts w:eastAsia="Bookman Old Style" w:cs="Bookman Old Style"/>
                <w:color w:val="000000" w:themeColor="text1"/>
                <w:szCs w:val="24"/>
              </w:rPr>
            </w:pPr>
            <w:r w:rsidRPr="00306115">
              <w:rPr>
                <w:rFonts w:eastAsia="Bookman Old Style" w:cs="Bookman Old Style"/>
                <w:color w:val="000000" w:themeColor="text1"/>
                <w:szCs w:val="24"/>
              </w:rPr>
              <w:t xml:space="preserve">Terdapat 1 </w:t>
            </w:r>
            <w:r w:rsidR="00D21F27" w:rsidRPr="00306115">
              <w:rPr>
                <w:rFonts w:eastAsia="Bookman Old Style" w:cs="Bookman Old Style"/>
                <w:color w:val="000000" w:themeColor="text1"/>
                <w:szCs w:val="24"/>
              </w:rPr>
              <w:t xml:space="preserve">(satu) </w:t>
            </w:r>
            <w:r w:rsidRPr="00306115">
              <w:rPr>
                <w:rFonts w:eastAsia="Bookman Old Style" w:cs="Bookman Old Style"/>
                <w:color w:val="000000" w:themeColor="text1"/>
                <w:szCs w:val="24"/>
              </w:rPr>
              <w:t>emiten dengan rating B-/negatif;</w:t>
            </w:r>
          </w:p>
          <w:p w14:paraId="2E969CE4" w14:textId="4674E134" w:rsidR="0018385F" w:rsidRPr="00306115" w:rsidRDefault="0018385F">
            <w:pPr>
              <w:widowControl w:val="0"/>
              <w:numPr>
                <w:ilvl w:val="0"/>
                <w:numId w:val="458"/>
              </w:numPr>
              <w:pBdr>
                <w:top w:val="nil"/>
                <w:left w:val="nil"/>
                <w:bottom w:val="nil"/>
                <w:right w:val="nil"/>
                <w:between w:val="nil"/>
              </w:pBdr>
              <w:tabs>
                <w:tab w:val="left" w:pos="737"/>
              </w:tabs>
              <w:spacing w:after="0" w:line="240" w:lineRule="auto"/>
              <w:ind w:left="1135" w:hanging="284"/>
              <w:rPr>
                <w:rFonts w:eastAsia="Bookman Old Style" w:cs="Bookman Old Style"/>
                <w:color w:val="000000" w:themeColor="text1"/>
                <w:szCs w:val="24"/>
              </w:rPr>
            </w:pPr>
            <w:r w:rsidRPr="00306115">
              <w:rPr>
                <w:rFonts w:eastAsia="Bookman Old Style" w:cs="Bookman Old Style"/>
                <w:color w:val="000000" w:themeColor="text1"/>
                <w:szCs w:val="24"/>
              </w:rPr>
              <w:t xml:space="preserve">Terdapat 1 </w:t>
            </w:r>
            <w:r w:rsidR="00D21F27" w:rsidRPr="00306115">
              <w:rPr>
                <w:rFonts w:eastAsia="Bookman Old Style" w:cs="Bookman Old Style"/>
                <w:color w:val="000000" w:themeColor="text1"/>
                <w:szCs w:val="24"/>
              </w:rPr>
              <w:t xml:space="preserve">(satu) </w:t>
            </w:r>
            <w:r w:rsidRPr="00306115">
              <w:rPr>
                <w:rFonts w:eastAsia="Bookman Old Style" w:cs="Bookman Old Style"/>
                <w:color w:val="000000" w:themeColor="text1"/>
                <w:szCs w:val="24"/>
              </w:rPr>
              <w:t xml:space="preserve">emiten yang </w:t>
            </w:r>
            <w:r w:rsidRPr="00306115">
              <w:rPr>
                <w:rFonts w:eastAsia="Bookman Old Style" w:cs="Bookman Old Style"/>
                <w:i/>
                <w:iCs/>
                <w:color w:val="000000" w:themeColor="text1"/>
                <w:szCs w:val="24"/>
              </w:rPr>
              <w:t>default</w:t>
            </w:r>
            <w:r w:rsidRPr="00306115">
              <w:rPr>
                <w:rFonts w:eastAsia="Bookman Old Style" w:cs="Bookman Old Style"/>
                <w:color w:val="000000" w:themeColor="text1"/>
                <w:szCs w:val="24"/>
              </w:rPr>
              <w:t>;</w:t>
            </w:r>
          </w:p>
          <w:p w14:paraId="630DADE5" w14:textId="7AD40C45" w:rsidR="0018385F" w:rsidRPr="00306115" w:rsidRDefault="0018385F">
            <w:pPr>
              <w:widowControl w:val="0"/>
              <w:numPr>
                <w:ilvl w:val="0"/>
                <w:numId w:val="458"/>
              </w:numPr>
              <w:pBdr>
                <w:top w:val="nil"/>
                <w:left w:val="nil"/>
                <w:bottom w:val="nil"/>
                <w:right w:val="nil"/>
                <w:between w:val="nil"/>
              </w:pBdr>
              <w:tabs>
                <w:tab w:val="left" w:pos="737"/>
              </w:tabs>
              <w:spacing w:after="0" w:line="240" w:lineRule="auto"/>
              <w:ind w:left="1135" w:hanging="284"/>
              <w:rPr>
                <w:rFonts w:eastAsia="Bookman Old Style" w:cs="Bookman Old Style"/>
                <w:color w:val="000000" w:themeColor="text1"/>
                <w:szCs w:val="24"/>
              </w:rPr>
            </w:pPr>
            <w:r w:rsidRPr="00306115">
              <w:rPr>
                <w:rFonts w:eastAsia="Bookman Old Style" w:cs="Bookman Old Style"/>
                <w:color w:val="000000" w:themeColor="text1"/>
                <w:szCs w:val="24"/>
              </w:rPr>
              <w:t xml:space="preserve">Terdapat 1 </w:t>
            </w:r>
            <w:r w:rsidR="00D21F27" w:rsidRPr="00306115">
              <w:rPr>
                <w:rFonts w:eastAsia="Bookman Old Style" w:cs="Bookman Old Style"/>
                <w:color w:val="000000" w:themeColor="text1"/>
                <w:szCs w:val="24"/>
              </w:rPr>
              <w:t xml:space="preserve">(satu) </w:t>
            </w:r>
            <w:r w:rsidRPr="00306115">
              <w:rPr>
                <w:rFonts w:eastAsia="Bookman Old Style" w:cs="Bookman Old Style"/>
                <w:color w:val="000000" w:themeColor="text1"/>
                <w:szCs w:val="24"/>
              </w:rPr>
              <w:t>Laporan Keuangan emiten dengan opini tidak wajar/</w:t>
            </w:r>
            <w:r w:rsidRPr="00306115">
              <w:rPr>
                <w:rFonts w:eastAsia="Bookman Old Style" w:cs="Bookman Old Style"/>
                <w:i/>
                <w:iCs/>
                <w:color w:val="000000" w:themeColor="text1"/>
                <w:szCs w:val="24"/>
              </w:rPr>
              <w:t>adverse</w:t>
            </w:r>
            <w:r w:rsidRPr="00306115">
              <w:rPr>
                <w:rFonts w:eastAsia="Bookman Old Style" w:cs="Bookman Old Style"/>
                <w:color w:val="000000" w:themeColor="text1"/>
                <w:szCs w:val="24"/>
              </w:rPr>
              <w:t xml:space="preserve">; atau </w:t>
            </w:r>
          </w:p>
          <w:p w14:paraId="1ED50695" w14:textId="77777777" w:rsidR="0018385F" w:rsidRPr="00306115" w:rsidRDefault="0018385F">
            <w:pPr>
              <w:widowControl w:val="0"/>
              <w:numPr>
                <w:ilvl w:val="0"/>
                <w:numId w:val="458"/>
              </w:numPr>
              <w:pBdr>
                <w:top w:val="nil"/>
                <w:left w:val="nil"/>
                <w:bottom w:val="nil"/>
                <w:right w:val="nil"/>
                <w:between w:val="nil"/>
              </w:pBdr>
              <w:tabs>
                <w:tab w:val="left" w:pos="737"/>
              </w:tabs>
              <w:spacing w:after="0" w:line="240" w:lineRule="auto"/>
              <w:ind w:left="1135" w:hanging="284"/>
              <w:rPr>
                <w:rFonts w:eastAsia="Bookman Old Style" w:cs="Bookman Old Style"/>
                <w:color w:val="000000" w:themeColor="text1"/>
                <w:szCs w:val="24"/>
              </w:rPr>
            </w:pPr>
            <w:r w:rsidRPr="00306115">
              <w:rPr>
                <w:rFonts w:eastAsia="Bookman Old Style" w:cs="Bookman Old Style"/>
                <w:color w:val="000000" w:themeColor="text1"/>
                <w:szCs w:val="24"/>
              </w:rPr>
              <w:t>Kombinasi beberapa kondisi di peringkat 4 yang terjadi secara bersamaan.</w:t>
            </w:r>
          </w:p>
          <w:p w14:paraId="123B32BE" w14:textId="77777777" w:rsidR="00D21F27" w:rsidRPr="00306115" w:rsidRDefault="0018385F">
            <w:pPr>
              <w:widowControl w:val="0"/>
              <w:numPr>
                <w:ilvl w:val="0"/>
                <w:numId w:val="459"/>
              </w:numPr>
              <w:pBdr>
                <w:top w:val="nil"/>
                <w:left w:val="nil"/>
                <w:bottom w:val="nil"/>
                <w:right w:val="nil"/>
                <w:between w:val="nil"/>
              </w:pBdr>
              <w:tabs>
                <w:tab w:val="left" w:pos="737"/>
              </w:tabs>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 xml:space="preserve">Dalam menentukan peringkat </w:t>
            </w:r>
            <w:r w:rsidR="00D21F27" w:rsidRPr="00306115">
              <w:rPr>
                <w:rFonts w:eastAsia="Bookman Old Style" w:cs="Bookman Old Style"/>
                <w:color w:val="000000" w:themeColor="text1"/>
                <w:szCs w:val="24"/>
              </w:rPr>
              <w:t>r</w:t>
            </w:r>
            <w:r w:rsidRPr="00306115">
              <w:rPr>
                <w:rFonts w:eastAsia="Bookman Old Style" w:cs="Bookman Old Style"/>
                <w:color w:val="000000" w:themeColor="text1"/>
                <w:szCs w:val="24"/>
              </w:rPr>
              <w:t>isiko, selain mengacu pada kondisi yang disajikan, Manajer Investasi juga perlu mempertimbangkan beberapa tambahan pertimbangan yang dapat menjustifikasi penetapan peringkat risiko konsentrasi, di antaranya:</w:t>
            </w:r>
          </w:p>
          <w:p w14:paraId="1E60AF71" w14:textId="01268096" w:rsidR="0018385F" w:rsidRPr="00306115" w:rsidRDefault="0018385F">
            <w:pPr>
              <w:pStyle w:val="ListParagraph"/>
              <w:widowControl w:val="0"/>
              <w:numPr>
                <w:ilvl w:val="0"/>
                <w:numId w:val="460"/>
              </w:numPr>
              <w:pBdr>
                <w:top w:val="nil"/>
                <w:left w:val="nil"/>
                <w:bottom w:val="nil"/>
                <w:right w:val="nil"/>
                <w:between w:val="nil"/>
              </w:pBdr>
              <w:tabs>
                <w:tab w:val="left" w:pos="1169"/>
              </w:tabs>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konsentrasi pada kelompok usaha dan sektor industri tertentu;</w:t>
            </w:r>
          </w:p>
          <w:p w14:paraId="7E3736B9" w14:textId="77777777" w:rsidR="0018385F" w:rsidRPr="00306115" w:rsidRDefault="0018385F">
            <w:pPr>
              <w:pStyle w:val="ListParagraph"/>
              <w:widowControl w:val="0"/>
              <w:numPr>
                <w:ilvl w:val="0"/>
                <w:numId w:val="460"/>
              </w:numPr>
              <w:pBdr>
                <w:top w:val="nil"/>
                <w:left w:val="nil"/>
                <w:bottom w:val="nil"/>
                <w:right w:val="nil"/>
                <w:between w:val="nil"/>
              </w:pBdr>
              <w:tabs>
                <w:tab w:val="left" w:pos="1169"/>
              </w:tabs>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terdapatnya isu negatif, kasus hukum dan/atau sanksi regulator yang dapat berpotensi mempengaruhi nilai dan/atau likuiditas efek; dan/atau</w:t>
            </w:r>
          </w:p>
          <w:p w14:paraId="273B4BA6" w14:textId="7696B517" w:rsidR="0018385F" w:rsidRPr="00306115" w:rsidRDefault="00D21F27">
            <w:pPr>
              <w:pStyle w:val="ListParagraph"/>
              <w:widowControl w:val="0"/>
              <w:numPr>
                <w:ilvl w:val="0"/>
                <w:numId w:val="460"/>
              </w:numPr>
              <w:pBdr>
                <w:top w:val="nil"/>
                <w:left w:val="nil"/>
                <w:bottom w:val="nil"/>
                <w:right w:val="nil"/>
                <w:between w:val="nil"/>
              </w:pBdr>
              <w:tabs>
                <w:tab w:val="left" w:pos="1169"/>
              </w:tabs>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f</w:t>
            </w:r>
            <w:r w:rsidR="0018385F" w:rsidRPr="00306115">
              <w:rPr>
                <w:rFonts w:eastAsia="Bookman Old Style" w:cs="Bookman Old Style"/>
                <w:color w:val="000000" w:themeColor="text1"/>
                <w:szCs w:val="24"/>
              </w:rPr>
              <w:t xml:space="preserve">aktor lain yang dapat mempengaruhi peringkat </w:t>
            </w:r>
            <w:r w:rsidRPr="00306115">
              <w:rPr>
                <w:rFonts w:eastAsia="Bookman Old Style" w:cs="Bookman Old Style"/>
                <w:color w:val="000000" w:themeColor="text1"/>
                <w:szCs w:val="24"/>
              </w:rPr>
              <w:t>R</w:t>
            </w:r>
            <w:r w:rsidR="0018385F" w:rsidRPr="00306115">
              <w:rPr>
                <w:rFonts w:eastAsia="Bookman Old Style" w:cs="Bookman Old Style"/>
                <w:color w:val="000000" w:themeColor="text1"/>
                <w:szCs w:val="24"/>
              </w:rPr>
              <w:t xml:space="preserve">isiko </w:t>
            </w:r>
            <w:r w:rsidRPr="00306115">
              <w:rPr>
                <w:rFonts w:eastAsia="Bookman Old Style" w:cs="Bookman Old Style"/>
                <w:color w:val="000000" w:themeColor="text1"/>
                <w:szCs w:val="24"/>
              </w:rPr>
              <w:lastRenderedPageBreak/>
              <w:t>K</w:t>
            </w:r>
            <w:r w:rsidR="0018385F" w:rsidRPr="00306115">
              <w:rPr>
                <w:rFonts w:eastAsia="Bookman Old Style" w:cs="Bookman Old Style"/>
                <w:color w:val="000000" w:themeColor="text1"/>
                <w:szCs w:val="24"/>
              </w:rPr>
              <w:t>onsentrasi</w:t>
            </w:r>
            <w:r w:rsidRPr="00306115">
              <w:rPr>
                <w:rFonts w:eastAsia="Bookman Old Style" w:cs="Bookman Old Style"/>
                <w:color w:val="000000" w:themeColor="text1"/>
                <w:szCs w:val="24"/>
              </w:rPr>
              <w:t xml:space="preserve"> Portofolio Efek.</w:t>
            </w:r>
            <w:r w:rsidR="0018385F" w:rsidRPr="00306115">
              <w:rPr>
                <w:rFonts w:eastAsia="Bookman Old Style" w:cs="Bookman Old Style"/>
                <w:color w:val="000000" w:themeColor="text1"/>
                <w:szCs w:val="24"/>
              </w:rPr>
              <w:t xml:space="preserve"> </w:t>
            </w:r>
          </w:p>
          <w:p w14:paraId="3B284AA7" w14:textId="28D1DD46" w:rsidR="0018385F" w:rsidRPr="00306115" w:rsidRDefault="0018385F">
            <w:pPr>
              <w:widowControl w:val="0"/>
              <w:numPr>
                <w:ilvl w:val="0"/>
                <w:numId w:val="459"/>
              </w:numPr>
              <w:pBdr>
                <w:top w:val="nil"/>
                <w:left w:val="nil"/>
                <w:bottom w:val="nil"/>
                <w:right w:val="nil"/>
                <w:between w:val="nil"/>
              </w:pBdr>
              <w:tabs>
                <w:tab w:val="left" w:pos="737"/>
              </w:tabs>
              <w:spacing w:after="0" w:line="240" w:lineRule="auto"/>
              <w:ind w:left="567" w:hanging="567"/>
              <w:rPr>
                <w:rFonts w:eastAsia="Bookman Old Style" w:cs="Bookman Old Style"/>
                <w:strike/>
                <w:color w:val="000000" w:themeColor="text1"/>
                <w:szCs w:val="24"/>
              </w:rPr>
            </w:pPr>
            <w:r w:rsidRPr="00306115">
              <w:rPr>
                <w:rFonts w:eastAsia="Bookman Old Style" w:cs="Bookman Old Style"/>
                <w:color w:val="000000" w:themeColor="text1"/>
                <w:szCs w:val="24"/>
              </w:rPr>
              <w:t>Setiap penilaian tersebut diharapkan memuat keterangan atau analisis kualitatif yang menjelaskan penyebab, karakteristik dan/atau implikasi dari konsentrasi yang terjadi, ataupun keterkaitannya dengan risiko-risiko lain yang relevan.</w:t>
            </w:r>
          </w:p>
        </w:tc>
      </w:tr>
      <w:tr w:rsidR="002B0715" w:rsidRPr="00306115" w14:paraId="695D1C90" w14:textId="77777777" w:rsidTr="002B0715">
        <w:trPr>
          <w:trHeight w:val="379"/>
        </w:trPr>
        <w:tc>
          <w:tcPr>
            <w:tcW w:w="14742" w:type="dxa"/>
            <w:gridSpan w:val="4"/>
            <w:shd w:val="clear" w:color="auto" w:fill="D0CECE"/>
          </w:tcPr>
          <w:p w14:paraId="08922333" w14:textId="77777777" w:rsidR="002B0715" w:rsidRPr="00306115" w:rsidRDefault="002B0715">
            <w:pPr>
              <w:widowControl w:val="0"/>
              <w:numPr>
                <w:ilvl w:val="0"/>
                <w:numId w:val="292"/>
              </w:numPr>
              <w:pBdr>
                <w:top w:val="nil"/>
                <w:left w:val="nil"/>
                <w:bottom w:val="nil"/>
                <w:right w:val="nil"/>
                <w:between w:val="nil"/>
              </w:pBdr>
              <w:spacing w:before="60" w:after="60" w:line="240" w:lineRule="auto"/>
              <w:ind w:left="567" w:hanging="567"/>
              <w:jc w:val="left"/>
              <w:rPr>
                <w:rFonts w:eastAsia="Bookman Old Style" w:cs="Bookman Old Style"/>
                <w:b/>
                <w:bCs/>
                <w:color w:val="000000" w:themeColor="text1"/>
                <w:szCs w:val="24"/>
              </w:rPr>
            </w:pPr>
            <w:r w:rsidRPr="00306115">
              <w:rPr>
                <w:rFonts w:eastAsia="Bookman Old Style" w:cs="Bookman Old Style"/>
                <w:b/>
                <w:bCs/>
                <w:color w:val="000000" w:themeColor="text1"/>
                <w:szCs w:val="24"/>
              </w:rPr>
              <w:lastRenderedPageBreak/>
              <w:t>Kualitas Penerapan Manajemen Risiko</w:t>
            </w:r>
          </w:p>
        </w:tc>
      </w:tr>
      <w:tr w:rsidR="002B0715" w:rsidRPr="00306115" w14:paraId="577F0352" w14:textId="77777777" w:rsidTr="00214B35">
        <w:trPr>
          <w:trHeight w:val="379"/>
        </w:trPr>
        <w:tc>
          <w:tcPr>
            <w:tcW w:w="1276" w:type="dxa"/>
          </w:tcPr>
          <w:p w14:paraId="341DB3A1" w14:textId="77777777" w:rsidR="002B0715" w:rsidRPr="00306115" w:rsidRDefault="002B0715">
            <w:pPr>
              <w:widowControl w:val="0"/>
              <w:numPr>
                <w:ilvl w:val="2"/>
                <w:numId w:val="293"/>
              </w:numPr>
              <w:pBdr>
                <w:top w:val="nil"/>
                <w:left w:val="nil"/>
                <w:bottom w:val="nil"/>
                <w:right w:val="nil"/>
                <w:between w:val="nil"/>
              </w:pBdr>
              <w:spacing w:before="97" w:after="0" w:line="240" w:lineRule="auto"/>
              <w:ind w:left="847" w:right="80"/>
              <w:jc w:val="left"/>
              <w:rPr>
                <w:rFonts w:eastAsia="Bookman Old Style" w:cs="Bookman Old Style"/>
                <w:b/>
                <w:bCs/>
                <w:color w:val="000000" w:themeColor="text1"/>
                <w:szCs w:val="24"/>
              </w:rPr>
            </w:pPr>
          </w:p>
        </w:tc>
        <w:tc>
          <w:tcPr>
            <w:tcW w:w="13466" w:type="dxa"/>
            <w:gridSpan w:val="3"/>
          </w:tcPr>
          <w:p w14:paraId="7280EFDE" w14:textId="44ADF071" w:rsidR="002B0715" w:rsidRPr="00306115" w:rsidRDefault="002B0715" w:rsidP="00DF6919">
            <w:pPr>
              <w:widowControl w:val="0"/>
              <w:pBdr>
                <w:top w:val="nil"/>
                <w:left w:val="nil"/>
                <w:bottom w:val="nil"/>
                <w:right w:val="nil"/>
                <w:between w:val="nil"/>
              </w:pBdr>
              <w:spacing w:before="60" w:after="6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Tata kelola risiko (</w:t>
            </w:r>
            <w:r w:rsidRPr="00306115">
              <w:rPr>
                <w:rFonts w:eastAsia="Bookman Old Style" w:cs="Bookman Old Style"/>
                <w:i/>
                <w:iCs/>
                <w:color w:val="000000" w:themeColor="text1"/>
                <w:szCs w:val="24"/>
              </w:rPr>
              <w:t>risk governance</w:t>
            </w:r>
            <w:r w:rsidRPr="00306115">
              <w:rPr>
                <w:rFonts w:eastAsia="Bookman Old Style" w:cs="Bookman Old Style"/>
                <w:color w:val="000000" w:themeColor="text1"/>
                <w:szCs w:val="24"/>
              </w:rPr>
              <w:t xml:space="preserve">) mencakup evaluasi terhadap: (i) perumusan tingkat </w:t>
            </w:r>
            <w:r w:rsidR="00DF6919" w:rsidRPr="00306115">
              <w:rPr>
                <w:rFonts w:eastAsia="Bookman Old Style" w:cs="Bookman Old Style"/>
                <w:color w:val="000000" w:themeColor="text1"/>
                <w:szCs w:val="24"/>
              </w:rPr>
              <w:t>r</w:t>
            </w:r>
            <w:r w:rsidRPr="00306115">
              <w:rPr>
                <w:rFonts w:eastAsia="Bookman Old Style" w:cs="Bookman Old Style"/>
                <w:color w:val="000000" w:themeColor="text1"/>
                <w:szCs w:val="24"/>
              </w:rPr>
              <w:t>isiko yang akan diambil (</w:t>
            </w:r>
            <w:r w:rsidRPr="00306115">
              <w:rPr>
                <w:rFonts w:eastAsia="Bookman Old Style" w:cs="Bookman Old Style"/>
                <w:i/>
                <w:iCs/>
                <w:color w:val="000000" w:themeColor="text1"/>
                <w:szCs w:val="24"/>
              </w:rPr>
              <w:t>risk appetite</w:t>
            </w:r>
            <w:r w:rsidRPr="00306115">
              <w:rPr>
                <w:rFonts w:eastAsia="Bookman Old Style" w:cs="Bookman Old Style"/>
                <w:color w:val="000000" w:themeColor="text1"/>
                <w:szCs w:val="24"/>
              </w:rPr>
              <w:t>) dan toleransi Risiko (</w:t>
            </w:r>
            <w:r w:rsidRPr="00306115">
              <w:rPr>
                <w:rFonts w:eastAsia="Bookman Old Style" w:cs="Bookman Old Style"/>
                <w:i/>
                <w:iCs/>
                <w:color w:val="000000" w:themeColor="text1"/>
                <w:szCs w:val="24"/>
              </w:rPr>
              <w:t>risk tolerance</w:t>
            </w:r>
            <w:r w:rsidRPr="00306115">
              <w:rPr>
                <w:rFonts w:eastAsia="Bookman Old Style" w:cs="Bookman Old Style"/>
                <w:color w:val="000000" w:themeColor="text1"/>
                <w:szCs w:val="24"/>
              </w:rPr>
              <w:t>) dan (ii) kecukupan pengawasan aktif oleh Direksi dan Dewan Komisaris termasuk pelaksanaan kewenangan dan tanggung jawab Direksi dan Dewan Komisaris.</w:t>
            </w:r>
          </w:p>
        </w:tc>
      </w:tr>
      <w:tr w:rsidR="002B0715" w:rsidRPr="00306115" w14:paraId="1D919531" w14:textId="77777777" w:rsidTr="00214B35">
        <w:trPr>
          <w:trHeight w:val="379"/>
        </w:trPr>
        <w:tc>
          <w:tcPr>
            <w:tcW w:w="1276" w:type="dxa"/>
          </w:tcPr>
          <w:p w14:paraId="3EAF3B61" w14:textId="77777777" w:rsidR="002B0715" w:rsidRPr="00306115" w:rsidRDefault="002B0715">
            <w:pPr>
              <w:widowControl w:val="0"/>
              <w:numPr>
                <w:ilvl w:val="2"/>
                <w:numId w:val="293"/>
              </w:numPr>
              <w:pBdr>
                <w:top w:val="nil"/>
                <w:left w:val="nil"/>
                <w:bottom w:val="nil"/>
                <w:right w:val="nil"/>
                <w:between w:val="nil"/>
              </w:pBdr>
              <w:spacing w:before="97" w:after="0" w:line="240" w:lineRule="auto"/>
              <w:ind w:left="847" w:right="80"/>
              <w:jc w:val="left"/>
              <w:rPr>
                <w:rFonts w:eastAsia="Bookman Old Style" w:cs="Bookman Old Style"/>
                <w:b/>
                <w:bCs/>
                <w:color w:val="000000" w:themeColor="text1"/>
                <w:szCs w:val="24"/>
              </w:rPr>
            </w:pPr>
          </w:p>
        </w:tc>
        <w:tc>
          <w:tcPr>
            <w:tcW w:w="13466" w:type="dxa"/>
            <w:gridSpan w:val="3"/>
          </w:tcPr>
          <w:p w14:paraId="6385C2DD" w14:textId="7205406A" w:rsidR="002B0715" w:rsidRPr="00306115" w:rsidRDefault="002B0715" w:rsidP="00DF6919">
            <w:pPr>
              <w:widowControl w:val="0"/>
              <w:pBdr>
                <w:top w:val="nil"/>
                <w:left w:val="nil"/>
                <w:bottom w:val="nil"/>
                <w:right w:val="nil"/>
                <w:between w:val="nil"/>
              </w:pBdr>
              <w:spacing w:before="60" w:after="6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 xml:space="preserve">Kerangka Manajemen Risiko mencakup evaluasi terhadap: (i) strategi Manajemen Risiko yang searah dengan tingkat Risiko yang akan diambil dan toleransi </w:t>
            </w:r>
            <w:r w:rsidR="00DF6919" w:rsidRPr="00306115">
              <w:rPr>
                <w:rFonts w:eastAsia="Bookman Old Style" w:cs="Bookman Old Style"/>
                <w:color w:val="000000" w:themeColor="text1"/>
                <w:szCs w:val="24"/>
              </w:rPr>
              <w:t>risiko</w:t>
            </w:r>
            <w:r w:rsidRPr="00306115">
              <w:rPr>
                <w:rFonts w:eastAsia="Bookman Old Style" w:cs="Bookman Old Style"/>
                <w:color w:val="000000" w:themeColor="text1"/>
                <w:szCs w:val="24"/>
              </w:rPr>
              <w:t xml:space="preserve">; (ii) kecukupan perangkat organisasi dalam mendukung terlaksananya Manajemen Risiko secara efektif termasuk kejelasan wewenang dan tanggung jawab; dan (iii) kecukupan kebijakan dan prosedur Manajemen Risiko serta penetapan limit </w:t>
            </w:r>
            <w:r w:rsidR="00DF6919" w:rsidRPr="00306115">
              <w:rPr>
                <w:rFonts w:eastAsia="Bookman Old Style" w:cs="Bookman Old Style"/>
                <w:color w:val="000000" w:themeColor="text1"/>
                <w:szCs w:val="24"/>
              </w:rPr>
              <w:t>risiko</w:t>
            </w:r>
            <w:r w:rsidRPr="00306115">
              <w:rPr>
                <w:rFonts w:eastAsia="Bookman Old Style" w:cs="Bookman Old Style"/>
                <w:color w:val="000000" w:themeColor="text1"/>
                <w:szCs w:val="24"/>
              </w:rPr>
              <w:t>.</w:t>
            </w:r>
          </w:p>
        </w:tc>
      </w:tr>
      <w:tr w:rsidR="002B0715" w:rsidRPr="00306115" w14:paraId="23101532" w14:textId="77777777" w:rsidTr="00214B35">
        <w:trPr>
          <w:trHeight w:val="379"/>
        </w:trPr>
        <w:tc>
          <w:tcPr>
            <w:tcW w:w="1276" w:type="dxa"/>
          </w:tcPr>
          <w:p w14:paraId="75154AC5" w14:textId="77777777" w:rsidR="002B0715" w:rsidRPr="00306115" w:rsidRDefault="002B0715">
            <w:pPr>
              <w:widowControl w:val="0"/>
              <w:numPr>
                <w:ilvl w:val="2"/>
                <w:numId w:val="293"/>
              </w:numPr>
              <w:pBdr>
                <w:top w:val="nil"/>
                <w:left w:val="nil"/>
                <w:bottom w:val="nil"/>
                <w:right w:val="nil"/>
                <w:between w:val="nil"/>
              </w:pBdr>
              <w:spacing w:before="97" w:after="0" w:line="240" w:lineRule="auto"/>
              <w:ind w:left="847" w:right="80"/>
              <w:jc w:val="left"/>
              <w:rPr>
                <w:rFonts w:eastAsia="Bookman Old Style" w:cs="Bookman Old Style"/>
                <w:b/>
                <w:bCs/>
                <w:color w:val="000000" w:themeColor="text1"/>
                <w:szCs w:val="24"/>
              </w:rPr>
            </w:pPr>
          </w:p>
        </w:tc>
        <w:tc>
          <w:tcPr>
            <w:tcW w:w="13466" w:type="dxa"/>
            <w:gridSpan w:val="3"/>
          </w:tcPr>
          <w:p w14:paraId="4CE25CD4" w14:textId="77777777" w:rsidR="002B0715" w:rsidRPr="00306115" w:rsidRDefault="002B0715" w:rsidP="00DF6919">
            <w:pPr>
              <w:widowControl w:val="0"/>
              <w:pBdr>
                <w:top w:val="nil"/>
                <w:left w:val="nil"/>
                <w:bottom w:val="nil"/>
                <w:right w:val="nil"/>
                <w:between w:val="nil"/>
              </w:pBdr>
              <w:spacing w:before="60" w:after="6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Proses Manajemen Risiko, sistem informasi, dan sumber daya manusia mencakup evaluasi terhadap: (i) proses identifikasi, pengukuran, pemantauan, dan pengendalian Risiko; (ii) kecukupan sistem informasi Manajemen Risiko; dan (iii) kecukupan kuantitas dan kualitas sumber daya manusia dalam mendukung efektivitas proses Manajemen Risiko.</w:t>
            </w:r>
          </w:p>
        </w:tc>
      </w:tr>
      <w:tr w:rsidR="002B0715" w:rsidRPr="00306115" w14:paraId="0B9CC5DD" w14:textId="77777777" w:rsidTr="00214B35">
        <w:trPr>
          <w:trHeight w:val="379"/>
        </w:trPr>
        <w:tc>
          <w:tcPr>
            <w:tcW w:w="1276" w:type="dxa"/>
          </w:tcPr>
          <w:p w14:paraId="3B09F362" w14:textId="77777777" w:rsidR="002B0715" w:rsidRPr="00306115" w:rsidRDefault="002B0715">
            <w:pPr>
              <w:widowControl w:val="0"/>
              <w:numPr>
                <w:ilvl w:val="2"/>
                <w:numId w:val="293"/>
              </w:numPr>
              <w:pBdr>
                <w:top w:val="nil"/>
                <w:left w:val="nil"/>
                <w:bottom w:val="nil"/>
                <w:right w:val="nil"/>
                <w:between w:val="nil"/>
              </w:pBdr>
              <w:spacing w:before="97" w:after="0" w:line="240" w:lineRule="auto"/>
              <w:ind w:left="847" w:right="80"/>
              <w:jc w:val="left"/>
              <w:rPr>
                <w:rFonts w:eastAsia="Bookman Old Style" w:cs="Bookman Old Style"/>
                <w:b/>
                <w:bCs/>
                <w:color w:val="000000" w:themeColor="text1"/>
                <w:szCs w:val="24"/>
              </w:rPr>
            </w:pPr>
          </w:p>
        </w:tc>
        <w:tc>
          <w:tcPr>
            <w:tcW w:w="13466" w:type="dxa"/>
            <w:gridSpan w:val="3"/>
          </w:tcPr>
          <w:p w14:paraId="07CAD6BD" w14:textId="7C8CBDE9" w:rsidR="002B0715" w:rsidRPr="00306115" w:rsidRDefault="002B0715" w:rsidP="00DF6919">
            <w:pPr>
              <w:widowControl w:val="0"/>
              <w:pBdr>
                <w:top w:val="nil"/>
                <w:left w:val="nil"/>
                <w:bottom w:val="nil"/>
                <w:right w:val="nil"/>
                <w:between w:val="nil"/>
              </w:pBdr>
              <w:spacing w:before="60" w:after="6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 xml:space="preserve">Sistem </w:t>
            </w:r>
            <w:r w:rsidR="00DF6919" w:rsidRPr="00306115">
              <w:rPr>
                <w:rFonts w:eastAsia="Bookman Old Style" w:cs="Bookman Old Style"/>
                <w:color w:val="000000" w:themeColor="text1"/>
                <w:szCs w:val="24"/>
              </w:rPr>
              <w:t xml:space="preserve">pengendalian risiko </w:t>
            </w:r>
            <w:r w:rsidRPr="00306115">
              <w:rPr>
                <w:rFonts w:eastAsia="Bookman Old Style" w:cs="Bookman Old Style"/>
                <w:color w:val="000000" w:themeColor="text1"/>
                <w:szCs w:val="24"/>
              </w:rPr>
              <w:t xml:space="preserve">mencakup evaluasi terhadap: (i) kecukupan sistem pengendalian internal dan (ii) kecukupan kaji ulang oleh pihak independen dalam Manajer Investasi baik oleh fungsi </w:t>
            </w:r>
            <w:r w:rsidR="001008B5" w:rsidRPr="00306115">
              <w:rPr>
                <w:color w:val="000000" w:themeColor="text1"/>
              </w:rPr>
              <w:t>Manajemen Risiko</w:t>
            </w:r>
            <w:r w:rsidR="001008B5" w:rsidRPr="00306115">
              <w:rPr>
                <w:rFonts w:eastAsia="Bookman Old Style" w:cs="Bookman Old Style"/>
                <w:color w:val="000000" w:themeColor="text1"/>
                <w:szCs w:val="24"/>
              </w:rPr>
              <w:t xml:space="preserve"> </w:t>
            </w:r>
            <w:r w:rsidRPr="00306115">
              <w:rPr>
                <w:rFonts w:eastAsia="Bookman Old Style" w:cs="Bookman Old Style"/>
                <w:color w:val="000000" w:themeColor="text1"/>
                <w:szCs w:val="24"/>
              </w:rPr>
              <w:t>maupun fungsi audit internal.</w:t>
            </w:r>
          </w:p>
        </w:tc>
      </w:tr>
    </w:tbl>
    <w:p w14:paraId="36CABC46" w14:textId="3C57B90E" w:rsidR="002B0715" w:rsidRPr="00306115" w:rsidRDefault="00661AAB" w:rsidP="002B0715">
      <w:pPr>
        <w:pStyle w:val="HeadingAwalDaftarIsiLampiran"/>
        <w:numPr>
          <w:ilvl w:val="0"/>
          <w:numId w:val="0"/>
        </w:numPr>
        <w:tabs>
          <w:tab w:val="left" w:pos="1560"/>
        </w:tabs>
        <w:ind w:left="1134"/>
        <w:rPr>
          <w:rFonts w:eastAsia="Bookman Old Style" w:cs="Bookman Old Style"/>
        </w:rPr>
      </w:pPr>
      <w:r w:rsidRPr="00306115">
        <w:rPr>
          <w:rFonts w:eastAsia="Bookman Old Style" w:cs="Bookman Old Style"/>
        </w:rPr>
        <w:t xml:space="preserve">*) Merupakan parameter atau indikator minimal dan Manajer Investasi dapat menambah parameter atau indikator lain sesuai dengan karakteristik, kompleksitas usaha, dan kemampuan Manajer Investasi. Penilaian dilakukan dengan posisi akhir per 31 Desember posisi dan tren selama yang mencakup penilaian selama 12 (dua belas) bulan terakhir untuk parameter atau indikator pada Lampiran </w:t>
      </w:r>
      <w:r w:rsidR="00D21F27" w:rsidRPr="00306115">
        <w:rPr>
          <w:rFonts w:eastAsia="Bookman Old Style" w:cs="Bookman Old Style"/>
        </w:rPr>
        <w:t xml:space="preserve">IV </w:t>
      </w:r>
      <w:r w:rsidR="00D21F27" w:rsidRPr="00306115">
        <w:t>yang merupakan bagian tidak terpisahkan dari Peraturan Anggota Dewan Komisioner Otoritas Jasa Keuangan ini</w:t>
      </w:r>
      <w:r w:rsidRPr="00306115">
        <w:rPr>
          <w:rFonts w:eastAsia="Bookman Old Style" w:cs="Bookman Old Style"/>
        </w:rPr>
        <w:t>.</w:t>
      </w:r>
    </w:p>
    <w:p w14:paraId="6B288E48" w14:textId="77777777" w:rsidR="00DB0573" w:rsidRPr="00306115" w:rsidRDefault="00DB0573" w:rsidP="002B0715">
      <w:pPr>
        <w:pStyle w:val="HeadingAwalDaftarIsiLampiran"/>
        <w:numPr>
          <w:ilvl w:val="0"/>
          <w:numId w:val="0"/>
        </w:numPr>
        <w:tabs>
          <w:tab w:val="left" w:pos="1560"/>
        </w:tabs>
        <w:ind w:left="1134"/>
      </w:pPr>
    </w:p>
    <w:p w14:paraId="10484353" w14:textId="54FFCEAE" w:rsidR="00B10D7C" w:rsidRPr="00306115" w:rsidRDefault="00360A64">
      <w:pPr>
        <w:pStyle w:val="HeadingAwalDaftarIsiLampiran"/>
        <w:numPr>
          <w:ilvl w:val="0"/>
          <w:numId w:val="287"/>
        </w:numPr>
        <w:tabs>
          <w:tab w:val="left" w:pos="1560"/>
        </w:tabs>
        <w:ind w:left="1134" w:hanging="567"/>
      </w:pPr>
      <w:r w:rsidRPr="00306115">
        <w:rPr>
          <w:rFonts w:eastAsia="Bookman Old Style" w:cs="Bookman Old Style"/>
        </w:rPr>
        <w:t>Penilaian Risiko Konsentrasi Portofolio Efek</w:t>
      </w:r>
    </w:p>
    <w:p w14:paraId="62616DBB" w14:textId="63EBEA71" w:rsidR="00F7000F" w:rsidRPr="00306115" w:rsidRDefault="00F7000F">
      <w:pPr>
        <w:pStyle w:val="HeadingAwalDaftarIsiLampiran"/>
        <w:numPr>
          <w:ilvl w:val="3"/>
          <w:numId w:val="292"/>
        </w:numPr>
        <w:tabs>
          <w:tab w:val="left" w:pos="1843"/>
        </w:tabs>
        <w:ind w:left="1701" w:hanging="567"/>
      </w:pPr>
      <w:r w:rsidRPr="00306115">
        <w:rPr>
          <w:rFonts w:eastAsia="Bookman Old Style" w:cs="Bookman Old Style"/>
        </w:rPr>
        <w:lastRenderedPageBreak/>
        <w:t xml:space="preserve">Penilaian Risiko Konsentrasi Portofolio Efek dilakukan berdasarkan hasil penilaian masing-masing parameter atau indikator Risiko Konsentrasi Portofolio Efek didasarkan pada analisis yang komprehensif dan terstruktur yang memberikan gambaran secara menyeluruh Risiko Konsentrasi </w:t>
      </w:r>
      <w:r w:rsidR="00E00CC6" w:rsidRPr="00306115">
        <w:rPr>
          <w:rFonts w:eastAsia="Bookman Old Style" w:cs="Bookman Old Style"/>
        </w:rPr>
        <w:t>Portofolio Efek</w:t>
      </w:r>
      <w:r w:rsidRPr="00306115">
        <w:rPr>
          <w:rFonts w:eastAsia="Bookman Old Style" w:cs="Bookman Old Style"/>
        </w:rPr>
        <w:t>.</w:t>
      </w:r>
    </w:p>
    <w:p w14:paraId="2021F44F" w14:textId="5D1EA3A0" w:rsidR="006E4836" w:rsidRPr="00306115" w:rsidRDefault="006E4836">
      <w:pPr>
        <w:pStyle w:val="HeadingAwalDaftarIsiLampiran"/>
        <w:numPr>
          <w:ilvl w:val="3"/>
          <w:numId w:val="292"/>
        </w:numPr>
        <w:tabs>
          <w:tab w:val="left" w:pos="1843"/>
        </w:tabs>
        <w:ind w:left="1701" w:hanging="567"/>
      </w:pPr>
      <w:r w:rsidRPr="00306115">
        <w:t xml:space="preserve">Total Peringkat Risiko Konsentrasi </w:t>
      </w:r>
      <w:r w:rsidRPr="00306115">
        <w:rPr>
          <w:rFonts w:eastAsia="Bookman Old Style" w:cs="Bookman Old Style"/>
        </w:rPr>
        <w:t xml:space="preserve">Portofolio Efek </w:t>
      </w:r>
      <w:r w:rsidRPr="00306115">
        <w:t xml:space="preserve">ditetapkan berdasarkan kombinasi hasil penilaian kualitatif dan pertimbangan tambahan atas konsentrasi kepemilikan untuk Efek bersifat ekuitas dan EBUS korporasi, dengan memperhatikan dominasi kepemilikan dari portofolio keseluruhan Produk Investasi yang dikelola. Contohnya apabila dominasinya adalah Efek bersifat ekuitas, maka peringkat risiko sangat dipengaruhi oleh peringkat Risiko Konsentrasi </w:t>
      </w:r>
      <w:r w:rsidRPr="00306115">
        <w:rPr>
          <w:rFonts w:eastAsia="Bookman Old Style" w:cs="Bookman Old Style"/>
        </w:rPr>
        <w:t>Portofolio Efek</w:t>
      </w:r>
      <w:r w:rsidRPr="00306115">
        <w:t xml:space="preserve"> pada kepemilikan tersebut</w:t>
      </w:r>
    </w:p>
    <w:p w14:paraId="7D05FF82" w14:textId="5AFD05B4" w:rsidR="00F7000F" w:rsidRPr="00306115" w:rsidRDefault="00C05A51">
      <w:pPr>
        <w:pStyle w:val="HeadingAwalDaftarIsiLampiran"/>
        <w:numPr>
          <w:ilvl w:val="3"/>
          <w:numId w:val="292"/>
        </w:numPr>
        <w:tabs>
          <w:tab w:val="left" w:pos="1843"/>
        </w:tabs>
        <w:ind w:left="1701" w:hanging="567"/>
      </w:pPr>
      <w:r w:rsidRPr="00306115">
        <w:rPr>
          <w:rFonts w:eastAsia="Bookman Old Style" w:cs="Bookman Old Style"/>
        </w:rPr>
        <w:t>Penilaian parameter atau indikator Risiko Konsentrasi</w:t>
      </w:r>
      <w:r w:rsidR="00CD3729" w:rsidRPr="00306115">
        <w:rPr>
          <w:rFonts w:eastAsia="Bookman Old Style" w:cs="Bookman Old Style"/>
        </w:rPr>
        <w:t xml:space="preserve"> Portofolio Efek</w:t>
      </w:r>
      <w:r w:rsidRPr="00306115">
        <w:rPr>
          <w:rFonts w:eastAsia="Bookman Old Style" w:cs="Bookman Old Style"/>
        </w:rPr>
        <w:t xml:space="preserve"> dapat menggunakan tabel berikut:</w:t>
      </w:r>
    </w:p>
    <w:tbl>
      <w:tblPr>
        <w:tblStyle w:val="TableGrid"/>
        <w:tblW w:w="14166" w:type="dxa"/>
        <w:tblInd w:w="1705" w:type="dxa"/>
        <w:tblLook w:val="04A0" w:firstRow="1" w:lastRow="0" w:firstColumn="1" w:lastColumn="0" w:noHBand="0" w:noVBand="1"/>
      </w:tblPr>
      <w:tblGrid>
        <w:gridCol w:w="1567"/>
        <w:gridCol w:w="3272"/>
        <w:gridCol w:w="3782"/>
        <w:gridCol w:w="2375"/>
        <w:gridCol w:w="3170"/>
      </w:tblGrid>
      <w:tr w:rsidR="000131C7" w:rsidRPr="00306115" w14:paraId="5CD85661" w14:textId="77777777" w:rsidTr="000131C7">
        <w:tc>
          <w:tcPr>
            <w:tcW w:w="1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1130EB8" w14:textId="77777777" w:rsidR="000131C7" w:rsidRPr="00306115" w:rsidRDefault="000131C7" w:rsidP="00697891">
            <w:pPr>
              <w:widowControl w:val="0"/>
              <w:spacing w:line="276" w:lineRule="auto"/>
              <w:ind w:right="17"/>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Jenis Instrumen</w:t>
            </w:r>
          </w:p>
        </w:tc>
        <w:tc>
          <w:tcPr>
            <w:tcW w:w="327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3286B9B" w14:textId="77777777" w:rsidR="000131C7" w:rsidRPr="00306115" w:rsidRDefault="000131C7" w:rsidP="00697891">
            <w:pPr>
              <w:widowControl w:val="0"/>
              <w:spacing w:line="276" w:lineRule="auto"/>
              <w:ind w:right="17"/>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Indikator</w:t>
            </w:r>
          </w:p>
        </w:tc>
        <w:tc>
          <w:tcPr>
            <w:tcW w:w="378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0B4ED15" w14:textId="77777777" w:rsidR="000131C7" w:rsidRPr="00306115" w:rsidRDefault="000131C7" w:rsidP="00697891">
            <w:pPr>
              <w:widowControl w:val="0"/>
              <w:spacing w:line="276" w:lineRule="auto"/>
              <w:ind w:right="17"/>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Daftar 5 Sekuritas Dengan Nilai Kepemilikan Tertinggi Pada Akhir Tahun</w:t>
            </w:r>
          </w:p>
        </w:tc>
        <w:tc>
          <w:tcPr>
            <w:tcW w:w="23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7F7F4F4" w14:textId="77777777" w:rsidR="000131C7" w:rsidRPr="00306115" w:rsidRDefault="000131C7" w:rsidP="00697891">
            <w:pPr>
              <w:widowControl w:val="0"/>
              <w:spacing w:line="276" w:lineRule="auto"/>
              <w:ind w:right="17"/>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Peringkat Risiko</w:t>
            </w:r>
          </w:p>
        </w:tc>
        <w:tc>
          <w:tcPr>
            <w:tcW w:w="31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E7D0291" w14:textId="77777777" w:rsidR="000131C7" w:rsidRPr="00306115" w:rsidRDefault="000131C7" w:rsidP="00697891">
            <w:pPr>
              <w:widowControl w:val="0"/>
              <w:spacing w:line="276" w:lineRule="auto"/>
              <w:ind w:right="17"/>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Keterangan</w:t>
            </w:r>
          </w:p>
        </w:tc>
      </w:tr>
      <w:tr w:rsidR="000131C7" w:rsidRPr="00306115" w14:paraId="56BAF03B" w14:textId="77777777" w:rsidTr="000131C7">
        <w:tc>
          <w:tcPr>
            <w:tcW w:w="1567" w:type="dxa"/>
            <w:tcBorders>
              <w:top w:val="single" w:sz="4" w:space="0" w:color="auto"/>
              <w:left w:val="single" w:sz="4" w:space="0" w:color="auto"/>
              <w:bottom w:val="single" w:sz="4" w:space="0" w:color="auto"/>
              <w:right w:val="single" w:sz="4" w:space="0" w:color="auto"/>
            </w:tcBorders>
            <w:hideMark/>
          </w:tcPr>
          <w:p w14:paraId="7276C20B" w14:textId="77777777" w:rsidR="000131C7" w:rsidRPr="00306115" w:rsidRDefault="000131C7" w:rsidP="00697891">
            <w:pPr>
              <w:widowControl w:val="0"/>
              <w:spacing w:line="276" w:lineRule="auto"/>
              <w:ind w:right="17"/>
              <w:rPr>
                <w:rFonts w:eastAsia="Bookman Old Style" w:cs="Bookman Old Style"/>
                <w:color w:val="000000" w:themeColor="text1"/>
                <w:szCs w:val="24"/>
              </w:rPr>
            </w:pPr>
            <w:r w:rsidRPr="00306115">
              <w:rPr>
                <w:rFonts w:eastAsia="Bookman Old Style" w:cs="Bookman Old Style"/>
                <w:color w:val="000000" w:themeColor="text1"/>
                <w:szCs w:val="24"/>
              </w:rPr>
              <w:t>Ekuitas</w:t>
            </w:r>
          </w:p>
        </w:tc>
        <w:tc>
          <w:tcPr>
            <w:tcW w:w="3272" w:type="dxa"/>
            <w:tcBorders>
              <w:top w:val="single" w:sz="4" w:space="0" w:color="auto"/>
              <w:left w:val="single" w:sz="4" w:space="0" w:color="auto"/>
              <w:bottom w:val="single" w:sz="4" w:space="0" w:color="auto"/>
              <w:right w:val="single" w:sz="4" w:space="0" w:color="auto"/>
            </w:tcBorders>
            <w:hideMark/>
          </w:tcPr>
          <w:p w14:paraId="50FF1509" w14:textId="77777777" w:rsidR="000131C7" w:rsidRPr="00306115" w:rsidRDefault="000131C7" w:rsidP="00697891">
            <w:pPr>
              <w:widowControl w:val="0"/>
              <w:spacing w:line="276" w:lineRule="auto"/>
              <w:ind w:right="17"/>
              <w:rPr>
                <w:rFonts w:eastAsia="Bookman Old Style" w:cs="Bookman Old Style"/>
                <w:color w:val="000000" w:themeColor="text1"/>
                <w:szCs w:val="24"/>
              </w:rPr>
            </w:pPr>
            <w:r w:rsidRPr="00306115">
              <w:rPr>
                <w:rFonts w:eastAsia="Bookman Old Style" w:cs="Bookman Old Style"/>
                <w:color w:val="000000" w:themeColor="text1"/>
                <w:szCs w:val="24"/>
              </w:rPr>
              <w:t>Kepemilikan atas 5 (lima) Efek Bersifat Ekuitas (saham) terbesar dari seluruh produk, pada posisi akhir tahun</w:t>
            </w:r>
          </w:p>
        </w:tc>
        <w:tc>
          <w:tcPr>
            <w:tcW w:w="3782" w:type="dxa"/>
            <w:tcBorders>
              <w:top w:val="single" w:sz="4" w:space="0" w:color="auto"/>
              <w:left w:val="single" w:sz="4" w:space="0" w:color="auto"/>
              <w:bottom w:val="single" w:sz="4" w:space="0" w:color="auto"/>
              <w:right w:val="single" w:sz="4" w:space="0" w:color="auto"/>
            </w:tcBorders>
            <w:hideMark/>
          </w:tcPr>
          <w:p w14:paraId="64D6C99E" w14:textId="77777777" w:rsidR="000131C7" w:rsidRPr="00306115" w:rsidRDefault="000131C7" w:rsidP="00697891">
            <w:pPr>
              <w:widowControl w:val="0"/>
              <w:spacing w:line="276" w:lineRule="auto"/>
              <w:ind w:right="17"/>
              <w:rPr>
                <w:rFonts w:eastAsia="Bookman Old Style" w:cs="Bookman Old Style"/>
                <w:color w:val="000000" w:themeColor="text1"/>
                <w:szCs w:val="24"/>
              </w:rPr>
            </w:pPr>
            <w:r w:rsidRPr="00306115">
              <w:rPr>
                <w:rFonts w:eastAsia="Bookman Old Style" w:cs="Bookman Old Style"/>
                <w:color w:val="000000" w:themeColor="text1"/>
                <w:szCs w:val="24"/>
              </w:rPr>
              <w:t>1.</w:t>
            </w:r>
          </w:p>
          <w:p w14:paraId="1F0199F4" w14:textId="77777777" w:rsidR="000131C7" w:rsidRPr="00306115" w:rsidRDefault="000131C7" w:rsidP="00697891">
            <w:pPr>
              <w:widowControl w:val="0"/>
              <w:spacing w:line="276" w:lineRule="auto"/>
              <w:ind w:right="17"/>
              <w:rPr>
                <w:rFonts w:eastAsia="Bookman Old Style" w:cs="Bookman Old Style"/>
                <w:color w:val="000000" w:themeColor="text1"/>
                <w:szCs w:val="24"/>
              </w:rPr>
            </w:pPr>
            <w:r w:rsidRPr="00306115">
              <w:rPr>
                <w:rFonts w:eastAsia="Bookman Old Style" w:cs="Bookman Old Style"/>
                <w:color w:val="000000" w:themeColor="text1"/>
                <w:szCs w:val="24"/>
              </w:rPr>
              <w:t>2.</w:t>
            </w:r>
          </w:p>
          <w:p w14:paraId="1B7BDA2B" w14:textId="77777777" w:rsidR="000131C7" w:rsidRPr="00306115" w:rsidRDefault="000131C7" w:rsidP="00697891">
            <w:pPr>
              <w:widowControl w:val="0"/>
              <w:spacing w:line="276" w:lineRule="auto"/>
              <w:ind w:right="17"/>
              <w:rPr>
                <w:rFonts w:eastAsia="Bookman Old Style" w:cs="Bookman Old Style"/>
                <w:color w:val="000000" w:themeColor="text1"/>
                <w:szCs w:val="24"/>
              </w:rPr>
            </w:pPr>
            <w:r w:rsidRPr="00306115">
              <w:rPr>
                <w:rFonts w:eastAsia="Bookman Old Style" w:cs="Bookman Old Style"/>
                <w:color w:val="000000" w:themeColor="text1"/>
                <w:szCs w:val="24"/>
              </w:rPr>
              <w:t>3.</w:t>
            </w:r>
          </w:p>
          <w:p w14:paraId="796D63C2" w14:textId="77777777" w:rsidR="000131C7" w:rsidRPr="00306115" w:rsidRDefault="000131C7" w:rsidP="00697891">
            <w:pPr>
              <w:widowControl w:val="0"/>
              <w:spacing w:line="276" w:lineRule="auto"/>
              <w:ind w:right="17"/>
              <w:rPr>
                <w:rFonts w:eastAsia="Bookman Old Style" w:cs="Bookman Old Style"/>
                <w:color w:val="000000" w:themeColor="text1"/>
                <w:szCs w:val="24"/>
              </w:rPr>
            </w:pPr>
            <w:r w:rsidRPr="00306115">
              <w:rPr>
                <w:rFonts w:eastAsia="Bookman Old Style" w:cs="Bookman Old Style"/>
                <w:color w:val="000000" w:themeColor="text1"/>
                <w:szCs w:val="24"/>
              </w:rPr>
              <w:t>4.</w:t>
            </w:r>
          </w:p>
          <w:p w14:paraId="7498F5E5" w14:textId="77777777" w:rsidR="000131C7" w:rsidRPr="00306115" w:rsidRDefault="000131C7" w:rsidP="00697891">
            <w:pPr>
              <w:widowControl w:val="0"/>
              <w:spacing w:line="276" w:lineRule="auto"/>
              <w:ind w:right="17"/>
              <w:rPr>
                <w:rFonts w:eastAsia="Bookman Old Style" w:cs="Bookman Old Style"/>
                <w:color w:val="000000" w:themeColor="text1"/>
                <w:szCs w:val="24"/>
              </w:rPr>
            </w:pPr>
            <w:r w:rsidRPr="00306115">
              <w:rPr>
                <w:rFonts w:eastAsia="Bookman Old Style" w:cs="Bookman Old Style"/>
                <w:color w:val="000000" w:themeColor="text1"/>
                <w:szCs w:val="24"/>
              </w:rPr>
              <w:t>5.</w:t>
            </w:r>
          </w:p>
        </w:tc>
        <w:tc>
          <w:tcPr>
            <w:tcW w:w="2375" w:type="dxa"/>
            <w:tcBorders>
              <w:top w:val="single" w:sz="4" w:space="0" w:color="auto"/>
              <w:left w:val="single" w:sz="4" w:space="0" w:color="auto"/>
              <w:bottom w:val="single" w:sz="4" w:space="0" w:color="auto"/>
              <w:right w:val="single" w:sz="4" w:space="0" w:color="auto"/>
            </w:tcBorders>
          </w:tcPr>
          <w:p w14:paraId="2B1E4C1A" w14:textId="77777777" w:rsidR="000131C7" w:rsidRPr="00306115" w:rsidRDefault="000131C7" w:rsidP="00697891">
            <w:pPr>
              <w:widowControl w:val="0"/>
              <w:spacing w:line="276" w:lineRule="auto"/>
              <w:ind w:right="17"/>
              <w:rPr>
                <w:rFonts w:eastAsia="Bookman Old Style" w:cs="Bookman Old Style"/>
                <w:color w:val="000000" w:themeColor="text1"/>
                <w:szCs w:val="24"/>
              </w:rPr>
            </w:pPr>
          </w:p>
        </w:tc>
        <w:tc>
          <w:tcPr>
            <w:tcW w:w="3170" w:type="dxa"/>
            <w:tcBorders>
              <w:top w:val="single" w:sz="4" w:space="0" w:color="auto"/>
              <w:left w:val="single" w:sz="4" w:space="0" w:color="auto"/>
              <w:bottom w:val="single" w:sz="4" w:space="0" w:color="auto"/>
              <w:right w:val="single" w:sz="4" w:space="0" w:color="auto"/>
            </w:tcBorders>
          </w:tcPr>
          <w:p w14:paraId="445A494D" w14:textId="77777777" w:rsidR="000131C7" w:rsidRPr="00306115" w:rsidRDefault="000131C7" w:rsidP="00697891">
            <w:pPr>
              <w:widowControl w:val="0"/>
              <w:spacing w:line="276" w:lineRule="auto"/>
              <w:ind w:right="17"/>
              <w:rPr>
                <w:rFonts w:eastAsia="Bookman Old Style" w:cs="Bookman Old Style"/>
                <w:color w:val="000000" w:themeColor="text1"/>
                <w:szCs w:val="24"/>
              </w:rPr>
            </w:pPr>
          </w:p>
        </w:tc>
      </w:tr>
      <w:tr w:rsidR="000131C7" w:rsidRPr="00306115" w14:paraId="060AC9FB" w14:textId="77777777" w:rsidTr="000131C7">
        <w:tc>
          <w:tcPr>
            <w:tcW w:w="1567" w:type="dxa"/>
            <w:tcBorders>
              <w:top w:val="single" w:sz="4" w:space="0" w:color="auto"/>
              <w:left w:val="single" w:sz="4" w:space="0" w:color="auto"/>
              <w:bottom w:val="single" w:sz="4" w:space="0" w:color="auto"/>
              <w:right w:val="single" w:sz="4" w:space="0" w:color="auto"/>
            </w:tcBorders>
            <w:hideMark/>
          </w:tcPr>
          <w:p w14:paraId="5C9ED86E" w14:textId="77777777" w:rsidR="000131C7" w:rsidRPr="00306115" w:rsidRDefault="000131C7" w:rsidP="00697891">
            <w:pPr>
              <w:widowControl w:val="0"/>
              <w:spacing w:line="276" w:lineRule="auto"/>
              <w:ind w:right="17"/>
              <w:rPr>
                <w:rFonts w:eastAsia="Bookman Old Style" w:cs="Bookman Old Style"/>
                <w:color w:val="000000" w:themeColor="text1"/>
                <w:szCs w:val="24"/>
              </w:rPr>
            </w:pPr>
            <w:r w:rsidRPr="00306115">
              <w:rPr>
                <w:rFonts w:eastAsia="Bookman Old Style" w:cs="Bookman Old Style"/>
                <w:color w:val="000000" w:themeColor="text1"/>
                <w:szCs w:val="24"/>
              </w:rPr>
              <w:t>EBUS</w:t>
            </w:r>
          </w:p>
        </w:tc>
        <w:tc>
          <w:tcPr>
            <w:tcW w:w="3272" w:type="dxa"/>
            <w:tcBorders>
              <w:top w:val="single" w:sz="4" w:space="0" w:color="auto"/>
              <w:left w:val="single" w:sz="4" w:space="0" w:color="auto"/>
              <w:bottom w:val="single" w:sz="4" w:space="0" w:color="auto"/>
              <w:right w:val="single" w:sz="4" w:space="0" w:color="auto"/>
            </w:tcBorders>
            <w:hideMark/>
          </w:tcPr>
          <w:p w14:paraId="54E1DB5C" w14:textId="77777777" w:rsidR="000131C7" w:rsidRPr="00306115" w:rsidRDefault="000131C7" w:rsidP="00697891">
            <w:pPr>
              <w:widowControl w:val="0"/>
              <w:spacing w:line="276" w:lineRule="auto"/>
              <w:ind w:right="17"/>
              <w:rPr>
                <w:rFonts w:eastAsia="Bookman Old Style" w:cs="Bookman Old Style"/>
                <w:color w:val="000000" w:themeColor="text1"/>
                <w:szCs w:val="24"/>
              </w:rPr>
            </w:pPr>
            <w:r w:rsidRPr="00306115">
              <w:rPr>
                <w:rFonts w:eastAsia="Bookman Old Style" w:cs="Bookman Old Style"/>
                <w:color w:val="000000" w:themeColor="text1"/>
                <w:szCs w:val="24"/>
              </w:rPr>
              <w:t>Kepemilikan atas 5 (lima) Efek Bersifat Utang atau Sukuk (EBUS) terbesar dari seluruh produk, pada posisi akhir tahun</w:t>
            </w:r>
          </w:p>
        </w:tc>
        <w:tc>
          <w:tcPr>
            <w:tcW w:w="3782" w:type="dxa"/>
            <w:tcBorders>
              <w:top w:val="single" w:sz="4" w:space="0" w:color="auto"/>
              <w:left w:val="single" w:sz="4" w:space="0" w:color="auto"/>
              <w:bottom w:val="single" w:sz="4" w:space="0" w:color="auto"/>
              <w:right w:val="single" w:sz="4" w:space="0" w:color="auto"/>
            </w:tcBorders>
            <w:hideMark/>
          </w:tcPr>
          <w:p w14:paraId="77A94BBC" w14:textId="77777777" w:rsidR="000131C7" w:rsidRPr="00306115" w:rsidRDefault="000131C7" w:rsidP="00697891">
            <w:pPr>
              <w:widowControl w:val="0"/>
              <w:spacing w:line="276" w:lineRule="auto"/>
              <w:ind w:right="17"/>
              <w:rPr>
                <w:rFonts w:eastAsia="Bookman Old Style" w:cs="Bookman Old Style"/>
                <w:color w:val="000000" w:themeColor="text1"/>
                <w:szCs w:val="24"/>
              </w:rPr>
            </w:pPr>
            <w:r w:rsidRPr="00306115">
              <w:rPr>
                <w:rFonts w:eastAsia="Bookman Old Style" w:cs="Bookman Old Style"/>
                <w:color w:val="000000" w:themeColor="text1"/>
                <w:szCs w:val="24"/>
              </w:rPr>
              <w:t>1.</w:t>
            </w:r>
          </w:p>
          <w:p w14:paraId="34CB5A0B" w14:textId="77777777" w:rsidR="000131C7" w:rsidRPr="00306115" w:rsidRDefault="000131C7" w:rsidP="00697891">
            <w:pPr>
              <w:widowControl w:val="0"/>
              <w:spacing w:line="276" w:lineRule="auto"/>
              <w:ind w:right="17"/>
              <w:rPr>
                <w:rFonts w:eastAsia="Bookman Old Style" w:cs="Bookman Old Style"/>
                <w:color w:val="000000" w:themeColor="text1"/>
                <w:szCs w:val="24"/>
              </w:rPr>
            </w:pPr>
            <w:r w:rsidRPr="00306115">
              <w:rPr>
                <w:rFonts w:eastAsia="Bookman Old Style" w:cs="Bookman Old Style"/>
                <w:color w:val="000000" w:themeColor="text1"/>
                <w:szCs w:val="24"/>
              </w:rPr>
              <w:t>2.</w:t>
            </w:r>
          </w:p>
          <w:p w14:paraId="784A1D74" w14:textId="77777777" w:rsidR="000131C7" w:rsidRPr="00306115" w:rsidRDefault="000131C7" w:rsidP="00697891">
            <w:pPr>
              <w:widowControl w:val="0"/>
              <w:spacing w:line="276" w:lineRule="auto"/>
              <w:ind w:right="17"/>
              <w:rPr>
                <w:rFonts w:eastAsia="Bookman Old Style" w:cs="Bookman Old Style"/>
                <w:color w:val="000000" w:themeColor="text1"/>
                <w:szCs w:val="24"/>
              </w:rPr>
            </w:pPr>
            <w:r w:rsidRPr="00306115">
              <w:rPr>
                <w:rFonts w:eastAsia="Bookman Old Style" w:cs="Bookman Old Style"/>
                <w:color w:val="000000" w:themeColor="text1"/>
                <w:szCs w:val="24"/>
              </w:rPr>
              <w:t>3.</w:t>
            </w:r>
          </w:p>
          <w:p w14:paraId="4E58D397" w14:textId="77777777" w:rsidR="000131C7" w:rsidRPr="00306115" w:rsidRDefault="000131C7" w:rsidP="00697891">
            <w:pPr>
              <w:widowControl w:val="0"/>
              <w:spacing w:line="276" w:lineRule="auto"/>
              <w:ind w:right="17"/>
              <w:rPr>
                <w:rFonts w:eastAsia="Bookman Old Style" w:cs="Bookman Old Style"/>
                <w:color w:val="000000" w:themeColor="text1"/>
                <w:szCs w:val="24"/>
              </w:rPr>
            </w:pPr>
            <w:r w:rsidRPr="00306115">
              <w:rPr>
                <w:rFonts w:eastAsia="Bookman Old Style" w:cs="Bookman Old Style"/>
                <w:color w:val="000000" w:themeColor="text1"/>
                <w:szCs w:val="24"/>
              </w:rPr>
              <w:t>4.</w:t>
            </w:r>
          </w:p>
          <w:p w14:paraId="40BA29C9" w14:textId="77777777" w:rsidR="000131C7" w:rsidRPr="00306115" w:rsidRDefault="000131C7" w:rsidP="00697891">
            <w:pPr>
              <w:widowControl w:val="0"/>
              <w:spacing w:line="276" w:lineRule="auto"/>
              <w:ind w:right="17"/>
              <w:rPr>
                <w:rFonts w:eastAsia="Bookman Old Style" w:cs="Bookman Old Style"/>
                <w:color w:val="000000" w:themeColor="text1"/>
                <w:szCs w:val="24"/>
              </w:rPr>
            </w:pPr>
            <w:r w:rsidRPr="00306115">
              <w:rPr>
                <w:rFonts w:eastAsia="Bookman Old Style" w:cs="Bookman Old Style"/>
                <w:color w:val="000000" w:themeColor="text1"/>
                <w:szCs w:val="24"/>
              </w:rPr>
              <w:t>5.</w:t>
            </w:r>
          </w:p>
        </w:tc>
        <w:tc>
          <w:tcPr>
            <w:tcW w:w="2375" w:type="dxa"/>
            <w:tcBorders>
              <w:top w:val="single" w:sz="4" w:space="0" w:color="auto"/>
              <w:left w:val="single" w:sz="4" w:space="0" w:color="auto"/>
              <w:bottom w:val="single" w:sz="4" w:space="0" w:color="auto"/>
              <w:right w:val="single" w:sz="4" w:space="0" w:color="auto"/>
            </w:tcBorders>
          </w:tcPr>
          <w:p w14:paraId="40E1ED5E" w14:textId="77777777" w:rsidR="000131C7" w:rsidRPr="00306115" w:rsidRDefault="000131C7" w:rsidP="00697891">
            <w:pPr>
              <w:widowControl w:val="0"/>
              <w:spacing w:line="276" w:lineRule="auto"/>
              <w:ind w:right="17"/>
              <w:rPr>
                <w:rFonts w:eastAsia="Bookman Old Style" w:cs="Bookman Old Style"/>
                <w:color w:val="000000" w:themeColor="text1"/>
                <w:szCs w:val="24"/>
              </w:rPr>
            </w:pPr>
          </w:p>
        </w:tc>
        <w:tc>
          <w:tcPr>
            <w:tcW w:w="3170" w:type="dxa"/>
            <w:tcBorders>
              <w:top w:val="single" w:sz="4" w:space="0" w:color="auto"/>
              <w:left w:val="single" w:sz="4" w:space="0" w:color="auto"/>
              <w:bottom w:val="single" w:sz="4" w:space="0" w:color="auto"/>
              <w:right w:val="single" w:sz="4" w:space="0" w:color="auto"/>
            </w:tcBorders>
          </w:tcPr>
          <w:p w14:paraId="365C17D3" w14:textId="77777777" w:rsidR="000131C7" w:rsidRPr="00306115" w:rsidRDefault="000131C7" w:rsidP="00697891">
            <w:pPr>
              <w:widowControl w:val="0"/>
              <w:spacing w:line="276" w:lineRule="auto"/>
              <w:ind w:right="17"/>
              <w:rPr>
                <w:rFonts w:eastAsia="Bookman Old Style" w:cs="Bookman Old Style"/>
                <w:color w:val="000000" w:themeColor="text1"/>
                <w:szCs w:val="24"/>
              </w:rPr>
            </w:pPr>
          </w:p>
        </w:tc>
      </w:tr>
      <w:tr w:rsidR="000131C7" w:rsidRPr="00306115" w14:paraId="1F37D2B4" w14:textId="77777777" w:rsidTr="000131C7">
        <w:tc>
          <w:tcPr>
            <w:tcW w:w="8621" w:type="dxa"/>
            <w:gridSpan w:val="3"/>
            <w:tcBorders>
              <w:top w:val="single" w:sz="4" w:space="0" w:color="auto"/>
              <w:left w:val="single" w:sz="4" w:space="0" w:color="auto"/>
              <w:bottom w:val="single" w:sz="4" w:space="0" w:color="auto"/>
              <w:right w:val="single" w:sz="4" w:space="0" w:color="auto"/>
            </w:tcBorders>
            <w:hideMark/>
          </w:tcPr>
          <w:p w14:paraId="66F34ADE" w14:textId="29D35256" w:rsidR="000131C7" w:rsidRPr="00306115" w:rsidRDefault="000131C7" w:rsidP="000131C7">
            <w:pPr>
              <w:widowControl w:val="0"/>
              <w:spacing w:line="276" w:lineRule="auto"/>
              <w:ind w:right="17"/>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Total Peringkat Risiko Konsentrasi Portofolio Efek</w:t>
            </w:r>
          </w:p>
        </w:tc>
        <w:tc>
          <w:tcPr>
            <w:tcW w:w="2375" w:type="dxa"/>
            <w:tcBorders>
              <w:top w:val="single" w:sz="4" w:space="0" w:color="auto"/>
              <w:left w:val="single" w:sz="4" w:space="0" w:color="auto"/>
              <w:bottom w:val="single" w:sz="4" w:space="0" w:color="auto"/>
              <w:right w:val="single" w:sz="4" w:space="0" w:color="auto"/>
            </w:tcBorders>
          </w:tcPr>
          <w:p w14:paraId="1E8C18B1" w14:textId="77777777" w:rsidR="000131C7" w:rsidRPr="00306115" w:rsidRDefault="000131C7" w:rsidP="00697891">
            <w:pPr>
              <w:widowControl w:val="0"/>
              <w:spacing w:line="276" w:lineRule="auto"/>
              <w:ind w:right="17"/>
              <w:rPr>
                <w:rFonts w:eastAsia="Bookman Old Style" w:cs="Bookman Old Style"/>
                <w:color w:val="000000" w:themeColor="text1"/>
                <w:szCs w:val="24"/>
              </w:rPr>
            </w:pPr>
          </w:p>
        </w:tc>
        <w:tc>
          <w:tcPr>
            <w:tcW w:w="3170" w:type="dxa"/>
            <w:tcBorders>
              <w:top w:val="single" w:sz="4" w:space="0" w:color="auto"/>
              <w:left w:val="single" w:sz="4" w:space="0" w:color="auto"/>
              <w:bottom w:val="single" w:sz="4" w:space="0" w:color="auto"/>
              <w:right w:val="single" w:sz="4" w:space="0" w:color="auto"/>
            </w:tcBorders>
          </w:tcPr>
          <w:p w14:paraId="7F9C034E" w14:textId="77777777" w:rsidR="000131C7" w:rsidRPr="00306115" w:rsidRDefault="000131C7" w:rsidP="00697891">
            <w:pPr>
              <w:widowControl w:val="0"/>
              <w:spacing w:line="276" w:lineRule="auto"/>
              <w:ind w:right="17"/>
              <w:rPr>
                <w:rFonts w:eastAsia="Bookman Old Style" w:cs="Bookman Old Style"/>
                <w:color w:val="000000" w:themeColor="text1"/>
                <w:szCs w:val="24"/>
              </w:rPr>
            </w:pPr>
          </w:p>
        </w:tc>
      </w:tr>
    </w:tbl>
    <w:p w14:paraId="06BD8E91" w14:textId="77777777" w:rsidR="000131C7" w:rsidRPr="00306115" w:rsidRDefault="000131C7" w:rsidP="00C05A51">
      <w:pPr>
        <w:pStyle w:val="HeadingAwalDaftarIsiLampiran"/>
        <w:numPr>
          <w:ilvl w:val="0"/>
          <w:numId w:val="0"/>
        </w:numPr>
        <w:tabs>
          <w:tab w:val="left" w:pos="1843"/>
        </w:tabs>
        <w:ind w:left="1701"/>
      </w:pPr>
    </w:p>
    <w:p w14:paraId="7763482C" w14:textId="77777777" w:rsidR="00CD3729" w:rsidRPr="00306115" w:rsidRDefault="00CD3729" w:rsidP="00C05A51">
      <w:pPr>
        <w:pStyle w:val="HeadingAwalDaftarIsiLampiran"/>
        <w:numPr>
          <w:ilvl w:val="0"/>
          <w:numId w:val="0"/>
        </w:numPr>
        <w:tabs>
          <w:tab w:val="left" w:pos="1843"/>
        </w:tabs>
        <w:ind w:left="1701"/>
      </w:pPr>
    </w:p>
    <w:p w14:paraId="3216EBB0" w14:textId="2307E3FE" w:rsidR="006329C7" w:rsidRPr="00306115" w:rsidRDefault="00525F42">
      <w:pPr>
        <w:pStyle w:val="HeadingAwalDaftarIsiLampiran"/>
        <w:numPr>
          <w:ilvl w:val="0"/>
          <w:numId w:val="255"/>
        </w:numPr>
        <w:tabs>
          <w:tab w:val="left" w:pos="1134"/>
        </w:tabs>
        <w:ind w:left="567" w:hanging="567"/>
      </w:pPr>
      <w:r w:rsidRPr="00306115">
        <w:t>PENILAIAN RISIKO UNTUK RISIKO</w:t>
      </w:r>
      <w:r w:rsidR="00B941D5" w:rsidRPr="00306115">
        <w:t xml:space="preserve"> OPERASIONAL</w:t>
      </w:r>
    </w:p>
    <w:p w14:paraId="37562194" w14:textId="2A749944" w:rsidR="007B4213" w:rsidRPr="00306115" w:rsidRDefault="00010C32">
      <w:pPr>
        <w:pStyle w:val="HeadingAwalDaftarIsiLampiran"/>
        <w:numPr>
          <w:ilvl w:val="0"/>
          <w:numId w:val="294"/>
        </w:numPr>
        <w:tabs>
          <w:tab w:val="left" w:pos="1843"/>
        </w:tabs>
        <w:ind w:left="1134" w:hanging="567"/>
      </w:pPr>
      <w:r w:rsidRPr="00306115">
        <w:rPr>
          <w:rFonts w:eastAsia="Bookman Old Style" w:cs="Bookman Old Style"/>
        </w:rPr>
        <w:t>Parameter atau Indikator Penilaian Risiko Operasional</w:t>
      </w:r>
    </w:p>
    <w:tbl>
      <w:tblPr>
        <w:tblW w:w="14742" w:type="dxa"/>
        <w:tblInd w:w="1124"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000" w:firstRow="0" w:lastRow="0" w:firstColumn="0" w:lastColumn="0" w:noHBand="0" w:noVBand="0"/>
      </w:tblPr>
      <w:tblGrid>
        <w:gridCol w:w="1287"/>
        <w:gridCol w:w="1974"/>
        <w:gridCol w:w="2551"/>
        <w:gridCol w:w="8930"/>
      </w:tblGrid>
      <w:tr w:rsidR="00144143" w:rsidRPr="00306115" w14:paraId="58D64DC3" w14:textId="77777777" w:rsidTr="00144143">
        <w:trPr>
          <w:trHeight w:val="556"/>
        </w:trPr>
        <w:tc>
          <w:tcPr>
            <w:tcW w:w="14742"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EBEBE"/>
          </w:tcPr>
          <w:p w14:paraId="591013D9" w14:textId="3BE3A6BC" w:rsidR="00144143" w:rsidRPr="00306115" w:rsidRDefault="00144143">
            <w:pPr>
              <w:widowControl w:val="0"/>
              <w:numPr>
                <w:ilvl w:val="0"/>
                <w:numId w:val="295"/>
              </w:numPr>
              <w:pBdr>
                <w:top w:val="nil"/>
                <w:left w:val="nil"/>
                <w:bottom w:val="nil"/>
                <w:right w:val="nil"/>
                <w:between w:val="nil"/>
              </w:pBdr>
              <w:spacing w:before="60" w:after="60" w:line="240" w:lineRule="auto"/>
              <w:ind w:left="567" w:hanging="567"/>
              <w:jc w:val="left"/>
              <w:rPr>
                <w:rFonts w:eastAsia="Bookman Old Style" w:cs="Bookman Old Style"/>
                <w:b/>
                <w:bCs/>
                <w:color w:val="000000" w:themeColor="text1"/>
                <w:szCs w:val="24"/>
              </w:rPr>
            </w:pPr>
            <w:r w:rsidRPr="00306115">
              <w:rPr>
                <w:rFonts w:eastAsia="Bookman Old Style" w:cs="Bookman Old Style"/>
                <w:b/>
                <w:bCs/>
                <w:color w:val="000000" w:themeColor="text1"/>
                <w:szCs w:val="24"/>
              </w:rPr>
              <w:t>Risiko Inheren*)</w:t>
            </w:r>
          </w:p>
        </w:tc>
      </w:tr>
      <w:tr w:rsidR="00144143" w:rsidRPr="00306115" w14:paraId="54A63FF8" w14:textId="77777777" w:rsidTr="00740724">
        <w:trPr>
          <w:trHeight w:val="556"/>
        </w:trPr>
        <w:tc>
          <w:tcPr>
            <w:tcW w:w="326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EBEBE"/>
          </w:tcPr>
          <w:p w14:paraId="30721B31" w14:textId="77777777" w:rsidR="00144143" w:rsidRPr="00306115" w:rsidRDefault="00144143" w:rsidP="00F259CC">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lastRenderedPageBreak/>
              <w:t>Parameter</w:t>
            </w:r>
          </w:p>
        </w:tc>
        <w:tc>
          <w:tcPr>
            <w:tcW w:w="255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EBEBE"/>
          </w:tcPr>
          <w:p w14:paraId="2489E91D" w14:textId="77777777" w:rsidR="00144143" w:rsidRPr="00306115" w:rsidRDefault="00144143" w:rsidP="00F259CC">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Indikator</w:t>
            </w:r>
          </w:p>
        </w:tc>
        <w:tc>
          <w:tcPr>
            <w:tcW w:w="89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EBEBE"/>
          </w:tcPr>
          <w:p w14:paraId="59C0CDDB" w14:textId="77777777" w:rsidR="00144143" w:rsidRPr="00306115" w:rsidRDefault="00144143" w:rsidP="00F259CC">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Informasi</w:t>
            </w:r>
          </w:p>
        </w:tc>
      </w:tr>
      <w:tr w:rsidR="00144143" w:rsidRPr="00306115" w14:paraId="38ED7133" w14:textId="77777777" w:rsidTr="00740724">
        <w:trPr>
          <w:trHeight w:val="556"/>
        </w:trPr>
        <w:tc>
          <w:tcPr>
            <w:tcW w:w="326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F0FF23" w14:textId="77777777" w:rsidR="00144143" w:rsidRPr="00306115" w:rsidRDefault="00144143" w:rsidP="00F259CC">
            <w:pPr>
              <w:widowControl w:val="0"/>
              <w:pBdr>
                <w:top w:val="nil"/>
                <w:left w:val="nil"/>
                <w:bottom w:val="nil"/>
                <w:right w:val="nil"/>
                <w:between w:val="nil"/>
              </w:pBdr>
              <w:spacing w:after="0" w:line="240" w:lineRule="auto"/>
              <w:rPr>
                <w:rFonts w:eastAsia="Bookman Old Style" w:cs="Bookman Old Style"/>
                <w:b/>
                <w:bCs/>
                <w:color w:val="000000" w:themeColor="text1"/>
                <w:szCs w:val="24"/>
              </w:rPr>
            </w:pPr>
            <w:r w:rsidRPr="00306115">
              <w:rPr>
                <w:rFonts w:eastAsia="Bookman Old Style" w:cs="Bookman Old Style"/>
                <w:b/>
                <w:bCs/>
                <w:color w:val="000000" w:themeColor="text1"/>
                <w:szCs w:val="24"/>
              </w:rPr>
              <w:t>Organisasi dan Bisnis</w:t>
            </w:r>
          </w:p>
        </w:tc>
        <w:tc>
          <w:tcPr>
            <w:tcW w:w="255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78A6BA" w14:textId="77777777" w:rsidR="00144143" w:rsidRPr="00306115" w:rsidRDefault="00144143" w:rsidP="00F259CC">
            <w:pPr>
              <w:widowControl w:val="0"/>
              <w:pBdr>
                <w:top w:val="nil"/>
                <w:left w:val="nil"/>
                <w:bottom w:val="nil"/>
                <w:right w:val="nil"/>
                <w:between w:val="nil"/>
              </w:pBdr>
              <w:spacing w:after="0" w:line="240" w:lineRule="auto"/>
              <w:rPr>
                <w:rFonts w:eastAsia="Bookman Old Style" w:cs="Bookman Old Style"/>
                <w:i/>
                <w:iCs/>
                <w:color w:val="000000" w:themeColor="text1"/>
                <w:szCs w:val="24"/>
              </w:rPr>
            </w:pPr>
            <w:r w:rsidRPr="00306115">
              <w:rPr>
                <w:rFonts w:eastAsia="Bookman Old Style" w:cs="Bookman Old Style"/>
                <w:i/>
                <w:iCs/>
                <w:color w:val="000000" w:themeColor="text1"/>
                <w:szCs w:val="24"/>
              </w:rPr>
              <w:t>Operational loss</w:t>
            </w:r>
          </w:p>
          <w:p w14:paraId="4FA0EC36" w14:textId="77777777" w:rsidR="00144143" w:rsidRPr="00306115" w:rsidRDefault="00144143" w:rsidP="00F259CC">
            <w:pPr>
              <w:widowControl w:val="0"/>
              <w:pBdr>
                <w:top w:val="nil"/>
                <w:left w:val="nil"/>
                <w:bottom w:val="nil"/>
                <w:right w:val="nil"/>
                <w:between w:val="nil"/>
              </w:pBdr>
              <w:spacing w:after="0" w:line="240" w:lineRule="auto"/>
              <w:rPr>
                <w:rFonts w:eastAsia="Bookman Old Style" w:cs="Bookman Old Style"/>
                <w:b/>
                <w:bCs/>
                <w:color w:val="000000" w:themeColor="text1"/>
                <w:szCs w:val="24"/>
              </w:rPr>
            </w:pPr>
          </w:p>
        </w:tc>
        <w:tc>
          <w:tcPr>
            <w:tcW w:w="89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92A7C2" w14:textId="1015E5C6" w:rsidR="00144143" w:rsidRPr="00306115" w:rsidRDefault="00144143" w:rsidP="00880372">
            <w:pPr>
              <w:pStyle w:val="ListParagraph"/>
              <w:widowControl w:val="0"/>
              <w:numPr>
                <w:ilvl w:val="0"/>
                <w:numId w:val="296"/>
              </w:numPr>
              <w:pBdr>
                <w:top w:val="nil"/>
                <w:left w:val="nil"/>
                <w:bottom w:val="nil"/>
                <w:right w:val="nil"/>
                <w:between w:val="nil"/>
              </w:pBdr>
              <w:tabs>
                <w:tab w:val="left" w:pos="1823"/>
              </w:tabs>
              <w:spacing w:after="0" w:line="240" w:lineRule="auto"/>
              <w:ind w:left="567" w:hanging="567"/>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Parameter atau indikator ini mengukur signifikansi total kerugian yang dialami Manajer Investasi dalam 1 (satu) tahun terakhir yang disebabkan masalah operasional.</w:t>
            </w:r>
          </w:p>
          <w:p w14:paraId="18A12DF5" w14:textId="77777777" w:rsidR="004D76D3" w:rsidRPr="00306115" w:rsidRDefault="00144143" w:rsidP="004D76D3">
            <w:pPr>
              <w:widowControl w:val="0"/>
              <w:numPr>
                <w:ilvl w:val="0"/>
                <w:numId w:val="296"/>
              </w:numPr>
              <w:pBdr>
                <w:top w:val="nil"/>
                <w:left w:val="nil"/>
                <w:bottom w:val="nil"/>
                <w:right w:val="nil"/>
                <w:between w:val="nil"/>
              </w:pBdr>
              <w:tabs>
                <w:tab w:val="left" w:pos="1823"/>
              </w:tabs>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Yang termasuk dalam kerugian operasional adalah kerugian yang disebabkan karena kegagalan proses internal, manusia, sistem, dan/atau kejadian eksternal</w:t>
            </w:r>
            <w:r w:rsidR="00880372" w:rsidRPr="00306115">
              <w:rPr>
                <w:rFonts w:eastAsia="Bookman Old Style" w:cs="Bookman Old Style"/>
                <w:color w:val="000000" w:themeColor="text1"/>
                <w:szCs w:val="24"/>
              </w:rPr>
              <w:t>.</w:t>
            </w:r>
          </w:p>
          <w:p w14:paraId="663FD526" w14:textId="7A6CDBC1" w:rsidR="004D76D3" w:rsidRPr="00306115" w:rsidRDefault="004D76D3" w:rsidP="004D76D3">
            <w:pPr>
              <w:widowControl w:val="0"/>
              <w:numPr>
                <w:ilvl w:val="0"/>
                <w:numId w:val="296"/>
              </w:numPr>
              <w:pBdr>
                <w:top w:val="nil"/>
                <w:left w:val="nil"/>
                <w:bottom w:val="nil"/>
                <w:right w:val="nil"/>
                <w:between w:val="nil"/>
              </w:pBdr>
              <w:tabs>
                <w:tab w:val="left" w:pos="1823"/>
              </w:tabs>
              <w:spacing w:after="0" w:line="240" w:lineRule="auto"/>
              <w:ind w:left="567" w:hanging="567"/>
              <w:rPr>
                <w:rFonts w:eastAsia="Bookman Old Style" w:cs="Bookman Old Style"/>
                <w:color w:val="000000" w:themeColor="text1"/>
                <w:szCs w:val="24"/>
              </w:rPr>
            </w:pPr>
            <w:r w:rsidRPr="00306115">
              <w:rPr>
                <w:rFonts w:eastAsia="Bookman Old Style" w:cs="Bookman Old Style"/>
                <w:i/>
                <w:iCs/>
                <w:color w:val="000000" w:themeColor="text1"/>
                <w:szCs w:val="24"/>
              </w:rPr>
              <w:t>Operational Loss</w:t>
            </w:r>
            <w:r w:rsidRPr="00306115">
              <w:rPr>
                <w:rFonts w:eastAsia="Bookman Old Style" w:cs="Bookman Old Style"/>
                <w:color w:val="000000" w:themeColor="text1"/>
                <w:szCs w:val="24"/>
              </w:rPr>
              <w:t xml:space="preserve"> dihitung dengan membandingkan total nilai kerugian operasional terhadap Modal Kerja Bersih Disesuaikan (MKBD).</w:t>
            </w:r>
          </w:p>
          <w:p w14:paraId="126EDC2D" w14:textId="395491B5" w:rsidR="004D76D3" w:rsidRPr="00306115" w:rsidRDefault="00F94D66" w:rsidP="004D76D3">
            <w:pPr>
              <w:widowControl w:val="0"/>
              <w:numPr>
                <w:ilvl w:val="0"/>
                <w:numId w:val="296"/>
              </w:numPr>
              <w:pBdr>
                <w:top w:val="nil"/>
                <w:left w:val="nil"/>
                <w:bottom w:val="nil"/>
                <w:right w:val="nil"/>
                <w:between w:val="nil"/>
              </w:pBdr>
              <w:tabs>
                <w:tab w:val="left" w:pos="1823"/>
              </w:tabs>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 xml:space="preserve">Adapun formula perhitungan </w:t>
            </w:r>
            <w:r w:rsidRPr="00306115">
              <w:rPr>
                <w:rFonts w:eastAsia="Bookman Old Style" w:cs="Bookman Old Style"/>
                <w:i/>
                <w:iCs/>
                <w:color w:val="000000" w:themeColor="text1"/>
                <w:szCs w:val="24"/>
              </w:rPr>
              <w:t>Operational Loss</w:t>
            </w:r>
            <w:r w:rsidRPr="00306115">
              <w:rPr>
                <w:rFonts w:eastAsia="Bookman Old Style" w:cs="Bookman Old Style"/>
                <w:color w:val="000000" w:themeColor="text1"/>
                <w:szCs w:val="24"/>
              </w:rPr>
              <w:t xml:space="preserve"> adalah sebagai berikut:</w:t>
            </w:r>
          </w:p>
          <w:p w14:paraId="005AF74C" w14:textId="77777777" w:rsidR="00144143" w:rsidRPr="00306115" w:rsidRDefault="00DD3739" w:rsidP="00F94D66">
            <w:pPr>
              <w:spacing w:after="0" w:line="240" w:lineRule="auto"/>
              <w:ind w:leftChars="-567" w:hangingChars="567" w:hanging="1361"/>
              <w:jc w:val="center"/>
              <w:rPr>
                <w:rFonts w:eastAsia="Cambria Math" w:cs="Cambria Math"/>
                <w:color w:val="000000" w:themeColor="text1"/>
                <w:szCs w:val="24"/>
              </w:rPr>
            </w:pPr>
            <m:oMathPara>
              <m:oMathParaPr>
                <m:jc m:val="center"/>
              </m:oMathParaPr>
              <m:oMath>
                <m:f>
                  <m:fPr>
                    <m:ctrlPr>
                      <w:rPr>
                        <w:rFonts w:ascii="Cambria Math" w:eastAsia="Cambria Math" w:hAnsi="Cambria Math" w:cs="Cambria Math"/>
                        <w:color w:val="000000" w:themeColor="text1"/>
                        <w:szCs w:val="24"/>
                      </w:rPr>
                    </m:ctrlPr>
                  </m:fPr>
                  <m:num>
                    <m:r>
                      <w:rPr>
                        <w:rFonts w:ascii="Cambria Math" w:eastAsia="Cambria Math" w:hAnsi="Cambria Math" w:cs="Cambria Math"/>
                        <w:color w:val="000000" w:themeColor="text1"/>
                        <w:szCs w:val="24"/>
                      </w:rPr>
                      <m:t>Total</m:t>
                    </m:r>
                    <m:r>
                      <w:rPr>
                        <w:rFonts w:ascii="Cambria Math" w:eastAsia="Cambria Math" w:hAnsi="Cambria Math" w:cs="Cambria Math"/>
                        <w:color w:val="000000" w:themeColor="text1"/>
                        <w:szCs w:val="24"/>
                      </w:rPr>
                      <m:t xml:space="preserve"> </m:t>
                    </m:r>
                    <m:r>
                      <w:rPr>
                        <w:rFonts w:ascii="Cambria Math" w:eastAsia="Cambria Math" w:hAnsi="Cambria Math" w:cs="Cambria Math"/>
                        <w:color w:val="000000" w:themeColor="text1"/>
                        <w:szCs w:val="24"/>
                      </w:rPr>
                      <m:t>operational</m:t>
                    </m:r>
                    <m:r>
                      <w:rPr>
                        <w:rFonts w:ascii="Cambria Math" w:eastAsia="Cambria Math" w:hAnsi="Cambria Math" w:cs="Cambria Math"/>
                        <w:color w:val="000000" w:themeColor="text1"/>
                        <w:szCs w:val="24"/>
                      </w:rPr>
                      <m:t xml:space="preserve"> </m:t>
                    </m:r>
                    <m:r>
                      <w:rPr>
                        <w:rFonts w:ascii="Cambria Math" w:eastAsia="Cambria Math" w:hAnsi="Cambria Math" w:cs="Cambria Math"/>
                        <w:color w:val="000000" w:themeColor="text1"/>
                        <w:szCs w:val="24"/>
                      </w:rPr>
                      <m:t>loss</m:t>
                    </m:r>
                  </m:num>
                  <m:den>
                    <m:r>
                      <w:rPr>
                        <w:rFonts w:ascii="Cambria Math" w:eastAsia="Cambria Math" w:hAnsi="Cambria Math" w:cs="Cambria Math"/>
                        <w:color w:val="000000" w:themeColor="text1"/>
                        <w:szCs w:val="24"/>
                      </w:rPr>
                      <m:t>MKBD</m:t>
                    </m:r>
                  </m:den>
                </m:f>
              </m:oMath>
            </m:oMathPara>
          </w:p>
          <w:p w14:paraId="53B5F123" w14:textId="77777777" w:rsidR="00D50F54" w:rsidRPr="00306115" w:rsidRDefault="00D50F54" w:rsidP="00D50F54">
            <w:pPr>
              <w:widowControl w:val="0"/>
              <w:numPr>
                <w:ilvl w:val="0"/>
                <w:numId w:val="296"/>
              </w:numPr>
              <w:pBdr>
                <w:top w:val="nil"/>
                <w:left w:val="nil"/>
                <w:bottom w:val="nil"/>
                <w:right w:val="nil"/>
                <w:between w:val="nil"/>
              </w:pBdr>
              <w:tabs>
                <w:tab w:val="left" w:pos="1823"/>
              </w:tabs>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Nilai yang lebih tinggi menunjukkan semakin besarnya dampak finansial dari kejadian operasional terhadap kondisi keuangan Manajer Investasi.</w:t>
            </w:r>
          </w:p>
          <w:p w14:paraId="4617B752" w14:textId="77777777" w:rsidR="00D50F54" w:rsidRPr="00306115" w:rsidRDefault="00D16351" w:rsidP="00D50F54">
            <w:pPr>
              <w:widowControl w:val="0"/>
              <w:numPr>
                <w:ilvl w:val="0"/>
                <w:numId w:val="296"/>
              </w:numPr>
              <w:pBdr>
                <w:top w:val="nil"/>
                <w:left w:val="nil"/>
                <w:bottom w:val="nil"/>
                <w:right w:val="nil"/>
                <w:between w:val="nil"/>
              </w:pBdr>
              <w:tabs>
                <w:tab w:val="left" w:pos="1823"/>
              </w:tabs>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Adapun klasifikasi penilaian indikator ini terbagi menjadi 5 (lima) peringkat sebagai berikut:</w:t>
            </w:r>
          </w:p>
          <w:p w14:paraId="14AEDC65" w14:textId="77777777" w:rsidR="00B954EB" w:rsidRPr="00306115" w:rsidRDefault="00B954EB">
            <w:pPr>
              <w:pStyle w:val="ListParagraph"/>
              <w:widowControl w:val="0"/>
              <w:numPr>
                <w:ilvl w:val="0"/>
                <w:numId w:val="462"/>
              </w:numPr>
              <w:pBdr>
                <w:top w:val="nil"/>
                <w:left w:val="nil"/>
                <w:bottom w:val="nil"/>
                <w:right w:val="nil"/>
                <w:between w:val="nil"/>
              </w:pBdr>
              <w:tabs>
                <w:tab w:val="left" w:pos="439"/>
              </w:tabs>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 xml:space="preserve">Peringkat 1: Tidak terdapat Operational Loss </w:t>
            </w:r>
          </w:p>
          <w:p w14:paraId="1349D6B3" w14:textId="77777777" w:rsidR="00B954EB" w:rsidRPr="00306115" w:rsidRDefault="00B954EB">
            <w:pPr>
              <w:pStyle w:val="ListParagraph"/>
              <w:widowControl w:val="0"/>
              <w:numPr>
                <w:ilvl w:val="0"/>
                <w:numId w:val="462"/>
              </w:numPr>
              <w:pBdr>
                <w:top w:val="nil"/>
                <w:left w:val="nil"/>
                <w:bottom w:val="nil"/>
                <w:right w:val="nil"/>
                <w:between w:val="nil"/>
              </w:pBdr>
              <w:tabs>
                <w:tab w:val="left" w:pos="439"/>
              </w:tabs>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Peringkat 2:   &gt;0% -  ≤3%</w:t>
            </w:r>
          </w:p>
          <w:p w14:paraId="12BE59DC" w14:textId="77777777" w:rsidR="00B954EB" w:rsidRPr="00306115" w:rsidRDefault="00B954EB">
            <w:pPr>
              <w:pStyle w:val="ListParagraph"/>
              <w:widowControl w:val="0"/>
              <w:numPr>
                <w:ilvl w:val="0"/>
                <w:numId w:val="462"/>
              </w:numPr>
              <w:pBdr>
                <w:top w:val="nil"/>
                <w:left w:val="nil"/>
                <w:bottom w:val="nil"/>
                <w:right w:val="nil"/>
                <w:between w:val="nil"/>
              </w:pBdr>
              <w:tabs>
                <w:tab w:val="left" w:pos="439"/>
              </w:tabs>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Peringkat 3:  &gt;3% -  ≤6%</w:t>
            </w:r>
          </w:p>
          <w:p w14:paraId="2B8A15AE" w14:textId="77777777" w:rsidR="00B954EB" w:rsidRPr="00306115" w:rsidRDefault="00B954EB">
            <w:pPr>
              <w:pStyle w:val="ListParagraph"/>
              <w:widowControl w:val="0"/>
              <w:numPr>
                <w:ilvl w:val="0"/>
                <w:numId w:val="462"/>
              </w:numPr>
              <w:pBdr>
                <w:top w:val="nil"/>
                <w:left w:val="nil"/>
                <w:bottom w:val="nil"/>
                <w:right w:val="nil"/>
                <w:between w:val="nil"/>
              </w:pBdr>
              <w:tabs>
                <w:tab w:val="left" w:pos="439"/>
              </w:tabs>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Peringkat 4:  &gt;6% - ≤12%</w:t>
            </w:r>
          </w:p>
          <w:p w14:paraId="3A430A43" w14:textId="6B6E75FF" w:rsidR="00D16351" w:rsidRPr="00306115" w:rsidRDefault="00B954EB">
            <w:pPr>
              <w:pStyle w:val="ListParagraph"/>
              <w:widowControl w:val="0"/>
              <w:numPr>
                <w:ilvl w:val="0"/>
                <w:numId w:val="462"/>
              </w:numPr>
              <w:pBdr>
                <w:top w:val="nil"/>
                <w:left w:val="nil"/>
                <w:bottom w:val="nil"/>
                <w:right w:val="nil"/>
                <w:between w:val="nil"/>
              </w:pBdr>
              <w:tabs>
                <w:tab w:val="left" w:pos="439"/>
              </w:tabs>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Peringkat 5: &gt;12% atau telah mencapai tingkat yang mengganggu kelangsungan usaha (going concern) Manajer Investasi</w:t>
            </w:r>
          </w:p>
        </w:tc>
      </w:tr>
      <w:tr w:rsidR="00144143" w:rsidRPr="00306115" w14:paraId="3135C7CA" w14:textId="77777777" w:rsidTr="00740724">
        <w:trPr>
          <w:trHeight w:val="1477"/>
        </w:trPr>
        <w:tc>
          <w:tcPr>
            <w:tcW w:w="3261" w:type="dxa"/>
            <w:gridSpan w:val="2"/>
            <w:tcBorders>
              <w:top w:val="single" w:sz="8" w:space="0" w:color="000000" w:themeColor="text1"/>
              <w:left w:val="single" w:sz="8" w:space="0" w:color="000000" w:themeColor="text1"/>
              <w:right w:val="single" w:sz="8" w:space="0" w:color="000000" w:themeColor="text1"/>
            </w:tcBorders>
          </w:tcPr>
          <w:p w14:paraId="081C8899" w14:textId="77777777" w:rsidR="00144143" w:rsidRPr="00306115" w:rsidRDefault="00144143" w:rsidP="00F259CC">
            <w:pPr>
              <w:widowControl w:val="0"/>
              <w:pBdr>
                <w:top w:val="nil"/>
                <w:left w:val="nil"/>
                <w:bottom w:val="nil"/>
                <w:right w:val="nil"/>
                <w:between w:val="nil"/>
              </w:pBdr>
              <w:spacing w:after="0" w:line="240" w:lineRule="auto"/>
              <w:rPr>
                <w:rFonts w:eastAsia="Bookman Old Style" w:cs="Bookman Old Style"/>
                <w:b/>
                <w:bCs/>
                <w:color w:val="000000" w:themeColor="text1"/>
                <w:szCs w:val="24"/>
              </w:rPr>
            </w:pPr>
            <w:r w:rsidRPr="00306115">
              <w:rPr>
                <w:rFonts w:eastAsia="Bookman Old Style" w:cs="Bookman Old Style"/>
                <w:b/>
                <w:bCs/>
                <w:color w:val="000000" w:themeColor="text1"/>
                <w:szCs w:val="24"/>
              </w:rPr>
              <w:t>Portofolio yang dikelola</w:t>
            </w:r>
          </w:p>
        </w:tc>
        <w:tc>
          <w:tcPr>
            <w:tcW w:w="255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B10B9B" w14:textId="27C39341" w:rsidR="00144143" w:rsidRPr="00306115" w:rsidRDefault="00144143" w:rsidP="00F259CC">
            <w:pPr>
              <w:widowControl w:val="0"/>
              <w:pBdr>
                <w:top w:val="nil"/>
                <w:left w:val="nil"/>
                <w:bottom w:val="nil"/>
                <w:right w:val="nil"/>
                <w:between w:val="nil"/>
              </w:pBdr>
              <w:spacing w:after="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 xml:space="preserve">Kesalahan Perhitungan </w:t>
            </w:r>
            <w:r w:rsidR="00346521" w:rsidRPr="00306115">
              <w:rPr>
                <w:rFonts w:eastAsia="Bookman Old Style" w:cs="Bookman Old Style"/>
                <w:color w:val="000000" w:themeColor="text1"/>
                <w:szCs w:val="24"/>
              </w:rPr>
              <w:t>Nilai Aktiva Bersih (</w:t>
            </w:r>
            <w:r w:rsidRPr="00306115">
              <w:rPr>
                <w:rFonts w:eastAsia="Bookman Old Style" w:cs="Bookman Old Style"/>
                <w:color w:val="000000" w:themeColor="text1"/>
                <w:szCs w:val="24"/>
              </w:rPr>
              <w:t>NAB</w:t>
            </w:r>
            <w:r w:rsidR="00346521" w:rsidRPr="00306115">
              <w:rPr>
                <w:rFonts w:eastAsia="Bookman Old Style" w:cs="Bookman Old Style"/>
                <w:color w:val="000000" w:themeColor="text1"/>
                <w:szCs w:val="24"/>
              </w:rPr>
              <w:t>)</w:t>
            </w:r>
          </w:p>
        </w:tc>
        <w:tc>
          <w:tcPr>
            <w:tcW w:w="89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6F8F7D" w14:textId="77777777" w:rsidR="00B90766" w:rsidRPr="00306115" w:rsidRDefault="00722970">
            <w:pPr>
              <w:pStyle w:val="ListParagraph"/>
              <w:widowControl w:val="0"/>
              <w:numPr>
                <w:ilvl w:val="0"/>
                <w:numId w:val="463"/>
              </w:numPr>
              <w:pBdr>
                <w:top w:val="nil"/>
                <w:left w:val="nil"/>
                <w:bottom w:val="nil"/>
                <w:right w:val="nil"/>
                <w:between w:val="nil"/>
              </w:pBdr>
              <w:tabs>
                <w:tab w:val="left" w:pos="1256"/>
              </w:tabs>
              <w:spacing w:after="0" w:line="240" w:lineRule="auto"/>
              <w:ind w:left="567" w:hanging="567"/>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Parameter atau indikator ini menghitung frekuensi terjadinya kesalahan perhitungan NAB</w:t>
            </w:r>
            <w:r w:rsidRPr="00306115">
              <w:rPr>
                <w:rFonts w:eastAsia="Bookman Old Style" w:cs="Bookman Old Style"/>
                <w:color w:val="000000" w:themeColor="text1"/>
                <w:szCs w:val="24"/>
                <w:lang w:val="en-GB"/>
              </w:rPr>
              <w:t xml:space="preserve"> yang dilakukan oleh Manajer Investasi dalam 1(satu) tahun terakhir.</w:t>
            </w:r>
          </w:p>
          <w:p w14:paraId="6861251D" w14:textId="77777777" w:rsidR="00B90766" w:rsidRPr="00306115" w:rsidRDefault="00722970">
            <w:pPr>
              <w:pStyle w:val="ListParagraph"/>
              <w:widowControl w:val="0"/>
              <w:numPr>
                <w:ilvl w:val="0"/>
                <w:numId w:val="463"/>
              </w:numPr>
              <w:pBdr>
                <w:top w:val="nil"/>
                <w:left w:val="nil"/>
                <w:bottom w:val="nil"/>
                <w:right w:val="nil"/>
                <w:between w:val="nil"/>
              </w:pBdr>
              <w:tabs>
                <w:tab w:val="left" w:pos="1256"/>
              </w:tabs>
              <w:spacing w:after="0" w:line="240" w:lineRule="auto"/>
              <w:ind w:left="567" w:hanging="567"/>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 xml:space="preserve">Semakin tinggi frekuensi kesalahan perhitungan NAB, semakin besar potensi dampak terhadap operasional dan kepentingan pemegang </w:t>
            </w:r>
            <w:r w:rsidRPr="00306115">
              <w:rPr>
                <w:rFonts w:eastAsia="Bookman Old Style" w:cs="Bookman Old Style"/>
                <w:color w:val="000000" w:themeColor="text1"/>
                <w:szCs w:val="24"/>
              </w:rPr>
              <w:lastRenderedPageBreak/>
              <w:t>unit penyertaan.</w:t>
            </w:r>
          </w:p>
          <w:p w14:paraId="66C32ED0" w14:textId="77777777" w:rsidR="00B90766" w:rsidRPr="00306115" w:rsidRDefault="00722970">
            <w:pPr>
              <w:pStyle w:val="ListParagraph"/>
              <w:widowControl w:val="0"/>
              <w:numPr>
                <w:ilvl w:val="0"/>
                <w:numId w:val="463"/>
              </w:numPr>
              <w:pBdr>
                <w:top w:val="nil"/>
                <w:left w:val="nil"/>
                <w:bottom w:val="nil"/>
                <w:right w:val="nil"/>
                <w:between w:val="nil"/>
              </w:pBdr>
              <w:tabs>
                <w:tab w:val="left" w:pos="1256"/>
              </w:tabs>
              <w:spacing w:after="0" w:line="240" w:lineRule="auto"/>
              <w:ind w:left="567" w:hanging="567"/>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 xml:space="preserve">Adapun </w:t>
            </w:r>
            <w:r w:rsidRPr="00306115">
              <w:rPr>
                <w:rFonts w:eastAsia="Bookman Old Style" w:cs="Bookman Old Style"/>
                <w:color w:val="000000" w:themeColor="text1"/>
                <w:szCs w:val="24"/>
                <w:lang w:val="en-ID"/>
              </w:rPr>
              <w:t>klasifikasi penilaian indikator ini terbagi menjadi 5 (lima) peringkat sebagai berikut:</w:t>
            </w:r>
          </w:p>
          <w:p w14:paraId="649CE4C0" w14:textId="0441AE2A" w:rsidR="00722970" w:rsidRPr="00306115" w:rsidRDefault="00722970">
            <w:pPr>
              <w:pStyle w:val="ListParagraph"/>
              <w:widowControl w:val="0"/>
              <w:numPr>
                <w:ilvl w:val="0"/>
                <w:numId w:val="464"/>
              </w:numPr>
              <w:pBdr>
                <w:top w:val="nil"/>
                <w:left w:val="nil"/>
                <w:bottom w:val="nil"/>
                <w:right w:val="nil"/>
                <w:between w:val="nil"/>
              </w:pBdr>
              <w:tabs>
                <w:tab w:val="left" w:pos="1681"/>
              </w:tabs>
              <w:spacing w:after="0" w:line="240" w:lineRule="auto"/>
              <w:ind w:left="972"/>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Peringkat 1</w:t>
            </w:r>
            <w:r w:rsidRPr="00306115">
              <w:rPr>
                <w:rFonts w:eastAsia="Bookman Old Style" w:cs="Bookman Old Style"/>
                <w:color w:val="000000" w:themeColor="text1"/>
                <w:szCs w:val="24"/>
                <w:lang w:val="en-GB"/>
              </w:rPr>
              <w:t>: Tidak terdapat Kesalahan Perhitungan NAB</w:t>
            </w:r>
          </w:p>
          <w:p w14:paraId="72008AE4" w14:textId="77777777" w:rsidR="00722970" w:rsidRPr="00306115" w:rsidRDefault="00722970">
            <w:pPr>
              <w:pStyle w:val="ListParagraph"/>
              <w:widowControl w:val="0"/>
              <w:numPr>
                <w:ilvl w:val="0"/>
                <w:numId w:val="464"/>
              </w:numPr>
              <w:pBdr>
                <w:top w:val="nil"/>
                <w:left w:val="nil"/>
                <w:bottom w:val="nil"/>
                <w:right w:val="nil"/>
                <w:between w:val="nil"/>
              </w:pBdr>
              <w:tabs>
                <w:tab w:val="left" w:pos="1681"/>
              </w:tabs>
              <w:spacing w:after="0" w:line="240" w:lineRule="auto"/>
              <w:ind w:left="972"/>
              <w:contextualSpacing w:val="0"/>
              <w:rPr>
                <w:rFonts w:eastAsia="Bookman Old Style" w:cs="Bookman Old Style"/>
                <w:color w:val="000000" w:themeColor="text1"/>
                <w:szCs w:val="24"/>
                <w:lang w:val="en-GB"/>
              </w:rPr>
            </w:pPr>
            <w:r w:rsidRPr="00306115">
              <w:rPr>
                <w:rFonts w:eastAsia="Bookman Old Style" w:cs="Bookman Old Style"/>
                <w:color w:val="000000" w:themeColor="text1"/>
                <w:szCs w:val="24"/>
              </w:rPr>
              <w:t xml:space="preserve">Peringkat 2 </w:t>
            </w:r>
            <w:r w:rsidRPr="00306115">
              <w:rPr>
                <w:rFonts w:eastAsia="Bookman Old Style" w:cs="Bookman Old Style"/>
                <w:color w:val="000000" w:themeColor="text1"/>
                <w:szCs w:val="24"/>
                <w:lang w:val="en-GB"/>
              </w:rPr>
              <w:t>: Terdapat 1 kali Kesalahan Perhitungan NAB</w:t>
            </w:r>
          </w:p>
          <w:p w14:paraId="19DD314F" w14:textId="77777777" w:rsidR="00722970" w:rsidRPr="00306115" w:rsidRDefault="00722970">
            <w:pPr>
              <w:pStyle w:val="ListParagraph"/>
              <w:widowControl w:val="0"/>
              <w:numPr>
                <w:ilvl w:val="0"/>
                <w:numId w:val="464"/>
              </w:numPr>
              <w:pBdr>
                <w:top w:val="nil"/>
                <w:left w:val="nil"/>
                <w:bottom w:val="nil"/>
                <w:right w:val="nil"/>
                <w:between w:val="nil"/>
              </w:pBdr>
              <w:tabs>
                <w:tab w:val="left" w:pos="1681"/>
              </w:tabs>
              <w:spacing w:after="0" w:line="240" w:lineRule="auto"/>
              <w:ind w:left="972"/>
              <w:contextualSpacing w:val="0"/>
              <w:rPr>
                <w:rFonts w:eastAsia="Bookman Old Style" w:cs="Bookman Old Style"/>
                <w:color w:val="000000" w:themeColor="text1"/>
                <w:szCs w:val="24"/>
                <w:lang w:val="en-GB"/>
              </w:rPr>
            </w:pPr>
            <w:r w:rsidRPr="00306115">
              <w:rPr>
                <w:rFonts w:eastAsia="Bookman Old Style" w:cs="Bookman Old Style"/>
                <w:color w:val="000000" w:themeColor="text1"/>
                <w:szCs w:val="24"/>
              </w:rPr>
              <w:t xml:space="preserve">Peringkat 3 </w:t>
            </w:r>
            <w:r w:rsidRPr="00306115">
              <w:rPr>
                <w:rFonts w:eastAsia="Bookman Old Style" w:cs="Bookman Old Style"/>
                <w:color w:val="000000" w:themeColor="text1"/>
                <w:szCs w:val="24"/>
                <w:lang w:val="en-GB"/>
              </w:rPr>
              <w:t>: Terdapat 2 kali Kesalahan Perhitungan NAB</w:t>
            </w:r>
          </w:p>
          <w:p w14:paraId="55B96D81" w14:textId="77777777" w:rsidR="00722970" w:rsidRPr="00306115" w:rsidRDefault="00722970">
            <w:pPr>
              <w:pStyle w:val="ListParagraph"/>
              <w:widowControl w:val="0"/>
              <w:numPr>
                <w:ilvl w:val="0"/>
                <w:numId w:val="464"/>
              </w:numPr>
              <w:pBdr>
                <w:top w:val="nil"/>
                <w:left w:val="nil"/>
                <w:bottom w:val="nil"/>
                <w:right w:val="nil"/>
                <w:between w:val="nil"/>
              </w:pBdr>
              <w:tabs>
                <w:tab w:val="left" w:pos="1681"/>
              </w:tabs>
              <w:spacing w:after="0" w:line="240" w:lineRule="auto"/>
              <w:ind w:left="972"/>
              <w:contextualSpacing w:val="0"/>
              <w:rPr>
                <w:rFonts w:eastAsia="Bookman Old Style" w:cs="Bookman Old Style"/>
                <w:color w:val="000000" w:themeColor="text1"/>
                <w:szCs w:val="24"/>
                <w:lang w:val="en-GB"/>
              </w:rPr>
            </w:pPr>
            <w:r w:rsidRPr="00306115">
              <w:rPr>
                <w:rFonts w:eastAsia="Bookman Old Style" w:cs="Bookman Old Style"/>
                <w:color w:val="000000" w:themeColor="text1"/>
                <w:szCs w:val="24"/>
              </w:rPr>
              <w:t xml:space="preserve">Peringkat 4 </w:t>
            </w:r>
            <w:r w:rsidRPr="00306115">
              <w:rPr>
                <w:rFonts w:eastAsia="Bookman Old Style" w:cs="Bookman Old Style"/>
                <w:color w:val="000000" w:themeColor="text1"/>
                <w:szCs w:val="24"/>
                <w:lang w:val="en-GB"/>
              </w:rPr>
              <w:t xml:space="preserve">: Terdapat </w:t>
            </w:r>
            <w:r w:rsidRPr="00306115">
              <w:rPr>
                <w:rFonts w:eastAsia="Bookman Old Style" w:cs="Bookman Old Style"/>
                <w:color w:val="000000" w:themeColor="text1"/>
                <w:szCs w:val="24"/>
              </w:rPr>
              <w:t>3-</w:t>
            </w:r>
            <w:r w:rsidRPr="00306115">
              <w:rPr>
                <w:rFonts w:eastAsia="Bookman Old Style" w:cs="Bookman Old Style"/>
                <w:color w:val="000000" w:themeColor="text1"/>
                <w:szCs w:val="24"/>
                <w:lang w:val="en-GB"/>
              </w:rPr>
              <w:t>4 kali Kesalahan Perhitungan NAB</w:t>
            </w:r>
          </w:p>
          <w:p w14:paraId="180FCCF0" w14:textId="45AAC47B" w:rsidR="00722970" w:rsidRPr="00306115" w:rsidRDefault="00722970">
            <w:pPr>
              <w:pStyle w:val="ListParagraph"/>
              <w:widowControl w:val="0"/>
              <w:numPr>
                <w:ilvl w:val="0"/>
                <w:numId w:val="464"/>
              </w:numPr>
              <w:pBdr>
                <w:top w:val="nil"/>
                <w:left w:val="nil"/>
                <w:bottom w:val="nil"/>
                <w:right w:val="nil"/>
                <w:between w:val="nil"/>
              </w:pBdr>
              <w:tabs>
                <w:tab w:val="left" w:pos="1681"/>
              </w:tabs>
              <w:spacing w:after="0" w:line="240" w:lineRule="auto"/>
              <w:ind w:left="972"/>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Peringkat 5</w:t>
            </w:r>
            <w:r w:rsidRPr="00306115">
              <w:rPr>
                <w:rFonts w:eastAsia="Bookman Old Style" w:cs="Bookman Old Style"/>
                <w:color w:val="000000" w:themeColor="text1"/>
                <w:szCs w:val="24"/>
                <w:lang w:val="en-GB"/>
              </w:rPr>
              <w:t>: Terdapat ≥5 kali Kesalahan Perhitungan NAB.</w:t>
            </w:r>
          </w:p>
        </w:tc>
      </w:tr>
      <w:tr w:rsidR="00144143" w:rsidRPr="00306115" w14:paraId="5FCDBD21" w14:textId="77777777" w:rsidTr="00740724">
        <w:trPr>
          <w:trHeight w:val="526"/>
        </w:trPr>
        <w:tc>
          <w:tcPr>
            <w:tcW w:w="3261" w:type="dxa"/>
            <w:gridSpan w:val="2"/>
            <w:tcBorders>
              <w:top w:val="single" w:sz="8" w:space="0" w:color="000000" w:themeColor="text1"/>
              <w:left w:val="single" w:sz="8" w:space="0" w:color="000000" w:themeColor="text1"/>
              <w:right w:val="single" w:sz="8" w:space="0" w:color="000000" w:themeColor="text1"/>
            </w:tcBorders>
          </w:tcPr>
          <w:p w14:paraId="4370B87A" w14:textId="36C48392" w:rsidR="00144143" w:rsidRPr="00306115" w:rsidRDefault="00144143" w:rsidP="00F259CC">
            <w:pPr>
              <w:spacing w:after="0" w:line="240" w:lineRule="auto"/>
              <w:rPr>
                <w:rFonts w:eastAsia="Bookman Old Style" w:cs="Bookman Old Style"/>
                <w:color w:val="000000" w:themeColor="text1"/>
                <w:szCs w:val="24"/>
              </w:rPr>
            </w:pPr>
            <w:r w:rsidRPr="00306115">
              <w:rPr>
                <w:rFonts w:eastAsia="Bookman Old Style" w:cs="Bookman Old Style"/>
                <w:b/>
                <w:bCs/>
                <w:color w:val="000000" w:themeColor="text1"/>
                <w:szCs w:val="24"/>
              </w:rPr>
              <w:lastRenderedPageBreak/>
              <w:t xml:space="preserve">Manajemen </w:t>
            </w:r>
            <w:r w:rsidR="00E01351" w:rsidRPr="00306115">
              <w:rPr>
                <w:rFonts w:eastAsia="Bookman Old Style" w:cs="Bookman Old Style"/>
                <w:b/>
                <w:bCs/>
                <w:color w:val="000000" w:themeColor="text1"/>
                <w:szCs w:val="24"/>
              </w:rPr>
              <w:t>Sumber Daya Manusia</w:t>
            </w:r>
          </w:p>
        </w:tc>
        <w:tc>
          <w:tcPr>
            <w:tcW w:w="255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61FFA1" w14:textId="77777777" w:rsidR="00144143" w:rsidRPr="00306115" w:rsidRDefault="00144143" w:rsidP="00F259CC">
            <w:pPr>
              <w:widowControl w:val="0"/>
              <w:pBdr>
                <w:top w:val="nil"/>
                <w:left w:val="nil"/>
                <w:bottom w:val="nil"/>
                <w:right w:val="nil"/>
                <w:between w:val="nil"/>
              </w:pBdr>
              <w:spacing w:after="0" w:line="240" w:lineRule="auto"/>
              <w:rPr>
                <w:rFonts w:eastAsia="Bookman Old Style" w:cs="Bookman Old Style"/>
                <w:color w:val="000000" w:themeColor="text1"/>
                <w:szCs w:val="24"/>
              </w:rPr>
            </w:pPr>
            <w:r w:rsidRPr="00306115">
              <w:rPr>
                <w:rFonts w:eastAsia="Bookman Old Style" w:cs="Bookman Old Style"/>
                <w:i/>
                <w:iCs/>
                <w:color w:val="000000" w:themeColor="text1"/>
                <w:szCs w:val="24"/>
              </w:rPr>
              <w:t xml:space="preserve">Turn over </w:t>
            </w:r>
            <w:r w:rsidRPr="00306115">
              <w:rPr>
                <w:rFonts w:eastAsia="Bookman Old Style" w:cs="Bookman Old Style"/>
                <w:color w:val="000000" w:themeColor="text1"/>
                <w:szCs w:val="24"/>
              </w:rPr>
              <w:t>pegawai yang memiliki izin Wakil Perusahaan Efek (WPE)</w:t>
            </w:r>
          </w:p>
        </w:tc>
        <w:tc>
          <w:tcPr>
            <w:tcW w:w="89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CF2246" w14:textId="77777777" w:rsidR="0099379B" w:rsidRPr="00306115" w:rsidRDefault="0099379B">
            <w:pPr>
              <w:pStyle w:val="ListParagraph"/>
              <w:widowControl w:val="0"/>
              <w:numPr>
                <w:ilvl w:val="0"/>
                <w:numId w:val="465"/>
              </w:numPr>
              <w:spacing w:after="0" w:line="240" w:lineRule="auto"/>
              <w:ind w:left="567" w:hanging="567"/>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Parameter atau indikator ini mengukur tingkat pergerakan (</w:t>
            </w:r>
            <w:r w:rsidRPr="00306115">
              <w:rPr>
                <w:rFonts w:eastAsia="Bookman Old Style" w:cs="Bookman Old Style"/>
                <w:i/>
                <w:iCs/>
                <w:color w:val="000000" w:themeColor="text1"/>
                <w:szCs w:val="24"/>
              </w:rPr>
              <w:t>turnover</w:t>
            </w:r>
            <w:r w:rsidRPr="00306115">
              <w:rPr>
                <w:rFonts w:eastAsia="Bookman Old Style" w:cs="Bookman Old Style"/>
                <w:color w:val="000000" w:themeColor="text1"/>
                <w:szCs w:val="24"/>
              </w:rPr>
              <w:t>) pegawai yang memiliki izin Wakil Perusahaan Efek (WPE), baik yang keluar maupun yang bergabung dengan Manajer Investasi, dalam 1 (satu) tahun terakhir, dibandingkan dengan rata-rata jumlah pegawai ber-WPE pada periode yang sama</w:t>
            </w:r>
          </w:p>
          <w:p w14:paraId="277B4283" w14:textId="77777777" w:rsidR="0099379B" w:rsidRPr="00306115" w:rsidRDefault="0099379B">
            <w:pPr>
              <w:pStyle w:val="ListParagraph"/>
              <w:widowControl w:val="0"/>
              <w:numPr>
                <w:ilvl w:val="0"/>
                <w:numId w:val="465"/>
              </w:numPr>
              <w:spacing w:after="0" w:line="240" w:lineRule="auto"/>
              <w:ind w:left="567" w:hanging="567"/>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 xml:space="preserve">Semakin tinggi tingkat </w:t>
            </w:r>
            <w:r w:rsidRPr="00306115">
              <w:rPr>
                <w:rFonts w:eastAsia="Bookman Old Style" w:cs="Bookman Old Style"/>
                <w:i/>
                <w:iCs/>
                <w:color w:val="000000" w:themeColor="text1"/>
                <w:szCs w:val="24"/>
              </w:rPr>
              <w:t>turnover</w:t>
            </w:r>
            <w:r w:rsidRPr="00306115">
              <w:rPr>
                <w:rFonts w:eastAsia="Bookman Old Style" w:cs="Bookman Old Style"/>
                <w:color w:val="000000" w:themeColor="text1"/>
                <w:szCs w:val="24"/>
              </w:rPr>
              <w:t>, semakin besar potensi gangguan terhadap kesinambungan operasional Manajer Investasi.</w:t>
            </w:r>
          </w:p>
          <w:p w14:paraId="1ADC0B23" w14:textId="126AD508" w:rsidR="0099379B" w:rsidRPr="00306115" w:rsidRDefault="0099379B">
            <w:pPr>
              <w:pStyle w:val="ListParagraph"/>
              <w:widowControl w:val="0"/>
              <w:numPr>
                <w:ilvl w:val="0"/>
                <w:numId w:val="465"/>
              </w:numPr>
              <w:spacing w:after="0" w:line="240" w:lineRule="auto"/>
              <w:ind w:left="567" w:hanging="567"/>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Adapun formula perhitungan yang digunakan sebagai berikut:</w:t>
            </w:r>
          </w:p>
          <w:p w14:paraId="06A3FB29" w14:textId="77777777" w:rsidR="0099379B" w:rsidRPr="00306115" w:rsidRDefault="00DD3739" w:rsidP="0099379B">
            <w:pPr>
              <w:widowControl w:val="0"/>
              <w:spacing w:after="0" w:line="300" w:lineRule="auto"/>
              <w:rPr>
                <w:rFonts w:eastAsia="Bookman Old Style" w:cs="Bookman Old Style"/>
                <w:color w:val="000000" w:themeColor="text1"/>
                <w:szCs w:val="24"/>
              </w:rPr>
            </w:pPr>
            <m:oMathPara>
              <m:oMathParaPr>
                <m:jc m:val="center"/>
              </m:oMathParaPr>
              <m:oMath>
                <m:f>
                  <m:fPr>
                    <m:ctrlPr>
                      <w:rPr>
                        <w:rFonts w:ascii="Cambria Math" w:eastAsia="Cambria Math" w:hAnsi="Cambria Math" w:cs="Cambria Math"/>
                        <w:color w:val="000000" w:themeColor="text1"/>
                        <w:szCs w:val="24"/>
                      </w:rPr>
                    </m:ctrlPr>
                  </m:fPr>
                  <m:num>
                    <m:r>
                      <w:rPr>
                        <w:rFonts w:ascii="Cambria Math" w:eastAsia="Cambria Math" w:hAnsi="Cambria Math" w:cs="Cambria Math"/>
                        <w:color w:val="000000" w:themeColor="text1"/>
                        <w:szCs w:val="24"/>
                      </w:rPr>
                      <m:t>Jumla</m:t>
                    </m:r>
                    <m:r>
                      <w:rPr>
                        <w:rFonts w:ascii="Cambria Math" w:eastAsia="Cambria Math" w:hAnsi="Cambria Math" w:cs="Cambria Math"/>
                        <w:color w:val="000000" w:themeColor="text1"/>
                        <w:szCs w:val="24"/>
                      </w:rPr>
                      <m:t>h</m:t>
                    </m:r>
                    <m:r>
                      <w:rPr>
                        <w:rFonts w:ascii="Cambria Math" w:eastAsia="Cambria Math" w:hAnsi="Cambria Math" w:cs="Cambria Math"/>
                        <w:color w:val="000000" w:themeColor="text1"/>
                        <w:szCs w:val="24"/>
                      </w:rPr>
                      <m:t xml:space="preserve"> </m:t>
                    </m:r>
                    <m:r>
                      <w:rPr>
                        <w:rFonts w:ascii="Cambria Math" w:eastAsia="Cambria Math" w:hAnsi="Cambria Math" w:cs="Cambria Math"/>
                        <w:color w:val="000000" w:themeColor="text1"/>
                        <w:szCs w:val="24"/>
                      </w:rPr>
                      <m:t>pegawai</m:t>
                    </m:r>
                    <m:r>
                      <w:rPr>
                        <w:rFonts w:ascii="Cambria Math" w:eastAsia="Cambria Math" w:hAnsi="Cambria Math" w:cs="Cambria Math"/>
                        <w:color w:val="000000" w:themeColor="text1"/>
                        <w:szCs w:val="24"/>
                      </w:rPr>
                      <m:t xml:space="preserve"> </m:t>
                    </m:r>
                    <m:r>
                      <w:rPr>
                        <w:rFonts w:ascii="Cambria Math" w:eastAsia="Cambria Math" w:hAnsi="Cambria Math" w:cs="Cambria Math"/>
                        <w:color w:val="000000" w:themeColor="text1"/>
                        <w:szCs w:val="24"/>
                      </w:rPr>
                      <m:t>dengan</m:t>
                    </m:r>
                    <m:r>
                      <w:rPr>
                        <w:rFonts w:ascii="Cambria Math" w:eastAsia="Cambria Math" w:hAnsi="Cambria Math" w:cs="Cambria Math"/>
                        <w:color w:val="000000" w:themeColor="text1"/>
                        <w:szCs w:val="24"/>
                      </w:rPr>
                      <m:t xml:space="preserve"> </m:t>
                    </m:r>
                    <m:r>
                      <w:rPr>
                        <w:rFonts w:ascii="Cambria Math" w:eastAsia="Cambria Math" w:hAnsi="Cambria Math" w:cs="Cambria Math"/>
                        <w:color w:val="000000" w:themeColor="text1"/>
                        <w:szCs w:val="24"/>
                      </w:rPr>
                      <m:t>izin</m:t>
                    </m:r>
                    <m:r>
                      <w:rPr>
                        <w:rFonts w:ascii="Cambria Math" w:eastAsia="Cambria Math" w:hAnsi="Cambria Math" w:cs="Cambria Math"/>
                        <w:color w:val="000000" w:themeColor="text1"/>
                        <w:szCs w:val="24"/>
                      </w:rPr>
                      <m:t xml:space="preserve"> </m:t>
                    </m:r>
                    <m:r>
                      <w:rPr>
                        <w:rFonts w:ascii="Cambria Math" w:eastAsia="Cambria Math" w:hAnsi="Cambria Math" w:cs="Cambria Math"/>
                        <w:color w:val="000000" w:themeColor="text1"/>
                        <w:szCs w:val="24"/>
                      </w:rPr>
                      <m:t>WPE</m:t>
                    </m:r>
                    <m:r>
                      <w:rPr>
                        <w:rFonts w:ascii="Cambria Math" w:eastAsia="Cambria Math" w:hAnsi="Cambria Math" w:cs="Cambria Math"/>
                        <w:color w:val="000000" w:themeColor="text1"/>
                        <w:szCs w:val="24"/>
                      </w:rPr>
                      <m:t xml:space="preserve"> </m:t>
                    </m:r>
                    <m:r>
                      <w:rPr>
                        <w:rFonts w:ascii="Cambria Math" w:eastAsia="Cambria Math" w:hAnsi="Cambria Math" w:cs="Cambria Math"/>
                        <w:color w:val="000000" w:themeColor="text1"/>
                        <w:szCs w:val="24"/>
                      </w:rPr>
                      <m:t>ak</m:t>
                    </m:r>
                    <m:r>
                      <w:rPr>
                        <w:rFonts w:ascii="Cambria Math" w:eastAsia="Cambria Math" w:hAnsi="Cambria Math" w:cs="Cambria Math"/>
                        <w:color w:val="000000" w:themeColor="text1"/>
                        <w:szCs w:val="24"/>
                      </w:rPr>
                      <m:t>h</m:t>
                    </m:r>
                    <m:r>
                      <w:rPr>
                        <w:rFonts w:ascii="Cambria Math" w:eastAsia="Cambria Math" w:hAnsi="Cambria Math" w:cs="Cambria Math"/>
                        <w:color w:val="000000" w:themeColor="text1"/>
                        <w:szCs w:val="24"/>
                      </w:rPr>
                      <m:t>ir</m:t>
                    </m:r>
                    <m:r>
                      <w:rPr>
                        <w:rFonts w:ascii="Cambria Math" w:eastAsia="Cambria Math" w:hAnsi="Cambria Math" w:cs="Cambria Math"/>
                        <w:color w:val="000000" w:themeColor="text1"/>
                        <w:szCs w:val="24"/>
                      </w:rPr>
                      <m:t xml:space="preserve"> </m:t>
                    </m:r>
                    <m:r>
                      <w:rPr>
                        <w:rFonts w:ascii="Cambria Math" w:eastAsia="Cambria Math" w:hAnsi="Cambria Math" w:cs="Cambria Math"/>
                        <w:color w:val="000000" w:themeColor="text1"/>
                        <w:szCs w:val="24"/>
                      </w:rPr>
                      <m:t>ta</m:t>
                    </m:r>
                    <m:r>
                      <w:rPr>
                        <w:rFonts w:ascii="Cambria Math" w:eastAsia="Cambria Math" w:hAnsi="Cambria Math" w:cs="Cambria Math"/>
                        <w:color w:val="000000" w:themeColor="text1"/>
                        <w:szCs w:val="24"/>
                      </w:rPr>
                      <m:t>h</m:t>
                    </m:r>
                    <m:r>
                      <w:rPr>
                        <w:rFonts w:ascii="Cambria Math" w:eastAsia="Cambria Math" w:hAnsi="Cambria Math" w:cs="Cambria Math"/>
                        <w:color w:val="000000" w:themeColor="text1"/>
                        <w:szCs w:val="24"/>
                      </w:rPr>
                      <m:t>un</m:t>
                    </m:r>
                  </m:num>
                  <m:den>
                    <m:f>
                      <m:fPr>
                        <m:ctrlPr>
                          <w:rPr>
                            <w:rFonts w:ascii="Cambria Math" w:eastAsia="Cambria Math" w:hAnsi="Cambria Math" w:cs="Cambria Math"/>
                            <w:color w:val="000000" w:themeColor="text1"/>
                            <w:szCs w:val="24"/>
                          </w:rPr>
                        </m:ctrlPr>
                      </m:fPr>
                      <m:num>
                        <m:r>
                          <w:rPr>
                            <w:rFonts w:ascii="Cambria Math" w:eastAsia="Cambria Math" w:hAnsi="Cambria Math" w:cs="Cambria Math"/>
                            <w:color w:val="000000" w:themeColor="text1"/>
                            <w:szCs w:val="24"/>
                          </w:rPr>
                          <m:t>1</m:t>
                        </m:r>
                      </m:num>
                      <m:den>
                        <m:r>
                          <w:rPr>
                            <w:rFonts w:ascii="Cambria Math" w:eastAsia="Cambria Math" w:hAnsi="Cambria Math" w:cs="Cambria Math"/>
                            <w:color w:val="000000" w:themeColor="text1"/>
                            <w:szCs w:val="24"/>
                          </w:rPr>
                          <m:t>2</m:t>
                        </m:r>
                      </m:den>
                    </m:f>
                    <m:d>
                      <m:dPr>
                        <m:ctrlPr>
                          <w:rPr>
                            <w:rFonts w:ascii="Cambria Math" w:eastAsia="Cambria Math" w:hAnsi="Cambria Math" w:cs="Cambria Math"/>
                            <w:color w:val="000000" w:themeColor="text1"/>
                            <w:szCs w:val="24"/>
                          </w:rPr>
                        </m:ctrlPr>
                      </m:dPr>
                      <m:e>
                        <m:r>
                          <w:rPr>
                            <w:rFonts w:ascii="Cambria Math" w:eastAsia="Cambria Math" w:hAnsi="Cambria Math" w:cs="Cambria Math"/>
                            <w:color w:val="000000" w:themeColor="text1"/>
                            <w:szCs w:val="24"/>
                          </w:rPr>
                          <m:t>Jumla</m:t>
                        </m:r>
                        <m:r>
                          <w:rPr>
                            <w:rFonts w:ascii="Cambria Math" w:eastAsia="Cambria Math" w:hAnsi="Cambria Math" w:cs="Cambria Math"/>
                            <w:color w:val="000000" w:themeColor="text1"/>
                            <w:szCs w:val="24"/>
                          </w:rPr>
                          <m:t>h</m:t>
                        </m:r>
                        <m:r>
                          <w:rPr>
                            <w:rFonts w:ascii="Cambria Math" w:eastAsia="Cambria Math" w:hAnsi="Cambria Math" w:cs="Cambria Math"/>
                            <w:color w:val="000000" w:themeColor="text1"/>
                            <w:szCs w:val="24"/>
                          </w:rPr>
                          <m:t xml:space="preserve"> </m:t>
                        </m:r>
                        <m:r>
                          <w:rPr>
                            <w:rFonts w:ascii="Cambria Math" w:eastAsia="Cambria Math" w:hAnsi="Cambria Math" w:cs="Cambria Math"/>
                            <w:color w:val="000000" w:themeColor="text1"/>
                            <w:szCs w:val="24"/>
                          </w:rPr>
                          <m:t>pegawai</m:t>
                        </m:r>
                        <m:r>
                          <w:rPr>
                            <w:rFonts w:ascii="Cambria Math" w:eastAsia="Cambria Math" w:hAnsi="Cambria Math" w:cs="Cambria Math"/>
                            <w:color w:val="000000" w:themeColor="text1"/>
                            <w:szCs w:val="24"/>
                          </w:rPr>
                          <m:t xml:space="preserve"> </m:t>
                        </m:r>
                        <m:r>
                          <w:rPr>
                            <w:rFonts w:ascii="Cambria Math" w:eastAsia="Cambria Math" w:hAnsi="Cambria Math" w:cs="Cambria Math"/>
                            <w:color w:val="000000" w:themeColor="text1"/>
                            <w:szCs w:val="24"/>
                          </w:rPr>
                          <m:t>WPE</m:t>
                        </m:r>
                        <m:r>
                          <w:rPr>
                            <w:rFonts w:ascii="Cambria Math" w:eastAsia="Cambria Math" w:hAnsi="Cambria Math" w:cs="Cambria Math"/>
                            <w:color w:val="000000" w:themeColor="text1"/>
                            <w:szCs w:val="24"/>
                          </w:rPr>
                          <m:t xml:space="preserve"> </m:t>
                        </m:r>
                        <m:r>
                          <w:rPr>
                            <w:rFonts w:ascii="Cambria Math" w:eastAsia="Cambria Math" w:hAnsi="Cambria Math" w:cs="Cambria Math"/>
                            <w:color w:val="000000" w:themeColor="text1"/>
                            <w:szCs w:val="24"/>
                          </w:rPr>
                          <m:t>awal</m:t>
                        </m:r>
                        <m:r>
                          <w:rPr>
                            <w:rFonts w:ascii="Cambria Math" w:eastAsia="Cambria Math" w:hAnsi="Cambria Math" w:cs="Cambria Math"/>
                            <w:color w:val="000000" w:themeColor="text1"/>
                            <w:szCs w:val="24"/>
                          </w:rPr>
                          <m:t xml:space="preserve"> </m:t>
                        </m:r>
                        <m:r>
                          <w:rPr>
                            <w:rFonts w:ascii="Cambria Math" w:eastAsia="Cambria Math" w:hAnsi="Cambria Math" w:cs="Cambria Math"/>
                            <w:color w:val="000000" w:themeColor="text1"/>
                            <w:szCs w:val="24"/>
                          </w:rPr>
                          <m:t>ta</m:t>
                        </m:r>
                        <m:r>
                          <w:rPr>
                            <w:rFonts w:ascii="Cambria Math" w:eastAsia="Cambria Math" w:hAnsi="Cambria Math" w:cs="Cambria Math"/>
                            <w:color w:val="000000" w:themeColor="text1"/>
                            <w:szCs w:val="24"/>
                          </w:rPr>
                          <m:t>h</m:t>
                        </m:r>
                        <m:r>
                          <w:rPr>
                            <w:rFonts w:ascii="Cambria Math" w:eastAsia="Cambria Math" w:hAnsi="Cambria Math" w:cs="Cambria Math"/>
                            <w:color w:val="000000" w:themeColor="text1"/>
                            <w:szCs w:val="24"/>
                          </w:rPr>
                          <m:t>un</m:t>
                        </m:r>
                        <m:r>
                          <w:rPr>
                            <w:rFonts w:ascii="Cambria Math" w:eastAsia="Cambria Math" w:hAnsi="Cambria Math" w:cs="Cambria Math"/>
                            <w:color w:val="000000" w:themeColor="text1"/>
                            <w:szCs w:val="24"/>
                          </w:rPr>
                          <m:t xml:space="preserve">+ </m:t>
                        </m:r>
                        <m:r>
                          <w:rPr>
                            <w:rFonts w:ascii="Cambria Math" w:eastAsia="Cambria Math" w:hAnsi="Cambria Math" w:cs="Cambria Math"/>
                            <w:color w:val="000000" w:themeColor="text1"/>
                            <w:szCs w:val="24"/>
                          </w:rPr>
                          <m:t>ak</m:t>
                        </m:r>
                        <m:r>
                          <w:rPr>
                            <w:rFonts w:ascii="Cambria Math" w:eastAsia="Cambria Math" w:hAnsi="Cambria Math" w:cs="Cambria Math"/>
                            <w:color w:val="000000" w:themeColor="text1"/>
                            <w:szCs w:val="24"/>
                          </w:rPr>
                          <m:t>h</m:t>
                        </m:r>
                        <m:r>
                          <w:rPr>
                            <w:rFonts w:ascii="Cambria Math" w:eastAsia="Cambria Math" w:hAnsi="Cambria Math" w:cs="Cambria Math"/>
                            <w:color w:val="000000" w:themeColor="text1"/>
                            <w:szCs w:val="24"/>
                          </w:rPr>
                          <m:t>ir</m:t>
                        </m:r>
                        <m:r>
                          <w:rPr>
                            <w:rFonts w:ascii="Cambria Math" w:eastAsia="Cambria Math" w:hAnsi="Cambria Math" w:cs="Cambria Math"/>
                            <w:color w:val="000000" w:themeColor="text1"/>
                            <w:szCs w:val="24"/>
                          </w:rPr>
                          <m:t xml:space="preserve"> </m:t>
                        </m:r>
                        <m:r>
                          <w:rPr>
                            <w:rFonts w:ascii="Cambria Math" w:eastAsia="Cambria Math" w:hAnsi="Cambria Math" w:cs="Cambria Math"/>
                            <w:color w:val="000000" w:themeColor="text1"/>
                            <w:szCs w:val="24"/>
                          </w:rPr>
                          <m:t>ta</m:t>
                        </m:r>
                        <m:r>
                          <w:rPr>
                            <w:rFonts w:ascii="Cambria Math" w:eastAsia="Cambria Math" w:hAnsi="Cambria Math" w:cs="Cambria Math"/>
                            <w:color w:val="000000" w:themeColor="text1"/>
                            <w:szCs w:val="24"/>
                          </w:rPr>
                          <m:t>h</m:t>
                        </m:r>
                        <m:r>
                          <w:rPr>
                            <w:rFonts w:ascii="Cambria Math" w:eastAsia="Cambria Math" w:hAnsi="Cambria Math" w:cs="Cambria Math"/>
                            <w:color w:val="000000" w:themeColor="text1"/>
                            <w:szCs w:val="24"/>
                          </w:rPr>
                          <m:t>un</m:t>
                        </m:r>
                      </m:e>
                    </m:d>
                  </m:den>
                </m:f>
                <m:r>
                  <w:rPr>
                    <w:rFonts w:ascii="Cambria Math" w:eastAsia="Cambria Math" w:hAnsi="Cambria Math" w:cs="Cambria Math"/>
                    <w:color w:val="000000" w:themeColor="text1"/>
                    <w:szCs w:val="24"/>
                  </w:rPr>
                  <m:t>×100%</m:t>
                </m:r>
              </m:oMath>
            </m:oMathPara>
          </w:p>
          <w:p w14:paraId="2734CAC5" w14:textId="77777777" w:rsidR="0099379B" w:rsidRPr="00306115" w:rsidRDefault="0099379B">
            <w:pPr>
              <w:pStyle w:val="ListParagraph"/>
              <w:widowControl w:val="0"/>
              <w:numPr>
                <w:ilvl w:val="0"/>
                <w:numId w:val="465"/>
              </w:numPr>
              <w:spacing w:after="0" w:line="240" w:lineRule="auto"/>
              <w:ind w:left="567" w:hanging="567"/>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 xml:space="preserve">Adapun </w:t>
            </w:r>
            <w:r w:rsidRPr="00306115">
              <w:rPr>
                <w:rFonts w:eastAsia="Bookman Old Style" w:cs="Bookman Old Style"/>
                <w:color w:val="000000" w:themeColor="text1"/>
                <w:szCs w:val="24"/>
                <w:lang w:val="en-ID"/>
              </w:rPr>
              <w:t>klasifikasi penilaian indikator ini terbagi menjadi 5 (lima) peringkat sebagai berikut:</w:t>
            </w:r>
          </w:p>
          <w:p w14:paraId="48C21CCE" w14:textId="36B269F2" w:rsidR="0099379B" w:rsidRPr="00306115" w:rsidRDefault="0099379B">
            <w:pPr>
              <w:pStyle w:val="ListParagraph"/>
              <w:widowControl w:val="0"/>
              <w:numPr>
                <w:ilvl w:val="0"/>
                <w:numId w:val="466"/>
              </w:numPr>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0085674A" w:rsidRPr="00306115">
              <w:rPr>
                <w:rFonts w:eastAsia="Bookman Old Style" w:cs="Bookman Old Style"/>
                <w:color w:val="000000" w:themeColor="text1"/>
                <w:szCs w:val="24"/>
                <w:lang w:val="en-GB"/>
              </w:rPr>
              <w:t xml:space="preserve"> </w:t>
            </w:r>
            <w:r w:rsidRPr="00306115">
              <w:rPr>
                <w:rFonts w:eastAsia="Bookman Old Style" w:cs="Bookman Old Style"/>
                <w:color w:val="000000" w:themeColor="text1"/>
                <w:szCs w:val="24"/>
                <w:lang w:val="en-GB"/>
              </w:rPr>
              <w:t>1: Turn over pegawai yang memiliki izin WakilPerusahaan efek 0-≤5%</w:t>
            </w:r>
          </w:p>
          <w:p w14:paraId="59D7E486" w14:textId="77777777" w:rsidR="0099379B" w:rsidRPr="00306115" w:rsidRDefault="0099379B">
            <w:pPr>
              <w:pStyle w:val="ListParagraph"/>
              <w:widowControl w:val="0"/>
              <w:numPr>
                <w:ilvl w:val="0"/>
                <w:numId w:val="466"/>
              </w:numPr>
              <w:spacing w:after="0" w:line="240" w:lineRule="auto"/>
              <w:ind w:left="851" w:hanging="284"/>
              <w:contextualSpacing w:val="0"/>
              <w:rPr>
                <w:rFonts w:eastAsia="Bookman Old Style" w:cs="Bookman Old Style"/>
                <w:color w:val="000000" w:themeColor="text1"/>
                <w:szCs w:val="24"/>
                <w:lang w:val="en-GB"/>
              </w:rPr>
            </w:pPr>
            <w:r w:rsidRPr="00306115">
              <w:rPr>
                <w:rFonts w:eastAsia="Bookman Old Style" w:cs="Bookman Old Style"/>
                <w:color w:val="000000" w:themeColor="text1"/>
                <w:szCs w:val="24"/>
                <w:lang w:val="en-GB"/>
              </w:rPr>
              <w:t>Peringkat 2: Turn over pegawai yang memiliki izin Wakil Perusahaan Efek &gt; 5-≤10%</w:t>
            </w:r>
          </w:p>
          <w:p w14:paraId="4A66D2C7" w14:textId="77777777" w:rsidR="0099379B" w:rsidRPr="00306115" w:rsidRDefault="0099379B">
            <w:pPr>
              <w:pStyle w:val="ListParagraph"/>
              <w:widowControl w:val="0"/>
              <w:numPr>
                <w:ilvl w:val="0"/>
                <w:numId w:val="466"/>
              </w:numPr>
              <w:spacing w:after="0" w:line="240" w:lineRule="auto"/>
              <w:ind w:left="851" w:hanging="284"/>
              <w:contextualSpacing w:val="0"/>
              <w:rPr>
                <w:rFonts w:eastAsia="Bookman Old Style" w:cs="Bookman Old Style"/>
                <w:color w:val="000000" w:themeColor="text1"/>
                <w:szCs w:val="24"/>
                <w:lang w:val="en-GB"/>
              </w:rPr>
            </w:pPr>
            <w:r w:rsidRPr="00306115">
              <w:rPr>
                <w:rFonts w:eastAsia="Bookman Old Style" w:cs="Bookman Old Style"/>
                <w:color w:val="000000" w:themeColor="text1"/>
                <w:szCs w:val="24"/>
                <w:lang w:val="en-GB"/>
              </w:rPr>
              <w:t>Peringkat 3: Turn over pegawai yang memiliki izin Wakil Perusahaan Efek &gt;10-≤15%</w:t>
            </w:r>
          </w:p>
          <w:p w14:paraId="65B0FDEC" w14:textId="77777777" w:rsidR="0099379B" w:rsidRPr="00306115" w:rsidRDefault="0099379B">
            <w:pPr>
              <w:pStyle w:val="ListParagraph"/>
              <w:widowControl w:val="0"/>
              <w:numPr>
                <w:ilvl w:val="0"/>
                <w:numId w:val="466"/>
              </w:numPr>
              <w:spacing w:after="0" w:line="240" w:lineRule="auto"/>
              <w:ind w:left="851" w:hanging="284"/>
              <w:contextualSpacing w:val="0"/>
              <w:rPr>
                <w:rFonts w:eastAsia="Bookman Old Style" w:cs="Bookman Old Style"/>
                <w:color w:val="000000" w:themeColor="text1"/>
                <w:szCs w:val="24"/>
                <w:lang w:val="en-GB"/>
              </w:rPr>
            </w:pPr>
            <w:r w:rsidRPr="00306115">
              <w:rPr>
                <w:rFonts w:eastAsia="Bookman Old Style" w:cs="Bookman Old Style"/>
                <w:color w:val="000000" w:themeColor="text1"/>
                <w:szCs w:val="24"/>
                <w:lang w:val="en-GB"/>
              </w:rPr>
              <w:t>Peringkat 4: Turn over pegawai yang memiliki izin Wakil Perusahaan Efek &gt;15-≤25%</w:t>
            </w:r>
          </w:p>
          <w:p w14:paraId="2775731C" w14:textId="520A3A93" w:rsidR="00551FDE" w:rsidRPr="00306115" w:rsidRDefault="0099379B">
            <w:pPr>
              <w:pStyle w:val="ListParagraph"/>
              <w:widowControl w:val="0"/>
              <w:numPr>
                <w:ilvl w:val="0"/>
                <w:numId w:val="466"/>
              </w:numPr>
              <w:spacing w:after="0" w:line="240" w:lineRule="auto"/>
              <w:ind w:left="851" w:hanging="284"/>
              <w:contextualSpacing w:val="0"/>
              <w:rPr>
                <w:rFonts w:eastAsia="Cambria Math" w:cs="Cambria Math"/>
                <w:color w:val="000000" w:themeColor="text1"/>
                <w:szCs w:val="24"/>
              </w:rPr>
            </w:pPr>
            <w:r w:rsidRPr="00306115">
              <w:rPr>
                <w:rFonts w:eastAsia="Bookman Old Style" w:cs="Bookman Old Style"/>
                <w:color w:val="000000" w:themeColor="text1"/>
                <w:szCs w:val="24"/>
                <w:lang w:val="en-GB"/>
              </w:rPr>
              <w:t>Peringkat 5: Turn over pegawai yang memiliki izin Wakil Perusahaan Efek &gt;25%</w:t>
            </w:r>
          </w:p>
        </w:tc>
      </w:tr>
      <w:tr w:rsidR="00144143" w:rsidRPr="00306115" w14:paraId="3E8A9BFE" w14:textId="77777777" w:rsidTr="00740724">
        <w:trPr>
          <w:trHeight w:val="526"/>
        </w:trPr>
        <w:tc>
          <w:tcPr>
            <w:tcW w:w="3261" w:type="dxa"/>
            <w:gridSpan w:val="2"/>
          </w:tcPr>
          <w:p w14:paraId="72DD9186" w14:textId="77777777" w:rsidR="00144143" w:rsidRPr="00306115" w:rsidRDefault="00144143" w:rsidP="00F259CC">
            <w:pPr>
              <w:widowControl w:val="0"/>
              <w:pBdr>
                <w:top w:val="nil"/>
                <w:left w:val="nil"/>
                <w:bottom w:val="nil"/>
                <w:right w:val="nil"/>
                <w:between w:val="nil"/>
              </w:pBdr>
              <w:spacing w:after="0" w:line="240" w:lineRule="auto"/>
              <w:rPr>
                <w:rFonts w:eastAsia="Cambria Math" w:cs="Cambria Math"/>
                <w:color w:val="000000" w:themeColor="text1"/>
                <w:szCs w:val="24"/>
              </w:rPr>
            </w:pPr>
          </w:p>
        </w:tc>
        <w:tc>
          <w:tcPr>
            <w:tcW w:w="255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24A928" w14:textId="77777777" w:rsidR="00144143" w:rsidRPr="00306115" w:rsidRDefault="00144143" w:rsidP="00F259CC">
            <w:pPr>
              <w:widowControl w:val="0"/>
              <w:pBdr>
                <w:top w:val="nil"/>
                <w:left w:val="nil"/>
                <w:bottom w:val="nil"/>
                <w:right w:val="nil"/>
                <w:between w:val="nil"/>
              </w:pBdr>
              <w:spacing w:after="0" w:line="240" w:lineRule="auto"/>
              <w:rPr>
                <w:rFonts w:eastAsia="Bookman Old Style" w:cs="Bookman Old Style"/>
                <w:i/>
                <w:iCs/>
                <w:color w:val="000000" w:themeColor="text1"/>
                <w:szCs w:val="24"/>
              </w:rPr>
            </w:pPr>
            <w:r w:rsidRPr="00306115">
              <w:rPr>
                <w:rFonts w:eastAsia="Bookman Old Style" w:cs="Bookman Old Style"/>
                <w:color w:val="000000" w:themeColor="text1"/>
                <w:szCs w:val="24"/>
              </w:rPr>
              <w:t>Jumlah</w:t>
            </w:r>
            <w:r w:rsidRPr="00306115">
              <w:rPr>
                <w:rFonts w:eastAsia="Bookman Old Style" w:cs="Bookman Old Style"/>
                <w:i/>
                <w:iCs/>
                <w:color w:val="000000" w:themeColor="text1"/>
                <w:szCs w:val="24"/>
              </w:rPr>
              <w:t xml:space="preserve"> fraud </w:t>
            </w:r>
            <w:r w:rsidRPr="00306115">
              <w:rPr>
                <w:rFonts w:eastAsia="Bookman Old Style" w:cs="Bookman Old Style"/>
                <w:color w:val="000000" w:themeColor="text1"/>
                <w:szCs w:val="24"/>
              </w:rPr>
              <w:t>yang terdeteksi dan/atau diketahui</w:t>
            </w:r>
          </w:p>
        </w:tc>
        <w:tc>
          <w:tcPr>
            <w:tcW w:w="89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5CEEFC" w14:textId="77777777" w:rsidR="00AB7122" w:rsidRPr="00306115" w:rsidRDefault="00AB7122">
            <w:pPr>
              <w:numPr>
                <w:ilvl w:val="0"/>
                <w:numId w:val="467"/>
              </w:numPr>
              <w:spacing w:after="0" w:line="240" w:lineRule="auto"/>
              <w:ind w:left="567" w:hanging="567"/>
              <w:rPr>
                <w:color w:val="000000" w:themeColor="text1"/>
                <w:szCs w:val="24"/>
              </w:rPr>
            </w:pPr>
            <w:r w:rsidRPr="00306115">
              <w:rPr>
                <w:rFonts w:eastAsia="Bookman Old Style" w:cs="Bookman Old Style"/>
                <w:color w:val="000000" w:themeColor="text1"/>
                <w:szCs w:val="24"/>
              </w:rPr>
              <w:t>Parameter atau indikator ini menghitung</w:t>
            </w:r>
            <w:r w:rsidRPr="00306115">
              <w:rPr>
                <w:color w:val="000000" w:themeColor="text1"/>
                <w:szCs w:val="24"/>
              </w:rPr>
              <w:t xml:space="preserve"> </w:t>
            </w:r>
            <w:r w:rsidRPr="00306115">
              <w:rPr>
                <w:rFonts w:eastAsia="Bookman Old Style" w:cs="Bookman Old Style"/>
                <w:color w:val="000000" w:themeColor="text1"/>
                <w:szCs w:val="24"/>
              </w:rPr>
              <w:t xml:space="preserve">frekuensi terjadinya </w:t>
            </w:r>
            <w:r w:rsidRPr="00306115">
              <w:rPr>
                <w:rFonts w:eastAsia="Bookman Old Style" w:cs="Bookman Old Style"/>
                <w:i/>
                <w:iCs/>
                <w:color w:val="000000" w:themeColor="text1"/>
                <w:szCs w:val="24"/>
              </w:rPr>
              <w:t>fraud</w:t>
            </w:r>
            <w:r w:rsidRPr="00306115">
              <w:rPr>
                <w:rFonts w:eastAsia="Bookman Old Style" w:cs="Bookman Old Style"/>
                <w:color w:val="000000" w:themeColor="text1"/>
                <w:szCs w:val="24"/>
              </w:rPr>
              <w:t xml:space="preserve"> internal dan/atau </w:t>
            </w:r>
            <w:r w:rsidRPr="00306115">
              <w:rPr>
                <w:rFonts w:eastAsia="Bookman Old Style" w:cs="Bookman Old Style"/>
                <w:i/>
                <w:iCs/>
                <w:color w:val="000000" w:themeColor="text1"/>
                <w:szCs w:val="24"/>
              </w:rPr>
              <w:t>fraud</w:t>
            </w:r>
            <w:r w:rsidRPr="00306115">
              <w:rPr>
                <w:rFonts w:eastAsia="Bookman Old Style" w:cs="Bookman Old Style"/>
                <w:color w:val="000000" w:themeColor="text1"/>
                <w:szCs w:val="24"/>
              </w:rPr>
              <w:t xml:space="preserve"> eksternal pada Manajer Investasi</w:t>
            </w:r>
            <w:r w:rsidRPr="00306115">
              <w:rPr>
                <w:color w:val="000000" w:themeColor="text1"/>
                <w:szCs w:val="24"/>
              </w:rPr>
              <w:t>.</w:t>
            </w:r>
          </w:p>
          <w:p w14:paraId="06259647" w14:textId="670186A2" w:rsidR="00AB7122" w:rsidRPr="00306115" w:rsidRDefault="00AB7122">
            <w:pPr>
              <w:numPr>
                <w:ilvl w:val="0"/>
                <w:numId w:val="467"/>
              </w:numPr>
              <w:spacing w:after="0" w:line="240" w:lineRule="auto"/>
              <w:ind w:left="567" w:hanging="567"/>
              <w:rPr>
                <w:color w:val="000000" w:themeColor="text1"/>
                <w:szCs w:val="24"/>
              </w:rPr>
            </w:pPr>
            <w:r w:rsidRPr="00306115">
              <w:rPr>
                <w:rFonts w:eastAsia="Bookman Old Style" w:cs="Bookman Old Style"/>
                <w:color w:val="000000" w:themeColor="text1"/>
                <w:szCs w:val="24"/>
              </w:rPr>
              <w:t>Frekuensi dan/atau signifikansi fraud yang terjadi mencerminkan besarnya potensi kerugian finansial maupun operasional yang dihadapi Manajer Investasi.</w:t>
            </w:r>
          </w:p>
          <w:p w14:paraId="37EE7056" w14:textId="28377B13" w:rsidR="007F597F" w:rsidRPr="00306115" w:rsidRDefault="00AB7122">
            <w:pPr>
              <w:numPr>
                <w:ilvl w:val="0"/>
                <w:numId w:val="467"/>
              </w:numPr>
              <w:spacing w:after="0" w:line="240" w:lineRule="auto"/>
              <w:ind w:left="567" w:hanging="567"/>
              <w:rPr>
                <w:color w:val="000000" w:themeColor="text1"/>
                <w:szCs w:val="24"/>
              </w:rPr>
            </w:pPr>
            <w:r w:rsidRPr="00306115">
              <w:rPr>
                <w:rFonts w:eastAsia="Bookman Old Style" w:cs="Bookman Old Style"/>
                <w:color w:val="000000" w:themeColor="text1"/>
                <w:szCs w:val="24"/>
              </w:rPr>
              <w:t xml:space="preserve">Adapun </w:t>
            </w:r>
            <w:r w:rsidRPr="00306115">
              <w:rPr>
                <w:rFonts w:eastAsia="Bookman Old Style" w:cs="Bookman Old Style"/>
                <w:color w:val="000000" w:themeColor="text1"/>
                <w:szCs w:val="24"/>
                <w:lang w:val="en-ID"/>
              </w:rPr>
              <w:t>klasifikasi penilaian indikator ini terbagi menjadi 5 (lima) peringkat sebagai berikut:</w:t>
            </w:r>
          </w:p>
          <w:p w14:paraId="56EB1E4F" w14:textId="2BF64A13" w:rsidR="00AB7122" w:rsidRPr="00306115" w:rsidRDefault="00AB7122">
            <w:pPr>
              <w:pStyle w:val="ListParagraph"/>
              <w:numPr>
                <w:ilvl w:val="0"/>
                <w:numId w:val="468"/>
              </w:numPr>
              <w:spacing w:after="0" w:line="240" w:lineRule="auto"/>
              <w:ind w:left="851" w:hanging="284"/>
              <w:contextualSpacing w:val="0"/>
              <w:rPr>
                <w:color w:val="000000" w:themeColor="text1"/>
                <w:szCs w:val="24"/>
              </w:rPr>
            </w:pPr>
            <w:r w:rsidRPr="00306115">
              <w:rPr>
                <w:rFonts w:eastAsia="Bookman Old Style" w:cs="Bookman Old Style"/>
                <w:color w:val="000000" w:themeColor="text1"/>
                <w:szCs w:val="24"/>
                <w:lang w:val="en-ID"/>
              </w:rPr>
              <w:t>Peringkat 1: Tidak terdapat fraud yang terdeteksi</w:t>
            </w:r>
            <w:r w:rsidR="00003569" w:rsidRPr="00306115">
              <w:rPr>
                <w:rFonts w:eastAsia="Bookman Old Style" w:cs="Bookman Old Style"/>
                <w:color w:val="000000" w:themeColor="text1"/>
                <w:szCs w:val="24"/>
                <w:lang w:val="en-ID"/>
              </w:rPr>
              <w:t xml:space="preserve"> </w:t>
            </w:r>
            <w:r w:rsidRPr="00306115">
              <w:rPr>
                <w:rFonts w:eastAsia="Bookman Old Style" w:cs="Bookman Old Style"/>
                <w:color w:val="000000" w:themeColor="text1"/>
                <w:szCs w:val="24"/>
                <w:lang w:val="en-ID"/>
              </w:rPr>
              <w:t xml:space="preserve">dan/atau diketahui </w:t>
            </w:r>
          </w:p>
          <w:p w14:paraId="14F6AD78" w14:textId="77777777" w:rsidR="00AB7122" w:rsidRPr="00306115" w:rsidRDefault="00AB7122">
            <w:pPr>
              <w:pStyle w:val="ListParagraph"/>
              <w:numPr>
                <w:ilvl w:val="0"/>
                <w:numId w:val="468"/>
              </w:numPr>
              <w:spacing w:after="0" w:line="240" w:lineRule="auto"/>
              <w:ind w:left="851" w:hanging="284"/>
              <w:contextualSpacing w:val="0"/>
              <w:rPr>
                <w:rFonts w:eastAsia="Bookman Old Style" w:cs="Bookman Old Style"/>
                <w:color w:val="000000" w:themeColor="text1"/>
                <w:szCs w:val="24"/>
                <w:lang w:val="en-ID"/>
              </w:rPr>
            </w:pPr>
            <w:r w:rsidRPr="00306115">
              <w:rPr>
                <w:rFonts w:eastAsia="Bookman Old Style" w:cs="Bookman Old Style"/>
                <w:color w:val="000000" w:themeColor="text1"/>
                <w:szCs w:val="24"/>
                <w:lang w:val="en-ID"/>
              </w:rPr>
              <w:t xml:space="preserve">Peringkat 2: Terdapat 1 (satu) kasus fraud </w:t>
            </w:r>
          </w:p>
          <w:p w14:paraId="5669963B" w14:textId="77777777" w:rsidR="00AB7122" w:rsidRPr="00306115" w:rsidRDefault="00AB7122">
            <w:pPr>
              <w:pStyle w:val="ListParagraph"/>
              <w:numPr>
                <w:ilvl w:val="0"/>
                <w:numId w:val="468"/>
              </w:numPr>
              <w:spacing w:after="0" w:line="240" w:lineRule="auto"/>
              <w:ind w:left="851" w:hanging="284"/>
              <w:contextualSpacing w:val="0"/>
              <w:rPr>
                <w:rFonts w:eastAsia="Bookman Old Style" w:cs="Bookman Old Style"/>
                <w:color w:val="000000" w:themeColor="text1"/>
                <w:szCs w:val="24"/>
                <w:lang w:val="en-ID"/>
              </w:rPr>
            </w:pPr>
            <w:r w:rsidRPr="00306115">
              <w:rPr>
                <w:rFonts w:eastAsia="Bookman Old Style" w:cs="Bookman Old Style"/>
                <w:color w:val="000000" w:themeColor="text1"/>
                <w:szCs w:val="24"/>
                <w:lang w:val="en-ID"/>
              </w:rPr>
              <w:t xml:space="preserve">Peringkat 3: Terdapat 2 (dua) kasus fraud </w:t>
            </w:r>
          </w:p>
          <w:p w14:paraId="2BB533C5" w14:textId="77777777" w:rsidR="00AB7122" w:rsidRPr="00306115" w:rsidRDefault="00AB7122">
            <w:pPr>
              <w:pStyle w:val="ListParagraph"/>
              <w:numPr>
                <w:ilvl w:val="0"/>
                <w:numId w:val="468"/>
              </w:numPr>
              <w:spacing w:after="0" w:line="240" w:lineRule="auto"/>
              <w:ind w:left="851" w:hanging="284"/>
              <w:contextualSpacing w:val="0"/>
              <w:rPr>
                <w:rFonts w:eastAsia="Bookman Old Style" w:cs="Bookman Old Style"/>
                <w:color w:val="000000" w:themeColor="text1"/>
                <w:szCs w:val="24"/>
                <w:lang w:val="en-ID"/>
              </w:rPr>
            </w:pPr>
            <w:r w:rsidRPr="00306115">
              <w:rPr>
                <w:rFonts w:eastAsia="Bookman Old Style" w:cs="Bookman Old Style"/>
                <w:color w:val="000000" w:themeColor="text1"/>
                <w:szCs w:val="24"/>
                <w:lang w:val="en-ID"/>
              </w:rPr>
              <w:t xml:space="preserve">Peringkat 4: Terdapat 3 (tiga) kasus fraud </w:t>
            </w:r>
          </w:p>
          <w:p w14:paraId="41B10145" w14:textId="618FDA57" w:rsidR="00241E11" w:rsidRPr="00306115" w:rsidRDefault="00AB7122">
            <w:pPr>
              <w:pStyle w:val="ListParagraph"/>
              <w:numPr>
                <w:ilvl w:val="0"/>
                <w:numId w:val="468"/>
              </w:numPr>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ID"/>
              </w:rPr>
              <w:t>Peringkat 5: Terdapat lebih dari 3 (tiga) kasus fraud atau minimal 1 (satu) kasus fraud yang melibatkan Direksi/Dewan Komisaris</w:t>
            </w:r>
            <w:r w:rsidRPr="00306115">
              <w:rPr>
                <w:rFonts w:eastAsia="Bookman Old Style" w:cs="Bookman Old Style"/>
                <w:color w:val="000000" w:themeColor="text1"/>
                <w:szCs w:val="24"/>
              </w:rPr>
              <w:t>.</w:t>
            </w:r>
          </w:p>
        </w:tc>
      </w:tr>
      <w:tr w:rsidR="00AE4874" w:rsidRPr="00306115" w14:paraId="16B993A9" w14:textId="77777777" w:rsidTr="00AE4874">
        <w:trPr>
          <w:trHeight w:val="697"/>
        </w:trPr>
        <w:tc>
          <w:tcPr>
            <w:tcW w:w="3261" w:type="dxa"/>
            <w:gridSpan w:val="2"/>
            <w:vMerge w:val="restart"/>
            <w:tcBorders>
              <w:left w:val="single" w:sz="8" w:space="0" w:color="000000" w:themeColor="text1"/>
              <w:right w:val="single" w:sz="8" w:space="0" w:color="000000" w:themeColor="text1"/>
            </w:tcBorders>
          </w:tcPr>
          <w:p w14:paraId="3DB26FC6" w14:textId="363FA9D6" w:rsidR="00AE4874" w:rsidRPr="00306115" w:rsidRDefault="00AE4874" w:rsidP="00F259CC">
            <w:pPr>
              <w:widowControl w:val="0"/>
              <w:pBdr>
                <w:top w:val="nil"/>
                <w:left w:val="nil"/>
                <w:bottom w:val="nil"/>
                <w:right w:val="nil"/>
                <w:between w:val="nil"/>
              </w:pBdr>
              <w:spacing w:after="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Teknologi Informasi</w:t>
            </w:r>
          </w:p>
        </w:tc>
        <w:tc>
          <w:tcPr>
            <w:tcW w:w="255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76C18C" w14:textId="77777777" w:rsidR="00AE4874" w:rsidRPr="00306115" w:rsidRDefault="00AE4874" w:rsidP="00F259CC">
            <w:pPr>
              <w:widowControl w:val="0"/>
              <w:pBdr>
                <w:top w:val="nil"/>
                <w:left w:val="nil"/>
                <w:bottom w:val="nil"/>
                <w:right w:val="nil"/>
                <w:between w:val="nil"/>
              </w:pBdr>
              <w:spacing w:after="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 xml:space="preserve">Kegagalan </w:t>
            </w:r>
            <w:r w:rsidRPr="00306115">
              <w:rPr>
                <w:rFonts w:eastAsia="Cambria" w:cs="Cambria"/>
                <w:i/>
                <w:iCs/>
                <w:color w:val="000000" w:themeColor="text1"/>
                <w:szCs w:val="24"/>
              </w:rPr>
              <w:t xml:space="preserve">core system </w:t>
            </w:r>
            <w:r w:rsidRPr="00306115">
              <w:rPr>
                <w:rFonts w:eastAsia="Cambria" w:cs="Cambria"/>
                <w:color w:val="000000" w:themeColor="text1"/>
                <w:szCs w:val="24"/>
                <w:lang w:val="en-GB"/>
              </w:rPr>
              <w:t>termasuk seluruh sistem yang terhubung dengan</w:t>
            </w:r>
            <w:r w:rsidRPr="00306115">
              <w:rPr>
                <w:rFonts w:eastAsia="Cambria" w:cs="Cambria"/>
                <w:i/>
                <w:iCs/>
                <w:color w:val="000000" w:themeColor="text1"/>
                <w:szCs w:val="24"/>
                <w:lang w:val="en-GB"/>
              </w:rPr>
              <w:t xml:space="preserve"> core system</w:t>
            </w:r>
            <w:r w:rsidRPr="00306115">
              <w:rPr>
                <w:rFonts w:eastAsia="Cambria" w:cs="Cambria"/>
                <w:color w:val="000000" w:themeColor="text1"/>
                <w:szCs w:val="24"/>
              </w:rPr>
              <w:t xml:space="preserve"> </w:t>
            </w:r>
            <w:r w:rsidRPr="00306115">
              <w:rPr>
                <w:rFonts w:eastAsia="Bookman Old Style" w:cs="Bookman Old Style"/>
                <w:color w:val="000000" w:themeColor="text1"/>
                <w:szCs w:val="24"/>
              </w:rPr>
              <w:t>Teknologi Informasi</w:t>
            </w:r>
          </w:p>
        </w:tc>
        <w:tc>
          <w:tcPr>
            <w:tcW w:w="89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B3F186" w14:textId="77777777" w:rsidR="00AE4874" w:rsidRPr="00306115" w:rsidRDefault="00AE4874">
            <w:pPr>
              <w:widowControl w:val="0"/>
              <w:numPr>
                <w:ilvl w:val="0"/>
                <w:numId w:val="469"/>
              </w:numPr>
              <w:pBdr>
                <w:top w:val="nil"/>
                <w:left w:val="nil"/>
                <w:bottom w:val="nil"/>
                <w:right w:val="nil"/>
                <w:between w:val="nil"/>
              </w:pBdr>
              <w:tabs>
                <w:tab w:val="left" w:pos="831"/>
              </w:tabs>
              <w:spacing w:after="0" w:line="20" w:lineRule="atLeast"/>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 xml:space="preserve">Parameter atau indikator ini menghitung frekuensi terjadinya kegagalan </w:t>
            </w:r>
            <w:r w:rsidRPr="00306115">
              <w:rPr>
                <w:rFonts w:eastAsia="Bookman Old Style" w:cs="Bookman Old Style"/>
                <w:i/>
                <w:iCs/>
                <w:color w:val="000000" w:themeColor="text1"/>
                <w:szCs w:val="24"/>
              </w:rPr>
              <w:t>core system</w:t>
            </w:r>
            <w:r w:rsidRPr="00306115">
              <w:rPr>
                <w:rFonts w:eastAsia="Bookman Old Style" w:cs="Bookman Old Style"/>
                <w:i/>
                <w:iCs/>
                <w:color w:val="000000" w:themeColor="text1"/>
                <w:szCs w:val="24"/>
                <w:lang w:val="en-GB"/>
              </w:rPr>
              <w:t xml:space="preserve"> </w:t>
            </w:r>
            <w:r w:rsidRPr="00306115">
              <w:rPr>
                <w:rFonts w:eastAsia="Bookman Old Style" w:cs="Bookman Old Style"/>
                <w:color w:val="000000" w:themeColor="text1"/>
                <w:szCs w:val="24"/>
                <w:lang w:val="en-GB"/>
              </w:rPr>
              <w:t xml:space="preserve">termasuk seluruh sistem yang terkoneksi dengan </w:t>
            </w:r>
            <w:r w:rsidRPr="00306115">
              <w:rPr>
                <w:rFonts w:eastAsia="Bookman Old Style" w:cs="Bookman Old Style"/>
                <w:i/>
                <w:iCs/>
                <w:color w:val="000000" w:themeColor="text1"/>
                <w:szCs w:val="24"/>
              </w:rPr>
              <w:t>core system</w:t>
            </w:r>
            <w:r w:rsidRPr="00306115">
              <w:rPr>
                <w:rFonts w:eastAsia="Cambria" w:cs="Cambria"/>
                <w:i/>
                <w:iCs/>
                <w:color w:val="000000" w:themeColor="text1"/>
                <w:szCs w:val="24"/>
              </w:rPr>
              <w:t xml:space="preserve"> </w:t>
            </w:r>
            <w:r w:rsidRPr="00306115">
              <w:rPr>
                <w:rFonts w:eastAsia="Bookman Old Style" w:cs="Bookman Old Style"/>
                <w:color w:val="000000" w:themeColor="text1"/>
                <w:szCs w:val="24"/>
              </w:rPr>
              <w:t>teknologi informasi, yang terkait dengan bisnis inti Manajer Investasi dalam 1 (satu) tahun terakhir.</w:t>
            </w:r>
          </w:p>
          <w:p w14:paraId="4B45662A" w14:textId="77777777" w:rsidR="00AE4874" w:rsidRPr="00306115" w:rsidRDefault="00AE4874">
            <w:pPr>
              <w:widowControl w:val="0"/>
              <w:numPr>
                <w:ilvl w:val="0"/>
                <w:numId w:val="469"/>
              </w:numPr>
              <w:pBdr>
                <w:top w:val="nil"/>
                <w:left w:val="nil"/>
                <w:bottom w:val="nil"/>
                <w:right w:val="nil"/>
                <w:between w:val="nil"/>
              </w:pBdr>
              <w:tabs>
                <w:tab w:val="left" w:pos="831"/>
              </w:tabs>
              <w:spacing w:after="0" w:line="20" w:lineRule="atLeast"/>
              <w:ind w:left="567" w:hanging="567"/>
              <w:rPr>
                <w:rFonts w:eastAsia="Bookman Old Style" w:cs="Bookman Old Style"/>
                <w:i/>
                <w:iCs/>
                <w:color w:val="000000" w:themeColor="text1"/>
                <w:szCs w:val="24"/>
              </w:rPr>
            </w:pPr>
            <w:r w:rsidRPr="00306115">
              <w:rPr>
                <w:rFonts w:eastAsia="Bookman Old Style" w:cs="Bookman Old Style"/>
                <w:color w:val="000000" w:themeColor="text1"/>
                <w:szCs w:val="24"/>
              </w:rPr>
              <w:t xml:space="preserve">Adapun yang termasuk kedalam </w:t>
            </w:r>
            <w:r w:rsidRPr="00306115">
              <w:rPr>
                <w:rFonts w:eastAsia="Bookman Old Style" w:cs="Bookman Old Style"/>
                <w:i/>
                <w:iCs/>
                <w:color w:val="000000" w:themeColor="text1"/>
                <w:szCs w:val="24"/>
              </w:rPr>
              <w:t xml:space="preserve">core system </w:t>
            </w:r>
            <w:r w:rsidRPr="00306115">
              <w:rPr>
                <w:rFonts w:eastAsia="Bookman Old Style" w:cs="Bookman Old Style"/>
                <w:color w:val="000000" w:themeColor="text1"/>
                <w:szCs w:val="24"/>
              </w:rPr>
              <w:t>adalah semua sistem elektronik yang digunakan untuk melakukan transaksi Produk Investasi dan/atau menunjang operasional kegiatan usaha Manajer Investasi</w:t>
            </w:r>
            <w:r w:rsidRPr="00306115">
              <w:rPr>
                <w:rFonts w:eastAsia="Bookman Old Style" w:cs="Bookman Old Style"/>
                <w:color w:val="000000" w:themeColor="text1"/>
                <w:szCs w:val="24"/>
                <w:lang w:val="en-GB"/>
              </w:rPr>
              <w:t>.</w:t>
            </w:r>
          </w:p>
          <w:p w14:paraId="406D33D9" w14:textId="77777777" w:rsidR="00AE4874" w:rsidRPr="00306115" w:rsidRDefault="00AE4874">
            <w:pPr>
              <w:widowControl w:val="0"/>
              <w:numPr>
                <w:ilvl w:val="0"/>
                <w:numId w:val="469"/>
              </w:numPr>
              <w:pBdr>
                <w:top w:val="nil"/>
                <w:left w:val="nil"/>
                <w:bottom w:val="nil"/>
                <w:right w:val="nil"/>
                <w:between w:val="nil"/>
              </w:pBdr>
              <w:tabs>
                <w:tab w:val="left" w:pos="831"/>
              </w:tabs>
              <w:spacing w:after="0" w:line="20" w:lineRule="atLeast"/>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Semakin tinggi frekuensi terjadinya kegagalan sistem, semakin tinggi eksposur Risiko Operasional Manajer Investasi.</w:t>
            </w:r>
          </w:p>
          <w:p w14:paraId="386AD676" w14:textId="77777777" w:rsidR="00AE4874" w:rsidRPr="00306115" w:rsidRDefault="00AE4874">
            <w:pPr>
              <w:widowControl w:val="0"/>
              <w:numPr>
                <w:ilvl w:val="0"/>
                <w:numId w:val="469"/>
              </w:numPr>
              <w:pBdr>
                <w:top w:val="nil"/>
                <w:left w:val="nil"/>
                <w:bottom w:val="nil"/>
                <w:right w:val="nil"/>
                <w:between w:val="nil"/>
              </w:pBdr>
              <w:tabs>
                <w:tab w:val="left" w:pos="831"/>
              </w:tabs>
              <w:spacing w:after="0" w:line="20" w:lineRule="atLeast"/>
              <w:ind w:left="567" w:hanging="567"/>
              <w:rPr>
                <w:rFonts w:eastAsia="Bookman Old Style" w:cs="Bookman Old Style"/>
                <w:color w:val="000000" w:themeColor="text1"/>
                <w:szCs w:val="24"/>
              </w:rPr>
            </w:pPr>
            <w:r w:rsidRPr="00306115">
              <w:rPr>
                <w:color w:val="000000" w:themeColor="text1"/>
                <w:szCs w:val="24"/>
              </w:rPr>
              <w:t>Adapun</w:t>
            </w:r>
            <w:r w:rsidRPr="00306115">
              <w:rPr>
                <w:rFonts w:eastAsia="Bookman Old Style" w:cs="Bookman Old Style"/>
                <w:color w:val="000000" w:themeColor="text1"/>
                <w:szCs w:val="24"/>
              </w:rPr>
              <w:t xml:space="preserve"> </w:t>
            </w:r>
            <w:r w:rsidRPr="00306115">
              <w:rPr>
                <w:rFonts w:eastAsia="Bookman Old Style" w:cs="Bookman Old Style"/>
                <w:color w:val="000000" w:themeColor="text1"/>
                <w:szCs w:val="24"/>
                <w:lang w:val="en-ID"/>
              </w:rPr>
              <w:t>klasifikasi penilaian indikator ini terbagi menjadi 5 (lima) peringkat sebagai berikut:</w:t>
            </w:r>
          </w:p>
          <w:p w14:paraId="75B24368" w14:textId="77777777" w:rsidR="00AE4874" w:rsidRPr="00306115" w:rsidRDefault="00AE4874">
            <w:pPr>
              <w:pStyle w:val="ListParagraph"/>
              <w:numPr>
                <w:ilvl w:val="0"/>
                <w:numId w:val="470"/>
              </w:numPr>
              <w:pBdr>
                <w:top w:val="nil"/>
                <w:left w:val="nil"/>
                <w:bottom w:val="nil"/>
                <w:right w:val="nil"/>
                <w:between w:val="nil"/>
              </w:pBdr>
              <w:tabs>
                <w:tab w:val="left" w:pos="440"/>
              </w:tabs>
              <w:spacing w:after="0" w:line="20" w:lineRule="atLeast"/>
              <w:ind w:left="851" w:hanging="284"/>
              <w:contextualSpacing w:val="0"/>
              <w:rPr>
                <w:color w:val="000000" w:themeColor="text1"/>
                <w:szCs w:val="24"/>
              </w:rPr>
            </w:pPr>
            <w:r w:rsidRPr="00306115">
              <w:rPr>
                <w:color w:val="000000" w:themeColor="text1"/>
                <w:szCs w:val="24"/>
              </w:rPr>
              <w:t>Peringkat 1: Tidak terdapat kegagalan sistem</w:t>
            </w:r>
          </w:p>
          <w:p w14:paraId="52D0E51E" w14:textId="77777777" w:rsidR="00AE4874" w:rsidRPr="00306115" w:rsidRDefault="00AE4874">
            <w:pPr>
              <w:pStyle w:val="ListParagraph"/>
              <w:numPr>
                <w:ilvl w:val="0"/>
                <w:numId w:val="470"/>
              </w:numPr>
              <w:pBdr>
                <w:top w:val="nil"/>
                <w:left w:val="nil"/>
                <w:bottom w:val="nil"/>
                <w:right w:val="nil"/>
                <w:between w:val="nil"/>
              </w:pBdr>
              <w:tabs>
                <w:tab w:val="left" w:pos="440"/>
              </w:tabs>
              <w:spacing w:after="0" w:line="20" w:lineRule="atLeast"/>
              <w:ind w:left="851" w:hanging="284"/>
              <w:contextualSpacing w:val="0"/>
              <w:rPr>
                <w:color w:val="000000" w:themeColor="text1"/>
                <w:szCs w:val="24"/>
              </w:rPr>
            </w:pPr>
            <w:r w:rsidRPr="00306115">
              <w:rPr>
                <w:color w:val="000000" w:themeColor="text1"/>
                <w:szCs w:val="24"/>
              </w:rPr>
              <w:t>Peringkat 2:</w:t>
            </w:r>
            <w:r w:rsidRPr="00306115">
              <w:rPr>
                <w:color w:val="000000" w:themeColor="text1"/>
                <w:sz w:val="28"/>
                <w:szCs w:val="24"/>
              </w:rPr>
              <w:t xml:space="preserve"> </w:t>
            </w:r>
            <w:r w:rsidRPr="00306115">
              <w:rPr>
                <w:color w:val="000000" w:themeColor="text1"/>
                <w:szCs w:val="24"/>
              </w:rPr>
              <w:t>Terdapat 1 kali kegagalan sistem</w:t>
            </w:r>
          </w:p>
          <w:p w14:paraId="32F27EF3" w14:textId="77777777" w:rsidR="00AE4874" w:rsidRPr="00306115" w:rsidRDefault="00AE4874">
            <w:pPr>
              <w:pStyle w:val="ListParagraph"/>
              <w:numPr>
                <w:ilvl w:val="0"/>
                <w:numId w:val="470"/>
              </w:numPr>
              <w:pBdr>
                <w:top w:val="nil"/>
                <w:left w:val="nil"/>
                <w:bottom w:val="nil"/>
                <w:right w:val="nil"/>
                <w:between w:val="nil"/>
              </w:pBdr>
              <w:tabs>
                <w:tab w:val="left" w:pos="440"/>
              </w:tabs>
              <w:spacing w:after="0" w:line="20" w:lineRule="atLeast"/>
              <w:ind w:left="851" w:hanging="284"/>
              <w:contextualSpacing w:val="0"/>
              <w:rPr>
                <w:color w:val="000000" w:themeColor="text1"/>
                <w:szCs w:val="24"/>
              </w:rPr>
            </w:pPr>
            <w:r w:rsidRPr="00306115">
              <w:rPr>
                <w:color w:val="000000" w:themeColor="text1"/>
                <w:szCs w:val="24"/>
              </w:rPr>
              <w:t>Peringkat 3:</w:t>
            </w:r>
            <w:r w:rsidRPr="00306115">
              <w:rPr>
                <w:color w:val="000000" w:themeColor="text1"/>
                <w:sz w:val="28"/>
                <w:szCs w:val="24"/>
              </w:rPr>
              <w:t xml:space="preserve"> </w:t>
            </w:r>
            <w:r w:rsidRPr="00306115">
              <w:rPr>
                <w:color w:val="000000" w:themeColor="text1"/>
                <w:szCs w:val="24"/>
              </w:rPr>
              <w:t>Terdapat 2 kali kegagalan sistem</w:t>
            </w:r>
          </w:p>
          <w:p w14:paraId="1BFCFBF5" w14:textId="77777777" w:rsidR="00AE4874" w:rsidRPr="00306115" w:rsidRDefault="00AE4874">
            <w:pPr>
              <w:pStyle w:val="ListParagraph"/>
              <w:numPr>
                <w:ilvl w:val="0"/>
                <w:numId w:val="470"/>
              </w:numPr>
              <w:pBdr>
                <w:top w:val="nil"/>
                <w:left w:val="nil"/>
                <w:bottom w:val="nil"/>
                <w:right w:val="nil"/>
                <w:between w:val="nil"/>
              </w:pBdr>
              <w:tabs>
                <w:tab w:val="left" w:pos="440"/>
              </w:tabs>
              <w:spacing w:after="0" w:line="20" w:lineRule="atLeast"/>
              <w:ind w:left="851" w:hanging="284"/>
              <w:contextualSpacing w:val="0"/>
              <w:rPr>
                <w:color w:val="000000" w:themeColor="text1"/>
                <w:szCs w:val="24"/>
              </w:rPr>
            </w:pPr>
            <w:r w:rsidRPr="00306115">
              <w:rPr>
                <w:color w:val="000000" w:themeColor="text1"/>
                <w:szCs w:val="24"/>
              </w:rPr>
              <w:t xml:space="preserve">Peringkat 4: </w:t>
            </w:r>
            <w:r w:rsidRPr="00306115">
              <w:rPr>
                <w:color w:val="000000" w:themeColor="text1"/>
                <w:sz w:val="28"/>
                <w:szCs w:val="24"/>
              </w:rPr>
              <w:t xml:space="preserve"> </w:t>
            </w:r>
            <w:r w:rsidRPr="00306115">
              <w:rPr>
                <w:color w:val="000000" w:themeColor="text1"/>
                <w:szCs w:val="24"/>
              </w:rPr>
              <w:t>Terdapat 3-4 kali kegagalan sistem</w:t>
            </w:r>
          </w:p>
          <w:p w14:paraId="11A58A5C" w14:textId="535AAB03" w:rsidR="00AE4874" w:rsidRPr="00306115" w:rsidRDefault="00AE4874">
            <w:pPr>
              <w:pStyle w:val="ListParagraph"/>
              <w:numPr>
                <w:ilvl w:val="0"/>
                <w:numId w:val="470"/>
              </w:numPr>
              <w:pBdr>
                <w:top w:val="nil"/>
                <w:left w:val="nil"/>
                <w:bottom w:val="nil"/>
                <w:right w:val="nil"/>
                <w:between w:val="nil"/>
              </w:pBdr>
              <w:tabs>
                <w:tab w:val="left" w:pos="440"/>
              </w:tabs>
              <w:spacing w:after="0" w:line="20" w:lineRule="atLeast"/>
              <w:ind w:left="851" w:hanging="284"/>
              <w:contextualSpacing w:val="0"/>
              <w:rPr>
                <w:rFonts w:eastAsia="Bookman Old Style" w:cs="Bookman Old Style"/>
                <w:color w:val="000000" w:themeColor="text1"/>
                <w:szCs w:val="24"/>
              </w:rPr>
            </w:pPr>
            <w:r w:rsidRPr="00306115">
              <w:rPr>
                <w:color w:val="000000" w:themeColor="text1"/>
                <w:szCs w:val="24"/>
              </w:rPr>
              <w:t>Peringkat 5:</w:t>
            </w:r>
            <w:r w:rsidRPr="00306115">
              <w:rPr>
                <w:color w:val="000000" w:themeColor="text1"/>
                <w:sz w:val="28"/>
                <w:szCs w:val="24"/>
              </w:rPr>
              <w:t xml:space="preserve"> </w:t>
            </w:r>
            <w:r w:rsidRPr="00306115">
              <w:rPr>
                <w:color w:val="000000" w:themeColor="text1"/>
                <w:szCs w:val="24"/>
              </w:rPr>
              <w:t>Terdapat 5 (lima) kali atau lebih kegagalan sistem</w:t>
            </w:r>
          </w:p>
        </w:tc>
      </w:tr>
      <w:tr w:rsidR="00AE4874" w:rsidRPr="00306115" w14:paraId="5645D335" w14:textId="77777777" w:rsidTr="00740724">
        <w:trPr>
          <w:trHeight w:val="1314"/>
        </w:trPr>
        <w:tc>
          <w:tcPr>
            <w:tcW w:w="3261" w:type="dxa"/>
            <w:gridSpan w:val="2"/>
            <w:vMerge/>
            <w:tcBorders>
              <w:left w:val="single" w:sz="8" w:space="0" w:color="000000" w:themeColor="text1"/>
              <w:right w:val="single" w:sz="8" w:space="0" w:color="000000" w:themeColor="text1"/>
            </w:tcBorders>
          </w:tcPr>
          <w:p w14:paraId="0955B922" w14:textId="77777777" w:rsidR="00AE4874" w:rsidRPr="00306115" w:rsidRDefault="00AE4874" w:rsidP="004663FC">
            <w:pPr>
              <w:widowControl w:val="0"/>
              <w:pBdr>
                <w:top w:val="nil"/>
                <w:left w:val="nil"/>
                <w:bottom w:val="nil"/>
                <w:right w:val="nil"/>
                <w:between w:val="nil"/>
              </w:pBdr>
              <w:spacing w:after="0" w:line="240" w:lineRule="auto"/>
              <w:rPr>
                <w:rFonts w:eastAsia="Bookman Old Style" w:cs="Bookman Old Style"/>
                <w:color w:val="000000" w:themeColor="text1"/>
                <w:szCs w:val="24"/>
              </w:rPr>
            </w:pPr>
          </w:p>
        </w:tc>
        <w:tc>
          <w:tcPr>
            <w:tcW w:w="255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849EE6" w14:textId="77777777" w:rsidR="00AE4874" w:rsidRPr="00306115" w:rsidRDefault="00AE4874" w:rsidP="004663FC">
            <w:pPr>
              <w:widowControl w:val="0"/>
              <w:pBdr>
                <w:top w:val="nil"/>
                <w:left w:val="nil"/>
                <w:bottom w:val="nil"/>
                <w:right w:val="nil"/>
                <w:between w:val="nil"/>
              </w:pBdr>
              <w:spacing w:after="0" w:line="240" w:lineRule="auto"/>
              <w:rPr>
                <w:rFonts w:eastAsia="Bookman Old Style" w:cs="Bookman Old Style"/>
                <w:color w:val="000000" w:themeColor="text1"/>
                <w:szCs w:val="24"/>
                <w:lang w:val="id"/>
              </w:rPr>
            </w:pPr>
            <w:r w:rsidRPr="00306115">
              <w:rPr>
                <w:rFonts w:eastAsia="Bookman Old Style" w:cs="Bookman Old Style"/>
                <w:color w:val="000000" w:themeColor="text1"/>
                <w:szCs w:val="24"/>
                <w:lang w:val="id"/>
              </w:rPr>
              <w:t xml:space="preserve">Rata-rata waktu yang diperlukan  untuk mendeteksi insiden kegagalan </w:t>
            </w:r>
            <w:r w:rsidRPr="00306115">
              <w:rPr>
                <w:rFonts w:eastAsia="Bookman Old Style" w:cs="Bookman Old Style"/>
                <w:i/>
                <w:iCs/>
                <w:color w:val="000000" w:themeColor="text1"/>
                <w:szCs w:val="24"/>
                <w:lang w:val="id"/>
              </w:rPr>
              <w:t>core system</w:t>
            </w:r>
            <w:r w:rsidRPr="00306115">
              <w:rPr>
                <w:rFonts w:eastAsia="Bookman Old Style" w:cs="Bookman Old Style"/>
                <w:color w:val="000000" w:themeColor="text1"/>
                <w:szCs w:val="24"/>
                <w:lang w:val="id"/>
              </w:rPr>
              <w:t xml:space="preserve"> </w:t>
            </w:r>
            <w:r w:rsidRPr="00306115">
              <w:rPr>
                <w:rFonts w:eastAsia="Bookman Old Style" w:cs="Bookman Old Style"/>
                <w:color w:val="000000" w:themeColor="text1"/>
                <w:szCs w:val="24"/>
                <w:lang w:val="en-GB"/>
              </w:rPr>
              <w:t xml:space="preserve"> termasuk seluruh sistem yang terhubung dengan</w:t>
            </w:r>
            <w:r w:rsidRPr="00306115">
              <w:rPr>
                <w:rFonts w:eastAsia="Bookman Old Style" w:cs="Bookman Old Style"/>
                <w:i/>
                <w:iCs/>
                <w:color w:val="000000" w:themeColor="text1"/>
                <w:szCs w:val="24"/>
                <w:lang w:val="en-GB"/>
              </w:rPr>
              <w:t xml:space="preserve"> core system</w:t>
            </w:r>
            <w:r w:rsidRPr="00306115">
              <w:rPr>
                <w:rFonts w:eastAsia="Bookman Old Style" w:cs="Bookman Old Style"/>
                <w:color w:val="000000" w:themeColor="text1"/>
                <w:szCs w:val="24"/>
                <w:lang w:val="id"/>
              </w:rPr>
              <w:t xml:space="preserve"> Teknologi Informasi</w:t>
            </w:r>
          </w:p>
          <w:p w14:paraId="38AC0E9D" w14:textId="77777777" w:rsidR="00AE4874" w:rsidRPr="00306115" w:rsidRDefault="00AE4874" w:rsidP="004663FC">
            <w:pPr>
              <w:widowControl w:val="0"/>
              <w:pBdr>
                <w:top w:val="nil"/>
                <w:left w:val="nil"/>
                <w:bottom w:val="nil"/>
                <w:right w:val="nil"/>
                <w:between w:val="nil"/>
              </w:pBdr>
              <w:spacing w:after="0" w:line="240" w:lineRule="auto"/>
              <w:rPr>
                <w:rFonts w:eastAsia="Bookman Old Style" w:cs="Bookman Old Style"/>
                <w:strike/>
                <w:color w:val="000000" w:themeColor="text1"/>
                <w:szCs w:val="24"/>
              </w:rPr>
            </w:pPr>
          </w:p>
        </w:tc>
        <w:tc>
          <w:tcPr>
            <w:tcW w:w="89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0CA9FC" w14:textId="77777777" w:rsidR="00AE4874" w:rsidRPr="00306115" w:rsidRDefault="00AE4874">
            <w:pPr>
              <w:pStyle w:val="ListParagraph"/>
              <w:widowControl w:val="0"/>
              <w:numPr>
                <w:ilvl w:val="0"/>
                <w:numId w:val="471"/>
              </w:numPr>
              <w:pBdr>
                <w:top w:val="nil"/>
                <w:left w:val="nil"/>
                <w:bottom w:val="nil"/>
                <w:right w:val="nil"/>
                <w:between w:val="nil"/>
              </w:pBdr>
              <w:tabs>
                <w:tab w:val="left" w:pos="972"/>
              </w:tabs>
              <w:spacing w:after="0" w:line="240" w:lineRule="auto"/>
              <w:ind w:left="567" w:hanging="567"/>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 xml:space="preserve">Parameter atau indikator ini mengukur rata-rata waktu yang diperlukan Manajer Investasi untuk mendeteksi/menyadari terjadinya insiden kegagalan </w:t>
            </w:r>
            <w:r w:rsidRPr="00306115">
              <w:rPr>
                <w:rFonts w:eastAsia="Bookman Old Style" w:cs="Bookman Old Style"/>
                <w:i/>
                <w:iCs/>
                <w:color w:val="000000" w:themeColor="text1"/>
                <w:szCs w:val="24"/>
              </w:rPr>
              <w:t>core system</w:t>
            </w:r>
            <w:r w:rsidRPr="00306115">
              <w:rPr>
                <w:rFonts w:eastAsia="Bookman Old Style" w:cs="Bookman Old Style"/>
                <w:color w:val="000000" w:themeColor="text1"/>
                <w:szCs w:val="24"/>
              </w:rPr>
              <w:t xml:space="preserve"> teknologi informasi dalam 1 (satu) tahun terakhir.</w:t>
            </w:r>
          </w:p>
          <w:p w14:paraId="33ECDD3A" w14:textId="77777777" w:rsidR="00AE4874" w:rsidRPr="00306115" w:rsidRDefault="00AE4874">
            <w:pPr>
              <w:pStyle w:val="ListParagraph"/>
              <w:widowControl w:val="0"/>
              <w:numPr>
                <w:ilvl w:val="0"/>
                <w:numId w:val="471"/>
              </w:numPr>
              <w:pBdr>
                <w:top w:val="nil"/>
                <w:left w:val="nil"/>
                <w:bottom w:val="nil"/>
                <w:right w:val="nil"/>
                <w:between w:val="nil"/>
              </w:pBdr>
              <w:tabs>
                <w:tab w:val="left" w:pos="972"/>
              </w:tabs>
              <w:spacing w:after="0" w:line="240" w:lineRule="auto"/>
              <w:ind w:left="567" w:hanging="567"/>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Waktu deteksi dihitung sejak insiden tersebut mulai terjadi, hingga insiden tersebut terdeteksi/diketahui oleh Manajer Investasi.</w:t>
            </w:r>
          </w:p>
          <w:p w14:paraId="05EBF184" w14:textId="77777777" w:rsidR="00AE4874" w:rsidRPr="00306115" w:rsidRDefault="00AE4874">
            <w:pPr>
              <w:pStyle w:val="ListParagraph"/>
              <w:widowControl w:val="0"/>
              <w:numPr>
                <w:ilvl w:val="0"/>
                <w:numId w:val="471"/>
              </w:numPr>
              <w:pBdr>
                <w:top w:val="nil"/>
                <w:left w:val="nil"/>
                <w:bottom w:val="nil"/>
                <w:right w:val="nil"/>
                <w:between w:val="nil"/>
              </w:pBdr>
              <w:tabs>
                <w:tab w:val="left" w:pos="972"/>
              </w:tabs>
              <w:spacing w:after="0" w:line="240" w:lineRule="auto"/>
              <w:ind w:left="567" w:hanging="567"/>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Semakin lama waktu yang diperlukan untuk mendeteksi insiden, semakin besar eksposur Risiko Operasional Manajer Investasi, karena berpotensi memperpanjang dampak gangguan sebelum proses pemulihan dapat dimulai.</w:t>
            </w:r>
          </w:p>
          <w:p w14:paraId="26E4FD5C" w14:textId="77777777" w:rsidR="00AE4874" w:rsidRPr="00306115" w:rsidRDefault="00AE4874">
            <w:pPr>
              <w:pStyle w:val="ListParagraph"/>
              <w:widowControl w:val="0"/>
              <w:numPr>
                <w:ilvl w:val="0"/>
                <w:numId w:val="471"/>
              </w:numPr>
              <w:pBdr>
                <w:top w:val="nil"/>
                <w:left w:val="nil"/>
                <w:bottom w:val="nil"/>
                <w:right w:val="nil"/>
                <w:between w:val="nil"/>
              </w:pBdr>
              <w:tabs>
                <w:tab w:val="left" w:pos="972"/>
              </w:tabs>
              <w:spacing w:after="0" w:line="240" w:lineRule="auto"/>
              <w:ind w:left="567" w:hanging="567"/>
              <w:contextualSpacing w:val="0"/>
              <w:rPr>
                <w:rFonts w:eastAsia="Bookman Old Style" w:cs="Bookman Old Style"/>
                <w:color w:val="000000" w:themeColor="text1"/>
                <w:szCs w:val="24"/>
              </w:rPr>
            </w:pPr>
            <w:r w:rsidRPr="00306115">
              <w:rPr>
                <w:color w:val="000000" w:themeColor="text1"/>
                <w:szCs w:val="24"/>
              </w:rPr>
              <w:t>Adapun formula perhitungan yang digunakan sebagai berikut:</w:t>
            </w:r>
          </w:p>
          <w:p w14:paraId="0D286797" w14:textId="3F11BF4F" w:rsidR="00AE4874" w:rsidRPr="00306115" w:rsidRDefault="00AE4874" w:rsidP="004663FC">
            <w:pPr>
              <w:pStyle w:val="ListParagraph"/>
              <w:widowControl w:val="0"/>
              <w:pBdr>
                <w:top w:val="nil"/>
                <w:left w:val="nil"/>
                <w:bottom w:val="nil"/>
                <w:right w:val="nil"/>
                <w:between w:val="nil"/>
              </w:pBdr>
              <w:tabs>
                <w:tab w:val="left" w:pos="972"/>
              </w:tabs>
              <w:spacing w:after="0" w:line="240" w:lineRule="auto"/>
              <w:ind w:left="567"/>
              <w:contextualSpacing w:val="0"/>
              <w:rPr>
                <w:rFonts w:eastAsia="Bookman Old Style" w:cs="Bookman Old Style"/>
                <w:color w:val="000000" w:themeColor="text1"/>
                <w:szCs w:val="24"/>
              </w:rPr>
            </w:pPr>
            <w:r w:rsidRPr="00306115">
              <w:rPr>
                <w:color w:val="000000" w:themeColor="text1"/>
                <w:szCs w:val="24"/>
              </w:rPr>
              <w:t xml:space="preserve">Rata-rata waktu deteksi insiden: </w:t>
            </w:r>
          </w:p>
          <w:p w14:paraId="38F9BCBB" w14:textId="77777777" w:rsidR="00AE4874" w:rsidRPr="00306115" w:rsidRDefault="00DD3739" w:rsidP="004663FC">
            <w:pPr>
              <w:pStyle w:val="ListParagraph"/>
              <w:widowControl w:val="0"/>
              <w:pBdr>
                <w:top w:val="nil"/>
                <w:left w:val="nil"/>
                <w:bottom w:val="nil"/>
                <w:right w:val="nil"/>
                <w:between w:val="nil"/>
              </w:pBdr>
              <w:tabs>
                <w:tab w:val="left" w:pos="439"/>
              </w:tabs>
              <w:spacing w:after="0" w:line="240" w:lineRule="auto"/>
              <w:ind w:left="0"/>
              <w:contextualSpacing w:val="0"/>
              <w:rPr>
                <w:rFonts w:eastAsia="Bookman Old Style" w:cs="Bookman Old Style"/>
                <w:color w:val="000000" w:themeColor="text1"/>
                <w:szCs w:val="24"/>
              </w:rPr>
            </w:pPr>
            <m:oMathPara>
              <m:oMath>
                <m:f>
                  <m:fPr>
                    <m:ctrlPr>
                      <w:rPr>
                        <w:rFonts w:ascii="Cambria Math" w:eastAsia="Bookman Old Style" w:hAnsi="Cambria Math"/>
                        <w:i/>
                        <w:color w:val="000000" w:themeColor="text1"/>
                        <w:sz w:val="22"/>
                      </w:rPr>
                    </m:ctrlPr>
                  </m:fPr>
                  <m:num>
                    <m:r>
                      <w:rPr>
                        <w:rFonts w:ascii="Cambria Math" w:eastAsia="Bookman Old Style" w:hAnsi="Cambria Math"/>
                        <w:color w:val="000000" w:themeColor="text1"/>
                        <w:sz w:val="22"/>
                      </w:rPr>
                      <m:t>Total</m:t>
                    </m:r>
                    <m:r>
                      <w:rPr>
                        <w:rFonts w:ascii="Cambria Math" w:eastAsia="Bookman Old Style" w:hAnsi="Cambria Math"/>
                        <w:color w:val="000000" w:themeColor="text1"/>
                        <w:sz w:val="22"/>
                      </w:rPr>
                      <m:t> </m:t>
                    </m:r>
                    <m:r>
                      <w:rPr>
                        <w:rFonts w:ascii="Cambria Math" w:eastAsia="Bookman Old Style" w:hAnsi="Cambria Math"/>
                        <w:color w:val="000000" w:themeColor="text1"/>
                        <w:sz w:val="22"/>
                      </w:rPr>
                      <m:t>Waktu</m:t>
                    </m:r>
                    <m:r>
                      <w:rPr>
                        <w:rFonts w:ascii="Cambria Math" w:eastAsia="Bookman Old Style" w:hAnsi="Cambria Math"/>
                        <w:color w:val="000000" w:themeColor="text1"/>
                        <w:sz w:val="22"/>
                      </w:rPr>
                      <m:t> </m:t>
                    </m:r>
                    <m:r>
                      <w:rPr>
                        <w:rFonts w:ascii="Cambria Math" w:eastAsia="Bookman Old Style" w:hAnsi="Cambria Math"/>
                        <w:color w:val="000000" w:themeColor="text1"/>
                        <w:sz w:val="22"/>
                      </w:rPr>
                      <m:t>dari</m:t>
                    </m:r>
                    <m:r>
                      <w:rPr>
                        <w:rFonts w:ascii="Cambria Math" w:eastAsia="Bookman Old Style" w:hAnsi="Cambria Math"/>
                        <w:color w:val="000000" w:themeColor="text1"/>
                        <w:sz w:val="22"/>
                      </w:rPr>
                      <m:t> </m:t>
                    </m:r>
                    <m:r>
                      <w:rPr>
                        <w:rFonts w:ascii="Cambria Math" w:eastAsia="Bookman Old Style" w:hAnsi="Cambria Math"/>
                        <w:color w:val="000000" w:themeColor="text1"/>
                        <w:sz w:val="22"/>
                      </w:rPr>
                      <m:t>Insiden</m:t>
                    </m:r>
                    <m:r>
                      <w:rPr>
                        <w:rFonts w:ascii="Cambria Math" w:eastAsia="Bookman Old Style" w:hAnsi="Cambria Math"/>
                        <w:color w:val="000000" w:themeColor="text1"/>
                        <w:sz w:val="22"/>
                      </w:rPr>
                      <m:t> </m:t>
                    </m:r>
                    <m:r>
                      <w:rPr>
                        <w:rFonts w:ascii="Cambria Math" w:eastAsia="Bookman Old Style" w:hAnsi="Cambria Math"/>
                        <w:color w:val="000000" w:themeColor="text1"/>
                        <w:sz w:val="22"/>
                      </w:rPr>
                      <m:t>Mulai</m:t>
                    </m:r>
                    <m:r>
                      <w:rPr>
                        <w:rFonts w:ascii="Cambria Math" w:eastAsia="Bookman Old Style" w:hAnsi="Cambria Math"/>
                        <w:color w:val="000000" w:themeColor="text1"/>
                        <w:sz w:val="22"/>
                      </w:rPr>
                      <m:t> </m:t>
                    </m:r>
                    <m:r>
                      <w:rPr>
                        <w:rFonts w:ascii="Cambria Math" w:eastAsia="Bookman Old Style" w:hAnsi="Cambria Math"/>
                        <w:color w:val="000000" w:themeColor="text1"/>
                        <w:sz w:val="22"/>
                      </w:rPr>
                      <m:t>Terjadi</m:t>
                    </m:r>
                    <m:r>
                      <w:rPr>
                        <w:rFonts w:ascii="Cambria Math" w:eastAsia="Bookman Old Style" w:hAnsi="Cambria Math"/>
                        <w:color w:val="000000" w:themeColor="text1"/>
                        <w:sz w:val="22"/>
                      </w:rPr>
                      <m:t> </m:t>
                    </m:r>
                    <m:r>
                      <w:rPr>
                        <w:rFonts w:ascii="Cambria Math" w:eastAsia="Bookman Old Style" w:hAnsi="Cambria Math"/>
                        <w:color w:val="000000" w:themeColor="text1"/>
                        <w:sz w:val="22"/>
                      </w:rPr>
                      <m:t>sampai</m:t>
                    </m:r>
                    <m:r>
                      <w:rPr>
                        <w:rFonts w:ascii="Cambria Math" w:eastAsia="Bookman Old Style" w:hAnsi="Cambria Math"/>
                        <w:color w:val="000000" w:themeColor="text1"/>
                        <w:sz w:val="22"/>
                      </w:rPr>
                      <m:t> </m:t>
                    </m:r>
                    <m:r>
                      <w:rPr>
                        <w:rFonts w:ascii="Cambria Math" w:eastAsia="Bookman Old Style" w:hAnsi="Cambria Math"/>
                        <w:color w:val="000000" w:themeColor="text1"/>
                        <w:sz w:val="22"/>
                      </w:rPr>
                      <m:t>Terdeteksi</m:t>
                    </m:r>
                    <m:r>
                      <w:rPr>
                        <w:rFonts w:ascii="Cambria Math" w:eastAsia="Bookman Old Style" w:hAnsi="Cambria Math"/>
                        <w:color w:val="000000" w:themeColor="text1"/>
                        <w:sz w:val="22"/>
                      </w:rPr>
                      <m:t> </m:t>
                    </m:r>
                    <m:r>
                      <w:rPr>
                        <w:rFonts w:ascii="Cambria Math" w:eastAsia="Bookman Old Style" w:hAnsi="Cambria Math"/>
                        <w:color w:val="000000" w:themeColor="text1"/>
                        <w:sz w:val="22"/>
                      </w:rPr>
                      <m:t>dalam</m:t>
                    </m:r>
                    <m:r>
                      <w:rPr>
                        <w:rFonts w:ascii="Cambria Math" w:eastAsia="Bookman Old Style" w:hAnsi="Cambria Math"/>
                        <w:color w:val="000000" w:themeColor="text1"/>
                        <w:sz w:val="22"/>
                      </w:rPr>
                      <m:t> 1 </m:t>
                    </m:r>
                    <m:r>
                      <w:rPr>
                        <w:rFonts w:ascii="Cambria Math" w:eastAsia="Bookman Old Style" w:hAnsi="Cambria Math"/>
                        <w:color w:val="000000" w:themeColor="text1"/>
                        <w:sz w:val="22"/>
                      </w:rPr>
                      <m:t>Ta</m:t>
                    </m:r>
                    <m:r>
                      <w:rPr>
                        <w:rFonts w:ascii="Cambria Math" w:eastAsia="Bookman Old Style" w:hAnsi="Cambria Math"/>
                        <w:color w:val="000000" w:themeColor="text1"/>
                        <w:sz w:val="22"/>
                      </w:rPr>
                      <m:t>h</m:t>
                    </m:r>
                    <m:r>
                      <w:rPr>
                        <w:rFonts w:ascii="Cambria Math" w:eastAsia="Bookman Old Style" w:hAnsi="Cambria Math"/>
                        <w:color w:val="000000" w:themeColor="text1"/>
                        <w:sz w:val="22"/>
                      </w:rPr>
                      <m:t>un</m:t>
                    </m:r>
                  </m:num>
                  <m:den>
                    <m:r>
                      <w:rPr>
                        <w:rFonts w:ascii="Cambria Math" w:eastAsia="Bookman Old Style" w:hAnsi="Cambria Math"/>
                        <w:color w:val="000000" w:themeColor="text1"/>
                        <w:sz w:val="22"/>
                      </w:rPr>
                      <m:t>Jumla</m:t>
                    </m:r>
                    <m:r>
                      <w:rPr>
                        <w:rFonts w:ascii="Cambria Math" w:eastAsia="Bookman Old Style" w:hAnsi="Cambria Math"/>
                        <w:color w:val="000000" w:themeColor="text1"/>
                        <w:sz w:val="22"/>
                      </w:rPr>
                      <m:t>h</m:t>
                    </m:r>
                    <m:r>
                      <w:rPr>
                        <w:rFonts w:ascii="Cambria Math" w:eastAsia="Bookman Old Style" w:hAnsi="Cambria Math"/>
                        <w:color w:val="000000" w:themeColor="text1"/>
                        <w:sz w:val="22"/>
                      </w:rPr>
                      <m:t xml:space="preserve"> </m:t>
                    </m:r>
                    <m:r>
                      <w:rPr>
                        <w:rFonts w:ascii="Cambria Math" w:eastAsia="Bookman Old Style" w:hAnsi="Cambria Math"/>
                        <w:color w:val="000000" w:themeColor="text1"/>
                        <w:sz w:val="22"/>
                      </w:rPr>
                      <m:t>Kejadian</m:t>
                    </m:r>
                    <m:r>
                      <w:rPr>
                        <w:rFonts w:ascii="Cambria Math" w:eastAsia="Bookman Old Style" w:hAnsi="Cambria Math"/>
                        <w:color w:val="000000" w:themeColor="text1"/>
                        <w:sz w:val="22"/>
                      </w:rPr>
                      <m:t xml:space="preserve"> </m:t>
                    </m:r>
                    <m:r>
                      <w:rPr>
                        <w:rFonts w:ascii="Cambria Math" w:eastAsia="Bookman Old Style" w:hAnsi="Cambria Math"/>
                        <w:color w:val="000000" w:themeColor="text1"/>
                        <w:sz w:val="22"/>
                      </w:rPr>
                      <m:t>Kegagalan</m:t>
                    </m:r>
                    <m:r>
                      <w:rPr>
                        <w:rFonts w:ascii="Cambria Math" w:eastAsia="Bookman Old Style" w:hAnsi="Cambria Math"/>
                        <w:color w:val="000000" w:themeColor="text1"/>
                        <w:sz w:val="22"/>
                      </w:rPr>
                      <m:t xml:space="preserve"> </m:t>
                    </m:r>
                    <m:r>
                      <w:rPr>
                        <w:rFonts w:ascii="Cambria Math" w:eastAsia="Bookman Old Style" w:hAnsi="Cambria Math"/>
                        <w:color w:val="000000" w:themeColor="text1"/>
                        <w:sz w:val="22"/>
                      </w:rPr>
                      <m:t>dalam</m:t>
                    </m:r>
                    <m:r>
                      <w:rPr>
                        <w:rFonts w:ascii="Cambria Math" w:eastAsia="Bookman Old Style" w:hAnsi="Cambria Math"/>
                        <w:color w:val="000000" w:themeColor="text1"/>
                        <w:sz w:val="22"/>
                      </w:rPr>
                      <m:t xml:space="preserve"> 1 </m:t>
                    </m:r>
                    <m:r>
                      <w:rPr>
                        <w:rFonts w:ascii="Cambria Math" w:eastAsia="Bookman Old Style" w:hAnsi="Cambria Math"/>
                        <w:color w:val="000000" w:themeColor="text1"/>
                        <w:sz w:val="22"/>
                      </w:rPr>
                      <m:t>ta</m:t>
                    </m:r>
                    <m:r>
                      <w:rPr>
                        <w:rFonts w:ascii="Cambria Math" w:eastAsia="Bookman Old Style" w:hAnsi="Cambria Math"/>
                        <w:color w:val="000000" w:themeColor="text1"/>
                        <w:sz w:val="22"/>
                      </w:rPr>
                      <m:t>h</m:t>
                    </m:r>
                    <m:r>
                      <w:rPr>
                        <w:rFonts w:ascii="Cambria Math" w:eastAsia="Bookman Old Style" w:hAnsi="Cambria Math"/>
                        <w:color w:val="000000" w:themeColor="text1"/>
                        <w:sz w:val="22"/>
                      </w:rPr>
                      <m:t>un</m:t>
                    </m:r>
                  </m:den>
                </m:f>
              </m:oMath>
            </m:oMathPara>
          </w:p>
          <w:p w14:paraId="5FCA2002" w14:textId="77777777" w:rsidR="00AE4874" w:rsidRPr="00306115" w:rsidRDefault="00AE4874">
            <w:pPr>
              <w:pStyle w:val="ListParagraph"/>
              <w:widowControl w:val="0"/>
              <w:numPr>
                <w:ilvl w:val="0"/>
                <w:numId w:val="471"/>
              </w:numPr>
              <w:pBdr>
                <w:top w:val="nil"/>
                <w:left w:val="nil"/>
                <w:bottom w:val="nil"/>
                <w:right w:val="nil"/>
                <w:between w:val="nil"/>
              </w:pBdr>
              <w:tabs>
                <w:tab w:val="left" w:pos="972"/>
              </w:tabs>
              <w:spacing w:before="120" w:after="0" w:line="240" w:lineRule="auto"/>
              <w:ind w:left="567" w:hanging="567"/>
              <w:contextualSpacing w:val="0"/>
              <w:rPr>
                <w:rFonts w:eastAsia="Bookman Old Style" w:cs="Bookman Old Style"/>
                <w:color w:val="000000" w:themeColor="text1"/>
                <w:szCs w:val="24"/>
              </w:rPr>
            </w:pPr>
            <w:r w:rsidRPr="00306115">
              <w:rPr>
                <w:color w:val="000000" w:themeColor="text1"/>
                <w:szCs w:val="24"/>
              </w:rPr>
              <w:t>Adapun</w:t>
            </w:r>
            <w:r w:rsidRPr="00306115">
              <w:rPr>
                <w:rFonts w:eastAsia="Bookman Old Style" w:cs="Bookman Old Style"/>
                <w:color w:val="000000" w:themeColor="text1"/>
                <w:szCs w:val="24"/>
              </w:rPr>
              <w:t xml:space="preserve"> </w:t>
            </w:r>
            <w:r w:rsidRPr="00306115">
              <w:rPr>
                <w:rFonts w:eastAsia="Bookman Old Style" w:cs="Bookman Old Style"/>
                <w:color w:val="000000" w:themeColor="text1"/>
                <w:szCs w:val="24"/>
                <w:lang w:val="en-ID"/>
              </w:rPr>
              <w:t>klasifikasi penilaian indikator ini terbagi menjadi 5 (lima) peringkat sebagai berikut:</w:t>
            </w:r>
          </w:p>
          <w:p w14:paraId="683AD0E7" w14:textId="77777777" w:rsidR="00AE4874" w:rsidRPr="00306115" w:rsidRDefault="00AE4874">
            <w:pPr>
              <w:pStyle w:val="ListParagraph"/>
              <w:widowControl w:val="0"/>
              <w:numPr>
                <w:ilvl w:val="0"/>
                <w:numId w:val="472"/>
              </w:numPr>
              <w:pBdr>
                <w:top w:val="nil"/>
                <w:left w:val="nil"/>
                <w:bottom w:val="nil"/>
                <w:right w:val="nil"/>
                <w:between w:val="nil"/>
              </w:pBdr>
              <w:tabs>
                <w:tab w:val="left" w:pos="439"/>
              </w:tabs>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Peringkat 1: &lt;= 30 Menit</w:t>
            </w:r>
          </w:p>
          <w:p w14:paraId="336D2880" w14:textId="77777777" w:rsidR="00AE4874" w:rsidRPr="00306115" w:rsidRDefault="00AE4874">
            <w:pPr>
              <w:pStyle w:val="ListParagraph"/>
              <w:widowControl w:val="0"/>
              <w:numPr>
                <w:ilvl w:val="0"/>
                <w:numId w:val="472"/>
              </w:numPr>
              <w:pBdr>
                <w:top w:val="nil"/>
                <w:left w:val="nil"/>
                <w:bottom w:val="nil"/>
                <w:right w:val="nil"/>
                <w:between w:val="nil"/>
              </w:pBdr>
              <w:tabs>
                <w:tab w:val="left" w:pos="439"/>
              </w:tabs>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Peringkat 2: &gt;30 menit s.d. &lt;=60 menit</w:t>
            </w:r>
          </w:p>
          <w:p w14:paraId="7DB796A1" w14:textId="77777777" w:rsidR="00AE4874" w:rsidRPr="00306115" w:rsidRDefault="00AE4874">
            <w:pPr>
              <w:pStyle w:val="ListParagraph"/>
              <w:widowControl w:val="0"/>
              <w:numPr>
                <w:ilvl w:val="0"/>
                <w:numId w:val="472"/>
              </w:numPr>
              <w:pBdr>
                <w:top w:val="nil"/>
                <w:left w:val="nil"/>
                <w:bottom w:val="nil"/>
                <w:right w:val="nil"/>
                <w:between w:val="nil"/>
              </w:pBdr>
              <w:tabs>
                <w:tab w:val="left" w:pos="439"/>
              </w:tabs>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Peringkat 3: &gt;60 menit s.d. &lt;= 90 menit</w:t>
            </w:r>
          </w:p>
          <w:p w14:paraId="071AA06B" w14:textId="77777777" w:rsidR="00AE4874" w:rsidRPr="00306115" w:rsidRDefault="00AE4874">
            <w:pPr>
              <w:pStyle w:val="ListParagraph"/>
              <w:widowControl w:val="0"/>
              <w:numPr>
                <w:ilvl w:val="0"/>
                <w:numId w:val="472"/>
              </w:numPr>
              <w:pBdr>
                <w:top w:val="nil"/>
                <w:left w:val="nil"/>
                <w:bottom w:val="nil"/>
                <w:right w:val="nil"/>
                <w:between w:val="nil"/>
              </w:pBdr>
              <w:tabs>
                <w:tab w:val="left" w:pos="439"/>
              </w:tabs>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Peringkat 4: &gt;90 menit s.d. &lt;=120 menit</w:t>
            </w:r>
          </w:p>
          <w:p w14:paraId="3BB97EE4" w14:textId="2388DB26" w:rsidR="00AE4874" w:rsidRPr="00306115" w:rsidRDefault="00AE4874">
            <w:pPr>
              <w:pStyle w:val="ListParagraph"/>
              <w:widowControl w:val="0"/>
              <w:numPr>
                <w:ilvl w:val="0"/>
                <w:numId w:val="472"/>
              </w:numPr>
              <w:pBdr>
                <w:top w:val="nil"/>
                <w:left w:val="nil"/>
                <w:bottom w:val="nil"/>
                <w:right w:val="nil"/>
                <w:between w:val="nil"/>
              </w:pBdr>
              <w:tabs>
                <w:tab w:val="left" w:pos="439"/>
              </w:tabs>
              <w:spacing w:after="0" w:line="240" w:lineRule="auto"/>
              <w:ind w:left="851" w:hanging="284"/>
              <w:contextualSpacing w:val="0"/>
              <w:rPr>
                <w:rFonts w:eastAsia="Bookman Old Style" w:cs="Bookman Old Style"/>
                <w:strike/>
                <w:color w:val="000000" w:themeColor="text1"/>
                <w:szCs w:val="24"/>
              </w:rPr>
            </w:pPr>
            <w:r w:rsidRPr="00306115">
              <w:rPr>
                <w:rFonts w:eastAsia="Bookman Old Style" w:cs="Bookman Old Style"/>
                <w:color w:val="000000" w:themeColor="text1"/>
                <w:szCs w:val="24"/>
              </w:rPr>
              <w:t>Peringkat 5: &lt;= 90 menit</w:t>
            </w:r>
          </w:p>
        </w:tc>
      </w:tr>
      <w:tr w:rsidR="00AE4874" w:rsidRPr="00306115" w14:paraId="4C2161C7" w14:textId="77777777" w:rsidTr="00740724">
        <w:trPr>
          <w:trHeight w:val="1314"/>
        </w:trPr>
        <w:tc>
          <w:tcPr>
            <w:tcW w:w="3261" w:type="dxa"/>
            <w:gridSpan w:val="2"/>
            <w:vMerge/>
            <w:tcBorders>
              <w:left w:val="single" w:sz="8" w:space="0" w:color="000000" w:themeColor="text1"/>
              <w:right w:val="single" w:sz="8" w:space="0" w:color="000000" w:themeColor="text1"/>
            </w:tcBorders>
          </w:tcPr>
          <w:p w14:paraId="65BF373D" w14:textId="77777777" w:rsidR="00AE4874" w:rsidRPr="00306115" w:rsidRDefault="00AE4874" w:rsidP="00A572D9">
            <w:pPr>
              <w:widowControl w:val="0"/>
              <w:pBdr>
                <w:top w:val="nil"/>
                <w:left w:val="nil"/>
                <w:bottom w:val="nil"/>
                <w:right w:val="nil"/>
                <w:between w:val="nil"/>
              </w:pBdr>
              <w:spacing w:after="0" w:line="240" w:lineRule="auto"/>
              <w:rPr>
                <w:rFonts w:eastAsia="Bookman Old Style" w:cs="Bookman Old Style"/>
                <w:color w:val="000000" w:themeColor="text1"/>
                <w:szCs w:val="24"/>
              </w:rPr>
            </w:pPr>
          </w:p>
        </w:tc>
        <w:tc>
          <w:tcPr>
            <w:tcW w:w="255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B70163" w14:textId="31792661" w:rsidR="00AE4874" w:rsidRPr="00306115" w:rsidRDefault="00AE4874" w:rsidP="00A572D9">
            <w:pPr>
              <w:widowControl w:val="0"/>
              <w:pBdr>
                <w:top w:val="nil"/>
                <w:left w:val="nil"/>
                <w:bottom w:val="nil"/>
                <w:right w:val="nil"/>
                <w:between w:val="nil"/>
              </w:pBdr>
              <w:spacing w:after="0" w:line="240" w:lineRule="auto"/>
              <w:rPr>
                <w:rFonts w:eastAsia="Bookman Old Style" w:cs="Bookman Old Style"/>
                <w:color w:val="000000" w:themeColor="text1"/>
                <w:szCs w:val="24"/>
                <w:lang w:val="id"/>
              </w:rPr>
            </w:pPr>
            <w:r w:rsidRPr="00306115">
              <w:rPr>
                <w:rFonts w:eastAsia="Bookman Old Style"/>
                <w:color w:val="000000" w:themeColor="text1"/>
                <w:szCs w:val="24"/>
              </w:rPr>
              <w:t>Rata-rata lama waktu pemulihan (</w:t>
            </w:r>
            <w:r w:rsidRPr="00306115">
              <w:rPr>
                <w:rFonts w:eastAsia="Bookman Old Style"/>
                <w:i/>
                <w:iCs/>
                <w:color w:val="000000" w:themeColor="text1"/>
                <w:szCs w:val="24"/>
              </w:rPr>
              <w:t>downtime</w:t>
            </w:r>
            <w:r w:rsidRPr="00306115">
              <w:rPr>
                <w:rFonts w:eastAsia="Bookman Old Style"/>
                <w:color w:val="000000" w:themeColor="text1"/>
                <w:szCs w:val="24"/>
              </w:rPr>
              <w:t xml:space="preserve">) </w:t>
            </w:r>
            <w:r w:rsidRPr="00306115">
              <w:rPr>
                <w:rFonts w:eastAsia="Cambria"/>
                <w:i/>
                <w:iCs/>
                <w:color w:val="000000" w:themeColor="text1"/>
                <w:szCs w:val="24"/>
              </w:rPr>
              <w:t xml:space="preserve">core system </w:t>
            </w:r>
            <w:r w:rsidRPr="00306115">
              <w:rPr>
                <w:rFonts w:eastAsia="Cambria"/>
                <w:color w:val="000000" w:themeColor="text1"/>
                <w:szCs w:val="24"/>
                <w:lang w:val="en-GB"/>
              </w:rPr>
              <w:t>termasuk seluruh sistem yang terhubung dengan</w:t>
            </w:r>
            <w:r w:rsidRPr="00306115">
              <w:rPr>
                <w:rFonts w:eastAsia="Cambria"/>
                <w:i/>
                <w:iCs/>
                <w:color w:val="000000" w:themeColor="text1"/>
                <w:szCs w:val="24"/>
                <w:lang w:val="en-GB"/>
              </w:rPr>
              <w:t xml:space="preserve"> core system</w:t>
            </w:r>
            <w:r w:rsidRPr="00306115">
              <w:rPr>
                <w:rFonts w:eastAsia="Cambria"/>
                <w:color w:val="000000" w:themeColor="text1"/>
                <w:szCs w:val="24"/>
              </w:rPr>
              <w:t xml:space="preserve"> </w:t>
            </w:r>
            <w:r w:rsidRPr="00306115">
              <w:rPr>
                <w:rFonts w:eastAsia="Bookman Old Style"/>
                <w:color w:val="000000" w:themeColor="text1"/>
                <w:szCs w:val="24"/>
              </w:rPr>
              <w:t>Teknologi Informasi</w:t>
            </w:r>
          </w:p>
        </w:tc>
        <w:tc>
          <w:tcPr>
            <w:tcW w:w="89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084DCF" w14:textId="77777777" w:rsidR="00AE4874" w:rsidRPr="00306115" w:rsidRDefault="00AE4874">
            <w:pPr>
              <w:pStyle w:val="ListParagraph"/>
              <w:widowControl w:val="0"/>
              <w:numPr>
                <w:ilvl w:val="0"/>
                <w:numId w:val="473"/>
              </w:numPr>
              <w:pBdr>
                <w:top w:val="nil"/>
                <w:left w:val="nil"/>
                <w:bottom w:val="nil"/>
                <w:right w:val="nil"/>
                <w:between w:val="nil"/>
              </w:pBdr>
              <w:tabs>
                <w:tab w:val="left" w:pos="831"/>
              </w:tabs>
              <w:spacing w:after="0" w:line="240" w:lineRule="auto"/>
              <w:ind w:left="567" w:hanging="567"/>
              <w:contextualSpacing w:val="0"/>
              <w:rPr>
                <w:rFonts w:eastAsia="Bookman Old Style" w:cs="Bookman Old Style"/>
                <w:color w:val="000000" w:themeColor="text1"/>
                <w:szCs w:val="24"/>
                <w:lang w:val="en-ID"/>
              </w:rPr>
            </w:pPr>
            <w:r w:rsidRPr="00306115">
              <w:rPr>
                <w:rFonts w:eastAsia="Bookman Old Style" w:cs="Bookman Old Style"/>
                <w:color w:val="000000" w:themeColor="text1"/>
                <w:szCs w:val="24"/>
                <w:lang w:val="en-ID"/>
              </w:rPr>
              <w:t>Parameter atau indikator ini mengukur rata-rata lama waktu pemulihan (</w:t>
            </w:r>
            <w:r w:rsidRPr="00306115">
              <w:rPr>
                <w:rFonts w:eastAsia="Bookman Old Style" w:cs="Bookman Old Style"/>
                <w:i/>
                <w:iCs/>
                <w:color w:val="000000" w:themeColor="text1"/>
                <w:szCs w:val="24"/>
                <w:lang w:val="en-ID"/>
              </w:rPr>
              <w:t>downtime</w:t>
            </w:r>
            <w:r w:rsidRPr="00306115">
              <w:rPr>
                <w:rFonts w:eastAsia="Bookman Old Style" w:cs="Bookman Old Style"/>
                <w:color w:val="000000" w:themeColor="text1"/>
                <w:szCs w:val="24"/>
                <w:lang w:val="en-ID"/>
              </w:rPr>
              <w:t xml:space="preserve">) </w:t>
            </w:r>
            <w:r w:rsidRPr="00306115">
              <w:rPr>
                <w:rFonts w:eastAsia="Bookman Old Style" w:cs="Bookman Old Style"/>
                <w:i/>
                <w:iCs/>
                <w:color w:val="000000" w:themeColor="text1"/>
                <w:szCs w:val="24"/>
                <w:lang w:val="en-ID"/>
              </w:rPr>
              <w:t>core system</w:t>
            </w:r>
            <w:r w:rsidRPr="00306115">
              <w:rPr>
                <w:rFonts w:eastAsia="Bookman Old Style" w:cs="Bookman Old Style"/>
                <w:color w:val="000000" w:themeColor="text1"/>
                <w:szCs w:val="24"/>
                <w:lang w:val="en-ID"/>
              </w:rPr>
              <w:t xml:space="preserve">, termasuk seluruh sistem yang terhubung dengan </w:t>
            </w:r>
            <w:r w:rsidRPr="00306115">
              <w:rPr>
                <w:rFonts w:eastAsia="Bookman Old Style" w:cs="Bookman Old Style"/>
                <w:i/>
                <w:iCs/>
                <w:color w:val="000000" w:themeColor="text1"/>
                <w:szCs w:val="24"/>
                <w:lang w:val="en-ID"/>
              </w:rPr>
              <w:t>core system</w:t>
            </w:r>
            <w:r w:rsidRPr="00306115">
              <w:rPr>
                <w:rFonts w:eastAsia="Bookman Old Style" w:cs="Bookman Old Style"/>
                <w:color w:val="000000" w:themeColor="text1"/>
                <w:szCs w:val="24"/>
                <w:lang w:val="en-ID"/>
              </w:rPr>
              <w:t>, sejak insiden kegagalan sistem terjadi sampai dengan sistem kembali berfungsi normal, dalam 1 (satu) tahun terakhir.</w:t>
            </w:r>
          </w:p>
          <w:p w14:paraId="19ECDFD9" w14:textId="77777777" w:rsidR="00AE4874" w:rsidRPr="00306115" w:rsidRDefault="00AE4874">
            <w:pPr>
              <w:pStyle w:val="ListParagraph"/>
              <w:widowControl w:val="0"/>
              <w:numPr>
                <w:ilvl w:val="0"/>
                <w:numId w:val="473"/>
              </w:numPr>
              <w:pBdr>
                <w:top w:val="nil"/>
                <w:left w:val="nil"/>
                <w:bottom w:val="nil"/>
                <w:right w:val="nil"/>
                <w:between w:val="nil"/>
              </w:pBdr>
              <w:tabs>
                <w:tab w:val="left" w:pos="831"/>
              </w:tabs>
              <w:spacing w:after="0" w:line="240" w:lineRule="auto"/>
              <w:ind w:left="567" w:hanging="567"/>
              <w:contextualSpacing w:val="0"/>
              <w:rPr>
                <w:rFonts w:eastAsia="Bookman Old Style" w:cs="Bookman Old Style"/>
                <w:color w:val="000000" w:themeColor="text1"/>
                <w:szCs w:val="24"/>
                <w:lang w:val="en-ID"/>
              </w:rPr>
            </w:pPr>
            <w:r w:rsidRPr="00306115">
              <w:rPr>
                <w:rFonts w:eastAsia="Bookman Old Style" w:cs="Bookman Old Style"/>
                <w:color w:val="000000" w:themeColor="text1"/>
                <w:szCs w:val="24"/>
                <w:lang w:val="en-ID"/>
              </w:rPr>
              <w:t xml:space="preserve">Adapun yang termasuk ke dalam </w:t>
            </w:r>
            <w:r w:rsidRPr="00306115">
              <w:rPr>
                <w:rFonts w:eastAsia="Bookman Old Style" w:cs="Bookman Old Style"/>
                <w:i/>
                <w:iCs/>
                <w:color w:val="000000" w:themeColor="text1"/>
                <w:szCs w:val="24"/>
                <w:lang w:val="en-ID"/>
              </w:rPr>
              <w:t>core system</w:t>
            </w:r>
            <w:r w:rsidRPr="00306115">
              <w:rPr>
                <w:rFonts w:eastAsia="Bookman Old Style" w:cs="Bookman Old Style"/>
                <w:color w:val="000000" w:themeColor="text1"/>
                <w:szCs w:val="24"/>
                <w:lang w:val="en-ID"/>
              </w:rPr>
              <w:t xml:space="preserve"> adalah semua sistem elektronik yang digunakan untuk melakukan transaksi Produk Investasi dan/atau menunjang operasional kegiatan usaha Manajer Investasi.</w:t>
            </w:r>
          </w:p>
          <w:p w14:paraId="55CC728B" w14:textId="77777777" w:rsidR="00AE4874" w:rsidRPr="00306115" w:rsidRDefault="00AE4874">
            <w:pPr>
              <w:pStyle w:val="ListParagraph"/>
              <w:widowControl w:val="0"/>
              <w:numPr>
                <w:ilvl w:val="0"/>
                <w:numId w:val="473"/>
              </w:numPr>
              <w:pBdr>
                <w:top w:val="nil"/>
                <w:left w:val="nil"/>
                <w:bottom w:val="nil"/>
                <w:right w:val="nil"/>
                <w:between w:val="nil"/>
              </w:pBdr>
              <w:tabs>
                <w:tab w:val="left" w:pos="831"/>
              </w:tabs>
              <w:spacing w:after="0" w:line="240" w:lineRule="auto"/>
              <w:ind w:left="567" w:hanging="567"/>
              <w:contextualSpacing w:val="0"/>
              <w:rPr>
                <w:rFonts w:eastAsia="Bookman Old Style" w:cs="Bookman Old Style"/>
                <w:color w:val="000000" w:themeColor="text1"/>
                <w:szCs w:val="24"/>
                <w:lang w:val="en-ID"/>
              </w:rPr>
            </w:pPr>
            <w:r w:rsidRPr="00306115">
              <w:rPr>
                <w:rFonts w:eastAsia="Bookman Old Style" w:cs="Bookman Old Style"/>
                <w:color w:val="000000" w:themeColor="text1"/>
                <w:szCs w:val="24"/>
                <w:lang w:val="en-ID"/>
              </w:rPr>
              <w:t xml:space="preserve">Semakin lama rata-rata waktu pemulihan sistem, semakin tinggi </w:t>
            </w:r>
            <w:r w:rsidRPr="00306115">
              <w:rPr>
                <w:rFonts w:eastAsia="Bookman Old Style" w:cs="Bookman Old Style"/>
                <w:color w:val="000000" w:themeColor="text1"/>
                <w:szCs w:val="24"/>
                <w:lang w:val="en-ID"/>
              </w:rPr>
              <w:lastRenderedPageBreak/>
              <w:t>eksposur Risiko Operasional Manajer Investasi.</w:t>
            </w:r>
          </w:p>
          <w:p w14:paraId="26951D09" w14:textId="77777777" w:rsidR="00AE4874" w:rsidRPr="00306115" w:rsidRDefault="00AE4874">
            <w:pPr>
              <w:pStyle w:val="ListParagraph"/>
              <w:widowControl w:val="0"/>
              <w:numPr>
                <w:ilvl w:val="0"/>
                <w:numId w:val="473"/>
              </w:numPr>
              <w:pBdr>
                <w:top w:val="nil"/>
                <w:left w:val="nil"/>
                <w:bottom w:val="nil"/>
                <w:right w:val="nil"/>
                <w:between w:val="nil"/>
              </w:pBdr>
              <w:tabs>
                <w:tab w:val="left" w:pos="831"/>
              </w:tabs>
              <w:spacing w:after="0" w:line="240" w:lineRule="auto"/>
              <w:ind w:left="567" w:hanging="567"/>
              <w:contextualSpacing w:val="0"/>
              <w:rPr>
                <w:rFonts w:eastAsia="Bookman Old Style" w:cs="Bookman Old Style"/>
                <w:color w:val="000000" w:themeColor="text1"/>
                <w:szCs w:val="24"/>
                <w:lang w:val="en-ID"/>
              </w:rPr>
            </w:pPr>
            <w:r w:rsidRPr="00306115">
              <w:rPr>
                <w:color w:val="000000" w:themeColor="text1"/>
                <w:szCs w:val="24"/>
              </w:rPr>
              <w:t>Adapun formula perhitungan yang digunakan sebagai berikut:</w:t>
            </w:r>
          </w:p>
          <w:p w14:paraId="51D27440" w14:textId="69ACD5DB" w:rsidR="00AE4874" w:rsidRPr="00306115" w:rsidRDefault="00AE4874" w:rsidP="00C96848">
            <w:pPr>
              <w:pStyle w:val="ListParagraph"/>
              <w:widowControl w:val="0"/>
              <w:pBdr>
                <w:top w:val="nil"/>
                <w:left w:val="nil"/>
                <w:bottom w:val="nil"/>
                <w:right w:val="nil"/>
                <w:between w:val="nil"/>
              </w:pBdr>
              <w:tabs>
                <w:tab w:val="left" w:pos="831"/>
              </w:tabs>
              <w:spacing w:after="0" w:line="240" w:lineRule="auto"/>
              <w:ind w:left="567"/>
              <w:contextualSpacing w:val="0"/>
              <w:rPr>
                <w:rFonts w:eastAsia="Bookman Old Style" w:cs="Bookman Old Style"/>
                <w:color w:val="000000" w:themeColor="text1"/>
                <w:szCs w:val="24"/>
                <w:lang w:val="en-ID"/>
              </w:rPr>
            </w:pPr>
            <w:r w:rsidRPr="00306115">
              <w:rPr>
                <w:color w:val="000000" w:themeColor="text1"/>
                <w:szCs w:val="24"/>
              </w:rPr>
              <w:t>Nilai rata-rata =</w:t>
            </w:r>
          </w:p>
          <w:p w14:paraId="11C29D2F" w14:textId="7351A188" w:rsidR="00AE4874" w:rsidRPr="00306115" w:rsidRDefault="00DD3739" w:rsidP="00C96848">
            <w:pPr>
              <w:spacing w:after="0" w:line="240" w:lineRule="auto"/>
              <w:jc w:val="center"/>
              <w:rPr>
                <w:rFonts w:eastAsiaTheme="minorEastAsia"/>
                <w:color w:val="000000" w:themeColor="text1"/>
                <w:szCs w:val="24"/>
              </w:rPr>
            </w:pPr>
            <m:oMathPara>
              <m:oMath>
                <m:f>
                  <m:fPr>
                    <m:ctrlPr>
                      <w:rPr>
                        <w:rFonts w:ascii="Cambria Math" w:hAnsi="Cambria Math"/>
                        <w:i/>
                        <w:color w:val="000000" w:themeColor="text1"/>
                        <w:kern w:val="2"/>
                        <w:szCs w:val="24"/>
                        <w:lang w:val="en-ID"/>
                        <w14:ligatures w14:val="standardContextual"/>
                      </w:rPr>
                    </m:ctrlPr>
                  </m:fPr>
                  <m:num>
                    <m:r>
                      <w:rPr>
                        <w:rFonts w:ascii="Cambria Math" w:hAnsi="Cambria Math"/>
                        <w:color w:val="000000" w:themeColor="text1"/>
                        <w:szCs w:val="24"/>
                      </w:rPr>
                      <m:t>Total</m:t>
                    </m:r>
                    <m:r>
                      <w:rPr>
                        <w:rFonts w:ascii="Cambria Math" w:hAnsi="Cambria Math"/>
                        <w:color w:val="000000" w:themeColor="text1"/>
                        <w:szCs w:val="24"/>
                      </w:rPr>
                      <m:t xml:space="preserve"> </m:t>
                    </m:r>
                    <m:r>
                      <w:rPr>
                        <w:rFonts w:ascii="Cambria Math" w:hAnsi="Cambria Math"/>
                        <w:color w:val="000000" w:themeColor="text1"/>
                        <w:szCs w:val="24"/>
                      </w:rPr>
                      <m:t>durasi</m:t>
                    </m:r>
                    <m:r>
                      <w:rPr>
                        <w:rFonts w:ascii="Cambria Math" w:hAnsi="Cambria Math"/>
                        <w:color w:val="000000" w:themeColor="text1"/>
                        <w:szCs w:val="24"/>
                      </w:rPr>
                      <m:t xml:space="preserve"> </m:t>
                    </m:r>
                    <m:r>
                      <w:rPr>
                        <w:rFonts w:ascii="Cambria Math" w:hAnsi="Cambria Math"/>
                        <w:color w:val="000000" w:themeColor="text1"/>
                        <w:szCs w:val="24"/>
                      </w:rPr>
                      <m:t>downtime</m:t>
                    </m:r>
                    <m:r>
                      <w:rPr>
                        <w:rFonts w:ascii="Cambria Math" w:hAnsi="Cambria Math"/>
                        <w:color w:val="000000" w:themeColor="text1"/>
                        <w:szCs w:val="24"/>
                      </w:rPr>
                      <m:t xml:space="preserve"> </m:t>
                    </m:r>
                    <m:r>
                      <w:rPr>
                        <w:rFonts w:ascii="Cambria Math" w:hAnsi="Cambria Math"/>
                        <w:color w:val="000000" w:themeColor="text1"/>
                        <w:szCs w:val="24"/>
                      </w:rPr>
                      <m:t>seluru</m:t>
                    </m:r>
                    <m:r>
                      <w:rPr>
                        <w:rFonts w:ascii="Cambria Math" w:hAnsi="Cambria Math"/>
                        <w:color w:val="000000" w:themeColor="text1"/>
                        <w:szCs w:val="24"/>
                      </w:rPr>
                      <m:t>h</m:t>
                    </m:r>
                    <m:r>
                      <w:rPr>
                        <w:rFonts w:ascii="Cambria Math" w:hAnsi="Cambria Math"/>
                        <w:color w:val="000000" w:themeColor="text1"/>
                        <w:szCs w:val="24"/>
                      </w:rPr>
                      <m:t xml:space="preserve"> </m:t>
                    </m:r>
                    <m:r>
                      <w:rPr>
                        <w:rFonts w:ascii="Cambria Math" w:hAnsi="Cambria Math"/>
                        <w:color w:val="000000" w:themeColor="text1"/>
                        <w:szCs w:val="24"/>
                      </w:rPr>
                      <m:t>kejadian</m:t>
                    </m:r>
                    <m:r>
                      <w:rPr>
                        <w:rFonts w:ascii="Cambria Math" w:hAnsi="Cambria Math"/>
                        <w:color w:val="000000" w:themeColor="text1"/>
                        <w:szCs w:val="24"/>
                      </w:rPr>
                      <m:t xml:space="preserve"> </m:t>
                    </m:r>
                    <m:r>
                      <w:rPr>
                        <w:rFonts w:ascii="Cambria Math" w:hAnsi="Cambria Math"/>
                        <w:color w:val="000000" w:themeColor="text1"/>
                        <w:szCs w:val="24"/>
                      </w:rPr>
                      <m:t>dalam</m:t>
                    </m:r>
                    <m:r>
                      <w:rPr>
                        <w:rFonts w:ascii="Cambria Math" w:hAnsi="Cambria Math"/>
                        <w:color w:val="000000" w:themeColor="text1"/>
                        <w:szCs w:val="24"/>
                      </w:rPr>
                      <m:t xml:space="preserve"> 1 </m:t>
                    </m:r>
                    <m:r>
                      <w:rPr>
                        <w:rFonts w:ascii="Cambria Math" w:hAnsi="Cambria Math"/>
                        <w:color w:val="000000" w:themeColor="text1"/>
                        <w:szCs w:val="24"/>
                      </w:rPr>
                      <m:t>ta</m:t>
                    </m:r>
                    <m:r>
                      <w:rPr>
                        <w:rFonts w:ascii="Cambria Math" w:hAnsi="Cambria Math"/>
                        <w:color w:val="000000" w:themeColor="text1"/>
                        <w:szCs w:val="24"/>
                      </w:rPr>
                      <m:t>h</m:t>
                    </m:r>
                    <m:r>
                      <w:rPr>
                        <w:rFonts w:ascii="Cambria Math" w:hAnsi="Cambria Math"/>
                        <w:color w:val="000000" w:themeColor="text1"/>
                        <w:szCs w:val="24"/>
                      </w:rPr>
                      <m:t>un</m:t>
                    </m:r>
                  </m:num>
                  <m:den>
                    <m:r>
                      <w:rPr>
                        <w:rFonts w:ascii="Cambria Math" w:hAnsi="Cambria Math"/>
                        <w:color w:val="000000" w:themeColor="text1"/>
                        <w:szCs w:val="24"/>
                      </w:rPr>
                      <m:t>Jumla</m:t>
                    </m:r>
                    <m:r>
                      <w:rPr>
                        <w:rFonts w:ascii="Cambria Math" w:hAnsi="Cambria Math"/>
                        <w:color w:val="000000" w:themeColor="text1"/>
                        <w:szCs w:val="24"/>
                      </w:rPr>
                      <m:t>h</m:t>
                    </m:r>
                    <m:r>
                      <w:rPr>
                        <w:rFonts w:ascii="Cambria Math" w:hAnsi="Cambria Math"/>
                        <w:color w:val="000000" w:themeColor="text1"/>
                        <w:szCs w:val="24"/>
                      </w:rPr>
                      <m:t xml:space="preserve"> </m:t>
                    </m:r>
                    <m:r>
                      <w:rPr>
                        <w:rFonts w:ascii="Cambria Math" w:hAnsi="Cambria Math"/>
                        <w:color w:val="000000" w:themeColor="text1"/>
                        <w:szCs w:val="24"/>
                      </w:rPr>
                      <m:t>kejadian</m:t>
                    </m:r>
                    <m:r>
                      <w:rPr>
                        <w:rFonts w:ascii="Cambria Math" w:hAnsi="Cambria Math"/>
                        <w:color w:val="000000" w:themeColor="text1"/>
                        <w:szCs w:val="24"/>
                      </w:rPr>
                      <m:t xml:space="preserve"> </m:t>
                    </m:r>
                    <m:r>
                      <w:rPr>
                        <w:rFonts w:ascii="Cambria Math" w:hAnsi="Cambria Math"/>
                        <w:color w:val="000000" w:themeColor="text1"/>
                        <w:szCs w:val="24"/>
                      </w:rPr>
                      <m:t>kegagalan</m:t>
                    </m:r>
                    <m:r>
                      <w:rPr>
                        <w:rFonts w:ascii="Cambria Math" w:hAnsi="Cambria Math"/>
                        <w:color w:val="000000" w:themeColor="text1"/>
                        <w:szCs w:val="24"/>
                      </w:rPr>
                      <m:t xml:space="preserve"> </m:t>
                    </m:r>
                    <m:r>
                      <w:rPr>
                        <w:rFonts w:ascii="Cambria Math" w:hAnsi="Cambria Math"/>
                        <w:color w:val="000000" w:themeColor="text1"/>
                        <w:szCs w:val="24"/>
                      </w:rPr>
                      <m:t>dalam</m:t>
                    </m:r>
                    <m:r>
                      <w:rPr>
                        <w:rFonts w:ascii="Cambria Math" w:hAnsi="Cambria Math"/>
                        <w:color w:val="000000" w:themeColor="text1"/>
                        <w:szCs w:val="24"/>
                      </w:rPr>
                      <m:t xml:space="preserve"> 1 </m:t>
                    </m:r>
                    <m:r>
                      <w:rPr>
                        <w:rFonts w:ascii="Cambria Math" w:hAnsi="Cambria Math"/>
                        <w:color w:val="000000" w:themeColor="text1"/>
                        <w:szCs w:val="24"/>
                      </w:rPr>
                      <m:t>ta</m:t>
                    </m:r>
                    <m:r>
                      <w:rPr>
                        <w:rFonts w:ascii="Cambria Math" w:hAnsi="Cambria Math"/>
                        <w:color w:val="000000" w:themeColor="text1"/>
                        <w:szCs w:val="24"/>
                      </w:rPr>
                      <m:t>h</m:t>
                    </m:r>
                    <m:r>
                      <w:rPr>
                        <w:rFonts w:ascii="Cambria Math" w:hAnsi="Cambria Math"/>
                        <w:color w:val="000000" w:themeColor="text1"/>
                        <w:szCs w:val="24"/>
                      </w:rPr>
                      <m:t>un</m:t>
                    </m:r>
                  </m:den>
                </m:f>
              </m:oMath>
            </m:oMathPara>
          </w:p>
          <w:p w14:paraId="248B4320" w14:textId="77777777" w:rsidR="00AE4874" w:rsidRPr="00306115" w:rsidRDefault="00AE4874">
            <w:pPr>
              <w:pStyle w:val="ListParagraph"/>
              <w:widowControl w:val="0"/>
              <w:numPr>
                <w:ilvl w:val="0"/>
                <w:numId w:val="473"/>
              </w:numPr>
              <w:pBdr>
                <w:top w:val="nil"/>
                <w:left w:val="nil"/>
                <w:bottom w:val="nil"/>
                <w:right w:val="nil"/>
                <w:between w:val="nil"/>
              </w:pBdr>
              <w:tabs>
                <w:tab w:val="left" w:pos="831"/>
              </w:tabs>
              <w:spacing w:before="120" w:after="0" w:line="240" w:lineRule="auto"/>
              <w:ind w:left="567" w:hanging="567"/>
              <w:contextualSpacing w:val="0"/>
              <w:rPr>
                <w:rFonts w:eastAsia="Bookman Old Style" w:cs="Bookman Old Style"/>
                <w:color w:val="000000" w:themeColor="text1"/>
                <w:szCs w:val="24"/>
              </w:rPr>
            </w:pPr>
            <w:r w:rsidRPr="00306115">
              <w:rPr>
                <w:color w:val="000000" w:themeColor="text1"/>
                <w:szCs w:val="24"/>
              </w:rPr>
              <w:t>Adapun</w:t>
            </w:r>
            <w:r w:rsidRPr="00306115">
              <w:rPr>
                <w:rFonts w:eastAsia="Bookman Old Style" w:cs="Bookman Old Style"/>
                <w:color w:val="000000" w:themeColor="text1"/>
                <w:szCs w:val="24"/>
              </w:rPr>
              <w:t xml:space="preserve"> </w:t>
            </w:r>
            <w:r w:rsidRPr="00306115">
              <w:rPr>
                <w:rFonts w:eastAsia="Bookman Old Style" w:cs="Bookman Old Style"/>
                <w:color w:val="000000" w:themeColor="text1"/>
                <w:szCs w:val="24"/>
                <w:lang w:val="en-ID"/>
              </w:rPr>
              <w:t>klasifikasi penilaian indikator ini terbagi menjadi 5 (lima) peringkat sebagai berikut:</w:t>
            </w:r>
          </w:p>
          <w:p w14:paraId="0D9AF307" w14:textId="77777777" w:rsidR="00AE4874" w:rsidRPr="00306115" w:rsidRDefault="00AE4874">
            <w:pPr>
              <w:pStyle w:val="ListParagraph"/>
              <w:numPr>
                <w:ilvl w:val="0"/>
                <w:numId w:val="474"/>
              </w:numPr>
              <w:pBdr>
                <w:top w:val="nil"/>
                <w:left w:val="nil"/>
                <w:bottom w:val="nil"/>
                <w:right w:val="nil"/>
                <w:between w:val="nil"/>
              </w:pBdr>
              <w:tabs>
                <w:tab w:val="left" w:pos="440"/>
              </w:tabs>
              <w:spacing w:after="0" w:line="240" w:lineRule="auto"/>
              <w:ind w:left="851" w:hanging="284"/>
              <w:contextualSpacing w:val="0"/>
              <w:rPr>
                <w:color w:val="000000" w:themeColor="text1"/>
                <w:szCs w:val="24"/>
              </w:rPr>
            </w:pPr>
            <w:r w:rsidRPr="00306115">
              <w:rPr>
                <w:color w:val="000000" w:themeColor="text1"/>
                <w:szCs w:val="24"/>
              </w:rPr>
              <w:t>Peringkat 1: Tidak terdapat kegagalan sistem</w:t>
            </w:r>
          </w:p>
          <w:p w14:paraId="0C6A0333" w14:textId="77777777" w:rsidR="00AE4874" w:rsidRPr="00306115" w:rsidRDefault="00AE4874">
            <w:pPr>
              <w:pStyle w:val="ListParagraph"/>
              <w:numPr>
                <w:ilvl w:val="0"/>
                <w:numId w:val="474"/>
              </w:numPr>
              <w:pBdr>
                <w:top w:val="nil"/>
                <w:left w:val="nil"/>
                <w:bottom w:val="nil"/>
                <w:right w:val="nil"/>
                <w:between w:val="nil"/>
              </w:pBdr>
              <w:tabs>
                <w:tab w:val="left" w:pos="440"/>
              </w:tabs>
              <w:spacing w:after="0" w:line="240" w:lineRule="auto"/>
              <w:ind w:left="851" w:hanging="284"/>
              <w:contextualSpacing w:val="0"/>
              <w:rPr>
                <w:color w:val="000000" w:themeColor="text1"/>
                <w:szCs w:val="24"/>
              </w:rPr>
            </w:pPr>
            <w:r w:rsidRPr="00306115">
              <w:rPr>
                <w:color w:val="000000" w:themeColor="text1"/>
                <w:szCs w:val="24"/>
              </w:rPr>
              <w:t>Peringkat 2: Rata downtime system ≤ 30 menit</w:t>
            </w:r>
          </w:p>
          <w:p w14:paraId="5A098315" w14:textId="77777777" w:rsidR="00AE4874" w:rsidRPr="00306115" w:rsidRDefault="00AE4874">
            <w:pPr>
              <w:pStyle w:val="ListParagraph"/>
              <w:numPr>
                <w:ilvl w:val="0"/>
                <w:numId w:val="474"/>
              </w:numPr>
              <w:pBdr>
                <w:top w:val="nil"/>
                <w:left w:val="nil"/>
                <w:bottom w:val="nil"/>
                <w:right w:val="nil"/>
                <w:between w:val="nil"/>
              </w:pBdr>
              <w:tabs>
                <w:tab w:val="left" w:pos="440"/>
              </w:tabs>
              <w:spacing w:after="0" w:line="240" w:lineRule="auto"/>
              <w:ind w:left="851" w:hanging="284"/>
              <w:contextualSpacing w:val="0"/>
              <w:rPr>
                <w:color w:val="000000" w:themeColor="text1"/>
                <w:szCs w:val="24"/>
              </w:rPr>
            </w:pPr>
            <w:r w:rsidRPr="00306115">
              <w:rPr>
                <w:color w:val="000000" w:themeColor="text1"/>
                <w:szCs w:val="24"/>
              </w:rPr>
              <w:t>Peringkat 3: Rata downtime system &gt; 30 - ≤ 60 menit</w:t>
            </w:r>
          </w:p>
          <w:p w14:paraId="39F6A860" w14:textId="77777777" w:rsidR="00AE4874" w:rsidRPr="00306115" w:rsidRDefault="00AE4874">
            <w:pPr>
              <w:pStyle w:val="ListParagraph"/>
              <w:numPr>
                <w:ilvl w:val="0"/>
                <w:numId w:val="474"/>
              </w:numPr>
              <w:pBdr>
                <w:top w:val="nil"/>
                <w:left w:val="nil"/>
                <w:bottom w:val="nil"/>
                <w:right w:val="nil"/>
                <w:between w:val="nil"/>
              </w:pBdr>
              <w:tabs>
                <w:tab w:val="left" w:pos="440"/>
              </w:tabs>
              <w:spacing w:after="0" w:line="240" w:lineRule="auto"/>
              <w:ind w:left="851" w:hanging="284"/>
              <w:contextualSpacing w:val="0"/>
              <w:rPr>
                <w:color w:val="000000" w:themeColor="text1"/>
                <w:szCs w:val="24"/>
              </w:rPr>
            </w:pPr>
            <w:r w:rsidRPr="00306115">
              <w:rPr>
                <w:color w:val="000000" w:themeColor="text1"/>
                <w:szCs w:val="24"/>
              </w:rPr>
              <w:t>Peringkat 4: Rata downtime system &gt; 60 menit – ≤ 120 menit</w:t>
            </w:r>
          </w:p>
          <w:p w14:paraId="4EBD3830" w14:textId="46A64C5B" w:rsidR="00AE4874" w:rsidRPr="00306115" w:rsidRDefault="00AE4874">
            <w:pPr>
              <w:pStyle w:val="ListParagraph"/>
              <w:numPr>
                <w:ilvl w:val="0"/>
                <w:numId w:val="474"/>
              </w:numPr>
              <w:pBdr>
                <w:top w:val="nil"/>
                <w:left w:val="nil"/>
                <w:bottom w:val="nil"/>
                <w:right w:val="nil"/>
                <w:between w:val="nil"/>
              </w:pBdr>
              <w:tabs>
                <w:tab w:val="left" w:pos="440"/>
              </w:tabs>
              <w:spacing w:after="0" w:line="240" w:lineRule="auto"/>
              <w:ind w:left="851" w:hanging="284"/>
              <w:contextualSpacing w:val="0"/>
              <w:rPr>
                <w:rFonts w:eastAsia="Bookman Old Style" w:cs="Bookman Old Style"/>
                <w:color w:val="000000" w:themeColor="text1"/>
                <w:szCs w:val="24"/>
              </w:rPr>
            </w:pPr>
            <w:r w:rsidRPr="00306115">
              <w:rPr>
                <w:color w:val="000000" w:themeColor="text1"/>
                <w:szCs w:val="24"/>
              </w:rPr>
              <w:t>Peringkat 5: Rata downtime system &gt; 120 menit</w:t>
            </w:r>
          </w:p>
        </w:tc>
      </w:tr>
      <w:tr w:rsidR="00AE4874" w:rsidRPr="00306115" w14:paraId="46ACA5EF" w14:textId="77777777" w:rsidTr="00740724">
        <w:trPr>
          <w:trHeight w:val="1314"/>
        </w:trPr>
        <w:tc>
          <w:tcPr>
            <w:tcW w:w="3261" w:type="dxa"/>
            <w:gridSpan w:val="2"/>
            <w:vMerge/>
            <w:tcBorders>
              <w:left w:val="single" w:sz="8" w:space="0" w:color="000000" w:themeColor="text1"/>
              <w:right w:val="single" w:sz="8" w:space="0" w:color="000000" w:themeColor="text1"/>
            </w:tcBorders>
          </w:tcPr>
          <w:p w14:paraId="6174DF48" w14:textId="77777777" w:rsidR="00AE4874" w:rsidRPr="00306115" w:rsidRDefault="00AE4874" w:rsidP="00F34FC6">
            <w:pPr>
              <w:widowControl w:val="0"/>
              <w:pBdr>
                <w:top w:val="nil"/>
                <w:left w:val="nil"/>
                <w:bottom w:val="nil"/>
                <w:right w:val="nil"/>
                <w:between w:val="nil"/>
              </w:pBdr>
              <w:spacing w:after="0" w:line="240" w:lineRule="auto"/>
              <w:rPr>
                <w:rFonts w:eastAsia="Bookman Old Style" w:cs="Bookman Old Style"/>
                <w:color w:val="000000" w:themeColor="text1"/>
                <w:szCs w:val="24"/>
              </w:rPr>
            </w:pPr>
          </w:p>
        </w:tc>
        <w:tc>
          <w:tcPr>
            <w:tcW w:w="255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ADB429" w14:textId="77777777" w:rsidR="00AE4874" w:rsidRPr="00306115" w:rsidRDefault="00AE4874" w:rsidP="00F34FC6">
            <w:pPr>
              <w:widowControl w:val="0"/>
              <w:pBdr>
                <w:top w:val="nil"/>
                <w:left w:val="nil"/>
                <w:bottom w:val="nil"/>
                <w:right w:val="nil"/>
                <w:between w:val="nil"/>
              </w:pBdr>
              <w:spacing w:after="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Tingkat Otomasi Sistem Teknologi Informasi</w:t>
            </w:r>
          </w:p>
          <w:p w14:paraId="5BA6A9D7" w14:textId="77777777" w:rsidR="00AE4874" w:rsidRPr="00306115" w:rsidRDefault="00AE4874" w:rsidP="00F34FC6">
            <w:pPr>
              <w:widowControl w:val="0"/>
              <w:pBdr>
                <w:top w:val="nil"/>
                <w:left w:val="nil"/>
                <w:bottom w:val="nil"/>
                <w:right w:val="nil"/>
                <w:between w:val="nil"/>
              </w:pBdr>
              <w:spacing w:after="0" w:line="240" w:lineRule="auto"/>
              <w:rPr>
                <w:rFonts w:eastAsia="Bookman Old Style"/>
                <w:color w:val="000000" w:themeColor="text1"/>
                <w:szCs w:val="24"/>
              </w:rPr>
            </w:pPr>
          </w:p>
        </w:tc>
        <w:tc>
          <w:tcPr>
            <w:tcW w:w="89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0995E2" w14:textId="77777777" w:rsidR="00AE4874" w:rsidRPr="00306115" w:rsidRDefault="00AE4874">
            <w:pPr>
              <w:pStyle w:val="ListParagraph"/>
              <w:numPr>
                <w:ilvl w:val="0"/>
                <w:numId w:val="475"/>
              </w:numPr>
              <w:pBdr>
                <w:top w:val="nil"/>
                <w:left w:val="nil"/>
                <w:bottom w:val="nil"/>
                <w:right w:val="nil"/>
                <w:between w:val="nil"/>
              </w:pBdr>
              <w:spacing w:after="0" w:line="240" w:lineRule="auto"/>
              <w:ind w:left="567" w:hanging="567"/>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 xml:space="preserve">Parameter atau indikator ini mengukur tingkat otomasi </w:t>
            </w:r>
            <w:r w:rsidRPr="00306115">
              <w:rPr>
                <w:color w:val="000000" w:themeColor="text1"/>
                <w:szCs w:val="24"/>
              </w:rPr>
              <w:t>sistem</w:t>
            </w:r>
            <w:r w:rsidRPr="00306115">
              <w:rPr>
                <w:rFonts w:eastAsia="Bookman Old Style" w:cs="Bookman Old Style"/>
                <w:color w:val="000000" w:themeColor="text1"/>
                <w:szCs w:val="24"/>
              </w:rPr>
              <w:t xml:space="preserve"> teknologi informasi Manajer Investasi pada proses-proses yang terkait dengan Pemeriksaan KYC/APU-PPT, Manajemen Portofolio, dan Integrasi Sistem. </w:t>
            </w:r>
          </w:p>
          <w:p w14:paraId="36562821" w14:textId="77777777" w:rsidR="00AE4874" w:rsidRPr="00306115" w:rsidRDefault="00AE4874">
            <w:pPr>
              <w:pStyle w:val="ListParagraph"/>
              <w:numPr>
                <w:ilvl w:val="0"/>
                <w:numId w:val="475"/>
              </w:numPr>
              <w:pBdr>
                <w:top w:val="nil"/>
                <w:left w:val="nil"/>
                <w:bottom w:val="nil"/>
                <w:right w:val="nil"/>
                <w:between w:val="nil"/>
              </w:pBdr>
              <w:spacing w:after="0" w:line="240" w:lineRule="auto"/>
              <w:ind w:left="567" w:hanging="567"/>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Semakin rendah tingkat otomasi (semakin banyak proses yang masih bergantung pada intervensi manual), semakin besar eksposur Risiko Operasional.</w:t>
            </w:r>
          </w:p>
          <w:p w14:paraId="1AE694DF" w14:textId="77777777" w:rsidR="00AE4874" w:rsidRPr="00306115" w:rsidRDefault="00AE4874">
            <w:pPr>
              <w:pStyle w:val="ListParagraph"/>
              <w:numPr>
                <w:ilvl w:val="0"/>
                <w:numId w:val="475"/>
              </w:numPr>
              <w:pBdr>
                <w:top w:val="nil"/>
                <w:left w:val="nil"/>
                <w:bottom w:val="nil"/>
                <w:right w:val="nil"/>
                <w:between w:val="nil"/>
              </w:pBdr>
              <w:spacing w:after="0" w:line="240" w:lineRule="auto"/>
              <w:ind w:left="567" w:hanging="567"/>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Penilaian indikator ini dilakukan dengan menjawab seluruh pertanyaan yang tercantum dalam kuesioner Kualitas Teknologi Informasi dan Otomasi, yang wajib diisi secara lengkap oleh Manajer Investasi.</w:t>
            </w:r>
          </w:p>
          <w:p w14:paraId="6A8C8C12" w14:textId="77777777" w:rsidR="00AE4874" w:rsidRPr="00306115" w:rsidRDefault="00AE4874">
            <w:pPr>
              <w:pStyle w:val="ListParagraph"/>
              <w:numPr>
                <w:ilvl w:val="0"/>
                <w:numId w:val="475"/>
              </w:numPr>
              <w:pBdr>
                <w:top w:val="nil"/>
                <w:left w:val="nil"/>
                <w:bottom w:val="nil"/>
                <w:right w:val="nil"/>
                <w:between w:val="nil"/>
              </w:pBdr>
              <w:spacing w:after="0" w:line="240" w:lineRule="auto"/>
              <w:ind w:left="567" w:hanging="567"/>
              <w:contextualSpacing w:val="0"/>
              <w:rPr>
                <w:rFonts w:eastAsia="Bookman Old Style" w:cs="Bookman Old Style"/>
                <w:color w:val="000000" w:themeColor="text1"/>
                <w:szCs w:val="24"/>
              </w:rPr>
            </w:pPr>
            <w:r w:rsidRPr="00306115">
              <w:rPr>
                <w:color w:val="000000" w:themeColor="text1"/>
                <w:szCs w:val="24"/>
              </w:rPr>
              <w:t>Manajer Investasi menghitung nilai rata-rata dari seluruh jawaban atas pertanyaan (Pertanyaan 1 sampai dengan 10, termasuk sub-pertanyaan, sehingga terdapat total 13 pertanyaan), dengan cara menjumlahkan seluruh nilai yang diperoleh pada masing-masing pertanyaan, kemudian membaginya dengan jumlah total pertanyaan yang dinilai.</w:t>
            </w:r>
          </w:p>
          <w:p w14:paraId="33C12D30" w14:textId="77777777" w:rsidR="00AE4874" w:rsidRPr="00306115" w:rsidRDefault="00AE4874">
            <w:pPr>
              <w:pStyle w:val="ListParagraph"/>
              <w:numPr>
                <w:ilvl w:val="0"/>
                <w:numId w:val="475"/>
              </w:numPr>
              <w:pBdr>
                <w:top w:val="nil"/>
                <w:left w:val="nil"/>
                <w:bottom w:val="nil"/>
                <w:right w:val="nil"/>
                <w:between w:val="nil"/>
              </w:pBdr>
              <w:spacing w:after="0" w:line="240" w:lineRule="auto"/>
              <w:ind w:left="567" w:hanging="567"/>
              <w:contextualSpacing w:val="0"/>
              <w:rPr>
                <w:rFonts w:eastAsia="Bookman Old Style" w:cs="Bookman Old Style"/>
                <w:color w:val="000000" w:themeColor="text1"/>
                <w:szCs w:val="24"/>
              </w:rPr>
            </w:pPr>
            <w:r w:rsidRPr="00306115">
              <w:rPr>
                <w:color w:val="000000" w:themeColor="text1"/>
                <w:szCs w:val="24"/>
              </w:rPr>
              <w:t>Adapun formula perhitungan yang digunakan sebagai berikut:</w:t>
            </w:r>
          </w:p>
          <w:p w14:paraId="24A39CB9" w14:textId="797FB7F5" w:rsidR="00AE4874" w:rsidRPr="00306115" w:rsidRDefault="00AE4874" w:rsidP="007710CB">
            <w:pPr>
              <w:pStyle w:val="ListParagraph"/>
              <w:pBdr>
                <w:top w:val="nil"/>
                <w:left w:val="nil"/>
                <w:bottom w:val="nil"/>
                <w:right w:val="nil"/>
                <w:between w:val="nil"/>
              </w:pBdr>
              <w:spacing w:after="0" w:line="240" w:lineRule="auto"/>
              <w:ind w:left="567"/>
              <w:contextualSpacing w:val="0"/>
              <w:jc w:val="center"/>
              <w:rPr>
                <w:rFonts w:eastAsia="Bookman Old Style" w:cs="Bookman Old Style"/>
                <w:color w:val="000000" w:themeColor="text1"/>
                <w:szCs w:val="24"/>
              </w:rPr>
            </w:pPr>
            <w:r w:rsidRPr="00306115">
              <w:rPr>
                <w:color w:val="000000" w:themeColor="text1"/>
                <w:szCs w:val="24"/>
              </w:rPr>
              <w:lastRenderedPageBreak/>
              <w:t xml:space="preserve">Nilai rata-rata = </w:t>
            </w:r>
            <m:oMath>
              <m:f>
                <m:fPr>
                  <m:ctrlPr>
                    <w:rPr>
                      <w:rFonts w:ascii="Cambria Math" w:hAnsi="Cambria Math"/>
                      <w:i/>
                      <w:color w:val="000000" w:themeColor="text1"/>
                      <w:kern w:val="2"/>
                      <w:szCs w:val="24"/>
                      <w:lang w:val="en-ID"/>
                      <w14:ligatures w14:val="standardContextual"/>
                    </w:rPr>
                  </m:ctrlPr>
                </m:fPr>
                <m:num>
                  <m:nary>
                    <m:naryPr>
                      <m:chr m:val="∑"/>
                      <m:subHide m:val="1"/>
                      <m:supHide m:val="1"/>
                      <m:ctrlPr>
                        <w:rPr>
                          <w:rFonts w:ascii="Cambria Math" w:hAnsi="Cambria Math"/>
                          <w:i/>
                          <w:color w:val="000000" w:themeColor="text1"/>
                          <w:szCs w:val="24"/>
                        </w:rPr>
                      </m:ctrlPr>
                    </m:naryPr>
                    <m:sub/>
                    <m:sup/>
                    <m:e>
                      <m:r>
                        <w:rPr>
                          <w:rFonts w:ascii="Cambria Math" w:hAnsi="Cambria Math"/>
                          <w:color w:val="000000" w:themeColor="text1"/>
                          <w:szCs w:val="24"/>
                        </w:rPr>
                        <m:t>Nilai seluruh pertanyaan</m:t>
                      </m:r>
                    </m:e>
                  </m:nary>
                </m:num>
                <m:den>
                  <m:r>
                    <w:rPr>
                      <w:rFonts w:ascii="Cambria Math" w:hAnsi="Cambria Math"/>
                      <w:color w:val="000000" w:themeColor="text1"/>
                      <w:szCs w:val="24"/>
                    </w:rPr>
                    <m:t>Jumlah Pertanyaan</m:t>
                  </m:r>
                </m:den>
              </m:f>
            </m:oMath>
          </w:p>
          <w:p w14:paraId="31C488AF" w14:textId="77777777" w:rsidR="00AE4874" w:rsidRPr="00306115" w:rsidRDefault="00AE4874">
            <w:pPr>
              <w:pStyle w:val="ListParagraph"/>
              <w:numPr>
                <w:ilvl w:val="0"/>
                <w:numId w:val="475"/>
              </w:numPr>
              <w:pBdr>
                <w:top w:val="nil"/>
                <w:left w:val="nil"/>
                <w:bottom w:val="nil"/>
                <w:right w:val="nil"/>
                <w:between w:val="nil"/>
              </w:pBdr>
              <w:spacing w:before="120" w:after="0" w:line="240" w:lineRule="auto"/>
              <w:ind w:left="567" w:hanging="567"/>
              <w:contextualSpacing w:val="0"/>
              <w:rPr>
                <w:rFonts w:eastAsia="Bookman Old Style" w:cs="Bookman Old Style"/>
                <w:color w:val="000000" w:themeColor="text1"/>
                <w:szCs w:val="24"/>
                <w:lang w:val="en-ID"/>
              </w:rPr>
            </w:pPr>
            <w:r w:rsidRPr="00306115">
              <w:rPr>
                <w:color w:val="000000" w:themeColor="text1"/>
                <w:szCs w:val="24"/>
              </w:rPr>
              <w:t>Adapun</w:t>
            </w:r>
            <w:r w:rsidRPr="00306115">
              <w:rPr>
                <w:rFonts w:eastAsia="Bookman Old Style" w:cs="Bookman Old Style"/>
                <w:color w:val="000000" w:themeColor="text1"/>
                <w:szCs w:val="24"/>
              </w:rPr>
              <w:t xml:space="preserve"> </w:t>
            </w:r>
            <w:r w:rsidRPr="00306115">
              <w:rPr>
                <w:rFonts w:eastAsia="Bookman Old Style" w:cs="Bookman Old Style"/>
                <w:color w:val="000000" w:themeColor="text1"/>
                <w:szCs w:val="24"/>
                <w:lang w:val="en-ID"/>
              </w:rPr>
              <w:t>klasifikasi penilaian indikator ini terbagi menjadi 5 (lima) peringkat sebagai berikut:</w:t>
            </w:r>
          </w:p>
          <w:p w14:paraId="6E42E36E" w14:textId="68D0EA97" w:rsidR="00AE4874" w:rsidRPr="00306115" w:rsidRDefault="00AE4874">
            <w:pPr>
              <w:pStyle w:val="ListParagraph"/>
              <w:numPr>
                <w:ilvl w:val="0"/>
                <w:numId w:val="476"/>
              </w:numPr>
              <w:pBdr>
                <w:top w:val="nil"/>
                <w:left w:val="nil"/>
                <w:bottom w:val="nil"/>
                <w:right w:val="nil"/>
                <w:between w:val="nil"/>
              </w:pBdr>
              <w:spacing w:after="0" w:line="240" w:lineRule="auto"/>
              <w:ind w:left="851" w:hanging="284"/>
              <w:contextualSpacing w:val="0"/>
              <w:rPr>
                <w:rFonts w:eastAsia="Bookman Old Style" w:cs="Bookman Old Style"/>
                <w:color w:val="000000" w:themeColor="text1"/>
                <w:szCs w:val="24"/>
                <w:lang w:val="en-ID"/>
              </w:rPr>
            </w:pPr>
            <w:r w:rsidRPr="00306115">
              <w:rPr>
                <w:rFonts w:eastAsia="Bookman Old Style" w:cs="Bookman Old Style"/>
                <w:color w:val="000000" w:themeColor="text1"/>
                <w:szCs w:val="24"/>
                <w:lang w:val="en-ID"/>
              </w:rPr>
              <w:t xml:space="preserve">Peringkat 1:  apabila nilai rata-rata berada pada rentang 1,00 sampai dengan 2,00; </w:t>
            </w:r>
          </w:p>
          <w:p w14:paraId="171BE262" w14:textId="77777777" w:rsidR="00AE4874" w:rsidRPr="00306115" w:rsidRDefault="00AE4874">
            <w:pPr>
              <w:pStyle w:val="ListParagraph"/>
              <w:numPr>
                <w:ilvl w:val="0"/>
                <w:numId w:val="476"/>
              </w:numPr>
              <w:pBdr>
                <w:top w:val="nil"/>
                <w:left w:val="nil"/>
                <w:bottom w:val="nil"/>
                <w:right w:val="nil"/>
                <w:between w:val="nil"/>
              </w:pBdr>
              <w:spacing w:after="0" w:line="240" w:lineRule="auto"/>
              <w:ind w:left="851" w:hanging="284"/>
              <w:contextualSpacing w:val="0"/>
              <w:rPr>
                <w:rFonts w:eastAsia="Bookman Old Style" w:cs="Bookman Old Style"/>
                <w:color w:val="000000" w:themeColor="text1"/>
                <w:szCs w:val="24"/>
                <w:lang w:val="en-ID"/>
              </w:rPr>
            </w:pPr>
            <w:r w:rsidRPr="00306115">
              <w:rPr>
                <w:rFonts w:eastAsia="Bookman Old Style" w:cs="Bookman Old Style"/>
                <w:color w:val="000000" w:themeColor="text1"/>
                <w:szCs w:val="24"/>
                <w:lang w:val="en-ID"/>
              </w:rPr>
              <w:t xml:space="preserve">Peringkat 2: apabila nilai rata-rata berada pada rentang 2,01 sampai dengan 3,00; </w:t>
            </w:r>
          </w:p>
          <w:p w14:paraId="23C880FA" w14:textId="77777777" w:rsidR="00AE4874" w:rsidRPr="00306115" w:rsidRDefault="00AE4874">
            <w:pPr>
              <w:pStyle w:val="ListParagraph"/>
              <w:numPr>
                <w:ilvl w:val="0"/>
                <w:numId w:val="476"/>
              </w:numPr>
              <w:pBdr>
                <w:top w:val="nil"/>
                <w:left w:val="nil"/>
                <w:bottom w:val="nil"/>
                <w:right w:val="nil"/>
                <w:between w:val="nil"/>
              </w:pBdr>
              <w:spacing w:after="0" w:line="240" w:lineRule="auto"/>
              <w:ind w:left="851" w:hanging="284"/>
              <w:contextualSpacing w:val="0"/>
              <w:rPr>
                <w:rFonts w:eastAsia="Bookman Old Style" w:cs="Bookman Old Style"/>
                <w:color w:val="000000" w:themeColor="text1"/>
                <w:szCs w:val="24"/>
                <w:lang w:val="en-ID"/>
              </w:rPr>
            </w:pPr>
            <w:r w:rsidRPr="00306115">
              <w:rPr>
                <w:rFonts w:eastAsia="Bookman Old Style" w:cs="Bookman Old Style"/>
                <w:color w:val="000000" w:themeColor="text1"/>
                <w:szCs w:val="24"/>
                <w:lang w:val="en-ID"/>
              </w:rPr>
              <w:t xml:space="preserve">Peringkat 3: apabila nilai rata-rata berada pada rentang 3,01 sampai dengan 4,00; </w:t>
            </w:r>
          </w:p>
          <w:p w14:paraId="5E08B336" w14:textId="77777777" w:rsidR="00AE4874" w:rsidRPr="00306115" w:rsidRDefault="00AE4874">
            <w:pPr>
              <w:pStyle w:val="ListParagraph"/>
              <w:numPr>
                <w:ilvl w:val="0"/>
                <w:numId w:val="476"/>
              </w:numPr>
              <w:pBdr>
                <w:top w:val="nil"/>
                <w:left w:val="nil"/>
                <w:bottom w:val="nil"/>
                <w:right w:val="nil"/>
                <w:between w:val="nil"/>
              </w:pBdr>
              <w:spacing w:after="0" w:line="240" w:lineRule="auto"/>
              <w:ind w:left="851" w:hanging="284"/>
              <w:contextualSpacing w:val="0"/>
              <w:rPr>
                <w:rFonts w:eastAsia="Bookman Old Style" w:cs="Bookman Old Style"/>
                <w:color w:val="000000" w:themeColor="text1"/>
                <w:szCs w:val="24"/>
                <w:lang w:val="en-ID"/>
              </w:rPr>
            </w:pPr>
            <w:r w:rsidRPr="00306115">
              <w:rPr>
                <w:rFonts w:eastAsia="Bookman Old Style" w:cs="Bookman Old Style"/>
                <w:color w:val="000000" w:themeColor="text1"/>
                <w:szCs w:val="24"/>
                <w:lang w:val="en-ID"/>
              </w:rPr>
              <w:t xml:space="preserve">Peringkat 4: apabila nilai rata-rata berada pada rentang 4,01 sampai dengan 4,50, atau apabila terdapat Nilai 5 pada salah satu jawaban dari pertanyaan pada: Pemeriksaan KYC/APU-PPT, Eksekusi Transaksi, atau Rekonsiliasi dan Pengawasan NAB, meskipun nilai rata-rata berada di bawah 4,01; </w:t>
            </w:r>
          </w:p>
          <w:p w14:paraId="23CE9165" w14:textId="0ED007E5" w:rsidR="00AE4874" w:rsidRPr="00306115" w:rsidRDefault="00AE4874">
            <w:pPr>
              <w:pStyle w:val="ListParagraph"/>
              <w:numPr>
                <w:ilvl w:val="0"/>
                <w:numId w:val="476"/>
              </w:numPr>
              <w:pBdr>
                <w:top w:val="nil"/>
                <w:left w:val="nil"/>
                <w:bottom w:val="nil"/>
                <w:right w:val="nil"/>
                <w:between w:val="nil"/>
              </w:pBdr>
              <w:spacing w:after="0" w:line="240" w:lineRule="auto"/>
              <w:ind w:left="851" w:hanging="284"/>
              <w:contextualSpacing w:val="0"/>
              <w:rPr>
                <w:rFonts w:eastAsia="Bookman Old Style" w:cs="Bookman Old Style"/>
                <w:color w:val="000000" w:themeColor="text1"/>
                <w:szCs w:val="24"/>
                <w:lang w:val="en-ID"/>
              </w:rPr>
            </w:pPr>
            <w:r w:rsidRPr="00306115">
              <w:rPr>
                <w:rFonts w:eastAsia="Bookman Old Style" w:cs="Bookman Old Style"/>
                <w:color w:val="000000" w:themeColor="text1"/>
                <w:szCs w:val="24"/>
                <w:lang w:val="en-ID"/>
              </w:rPr>
              <w:t>Peringkat 5: apabila nilai rata-rata berada pada rentang 4,51sampai dengan 5,00, atau apabila terdapat Nilai 5 pada 2 (dua) atau lebih dari: Pemeriksaan KYC/APU-PPT, Eksekusi Transaksi, atau Rekonsiliasi dan Pengawasan NAB, meskipun nilai rata-rata berada di bawah 4,51.</w:t>
            </w:r>
          </w:p>
        </w:tc>
      </w:tr>
      <w:tr w:rsidR="00AE4874" w:rsidRPr="00306115" w14:paraId="0AB68F86" w14:textId="77777777" w:rsidTr="00740724">
        <w:trPr>
          <w:trHeight w:val="2732"/>
        </w:trPr>
        <w:tc>
          <w:tcPr>
            <w:tcW w:w="3261" w:type="dxa"/>
            <w:gridSpan w:val="2"/>
            <w:vMerge/>
            <w:tcBorders>
              <w:left w:val="single" w:sz="8" w:space="0" w:color="000000" w:themeColor="text1"/>
              <w:right w:val="single" w:sz="8" w:space="0" w:color="000000" w:themeColor="text1"/>
            </w:tcBorders>
          </w:tcPr>
          <w:p w14:paraId="0AF03828" w14:textId="77777777" w:rsidR="00AE4874" w:rsidRPr="00306115" w:rsidRDefault="00AE4874" w:rsidP="00F259CC">
            <w:pPr>
              <w:widowControl w:val="0"/>
              <w:pBdr>
                <w:top w:val="nil"/>
                <w:left w:val="nil"/>
                <w:bottom w:val="nil"/>
                <w:right w:val="nil"/>
                <w:between w:val="nil"/>
              </w:pBdr>
              <w:spacing w:after="0" w:line="240" w:lineRule="auto"/>
              <w:rPr>
                <w:rFonts w:eastAsia="Bookman Old Style" w:cs="Bookman Old Style"/>
                <w:color w:val="000000" w:themeColor="text1"/>
                <w:szCs w:val="24"/>
              </w:rPr>
            </w:pPr>
          </w:p>
        </w:tc>
        <w:tc>
          <w:tcPr>
            <w:tcW w:w="255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A70C1C" w14:textId="3B215BEF" w:rsidR="00AE4874" w:rsidRPr="00306115" w:rsidRDefault="00AE4874" w:rsidP="00F259CC">
            <w:pPr>
              <w:widowControl w:val="0"/>
              <w:pBdr>
                <w:top w:val="nil"/>
                <w:left w:val="nil"/>
                <w:bottom w:val="nil"/>
                <w:right w:val="nil"/>
                <w:between w:val="nil"/>
              </w:pBdr>
              <w:spacing w:after="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Persentase (%) peringatan keamanan yang salah (</w:t>
            </w:r>
            <w:r w:rsidRPr="00306115">
              <w:rPr>
                <w:rFonts w:eastAsia="Bookman Old Style" w:cs="Bookman Old Style"/>
                <w:i/>
                <w:iCs/>
                <w:color w:val="000000" w:themeColor="text1"/>
                <w:szCs w:val="24"/>
              </w:rPr>
              <w:t>false positives</w:t>
            </w:r>
            <w:r w:rsidRPr="00306115">
              <w:rPr>
                <w:rFonts w:eastAsia="Bookman Old Style" w:cs="Bookman Old Style"/>
                <w:color w:val="000000" w:themeColor="text1"/>
                <w:szCs w:val="24"/>
              </w:rPr>
              <w:t>)</w:t>
            </w:r>
          </w:p>
        </w:tc>
        <w:tc>
          <w:tcPr>
            <w:tcW w:w="89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EC7EBD" w14:textId="77777777" w:rsidR="00AE4874" w:rsidRPr="00306115" w:rsidRDefault="00AE4874">
            <w:pPr>
              <w:pStyle w:val="ListParagraph"/>
              <w:widowControl w:val="0"/>
              <w:numPr>
                <w:ilvl w:val="0"/>
                <w:numId w:val="477"/>
              </w:numPr>
              <w:pBdr>
                <w:top w:val="nil"/>
                <w:left w:val="nil"/>
                <w:bottom w:val="nil"/>
                <w:right w:val="nil"/>
                <w:between w:val="nil"/>
              </w:pBdr>
              <w:tabs>
                <w:tab w:val="left" w:pos="831"/>
              </w:tabs>
              <w:spacing w:after="0" w:line="240" w:lineRule="auto"/>
              <w:ind w:left="567" w:hanging="567"/>
              <w:contextualSpacing w:val="0"/>
              <w:rPr>
                <w:rFonts w:eastAsia="Bookman Old Style" w:cs="Bookman Old Style"/>
                <w:color w:val="000000" w:themeColor="text1"/>
                <w:szCs w:val="24"/>
              </w:rPr>
            </w:pPr>
            <w:r w:rsidRPr="00306115">
              <w:rPr>
                <w:rFonts w:eastAsia="Bookman Old Style" w:cs="Bookman Old Style"/>
                <w:i/>
                <w:iCs/>
                <w:color w:val="000000" w:themeColor="text1"/>
                <w:szCs w:val="24"/>
              </w:rPr>
              <w:t>False positives</w:t>
            </w:r>
            <w:r w:rsidRPr="00306115">
              <w:rPr>
                <w:rFonts w:eastAsia="Bookman Old Style" w:cs="Bookman Old Style"/>
                <w:color w:val="000000" w:themeColor="text1"/>
                <w:szCs w:val="24"/>
              </w:rPr>
              <w:t xml:space="preserve"> adalah peringatan keamanan yang salah, yang menunjukkan adanya ancaman terhadap bisnis inti Manajer Investasi padahal sebenarnya tidak ada.</w:t>
            </w:r>
          </w:p>
          <w:p w14:paraId="2A242002" w14:textId="4D48D3A7" w:rsidR="00AE4874" w:rsidRPr="00306115" w:rsidRDefault="00AE4874">
            <w:pPr>
              <w:pStyle w:val="ListParagraph"/>
              <w:widowControl w:val="0"/>
              <w:numPr>
                <w:ilvl w:val="0"/>
                <w:numId w:val="477"/>
              </w:numPr>
              <w:pBdr>
                <w:top w:val="nil"/>
                <w:left w:val="nil"/>
                <w:bottom w:val="nil"/>
                <w:right w:val="nil"/>
                <w:between w:val="nil"/>
              </w:pBdr>
              <w:tabs>
                <w:tab w:val="left" w:pos="831"/>
              </w:tabs>
              <w:spacing w:after="0" w:line="240" w:lineRule="auto"/>
              <w:ind w:left="567" w:hanging="567"/>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 xml:space="preserve">Parameter atau indikator ini menghitung persentase (%) </w:t>
            </w:r>
            <w:r w:rsidRPr="00306115">
              <w:rPr>
                <w:rFonts w:eastAsia="Bookman Old Style" w:cs="Bookman Old Style"/>
                <w:i/>
                <w:iCs/>
                <w:color w:val="000000" w:themeColor="text1"/>
                <w:szCs w:val="24"/>
              </w:rPr>
              <w:t>false positive</w:t>
            </w:r>
            <w:r w:rsidRPr="00306115">
              <w:rPr>
                <w:rFonts w:eastAsia="Bookman Old Style" w:cs="Bookman Old Style"/>
                <w:color w:val="000000" w:themeColor="text1"/>
                <w:szCs w:val="24"/>
              </w:rPr>
              <w:t xml:space="preserve"> dari seluruh peringatan keamanan yang terdeteksi oleh sistem Manajer Investasi dalam 1 (satu) tahun terakhir.</w:t>
            </w:r>
          </w:p>
          <w:p w14:paraId="030DBD87" w14:textId="77777777" w:rsidR="00AE4874" w:rsidRPr="00306115" w:rsidRDefault="00AE4874">
            <w:pPr>
              <w:pStyle w:val="ListParagraph"/>
              <w:widowControl w:val="0"/>
              <w:numPr>
                <w:ilvl w:val="0"/>
                <w:numId w:val="477"/>
              </w:numPr>
              <w:pBdr>
                <w:top w:val="nil"/>
                <w:left w:val="nil"/>
                <w:bottom w:val="nil"/>
                <w:right w:val="nil"/>
                <w:between w:val="nil"/>
              </w:pBdr>
              <w:tabs>
                <w:tab w:val="left" w:pos="831"/>
              </w:tabs>
              <w:spacing w:after="0" w:line="240" w:lineRule="auto"/>
              <w:ind w:left="567" w:hanging="567"/>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 xml:space="preserve">Semakin tinggi persentase </w:t>
            </w:r>
            <w:r w:rsidRPr="00306115">
              <w:rPr>
                <w:rFonts w:eastAsia="Bookman Old Style" w:cs="Bookman Old Style"/>
                <w:i/>
                <w:iCs/>
                <w:color w:val="000000" w:themeColor="text1"/>
                <w:szCs w:val="24"/>
              </w:rPr>
              <w:t>false positive</w:t>
            </w:r>
            <w:r w:rsidRPr="00306115">
              <w:rPr>
                <w:rFonts w:eastAsia="Bookman Old Style" w:cs="Bookman Old Style"/>
                <w:color w:val="000000" w:themeColor="text1"/>
                <w:szCs w:val="24"/>
              </w:rPr>
              <w:t>, semakin rendah keakuratan sistem dalam mendeteksi dan menganalisis ancaman yang sesungguhnya terjadi, sehingga semakin tinggi eksposur Risiko Operasional Manajer Investasi.</w:t>
            </w:r>
          </w:p>
          <w:p w14:paraId="57F7BCE8" w14:textId="7FCD539D" w:rsidR="00AE4874" w:rsidRPr="00306115" w:rsidRDefault="00AE4874">
            <w:pPr>
              <w:pStyle w:val="ListParagraph"/>
              <w:widowControl w:val="0"/>
              <w:numPr>
                <w:ilvl w:val="0"/>
                <w:numId w:val="477"/>
              </w:numPr>
              <w:pBdr>
                <w:top w:val="nil"/>
                <w:left w:val="nil"/>
                <w:bottom w:val="nil"/>
                <w:right w:val="nil"/>
                <w:between w:val="nil"/>
              </w:pBdr>
              <w:tabs>
                <w:tab w:val="left" w:pos="831"/>
              </w:tabs>
              <w:spacing w:after="0" w:line="240" w:lineRule="auto"/>
              <w:ind w:left="567" w:hanging="567"/>
              <w:contextualSpacing w:val="0"/>
              <w:rPr>
                <w:rFonts w:eastAsia="Bookman Old Style" w:cs="Bookman Old Style"/>
                <w:color w:val="000000" w:themeColor="text1"/>
                <w:szCs w:val="24"/>
              </w:rPr>
            </w:pPr>
            <w:r w:rsidRPr="00306115">
              <w:rPr>
                <w:color w:val="000000" w:themeColor="text1"/>
                <w:szCs w:val="24"/>
              </w:rPr>
              <w:t>Adapun formula perhitungan yang digunakan sebagai berikut:</w:t>
            </w:r>
          </w:p>
          <w:p w14:paraId="5616F2D0" w14:textId="77777777" w:rsidR="00AE4874" w:rsidRPr="00306115" w:rsidRDefault="00AE4874" w:rsidP="00600681">
            <w:pPr>
              <w:pStyle w:val="ListParagraph"/>
              <w:widowControl w:val="0"/>
              <w:pBdr>
                <w:top w:val="nil"/>
                <w:left w:val="nil"/>
                <w:bottom w:val="nil"/>
                <w:right w:val="nil"/>
                <w:between w:val="nil"/>
              </w:pBdr>
              <w:tabs>
                <w:tab w:val="left" w:pos="439"/>
              </w:tabs>
              <w:spacing w:after="120" w:line="295" w:lineRule="auto"/>
              <w:ind w:right="82"/>
              <w:rPr>
                <w:color w:val="000000" w:themeColor="text1"/>
                <w:szCs w:val="24"/>
              </w:rPr>
            </w:pPr>
            <w:r w:rsidRPr="00306115">
              <w:rPr>
                <w:color w:val="000000" w:themeColor="text1"/>
                <w:szCs w:val="24"/>
              </w:rPr>
              <w:lastRenderedPageBreak/>
              <w:t xml:space="preserve">% False Positive = </w:t>
            </w:r>
            <m:oMath>
              <m:f>
                <m:fPr>
                  <m:ctrlPr>
                    <w:rPr>
                      <w:rFonts w:ascii="Cambria Math" w:hAnsi="Cambria Math"/>
                      <w:i/>
                      <w:color w:val="000000" w:themeColor="text1"/>
                      <w:szCs w:val="24"/>
                    </w:rPr>
                  </m:ctrlPr>
                </m:fPr>
                <m:num>
                  <m:r>
                    <w:rPr>
                      <w:rFonts w:ascii="Cambria Math" w:hAnsi="Cambria Math"/>
                      <w:color w:val="000000" w:themeColor="text1"/>
                      <w:szCs w:val="24"/>
                    </w:rPr>
                    <m:t>Jumlah False Positive yang terjadi</m:t>
                  </m:r>
                </m:num>
                <m:den>
                  <m:r>
                    <w:rPr>
                      <w:rFonts w:ascii="Cambria Math" w:hAnsi="Cambria Math"/>
                      <w:color w:val="000000" w:themeColor="text1"/>
                      <w:szCs w:val="24"/>
                    </w:rPr>
                    <m:t>Total peringatan keamanan yang terjadi</m:t>
                  </m:r>
                </m:den>
              </m:f>
            </m:oMath>
            <w:r w:rsidRPr="00306115">
              <w:rPr>
                <w:rFonts w:eastAsiaTheme="minorEastAsia"/>
                <w:color w:val="000000" w:themeColor="text1"/>
                <w:szCs w:val="24"/>
              </w:rPr>
              <w:t xml:space="preserve"> x 100%</w:t>
            </w:r>
          </w:p>
          <w:p w14:paraId="4EBE4ED9" w14:textId="77777777" w:rsidR="00AE4874" w:rsidRPr="00306115" w:rsidRDefault="00AE4874">
            <w:pPr>
              <w:pStyle w:val="ListParagraph"/>
              <w:widowControl w:val="0"/>
              <w:numPr>
                <w:ilvl w:val="0"/>
                <w:numId w:val="477"/>
              </w:numPr>
              <w:pBdr>
                <w:top w:val="nil"/>
                <w:left w:val="nil"/>
                <w:bottom w:val="nil"/>
                <w:right w:val="nil"/>
                <w:between w:val="nil"/>
              </w:pBdr>
              <w:tabs>
                <w:tab w:val="left" w:pos="831"/>
              </w:tabs>
              <w:spacing w:before="120" w:after="0" w:line="240" w:lineRule="auto"/>
              <w:ind w:left="567" w:hanging="567"/>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 xml:space="preserve">Adapun </w:t>
            </w:r>
            <w:r w:rsidRPr="00306115">
              <w:rPr>
                <w:rFonts w:eastAsia="Bookman Old Style" w:cs="Bookman Old Style"/>
                <w:color w:val="000000" w:themeColor="text1"/>
                <w:szCs w:val="24"/>
                <w:lang w:val="en-ID"/>
              </w:rPr>
              <w:t>klasifikasi penilaian indikator ini terbagi menjadi 5 (lima) peringkat sebagai berikut:</w:t>
            </w:r>
          </w:p>
          <w:p w14:paraId="18B43D89" w14:textId="26275A42" w:rsidR="00AE4874" w:rsidRPr="00306115" w:rsidRDefault="00AE4874">
            <w:pPr>
              <w:pStyle w:val="ListParagraph"/>
              <w:widowControl w:val="0"/>
              <w:numPr>
                <w:ilvl w:val="0"/>
                <w:numId w:val="478"/>
              </w:numPr>
              <w:pBdr>
                <w:top w:val="nil"/>
                <w:left w:val="nil"/>
                <w:bottom w:val="nil"/>
                <w:right w:val="nil"/>
                <w:between w:val="nil"/>
              </w:pBdr>
              <w:tabs>
                <w:tab w:val="left" w:pos="831"/>
              </w:tabs>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ID"/>
              </w:rPr>
              <w:t xml:space="preserve">Peringkat 1: </w:t>
            </w:r>
            <w:r w:rsidRPr="00306115">
              <w:rPr>
                <w:rFonts w:eastAsia="Bookman Old Style" w:cs="Bookman Old Style"/>
                <w:color w:val="000000" w:themeColor="text1"/>
                <w:szCs w:val="24"/>
                <w:lang w:val="en-GB"/>
              </w:rPr>
              <w:t xml:space="preserve">&lt;5% </w:t>
            </w:r>
            <w:r w:rsidRPr="00306115">
              <w:rPr>
                <w:rFonts w:eastAsia="Bookman Old Style" w:cs="Bookman Old Style"/>
                <w:color w:val="000000" w:themeColor="text1"/>
                <w:szCs w:val="24"/>
              </w:rPr>
              <w:t>peringatan keamanan yang salah (</w:t>
            </w:r>
            <w:r w:rsidRPr="00306115">
              <w:rPr>
                <w:rFonts w:eastAsia="Bookman Old Style" w:cs="Bookman Old Style"/>
                <w:i/>
                <w:iCs/>
                <w:color w:val="000000" w:themeColor="text1"/>
                <w:szCs w:val="24"/>
              </w:rPr>
              <w:t>false positives</w:t>
            </w:r>
            <w:r w:rsidRPr="00306115">
              <w:rPr>
                <w:rFonts w:eastAsia="Bookman Old Style" w:cs="Bookman Old Style"/>
                <w:i/>
                <w:iCs/>
                <w:color w:val="000000" w:themeColor="text1"/>
                <w:szCs w:val="24"/>
                <w:lang w:val="en-GB"/>
              </w:rPr>
              <w:t>)</w:t>
            </w:r>
          </w:p>
          <w:p w14:paraId="55A95DBA" w14:textId="77777777" w:rsidR="00AE4874" w:rsidRPr="00306115" w:rsidRDefault="00AE4874">
            <w:pPr>
              <w:pStyle w:val="ListParagraph"/>
              <w:widowControl w:val="0"/>
              <w:numPr>
                <w:ilvl w:val="0"/>
                <w:numId w:val="478"/>
              </w:numPr>
              <w:pBdr>
                <w:top w:val="nil"/>
                <w:left w:val="nil"/>
                <w:bottom w:val="nil"/>
                <w:right w:val="nil"/>
                <w:between w:val="nil"/>
              </w:pBdr>
              <w:tabs>
                <w:tab w:val="left" w:pos="831"/>
              </w:tabs>
              <w:spacing w:after="0" w:line="240" w:lineRule="auto"/>
              <w:ind w:left="851" w:hanging="284"/>
              <w:contextualSpacing w:val="0"/>
              <w:rPr>
                <w:rFonts w:eastAsia="Bookman Old Style" w:cs="Bookman Old Style"/>
                <w:color w:val="000000" w:themeColor="text1"/>
                <w:szCs w:val="24"/>
                <w:lang w:val="en-ID"/>
              </w:rPr>
            </w:pPr>
            <w:r w:rsidRPr="00306115">
              <w:rPr>
                <w:rFonts w:eastAsia="Bookman Old Style" w:cs="Bookman Old Style"/>
                <w:color w:val="000000" w:themeColor="text1"/>
                <w:szCs w:val="24"/>
                <w:lang w:val="en-ID"/>
              </w:rPr>
              <w:t xml:space="preserve">Peringkat 2: </w:t>
            </w:r>
            <w:r w:rsidRPr="00306115">
              <w:rPr>
                <w:rFonts w:eastAsia="Bookman Old Style" w:cs="Bookman Old Style"/>
                <w:color w:val="000000" w:themeColor="text1"/>
                <w:szCs w:val="24"/>
                <w:lang w:val="en-GB"/>
              </w:rPr>
              <w:t xml:space="preserve">5-10% </w:t>
            </w:r>
            <w:r w:rsidRPr="00306115">
              <w:rPr>
                <w:rFonts w:eastAsia="Bookman Old Style" w:cs="Bookman Old Style"/>
                <w:color w:val="000000" w:themeColor="text1"/>
                <w:szCs w:val="24"/>
              </w:rPr>
              <w:t>peringatan keamanan yang salah (</w:t>
            </w:r>
            <w:r w:rsidRPr="00306115">
              <w:rPr>
                <w:rFonts w:eastAsia="Bookman Old Style" w:cs="Bookman Old Style"/>
                <w:i/>
                <w:iCs/>
                <w:color w:val="000000" w:themeColor="text1"/>
                <w:szCs w:val="24"/>
              </w:rPr>
              <w:t>false positives)</w:t>
            </w:r>
          </w:p>
          <w:p w14:paraId="5D7D81CF" w14:textId="77777777" w:rsidR="00AE4874" w:rsidRPr="00306115" w:rsidRDefault="00AE4874">
            <w:pPr>
              <w:pStyle w:val="ListParagraph"/>
              <w:widowControl w:val="0"/>
              <w:numPr>
                <w:ilvl w:val="0"/>
                <w:numId w:val="478"/>
              </w:numPr>
              <w:pBdr>
                <w:top w:val="nil"/>
                <w:left w:val="nil"/>
                <w:bottom w:val="nil"/>
                <w:right w:val="nil"/>
                <w:between w:val="nil"/>
              </w:pBdr>
              <w:tabs>
                <w:tab w:val="left" w:pos="831"/>
              </w:tabs>
              <w:spacing w:after="0" w:line="240" w:lineRule="auto"/>
              <w:ind w:left="851" w:hanging="284"/>
              <w:contextualSpacing w:val="0"/>
              <w:rPr>
                <w:rFonts w:eastAsia="Bookman Old Style" w:cs="Bookman Old Style"/>
                <w:color w:val="000000" w:themeColor="text1"/>
                <w:szCs w:val="24"/>
                <w:lang w:val="en-ID"/>
              </w:rPr>
            </w:pPr>
            <w:r w:rsidRPr="00306115">
              <w:rPr>
                <w:rFonts w:eastAsia="Bookman Old Style" w:cs="Bookman Old Style"/>
                <w:color w:val="000000" w:themeColor="text1"/>
                <w:szCs w:val="24"/>
                <w:lang w:val="en-ID"/>
              </w:rPr>
              <w:t xml:space="preserve">Peringkat 3: </w:t>
            </w:r>
            <w:r w:rsidRPr="00306115">
              <w:rPr>
                <w:rFonts w:eastAsia="Bookman Old Style" w:cs="Bookman Old Style"/>
                <w:color w:val="000000" w:themeColor="text1"/>
                <w:szCs w:val="24"/>
                <w:lang w:val="en-GB"/>
              </w:rPr>
              <w:t xml:space="preserve">10-20% </w:t>
            </w:r>
            <w:r w:rsidRPr="00306115">
              <w:rPr>
                <w:rFonts w:eastAsia="Bookman Old Style" w:cs="Bookman Old Style"/>
                <w:color w:val="000000" w:themeColor="text1"/>
                <w:szCs w:val="24"/>
              </w:rPr>
              <w:t>peringatan keamanan yang salah (</w:t>
            </w:r>
            <w:r w:rsidRPr="00306115">
              <w:rPr>
                <w:rFonts w:eastAsia="Bookman Old Style" w:cs="Bookman Old Style"/>
                <w:i/>
                <w:iCs/>
                <w:color w:val="000000" w:themeColor="text1"/>
                <w:szCs w:val="24"/>
              </w:rPr>
              <w:t>false positives)</w:t>
            </w:r>
          </w:p>
          <w:p w14:paraId="32E9C8DA" w14:textId="77777777" w:rsidR="00AE4874" w:rsidRPr="00306115" w:rsidRDefault="00AE4874">
            <w:pPr>
              <w:pStyle w:val="ListParagraph"/>
              <w:widowControl w:val="0"/>
              <w:numPr>
                <w:ilvl w:val="0"/>
                <w:numId w:val="478"/>
              </w:numPr>
              <w:pBdr>
                <w:top w:val="nil"/>
                <w:left w:val="nil"/>
                <w:bottom w:val="nil"/>
                <w:right w:val="nil"/>
                <w:between w:val="nil"/>
              </w:pBdr>
              <w:tabs>
                <w:tab w:val="left" w:pos="831"/>
              </w:tabs>
              <w:spacing w:after="0" w:line="240" w:lineRule="auto"/>
              <w:ind w:left="851" w:hanging="284"/>
              <w:contextualSpacing w:val="0"/>
              <w:rPr>
                <w:rFonts w:eastAsia="Bookman Old Style" w:cs="Bookman Old Style"/>
                <w:color w:val="000000" w:themeColor="text1"/>
                <w:szCs w:val="24"/>
                <w:lang w:val="en-ID"/>
              </w:rPr>
            </w:pPr>
            <w:r w:rsidRPr="00306115">
              <w:rPr>
                <w:rFonts w:eastAsia="Bookman Old Style" w:cs="Bookman Old Style"/>
                <w:color w:val="000000" w:themeColor="text1"/>
                <w:szCs w:val="24"/>
                <w:lang w:val="en-ID"/>
              </w:rPr>
              <w:t xml:space="preserve">Peringkat 4: </w:t>
            </w:r>
            <w:r w:rsidRPr="00306115">
              <w:rPr>
                <w:rFonts w:eastAsia="Bookman Old Style" w:cs="Bookman Old Style"/>
                <w:color w:val="000000" w:themeColor="text1"/>
                <w:szCs w:val="24"/>
                <w:lang w:val="en-GB"/>
              </w:rPr>
              <w:t xml:space="preserve">20-30% </w:t>
            </w:r>
            <w:r w:rsidRPr="00306115">
              <w:rPr>
                <w:rFonts w:eastAsia="Bookman Old Style" w:cs="Bookman Old Style"/>
                <w:color w:val="000000" w:themeColor="text1"/>
                <w:szCs w:val="24"/>
              </w:rPr>
              <w:t>peringatan keamanan yang salah (</w:t>
            </w:r>
            <w:r w:rsidRPr="00306115">
              <w:rPr>
                <w:rFonts w:eastAsia="Bookman Old Style" w:cs="Bookman Old Style"/>
                <w:i/>
                <w:iCs/>
                <w:color w:val="000000" w:themeColor="text1"/>
                <w:szCs w:val="24"/>
              </w:rPr>
              <w:t>false positives)</w:t>
            </w:r>
          </w:p>
          <w:p w14:paraId="7F52132D" w14:textId="4DCB2730" w:rsidR="00AE4874" w:rsidRPr="00306115" w:rsidRDefault="00AE4874">
            <w:pPr>
              <w:pStyle w:val="ListParagraph"/>
              <w:widowControl w:val="0"/>
              <w:numPr>
                <w:ilvl w:val="0"/>
                <w:numId w:val="478"/>
              </w:numPr>
              <w:pBdr>
                <w:top w:val="nil"/>
                <w:left w:val="nil"/>
                <w:bottom w:val="nil"/>
                <w:right w:val="nil"/>
                <w:between w:val="nil"/>
              </w:pBdr>
              <w:tabs>
                <w:tab w:val="left" w:pos="831"/>
              </w:tabs>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ID"/>
              </w:rPr>
              <w:t>Peringkat 5:</w:t>
            </w:r>
            <w:r w:rsidRPr="00306115">
              <w:rPr>
                <w:rFonts w:eastAsia="Bookman Old Style" w:cs="Bookman Old Style"/>
                <w:color w:val="000000" w:themeColor="text1"/>
                <w:szCs w:val="24"/>
                <w:lang w:val="en-GB"/>
              </w:rPr>
              <w:t xml:space="preserve"> &gt;30% </w:t>
            </w:r>
            <w:r w:rsidRPr="00306115">
              <w:rPr>
                <w:rFonts w:eastAsia="Bookman Old Style" w:cs="Bookman Old Style"/>
                <w:color w:val="000000" w:themeColor="text1"/>
                <w:szCs w:val="24"/>
              </w:rPr>
              <w:t>peringatan keamanan yang salah (</w:t>
            </w:r>
            <w:r w:rsidRPr="00306115">
              <w:rPr>
                <w:rFonts w:eastAsia="Bookman Old Style" w:cs="Bookman Old Style"/>
                <w:i/>
                <w:iCs/>
                <w:color w:val="000000" w:themeColor="text1"/>
                <w:szCs w:val="24"/>
              </w:rPr>
              <w:t>false positives)</w:t>
            </w:r>
            <w:r w:rsidRPr="00306115">
              <w:rPr>
                <w:rFonts w:eastAsia="Bookman Old Style" w:cs="Bookman Old Style"/>
                <w:color w:val="000000" w:themeColor="text1"/>
                <w:szCs w:val="24"/>
              </w:rPr>
              <w:t>.</w:t>
            </w:r>
          </w:p>
        </w:tc>
      </w:tr>
      <w:tr w:rsidR="00AE4874" w:rsidRPr="00306115" w14:paraId="0200751B" w14:textId="77777777" w:rsidTr="0027741B">
        <w:trPr>
          <w:trHeight w:val="4577"/>
        </w:trPr>
        <w:tc>
          <w:tcPr>
            <w:tcW w:w="3261" w:type="dxa"/>
            <w:gridSpan w:val="2"/>
            <w:vMerge w:val="restart"/>
            <w:tcBorders>
              <w:left w:val="single" w:sz="8" w:space="0" w:color="000000" w:themeColor="text1"/>
              <w:right w:val="single" w:sz="8" w:space="0" w:color="000000" w:themeColor="text1"/>
            </w:tcBorders>
          </w:tcPr>
          <w:p w14:paraId="0C86D34D" w14:textId="7FB2E292" w:rsidR="00AE4874" w:rsidRPr="00306115" w:rsidRDefault="00AE4874" w:rsidP="00710A6B">
            <w:pPr>
              <w:widowControl w:val="0"/>
              <w:pBdr>
                <w:top w:val="nil"/>
                <w:left w:val="nil"/>
                <w:bottom w:val="nil"/>
                <w:right w:val="nil"/>
                <w:between w:val="nil"/>
              </w:pBdr>
              <w:spacing w:after="0" w:line="240" w:lineRule="auto"/>
              <w:rPr>
                <w:rFonts w:eastAsia="Bookman Old Style" w:cs="Bookman Old Style"/>
                <w:color w:val="000000" w:themeColor="text1"/>
                <w:szCs w:val="24"/>
              </w:rPr>
            </w:pPr>
            <w:r w:rsidRPr="00306115">
              <w:rPr>
                <w:rFonts w:eastAsia="Bookman Old Style" w:cs="Bookman Old Style"/>
                <w:color w:val="000000" w:themeColor="text1"/>
                <w:szCs w:val="24"/>
                <w:lang w:val="en-GB"/>
              </w:rPr>
              <w:lastRenderedPageBreak/>
              <w:t>Keamanan Siber</w:t>
            </w:r>
          </w:p>
        </w:tc>
        <w:tc>
          <w:tcPr>
            <w:tcW w:w="255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64DCF5" w14:textId="15F6D0F7" w:rsidR="00AE4874" w:rsidRPr="00306115" w:rsidRDefault="00AE4874" w:rsidP="00710A6B">
            <w:pPr>
              <w:widowControl w:val="0"/>
              <w:pBdr>
                <w:top w:val="nil"/>
                <w:left w:val="nil"/>
                <w:bottom w:val="nil"/>
                <w:right w:val="nil"/>
                <w:between w:val="nil"/>
              </w:pBdr>
              <w:spacing w:after="0" w:line="240" w:lineRule="auto"/>
              <w:rPr>
                <w:rFonts w:eastAsia="Bookman Old Style" w:cs="Bookman Old Style"/>
                <w:strike/>
                <w:color w:val="000000" w:themeColor="text1"/>
                <w:szCs w:val="24"/>
              </w:rPr>
            </w:pPr>
            <w:r w:rsidRPr="00306115">
              <w:rPr>
                <w:rFonts w:eastAsia="Bookman Old Style" w:cs="Bookman Old Style"/>
                <w:color w:val="000000" w:themeColor="text1"/>
                <w:szCs w:val="24"/>
                <w:lang w:val="id"/>
              </w:rPr>
              <w:t>Jumlah Insiden Pembobolan Sistem (</w:t>
            </w:r>
            <w:r w:rsidRPr="00306115">
              <w:rPr>
                <w:rFonts w:eastAsia="Bookman Old Style" w:cs="Bookman Old Style"/>
                <w:i/>
                <w:iCs/>
                <w:color w:val="000000" w:themeColor="text1"/>
                <w:szCs w:val="24"/>
                <w:lang w:val="id"/>
              </w:rPr>
              <w:t>System Compromise</w:t>
            </w:r>
            <w:r w:rsidRPr="00306115">
              <w:rPr>
                <w:rFonts w:eastAsia="Bookman Old Style" w:cs="Bookman Old Style"/>
                <w:color w:val="000000" w:themeColor="text1"/>
                <w:szCs w:val="24"/>
                <w:lang w:val="id"/>
              </w:rPr>
              <w:t>) yang Terkonfirmasi</w:t>
            </w:r>
          </w:p>
        </w:tc>
        <w:tc>
          <w:tcPr>
            <w:tcW w:w="89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5F8DC4" w14:textId="77777777" w:rsidR="00AE4874" w:rsidRPr="00306115" w:rsidRDefault="00AE4874">
            <w:pPr>
              <w:widowControl w:val="0"/>
              <w:numPr>
                <w:ilvl w:val="0"/>
                <w:numId w:val="479"/>
              </w:numPr>
              <w:pBdr>
                <w:top w:val="nil"/>
                <w:left w:val="nil"/>
                <w:bottom w:val="nil"/>
                <w:right w:val="nil"/>
                <w:between w:val="nil"/>
              </w:pBdr>
              <w:tabs>
                <w:tab w:val="left" w:pos="1823"/>
              </w:tabs>
              <w:spacing w:after="0" w:line="240" w:lineRule="auto"/>
              <w:ind w:left="567" w:hanging="567"/>
              <w:rPr>
                <w:rFonts w:eastAsia="Bookman Old Style" w:cs="Bookman Old Style"/>
                <w:color w:val="000000" w:themeColor="text1"/>
                <w:szCs w:val="24"/>
                <w:lang w:val="id"/>
              </w:rPr>
            </w:pPr>
            <w:r w:rsidRPr="00306115">
              <w:rPr>
                <w:rFonts w:eastAsia="Bookman Old Style" w:cs="Bookman Old Style"/>
                <w:color w:val="000000" w:themeColor="text1"/>
                <w:szCs w:val="24"/>
                <w:lang w:val="id"/>
              </w:rPr>
              <w:t>Parameter atau indikator ini mengukur jumlah insiden pembobolan sistem (</w:t>
            </w:r>
            <w:r w:rsidRPr="00306115">
              <w:rPr>
                <w:rFonts w:eastAsia="Bookman Old Style" w:cs="Bookman Old Style"/>
                <w:i/>
                <w:iCs/>
                <w:color w:val="000000" w:themeColor="text1"/>
                <w:szCs w:val="24"/>
                <w:lang w:val="id"/>
              </w:rPr>
              <w:t>system compromise</w:t>
            </w:r>
            <w:r w:rsidRPr="00306115">
              <w:rPr>
                <w:rFonts w:eastAsia="Bookman Old Style" w:cs="Bookman Old Style"/>
                <w:color w:val="000000" w:themeColor="text1"/>
                <w:szCs w:val="24"/>
                <w:lang w:val="id"/>
              </w:rPr>
              <w:t>) yang berhasil dikonfirmasi selama periode penilaian.</w:t>
            </w:r>
          </w:p>
          <w:p w14:paraId="552B4C40" w14:textId="77777777" w:rsidR="00AE4874" w:rsidRPr="00306115" w:rsidRDefault="00AE4874">
            <w:pPr>
              <w:widowControl w:val="0"/>
              <w:numPr>
                <w:ilvl w:val="0"/>
                <w:numId w:val="479"/>
              </w:numPr>
              <w:pBdr>
                <w:top w:val="nil"/>
                <w:left w:val="nil"/>
                <w:bottom w:val="nil"/>
                <w:right w:val="nil"/>
                <w:between w:val="nil"/>
              </w:pBdr>
              <w:tabs>
                <w:tab w:val="left" w:pos="1823"/>
              </w:tabs>
              <w:spacing w:after="0" w:line="240" w:lineRule="auto"/>
              <w:ind w:left="567" w:hanging="567"/>
              <w:rPr>
                <w:rFonts w:eastAsia="Bookman Old Style" w:cs="Bookman Old Style"/>
                <w:color w:val="000000" w:themeColor="text1"/>
                <w:szCs w:val="24"/>
                <w:lang w:val="id"/>
              </w:rPr>
            </w:pPr>
            <w:r w:rsidRPr="00306115">
              <w:rPr>
                <w:rFonts w:eastAsia="Bookman Old Style" w:cs="Bookman Old Style"/>
                <w:color w:val="000000" w:themeColor="text1"/>
                <w:szCs w:val="24"/>
                <w:lang w:val="id"/>
              </w:rPr>
              <w:t xml:space="preserve">Parameter atau indikator memberikan gambaran mengenai tingkat efektivitas pengamanan sistem informasi dalam mencegah akses tidak sah yang dapat mengganggu kerahasiaan, integritas, dan ketersediaan sistem. </w:t>
            </w:r>
          </w:p>
          <w:p w14:paraId="14E24345" w14:textId="77777777" w:rsidR="00AE4874" w:rsidRPr="00306115" w:rsidRDefault="00AE4874">
            <w:pPr>
              <w:widowControl w:val="0"/>
              <w:numPr>
                <w:ilvl w:val="0"/>
                <w:numId w:val="479"/>
              </w:numPr>
              <w:pBdr>
                <w:top w:val="nil"/>
                <w:left w:val="nil"/>
                <w:bottom w:val="nil"/>
                <w:right w:val="nil"/>
                <w:between w:val="nil"/>
              </w:pBdr>
              <w:tabs>
                <w:tab w:val="left" w:pos="1823"/>
              </w:tabs>
              <w:spacing w:after="0" w:line="240" w:lineRule="auto"/>
              <w:ind w:left="567" w:hanging="567"/>
              <w:rPr>
                <w:rFonts w:eastAsia="Bookman Old Style" w:cs="Bookman Old Style"/>
                <w:color w:val="000000" w:themeColor="text1"/>
                <w:szCs w:val="24"/>
                <w:lang w:val="id"/>
              </w:rPr>
            </w:pPr>
            <w:r w:rsidRPr="00306115">
              <w:rPr>
                <w:rFonts w:eastAsia="Bookman Old Style" w:cs="Bookman Old Style"/>
                <w:color w:val="000000" w:themeColor="text1"/>
                <w:szCs w:val="24"/>
                <w:lang w:val="id"/>
              </w:rPr>
              <w:t>Semakin tinggi jumlah pembobolan sistem, semakin tinggi risiko keamanan informasi yang dihadapi Manajer Investasi, sehingga meningkatkan eksposur Risiko Operasional secara keseluruhan.</w:t>
            </w:r>
          </w:p>
          <w:p w14:paraId="61F2C5DF" w14:textId="77777777" w:rsidR="00AE4874" w:rsidRPr="00306115" w:rsidRDefault="00AE4874">
            <w:pPr>
              <w:widowControl w:val="0"/>
              <w:numPr>
                <w:ilvl w:val="0"/>
                <w:numId w:val="479"/>
              </w:numPr>
              <w:pBdr>
                <w:top w:val="nil"/>
                <w:left w:val="nil"/>
                <w:bottom w:val="nil"/>
                <w:right w:val="nil"/>
                <w:between w:val="nil"/>
              </w:pBdr>
              <w:tabs>
                <w:tab w:val="left" w:pos="1823"/>
              </w:tabs>
              <w:spacing w:after="0" w:line="240" w:lineRule="auto"/>
              <w:ind w:left="567" w:hanging="567"/>
              <w:rPr>
                <w:rFonts w:eastAsia="Bookman Old Style" w:cs="Bookman Old Style"/>
                <w:color w:val="000000" w:themeColor="text1"/>
                <w:szCs w:val="24"/>
                <w:lang w:val="id"/>
              </w:rPr>
            </w:pPr>
            <w:r w:rsidRPr="00306115">
              <w:rPr>
                <w:rFonts w:eastAsia="Bookman Old Style" w:cs="Bookman Old Style"/>
                <w:color w:val="000000" w:themeColor="text1"/>
                <w:szCs w:val="24"/>
                <w:lang w:val="id"/>
              </w:rPr>
              <w:t xml:space="preserve">Adapun </w:t>
            </w:r>
            <w:r w:rsidRPr="00306115">
              <w:rPr>
                <w:rFonts w:eastAsia="Bookman Old Style" w:cs="Bookman Old Style"/>
                <w:color w:val="000000" w:themeColor="text1"/>
                <w:szCs w:val="24"/>
                <w:lang w:val="en-ID"/>
              </w:rPr>
              <w:t>klasifikasi penilaian indikator ini terbagi menjadi 5 (lima) peringkat sebagai berikut:</w:t>
            </w:r>
          </w:p>
          <w:p w14:paraId="64B34469" w14:textId="6034BAE5" w:rsidR="00AE4874" w:rsidRPr="00306115" w:rsidRDefault="00AE4874">
            <w:pPr>
              <w:pStyle w:val="ListParagraph"/>
              <w:widowControl w:val="0"/>
              <w:numPr>
                <w:ilvl w:val="0"/>
                <w:numId w:val="480"/>
              </w:numPr>
              <w:pBdr>
                <w:top w:val="nil"/>
                <w:left w:val="nil"/>
                <w:bottom w:val="nil"/>
                <w:right w:val="nil"/>
                <w:between w:val="nil"/>
              </w:pBdr>
              <w:tabs>
                <w:tab w:val="left" w:pos="1823"/>
              </w:tabs>
              <w:spacing w:after="0" w:line="240" w:lineRule="auto"/>
              <w:ind w:left="851" w:hanging="284"/>
              <w:contextualSpacing w:val="0"/>
              <w:rPr>
                <w:rFonts w:eastAsia="Bookman Old Style" w:cs="Bookman Old Style"/>
                <w:color w:val="000000" w:themeColor="text1"/>
                <w:szCs w:val="24"/>
                <w:lang w:val="id"/>
              </w:rPr>
            </w:pPr>
            <w:r w:rsidRPr="00306115">
              <w:rPr>
                <w:rFonts w:eastAsia="Bookman Old Style" w:cs="Bookman Old Style"/>
                <w:color w:val="000000" w:themeColor="text1"/>
                <w:szCs w:val="24"/>
                <w:lang w:val="id"/>
              </w:rPr>
              <w:t xml:space="preserve">Peringkat 1: Tidak terdapat pembobolan sistem yang terkonfirmasi (0 insiden) </w:t>
            </w:r>
          </w:p>
          <w:p w14:paraId="4C546B54" w14:textId="77777777" w:rsidR="00AE4874" w:rsidRPr="00306115" w:rsidRDefault="00AE4874">
            <w:pPr>
              <w:pStyle w:val="ListParagraph"/>
              <w:widowControl w:val="0"/>
              <w:numPr>
                <w:ilvl w:val="0"/>
                <w:numId w:val="480"/>
              </w:numPr>
              <w:pBdr>
                <w:top w:val="nil"/>
                <w:left w:val="nil"/>
                <w:bottom w:val="nil"/>
                <w:right w:val="nil"/>
                <w:between w:val="nil"/>
              </w:pBdr>
              <w:tabs>
                <w:tab w:val="left" w:pos="1823"/>
              </w:tabs>
              <w:spacing w:after="0" w:line="240" w:lineRule="auto"/>
              <w:ind w:left="851" w:hanging="284"/>
              <w:contextualSpacing w:val="0"/>
              <w:rPr>
                <w:rFonts w:eastAsia="Bookman Old Style" w:cs="Bookman Old Style"/>
                <w:color w:val="000000" w:themeColor="text1"/>
                <w:szCs w:val="24"/>
                <w:lang w:val="id"/>
              </w:rPr>
            </w:pPr>
            <w:r w:rsidRPr="00306115">
              <w:rPr>
                <w:rFonts w:eastAsia="Bookman Old Style" w:cs="Bookman Old Style"/>
                <w:color w:val="000000" w:themeColor="text1"/>
                <w:szCs w:val="24"/>
                <w:lang w:val="id"/>
              </w:rPr>
              <w:t>Peringkat 2: Terdapat 1 insiden pembobolan sistem.</w:t>
            </w:r>
          </w:p>
          <w:p w14:paraId="5DA640AB" w14:textId="77777777" w:rsidR="00AE4874" w:rsidRPr="00306115" w:rsidRDefault="00AE4874">
            <w:pPr>
              <w:pStyle w:val="ListParagraph"/>
              <w:widowControl w:val="0"/>
              <w:numPr>
                <w:ilvl w:val="0"/>
                <w:numId w:val="480"/>
              </w:numPr>
              <w:pBdr>
                <w:top w:val="nil"/>
                <w:left w:val="nil"/>
                <w:bottom w:val="nil"/>
                <w:right w:val="nil"/>
                <w:between w:val="nil"/>
              </w:pBdr>
              <w:tabs>
                <w:tab w:val="left" w:pos="1823"/>
              </w:tabs>
              <w:spacing w:after="0" w:line="240" w:lineRule="auto"/>
              <w:ind w:left="851" w:hanging="284"/>
              <w:contextualSpacing w:val="0"/>
              <w:rPr>
                <w:rFonts w:eastAsia="Bookman Old Style" w:cs="Bookman Old Style"/>
                <w:color w:val="000000" w:themeColor="text1"/>
                <w:szCs w:val="24"/>
                <w:lang w:val="id"/>
              </w:rPr>
            </w:pPr>
            <w:r w:rsidRPr="00306115">
              <w:rPr>
                <w:rFonts w:eastAsia="Bookman Old Style" w:cs="Bookman Old Style"/>
                <w:color w:val="000000" w:themeColor="text1"/>
                <w:szCs w:val="24"/>
                <w:lang w:val="id"/>
              </w:rPr>
              <w:t>Peringkat 3: Terdapat 2 insiden pembobolan sistem.</w:t>
            </w:r>
          </w:p>
          <w:p w14:paraId="4E0BC114" w14:textId="77777777" w:rsidR="00AE4874" w:rsidRPr="00306115" w:rsidRDefault="00AE4874">
            <w:pPr>
              <w:pStyle w:val="ListParagraph"/>
              <w:widowControl w:val="0"/>
              <w:numPr>
                <w:ilvl w:val="0"/>
                <w:numId w:val="480"/>
              </w:numPr>
              <w:pBdr>
                <w:top w:val="nil"/>
                <w:left w:val="nil"/>
                <w:bottom w:val="nil"/>
                <w:right w:val="nil"/>
                <w:between w:val="nil"/>
              </w:pBdr>
              <w:tabs>
                <w:tab w:val="left" w:pos="1823"/>
              </w:tabs>
              <w:spacing w:after="0" w:line="240" w:lineRule="auto"/>
              <w:ind w:left="851" w:hanging="284"/>
              <w:contextualSpacing w:val="0"/>
              <w:rPr>
                <w:rFonts w:eastAsia="Bookman Old Style" w:cs="Bookman Old Style"/>
                <w:color w:val="000000" w:themeColor="text1"/>
                <w:szCs w:val="24"/>
                <w:lang w:val="id"/>
              </w:rPr>
            </w:pPr>
            <w:r w:rsidRPr="00306115">
              <w:rPr>
                <w:rFonts w:eastAsia="Bookman Old Style" w:cs="Bookman Old Style"/>
                <w:color w:val="000000" w:themeColor="text1"/>
                <w:szCs w:val="24"/>
                <w:lang w:val="id"/>
              </w:rPr>
              <w:t>Peringkat 4: Terdapat 3 insiden pembobolan sistem.</w:t>
            </w:r>
          </w:p>
          <w:p w14:paraId="577D6E61" w14:textId="33FAF7C1" w:rsidR="00AE4874" w:rsidRPr="00306115" w:rsidRDefault="00AE4874">
            <w:pPr>
              <w:pStyle w:val="ListParagraph"/>
              <w:widowControl w:val="0"/>
              <w:numPr>
                <w:ilvl w:val="0"/>
                <w:numId w:val="480"/>
              </w:numPr>
              <w:pBdr>
                <w:top w:val="nil"/>
                <w:left w:val="nil"/>
                <w:bottom w:val="nil"/>
                <w:right w:val="nil"/>
                <w:between w:val="nil"/>
              </w:pBdr>
              <w:tabs>
                <w:tab w:val="left" w:pos="1823"/>
              </w:tabs>
              <w:spacing w:after="0" w:line="240" w:lineRule="auto"/>
              <w:ind w:left="851" w:hanging="284"/>
              <w:contextualSpacing w:val="0"/>
              <w:rPr>
                <w:rFonts w:eastAsia="Bookman Old Style" w:cs="Bookman Old Style"/>
                <w:strike/>
                <w:color w:val="000000" w:themeColor="text1"/>
                <w:szCs w:val="24"/>
              </w:rPr>
            </w:pPr>
            <w:r w:rsidRPr="00306115">
              <w:rPr>
                <w:rFonts w:eastAsia="Bookman Old Style" w:cs="Bookman Old Style"/>
                <w:color w:val="000000" w:themeColor="text1"/>
                <w:szCs w:val="24"/>
                <w:lang w:val="id"/>
              </w:rPr>
              <w:t>Peringkat 5: Terdapat ≥4 insiden pembobolan sistem.</w:t>
            </w:r>
          </w:p>
        </w:tc>
      </w:tr>
      <w:tr w:rsidR="00AE4874" w:rsidRPr="00306115" w14:paraId="0505F66B" w14:textId="77777777" w:rsidTr="00740724">
        <w:trPr>
          <w:trHeight w:val="4577"/>
        </w:trPr>
        <w:tc>
          <w:tcPr>
            <w:tcW w:w="3261" w:type="dxa"/>
            <w:gridSpan w:val="2"/>
            <w:vMerge/>
            <w:tcBorders>
              <w:left w:val="single" w:sz="8" w:space="0" w:color="000000" w:themeColor="text1"/>
              <w:bottom w:val="single" w:sz="8" w:space="0" w:color="000000" w:themeColor="text1"/>
              <w:right w:val="single" w:sz="8" w:space="0" w:color="000000" w:themeColor="text1"/>
            </w:tcBorders>
          </w:tcPr>
          <w:p w14:paraId="09F82FF5" w14:textId="77777777" w:rsidR="00AE4874" w:rsidRPr="00306115" w:rsidRDefault="00AE4874" w:rsidP="00710A6B">
            <w:pPr>
              <w:widowControl w:val="0"/>
              <w:pBdr>
                <w:top w:val="nil"/>
                <w:left w:val="nil"/>
                <w:bottom w:val="nil"/>
                <w:right w:val="nil"/>
                <w:between w:val="nil"/>
              </w:pBdr>
              <w:spacing w:after="0" w:line="240" w:lineRule="auto"/>
              <w:rPr>
                <w:rFonts w:eastAsia="Bookman Old Style" w:cs="Bookman Old Style"/>
                <w:color w:val="000000" w:themeColor="text1"/>
                <w:szCs w:val="24"/>
              </w:rPr>
            </w:pPr>
          </w:p>
        </w:tc>
        <w:tc>
          <w:tcPr>
            <w:tcW w:w="255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FF78A3" w14:textId="583F0453" w:rsidR="00AE4874" w:rsidRPr="00306115" w:rsidRDefault="00AE4874" w:rsidP="00710A6B">
            <w:pPr>
              <w:widowControl w:val="0"/>
              <w:pBdr>
                <w:top w:val="nil"/>
                <w:left w:val="nil"/>
                <w:bottom w:val="nil"/>
                <w:right w:val="nil"/>
                <w:between w:val="nil"/>
              </w:pBdr>
              <w:spacing w:after="0" w:line="240" w:lineRule="auto"/>
              <w:rPr>
                <w:color w:val="000000" w:themeColor="text1"/>
                <w:szCs w:val="24"/>
              </w:rPr>
            </w:pPr>
            <w:r w:rsidRPr="00306115">
              <w:rPr>
                <w:color w:val="000000" w:themeColor="text1"/>
                <w:szCs w:val="24"/>
              </w:rPr>
              <w:t>Jumlah kebocoran/ pencurian data yang terkonfirmasi</w:t>
            </w:r>
          </w:p>
          <w:p w14:paraId="11547757" w14:textId="77777777" w:rsidR="00AE4874" w:rsidRPr="00306115" w:rsidRDefault="00AE4874" w:rsidP="00710A6B">
            <w:pPr>
              <w:widowControl w:val="0"/>
              <w:pBdr>
                <w:top w:val="nil"/>
                <w:left w:val="nil"/>
                <w:bottom w:val="nil"/>
                <w:right w:val="nil"/>
                <w:between w:val="nil"/>
              </w:pBdr>
              <w:spacing w:after="0" w:line="240" w:lineRule="auto"/>
              <w:rPr>
                <w:rFonts w:eastAsia="Bookman Old Style" w:cs="Bookman Old Style"/>
                <w:strike/>
                <w:color w:val="000000" w:themeColor="text1"/>
                <w:szCs w:val="24"/>
              </w:rPr>
            </w:pPr>
          </w:p>
        </w:tc>
        <w:tc>
          <w:tcPr>
            <w:tcW w:w="89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3A349B" w14:textId="77777777" w:rsidR="00AE4874" w:rsidRPr="00306115" w:rsidRDefault="00AE4874">
            <w:pPr>
              <w:widowControl w:val="0"/>
              <w:numPr>
                <w:ilvl w:val="0"/>
                <w:numId w:val="481"/>
              </w:numPr>
              <w:pBdr>
                <w:top w:val="nil"/>
                <w:left w:val="nil"/>
                <w:bottom w:val="nil"/>
                <w:right w:val="nil"/>
                <w:between w:val="nil"/>
              </w:pBdr>
              <w:tabs>
                <w:tab w:val="left" w:pos="1823"/>
              </w:tabs>
              <w:spacing w:after="0" w:line="240" w:lineRule="auto"/>
              <w:ind w:left="567" w:hanging="567"/>
              <w:rPr>
                <w:rFonts w:eastAsia="Bookman Old Style" w:cs="Bookman Old Style"/>
                <w:color w:val="000000" w:themeColor="text1"/>
                <w:szCs w:val="24"/>
                <w:lang w:val="id"/>
              </w:rPr>
            </w:pPr>
            <w:r w:rsidRPr="00306115">
              <w:rPr>
                <w:rFonts w:eastAsia="Bookman Old Style" w:cs="Bookman Old Style"/>
                <w:color w:val="000000" w:themeColor="text1"/>
                <w:szCs w:val="24"/>
                <w:lang w:val="id"/>
              </w:rPr>
              <w:t>Parameter atau indikator ini mengukur jumlah insiden kebocoran atau pencurian data yang telah terkonfirmasi selama periode penilaian.</w:t>
            </w:r>
          </w:p>
          <w:p w14:paraId="7FE0699D" w14:textId="77777777" w:rsidR="00AE4874" w:rsidRPr="00306115" w:rsidRDefault="00AE4874">
            <w:pPr>
              <w:widowControl w:val="0"/>
              <w:numPr>
                <w:ilvl w:val="0"/>
                <w:numId w:val="481"/>
              </w:numPr>
              <w:pBdr>
                <w:top w:val="nil"/>
                <w:left w:val="nil"/>
                <w:bottom w:val="nil"/>
                <w:right w:val="nil"/>
                <w:between w:val="nil"/>
              </w:pBdr>
              <w:tabs>
                <w:tab w:val="left" w:pos="1823"/>
              </w:tabs>
              <w:spacing w:after="0" w:line="240" w:lineRule="auto"/>
              <w:ind w:left="567" w:hanging="567"/>
              <w:rPr>
                <w:rFonts w:eastAsia="Bookman Old Style" w:cs="Bookman Old Style"/>
                <w:color w:val="000000" w:themeColor="text1"/>
                <w:szCs w:val="24"/>
                <w:lang w:val="id"/>
              </w:rPr>
            </w:pPr>
            <w:r w:rsidRPr="00306115">
              <w:rPr>
                <w:rFonts w:eastAsia="Bookman Old Style" w:cs="Bookman Old Style"/>
                <w:color w:val="000000" w:themeColor="text1"/>
                <w:szCs w:val="24"/>
                <w:lang w:val="id"/>
              </w:rPr>
              <w:t>Semakin banyak insiden yang terkonfirmasi, semakin tinggi risiko keamanan informasi yang dihadapi Manajer Investasi, sehingga meningkatkan eksposur Risiko Operasional secara keseluruhan.</w:t>
            </w:r>
          </w:p>
          <w:p w14:paraId="452D7558" w14:textId="77777777" w:rsidR="00AE4874" w:rsidRPr="00306115" w:rsidRDefault="00AE4874">
            <w:pPr>
              <w:widowControl w:val="0"/>
              <w:numPr>
                <w:ilvl w:val="0"/>
                <w:numId w:val="481"/>
              </w:numPr>
              <w:pBdr>
                <w:top w:val="nil"/>
                <w:left w:val="nil"/>
                <w:bottom w:val="nil"/>
                <w:right w:val="nil"/>
                <w:between w:val="nil"/>
              </w:pBdr>
              <w:tabs>
                <w:tab w:val="left" w:pos="1823"/>
              </w:tabs>
              <w:spacing w:after="0" w:line="240" w:lineRule="auto"/>
              <w:ind w:left="567" w:hanging="567"/>
              <w:rPr>
                <w:rFonts w:eastAsia="Bookman Old Style" w:cs="Bookman Old Style"/>
                <w:color w:val="000000" w:themeColor="text1"/>
                <w:szCs w:val="24"/>
                <w:lang w:val="id"/>
              </w:rPr>
            </w:pPr>
            <w:r w:rsidRPr="00306115">
              <w:rPr>
                <w:rFonts w:eastAsia="Bookman Old Style" w:cs="Bookman Old Style"/>
                <w:color w:val="000000" w:themeColor="text1"/>
                <w:szCs w:val="24"/>
                <w:lang w:val="id"/>
              </w:rPr>
              <w:t xml:space="preserve">Adapun </w:t>
            </w:r>
            <w:r w:rsidRPr="00306115">
              <w:rPr>
                <w:rFonts w:eastAsia="Bookman Old Style" w:cs="Bookman Old Style"/>
                <w:color w:val="000000" w:themeColor="text1"/>
                <w:szCs w:val="24"/>
                <w:lang w:val="en-ID"/>
              </w:rPr>
              <w:t>klasifikasi penilaian indikator ini terbagi menjadi 5 (lima) peringkat sebagai berikut:</w:t>
            </w:r>
          </w:p>
          <w:p w14:paraId="23915FF2" w14:textId="034D3D18" w:rsidR="00AE4874" w:rsidRPr="00306115" w:rsidRDefault="00AE4874">
            <w:pPr>
              <w:pStyle w:val="ListParagraph"/>
              <w:widowControl w:val="0"/>
              <w:numPr>
                <w:ilvl w:val="0"/>
                <w:numId w:val="482"/>
              </w:numPr>
              <w:pBdr>
                <w:top w:val="nil"/>
                <w:left w:val="nil"/>
                <w:bottom w:val="nil"/>
                <w:right w:val="nil"/>
                <w:between w:val="nil"/>
              </w:pBdr>
              <w:tabs>
                <w:tab w:val="left" w:pos="1823"/>
              </w:tabs>
              <w:spacing w:after="0" w:line="240" w:lineRule="auto"/>
              <w:ind w:left="851" w:hanging="284"/>
              <w:contextualSpacing w:val="0"/>
              <w:rPr>
                <w:rFonts w:eastAsia="Bookman Old Style" w:cs="Bookman Old Style"/>
                <w:color w:val="000000" w:themeColor="text1"/>
                <w:szCs w:val="24"/>
                <w:lang w:val="id"/>
              </w:rPr>
            </w:pPr>
            <w:r w:rsidRPr="00306115">
              <w:rPr>
                <w:rFonts w:eastAsia="Bookman Old Style" w:cs="Bookman Old Style"/>
                <w:color w:val="000000" w:themeColor="text1"/>
                <w:szCs w:val="24"/>
                <w:lang w:val="id"/>
              </w:rPr>
              <w:t>Peringkat 1: Tidak terdapat kebocoran/pencurian data yang terkonfirmasi (0 insiden)</w:t>
            </w:r>
          </w:p>
          <w:p w14:paraId="1B1A8448" w14:textId="77777777" w:rsidR="00AE4874" w:rsidRPr="00306115" w:rsidRDefault="00AE4874">
            <w:pPr>
              <w:pStyle w:val="ListParagraph"/>
              <w:widowControl w:val="0"/>
              <w:numPr>
                <w:ilvl w:val="0"/>
                <w:numId w:val="482"/>
              </w:numPr>
              <w:pBdr>
                <w:top w:val="nil"/>
                <w:left w:val="nil"/>
                <w:bottom w:val="nil"/>
                <w:right w:val="nil"/>
                <w:between w:val="nil"/>
              </w:pBdr>
              <w:tabs>
                <w:tab w:val="left" w:pos="1823"/>
              </w:tabs>
              <w:spacing w:after="0" w:line="240" w:lineRule="auto"/>
              <w:ind w:left="851" w:hanging="284"/>
              <w:contextualSpacing w:val="0"/>
              <w:rPr>
                <w:rFonts w:eastAsia="Bookman Old Style" w:cs="Bookman Old Style"/>
                <w:color w:val="000000" w:themeColor="text1"/>
                <w:szCs w:val="24"/>
                <w:lang w:val="id"/>
              </w:rPr>
            </w:pPr>
            <w:r w:rsidRPr="00306115">
              <w:rPr>
                <w:rFonts w:eastAsia="Bookman Old Style" w:cs="Bookman Old Style"/>
                <w:color w:val="000000" w:themeColor="text1"/>
                <w:szCs w:val="24"/>
                <w:lang w:val="id"/>
              </w:rPr>
              <w:t>Peringkat 2: Terdapat 1 insiden kebocoran/pencurian data yang terkonfirmasi.</w:t>
            </w:r>
          </w:p>
          <w:p w14:paraId="63518EED" w14:textId="77777777" w:rsidR="00AE4874" w:rsidRPr="00306115" w:rsidRDefault="00AE4874">
            <w:pPr>
              <w:pStyle w:val="ListParagraph"/>
              <w:widowControl w:val="0"/>
              <w:numPr>
                <w:ilvl w:val="0"/>
                <w:numId w:val="482"/>
              </w:numPr>
              <w:pBdr>
                <w:top w:val="nil"/>
                <w:left w:val="nil"/>
                <w:bottom w:val="nil"/>
                <w:right w:val="nil"/>
                <w:between w:val="nil"/>
              </w:pBdr>
              <w:tabs>
                <w:tab w:val="left" w:pos="1823"/>
              </w:tabs>
              <w:spacing w:after="0" w:line="240" w:lineRule="auto"/>
              <w:ind w:left="851" w:hanging="284"/>
              <w:contextualSpacing w:val="0"/>
              <w:rPr>
                <w:rFonts w:eastAsia="Bookman Old Style" w:cs="Bookman Old Style"/>
                <w:color w:val="000000" w:themeColor="text1"/>
                <w:szCs w:val="24"/>
                <w:lang w:val="id"/>
              </w:rPr>
            </w:pPr>
            <w:r w:rsidRPr="00306115">
              <w:rPr>
                <w:rFonts w:eastAsia="Bookman Old Style" w:cs="Bookman Old Style"/>
                <w:color w:val="000000" w:themeColor="text1"/>
                <w:szCs w:val="24"/>
                <w:lang w:val="id"/>
              </w:rPr>
              <w:t>Peringkat 3:</w:t>
            </w:r>
            <w:r w:rsidRPr="00306115">
              <w:rPr>
                <w:rFonts w:eastAsia="Bookman Old Style" w:cs="Bookman Old Style"/>
                <w:color w:val="000000" w:themeColor="text1"/>
                <w:szCs w:val="24"/>
                <w:lang w:val="id"/>
              </w:rPr>
              <w:tab/>
              <w:t>Terdapat 2 insiden kebocoran/pencurian data yang terkonfirmasi.</w:t>
            </w:r>
          </w:p>
          <w:p w14:paraId="4AE512F5" w14:textId="77777777" w:rsidR="00AE4874" w:rsidRPr="00306115" w:rsidRDefault="00AE4874">
            <w:pPr>
              <w:pStyle w:val="ListParagraph"/>
              <w:widowControl w:val="0"/>
              <w:numPr>
                <w:ilvl w:val="0"/>
                <w:numId w:val="482"/>
              </w:numPr>
              <w:pBdr>
                <w:top w:val="nil"/>
                <w:left w:val="nil"/>
                <w:bottom w:val="nil"/>
                <w:right w:val="nil"/>
                <w:between w:val="nil"/>
              </w:pBdr>
              <w:tabs>
                <w:tab w:val="left" w:pos="1823"/>
              </w:tabs>
              <w:spacing w:after="0" w:line="240" w:lineRule="auto"/>
              <w:ind w:left="851" w:hanging="284"/>
              <w:contextualSpacing w:val="0"/>
              <w:rPr>
                <w:rFonts w:eastAsia="Bookman Old Style" w:cs="Bookman Old Style"/>
                <w:color w:val="000000" w:themeColor="text1"/>
                <w:szCs w:val="24"/>
                <w:lang w:val="id"/>
              </w:rPr>
            </w:pPr>
            <w:r w:rsidRPr="00306115">
              <w:rPr>
                <w:rFonts w:eastAsia="Bookman Old Style" w:cs="Bookman Old Style"/>
                <w:color w:val="000000" w:themeColor="text1"/>
                <w:szCs w:val="24"/>
                <w:lang w:val="id"/>
              </w:rPr>
              <w:t>Peringkat 4: Terdapat 3 insiden kebocoran/pencurian data yang terkonfirmasi.</w:t>
            </w:r>
          </w:p>
          <w:p w14:paraId="7072F3F5" w14:textId="51151A51" w:rsidR="00AE4874" w:rsidRPr="00306115" w:rsidRDefault="00AE4874">
            <w:pPr>
              <w:pStyle w:val="ListParagraph"/>
              <w:widowControl w:val="0"/>
              <w:numPr>
                <w:ilvl w:val="0"/>
                <w:numId w:val="482"/>
              </w:numPr>
              <w:pBdr>
                <w:top w:val="nil"/>
                <w:left w:val="nil"/>
                <w:bottom w:val="nil"/>
                <w:right w:val="nil"/>
                <w:between w:val="nil"/>
              </w:pBdr>
              <w:tabs>
                <w:tab w:val="left" w:pos="1823"/>
              </w:tabs>
              <w:spacing w:after="0" w:line="240" w:lineRule="auto"/>
              <w:ind w:left="851" w:hanging="284"/>
              <w:contextualSpacing w:val="0"/>
              <w:rPr>
                <w:rFonts w:eastAsia="Bookman Old Style" w:cs="Bookman Old Style"/>
                <w:strike/>
                <w:color w:val="000000" w:themeColor="text1"/>
                <w:szCs w:val="24"/>
              </w:rPr>
            </w:pPr>
            <w:r w:rsidRPr="00306115">
              <w:rPr>
                <w:rFonts w:eastAsia="Bookman Old Style" w:cs="Bookman Old Style"/>
                <w:color w:val="000000" w:themeColor="text1"/>
                <w:szCs w:val="24"/>
                <w:lang w:val="id"/>
              </w:rPr>
              <w:t>Peringkat 5: Terdapat ≥4 insiden kebocoran/pencurian data yang terkonfirmasi.</w:t>
            </w:r>
          </w:p>
        </w:tc>
      </w:tr>
      <w:tr w:rsidR="00710A6B" w:rsidRPr="00306115" w14:paraId="3116E2E8" w14:textId="77777777" w:rsidTr="00740724">
        <w:trPr>
          <w:trHeight w:val="4577"/>
        </w:trPr>
        <w:tc>
          <w:tcPr>
            <w:tcW w:w="3261" w:type="dxa"/>
            <w:gridSpan w:val="2"/>
            <w:tcBorders>
              <w:left w:val="single" w:sz="8" w:space="0" w:color="000000" w:themeColor="text1"/>
              <w:bottom w:val="single" w:sz="8" w:space="0" w:color="000000" w:themeColor="text1"/>
              <w:right w:val="single" w:sz="8" w:space="0" w:color="000000" w:themeColor="text1"/>
            </w:tcBorders>
          </w:tcPr>
          <w:p w14:paraId="4E94FCCB" w14:textId="77777777" w:rsidR="00710A6B" w:rsidRPr="00306115" w:rsidRDefault="00710A6B" w:rsidP="00710A6B">
            <w:pPr>
              <w:widowControl w:val="0"/>
              <w:pBdr>
                <w:top w:val="nil"/>
                <w:left w:val="nil"/>
                <w:bottom w:val="nil"/>
                <w:right w:val="nil"/>
                <w:between w:val="nil"/>
              </w:pBdr>
              <w:spacing w:after="0" w:line="240" w:lineRule="auto"/>
              <w:rPr>
                <w:rFonts w:eastAsia="Bookman Old Style" w:cs="Bookman Old Style"/>
                <w:color w:val="000000" w:themeColor="text1"/>
                <w:szCs w:val="24"/>
              </w:rPr>
            </w:pPr>
          </w:p>
        </w:tc>
        <w:tc>
          <w:tcPr>
            <w:tcW w:w="255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B2E12C" w14:textId="774F07BC" w:rsidR="00710A6B" w:rsidRPr="00306115" w:rsidRDefault="00710A6B" w:rsidP="00710A6B">
            <w:pPr>
              <w:widowControl w:val="0"/>
              <w:pBdr>
                <w:top w:val="nil"/>
                <w:left w:val="nil"/>
                <w:bottom w:val="nil"/>
                <w:right w:val="nil"/>
                <w:between w:val="nil"/>
              </w:pBdr>
              <w:spacing w:after="0" w:line="240" w:lineRule="auto"/>
              <w:rPr>
                <w:rFonts w:eastAsia="Bookman Old Style" w:cs="Bookman Old Style"/>
                <w:strike/>
                <w:color w:val="000000" w:themeColor="text1"/>
                <w:szCs w:val="24"/>
              </w:rPr>
            </w:pPr>
            <w:r w:rsidRPr="00306115">
              <w:rPr>
                <w:color w:val="000000" w:themeColor="text1"/>
                <w:szCs w:val="24"/>
              </w:rPr>
              <w:t>Persentase (%) Temuan Pentest yang telah terselesaikan</w:t>
            </w:r>
          </w:p>
        </w:tc>
        <w:tc>
          <w:tcPr>
            <w:tcW w:w="89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BA2418" w14:textId="77777777" w:rsidR="00D20B5D" w:rsidRPr="00306115" w:rsidRDefault="00710A6B">
            <w:pPr>
              <w:widowControl w:val="0"/>
              <w:numPr>
                <w:ilvl w:val="0"/>
                <w:numId w:val="483"/>
              </w:numPr>
              <w:pBdr>
                <w:top w:val="nil"/>
                <w:left w:val="nil"/>
                <w:bottom w:val="nil"/>
                <w:right w:val="nil"/>
                <w:between w:val="nil"/>
              </w:pBdr>
              <w:tabs>
                <w:tab w:val="left" w:pos="1823"/>
              </w:tabs>
              <w:spacing w:after="0" w:line="240" w:lineRule="auto"/>
              <w:ind w:left="567" w:hanging="567"/>
              <w:rPr>
                <w:rFonts w:eastAsia="Bookman Old Style" w:cs="Bookman Old Style"/>
                <w:color w:val="000000" w:themeColor="text1"/>
                <w:szCs w:val="24"/>
                <w:lang w:val="id"/>
              </w:rPr>
            </w:pPr>
            <w:r w:rsidRPr="00306115">
              <w:rPr>
                <w:rFonts w:eastAsia="Bookman Old Style" w:cs="Bookman Old Style"/>
                <w:color w:val="000000" w:themeColor="text1"/>
                <w:szCs w:val="24"/>
                <w:lang w:val="id"/>
              </w:rPr>
              <w:t xml:space="preserve">Parameter atau indikator ini menghitung persentase temuan hasil </w:t>
            </w:r>
            <w:r w:rsidRPr="00306115">
              <w:rPr>
                <w:rFonts w:eastAsia="Bookman Old Style" w:cs="Bookman Old Style"/>
                <w:i/>
                <w:iCs/>
                <w:color w:val="000000" w:themeColor="text1"/>
                <w:szCs w:val="24"/>
                <w:lang w:val="id"/>
              </w:rPr>
              <w:t>Penetration Test</w:t>
            </w:r>
            <w:r w:rsidRPr="00306115">
              <w:rPr>
                <w:rFonts w:eastAsia="Bookman Old Style" w:cs="Bookman Old Style"/>
                <w:color w:val="000000" w:themeColor="text1"/>
                <w:szCs w:val="24"/>
                <w:lang w:val="id"/>
              </w:rPr>
              <w:t xml:space="preserve"> (Pentest) yang telah terselesaikan pada akhir periode penilaian, dibandingkan dengan total temuan Pentest pada periode yang sama.</w:t>
            </w:r>
          </w:p>
          <w:p w14:paraId="24884E6B" w14:textId="77777777" w:rsidR="00D20B5D" w:rsidRPr="00306115" w:rsidRDefault="00710A6B">
            <w:pPr>
              <w:widowControl w:val="0"/>
              <w:numPr>
                <w:ilvl w:val="0"/>
                <w:numId w:val="483"/>
              </w:numPr>
              <w:pBdr>
                <w:top w:val="nil"/>
                <w:left w:val="nil"/>
                <w:bottom w:val="nil"/>
                <w:right w:val="nil"/>
                <w:between w:val="nil"/>
              </w:pBdr>
              <w:tabs>
                <w:tab w:val="left" w:pos="1823"/>
              </w:tabs>
              <w:spacing w:after="0" w:line="240" w:lineRule="auto"/>
              <w:ind w:left="567" w:hanging="567"/>
              <w:rPr>
                <w:rFonts w:eastAsia="Bookman Old Style" w:cs="Bookman Old Style"/>
                <w:color w:val="000000" w:themeColor="text1"/>
                <w:szCs w:val="24"/>
                <w:lang w:val="id"/>
              </w:rPr>
            </w:pPr>
            <w:r w:rsidRPr="00306115">
              <w:rPr>
                <w:rFonts w:eastAsia="Bookman Old Style" w:cs="Bookman Old Style"/>
                <w:color w:val="000000" w:themeColor="text1"/>
                <w:szCs w:val="24"/>
                <w:lang w:val="id"/>
              </w:rPr>
              <w:t>Semakin rendah persentase temuan Pentest yang telah terselesaikan, semakin besar peluang kelemahan keamanan tersebut dimanfaatkan untuk mengganggu operasional atau mengakses informasi secara tidak sah, sehingga semakin tinggi risiko keamanan siber dan eksposur Risiko Operasional yang dihadapi Manajer Investasi.</w:t>
            </w:r>
          </w:p>
          <w:p w14:paraId="1FF85B14" w14:textId="72CFAF63" w:rsidR="00710A6B" w:rsidRPr="00306115" w:rsidRDefault="00710A6B">
            <w:pPr>
              <w:widowControl w:val="0"/>
              <w:numPr>
                <w:ilvl w:val="0"/>
                <w:numId w:val="483"/>
              </w:numPr>
              <w:pBdr>
                <w:top w:val="nil"/>
                <w:left w:val="nil"/>
                <w:bottom w:val="nil"/>
                <w:right w:val="nil"/>
                <w:between w:val="nil"/>
              </w:pBdr>
              <w:tabs>
                <w:tab w:val="left" w:pos="1823"/>
              </w:tabs>
              <w:spacing w:after="0" w:line="240" w:lineRule="auto"/>
              <w:ind w:left="567" w:hanging="567"/>
              <w:rPr>
                <w:rFonts w:eastAsia="Bookman Old Style" w:cs="Bookman Old Style"/>
                <w:color w:val="000000" w:themeColor="text1"/>
                <w:szCs w:val="24"/>
                <w:lang w:val="id"/>
              </w:rPr>
            </w:pPr>
            <w:r w:rsidRPr="00306115">
              <w:rPr>
                <w:rFonts w:eastAsia="Bookman Old Style" w:cs="Bookman Old Style"/>
                <w:color w:val="000000" w:themeColor="text1"/>
                <w:szCs w:val="24"/>
                <w:lang w:val="id"/>
              </w:rPr>
              <w:t>Adapun formula perhitungan yang digunakan sebagai berikut:</w:t>
            </w:r>
          </w:p>
          <w:p w14:paraId="2345B059" w14:textId="77777777" w:rsidR="00710A6B" w:rsidRPr="00306115" w:rsidRDefault="00710A6B" w:rsidP="00710A6B">
            <w:pPr>
              <w:widowControl w:val="0"/>
              <w:pBdr>
                <w:top w:val="nil"/>
                <w:left w:val="nil"/>
                <w:bottom w:val="nil"/>
                <w:right w:val="nil"/>
                <w:between w:val="nil"/>
              </w:pBdr>
              <w:tabs>
                <w:tab w:val="left" w:pos="1823"/>
              </w:tabs>
              <w:spacing w:after="0" w:line="240" w:lineRule="auto"/>
              <w:rPr>
                <w:rFonts w:eastAsia="Bookman Old Style" w:cs="Bookman Old Style"/>
                <w:color w:val="000000" w:themeColor="text1"/>
                <w:szCs w:val="24"/>
                <w:lang w:val="id"/>
              </w:rPr>
            </w:pPr>
            <m:oMathPara>
              <m:oMath>
                <m:r>
                  <m:rPr>
                    <m:sty m:val="p"/>
                  </m:rPr>
                  <w:rPr>
                    <w:rFonts w:ascii="Cambria Math" w:eastAsia="Bookman Old Style" w:hAnsi="Cambria Math" w:cs="Bookman Old Style"/>
                    <w:color w:val="000000" w:themeColor="text1"/>
                    <w:sz w:val="20"/>
                    <w:szCs w:val="20"/>
                    <w:lang w:val="id"/>
                  </w:rPr>
                  <m:t>% Temuan Pentest Terselesaikan</m:t>
                </m:r>
                <m:r>
                  <w:rPr>
                    <w:rFonts w:ascii="Cambria Math" w:eastAsia="Bookman Old Style" w:hAnsi="Cambria Math" w:cs="Bookman Old Style"/>
                    <w:color w:val="000000" w:themeColor="text1"/>
                    <w:sz w:val="20"/>
                    <w:szCs w:val="20"/>
                    <w:lang w:val="id"/>
                  </w:rPr>
                  <m:t>=</m:t>
                </m:r>
                <m:f>
                  <m:fPr>
                    <m:ctrlPr>
                      <w:rPr>
                        <w:rFonts w:ascii="Cambria Math" w:eastAsia="Bookman Old Style" w:hAnsi="Cambria Math" w:cs="Bookman Old Style"/>
                        <w:i/>
                        <w:color w:val="000000" w:themeColor="text1"/>
                        <w:sz w:val="20"/>
                        <w:szCs w:val="20"/>
                        <w:lang w:val="id"/>
                      </w:rPr>
                    </m:ctrlPr>
                  </m:fPr>
                  <m:num>
                    <m:r>
                      <m:rPr>
                        <m:sty m:val="p"/>
                      </m:rPr>
                      <w:rPr>
                        <w:rFonts w:ascii="Cambria Math" w:eastAsia="Bookman Old Style" w:hAnsi="Cambria Math" w:cs="Bookman Old Style"/>
                        <w:color w:val="000000" w:themeColor="text1"/>
                        <w:sz w:val="20"/>
                        <w:szCs w:val="20"/>
                        <w:lang w:val="id"/>
                      </w:rPr>
                      <m:t xml:space="preserve">Jumlah Temuan Pentest yang Telah Selesai </m:t>
                    </m:r>
                  </m:num>
                  <m:den>
                    <m:r>
                      <m:rPr>
                        <m:sty m:val="p"/>
                      </m:rPr>
                      <w:rPr>
                        <w:rFonts w:ascii="Cambria Math" w:eastAsia="Bookman Old Style" w:hAnsi="Cambria Math" w:cs="Bookman Old Style"/>
                        <w:color w:val="000000" w:themeColor="text1"/>
                        <w:sz w:val="20"/>
                        <w:szCs w:val="20"/>
                        <w:lang w:val="id"/>
                      </w:rPr>
                      <m:t>Total Temuan Pentest</m:t>
                    </m:r>
                  </m:den>
                </m:f>
                <m:r>
                  <w:rPr>
                    <w:rFonts w:ascii="Cambria Math" w:eastAsia="Bookman Old Style" w:hAnsi="Cambria Math" w:cs="Bookman Old Style"/>
                    <w:color w:val="000000" w:themeColor="text1"/>
                    <w:sz w:val="20"/>
                    <w:szCs w:val="20"/>
                    <w:lang w:val="id"/>
                  </w:rPr>
                  <m:t>x100%</m:t>
                </m:r>
              </m:oMath>
            </m:oMathPara>
          </w:p>
          <w:p w14:paraId="438AFA42" w14:textId="77777777" w:rsidR="00710A6B" w:rsidRPr="00306115" w:rsidRDefault="00710A6B" w:rsidP="00710A6B">
            <w:pPr>
              <w:widowControl w:val="0"/>
              <w:pBdr>
                <w:top w:val="nil"/>
                <w:left w:val="nil"/>
                <w:bottom w:val="nil"/>
                <w:right w:val="nil"/>
                <w:between w:val="nil"/>
              </w:pBdr>
              <w:tabs>
                <w:tab w:val="left" w:pos="1823"/>
              </w:tabs>
              <w:spacing w:after="0" w:line="240" w:lineRule="auto"/>
              <w:rPr>
                <w:rFonts w:eastAsia="Bookman Old Style" w:cs="Bookman Old Style"/>
                <w:color w:val="000000" w:themeColor="text1"/>
                <w:szCs w:val="24"/>
                <w:lang w:val="id"/>
              </w:rPr>
            </w:pPr>
          </w:p>
          <w:p w14:paraId="129EB378" w14:textId="77777777" w:rsidR="004C3BF0" w:rsidRPr="00306115" w:rsidRDefault="00710A6B">
            <w:pPr>
              <w:widowControl w:val="0"/>
              <w:numPr>
                <w:ilvl w:val="0"/>
                <w:numId w:val="483"/>
              </w:numPr>
              <w:pBdr>
                <w:top w:val="nil"/>
                <w:left w:val="nil"/>
                <w:bottom w:val="nil"/>
                <w:right w:val="nil"/>
                <w:between w:val="nil"/>
              </w:pBdr>
              <w:tabs>
                <w:tab w:val="left" w:pos="1823"/>
              </w:tabs>
              <w:spacing w:after="0" w:line="240" w:lineRule="auto"/>
              <w:ind w:left="567" w:hanging="567"/>
              <w:rPr>
                <w:rFonts w:eastAsia="Bookman Old Style" w:cs="Bookman Old Style"/>
                <w:b/>
                <w:bCs/>
                <w:color w:val="000000" w:themeColor="text1"/>
                <w:szCs w:val="24"/>
                <w:lang w:val="id"/>
              </w:rPr>
            </w:pPr>
            <w:r w:rsidRPr="00306115">
              <w:rPr>
                <w:rFonts w:eastAsia="Bookman Old Style" w:cs="Bookman Old Style"/>
                <w:color w:val="000000" w:themeColor="text1"/>
                <w:szCs w:val="24"/>
                <w:lang w:val="id"/>
              </w:rPr>
              <w:t xml:space="preserve">Adapun </w:t>
            </w:r>
            <w:r w:rsidRPr="00306115">
              <w:rPr>
                <w:rFonts w:eastAsia="Bookman Old Style" w:cs="Bookman Old Style"/>
                <w:color w:val="000000" w:themeColor="text1"/>
                <w:szCs w:val="24"/>
                <w:lang w:val="en-ID"/>
              </w:rPr>
              <w:t>klasifikasi penilaian indikator ini terbagi menjadi 5 (lima) peringkat sebagai berikut:</w:t>
            </w:r>
          </w:p>
          <w:p w14:paraId="7A77FEBE" w14:textId="230BB154" w:rsidR="00710A6B" w:rsidRPr="00306115" w:rsidRDefault="00710A6B">
            <w:pPr>
              <w:pStyle w:val="ListParagraph"/>
              <w:widowControl w:val="0"/>
              <w:numPr>
                <w:ilvl w:val="0"/>
                <w:numId w:val="484"/>
              </w:numPr>
              <w:pBdr>
                <w:top w:val="nil"/>
                <w:left w:val="nil"/>
                <w:bottom w:val="nil"/>
                <w:right w:val="nil"/>
                <w:between w:val="nil"/>
              </w:pBdr>
              <w:tabs>
                <w:tab w:val="left" w:pos="1823"/>
              </w:tabs>
              <w:spacing w:after="0" w:line="240" w:lineRule="auto"/>
              <w:ind w:left="851" w:hanging="284"/>
              <w:contextualSpacing w:val="0"/>
              <w:rPr>
                <w:rFonts w:eastAsia="Bookman Old Style" w:cs="Bookman Old Style"/>
                <w:b/>
                <w:bCs/>
                <w:color w:val="000000" w:themeColor="text1"/>
                <w:szCs w:val="24"/>
                <w:lang w:val="id"/>
              </w:rPr>
            </w:pPr>
            <w:r w:rsidRPr="00306115">
              <w:rPr>
                <w:rFonts w:eastAsia="Bookman Old Style" w:cs="Bookman Old Style"/>
                <w:color w:val="000000" w:themeColor="text1"/>
                <w:szCs w:val="24"/>
                <w:lang w:val="id"/>
              </w:rPr>
              <w:t>Peringkat 1: &gt; 95%</w:t>
            </w:r>
          </w:p>
          <w:p w14:paraId="6874B5DC" w14:textId="77777777" w:rsidR="00710A6B" w:rsidRPr="00306115" w:rsidRDefault="00710A6B">
            <w:pPr>
              <w:pStyle w:val="ListParagraph"/>
              <w:widowControl w:val="0"/>
              <w:numPr>
                <w:ilvl w:val="0"/>
                <w:numId w:val="484"/>
              </w:numPr>
              <w:pBdr>
                <w:top w:val="nil"/>
                <w:left w:val="nil"/>
                <w:bottom w:val="nil"/>
                <w:right w:val="nil"/>
                <w:between w:val="nil"/>
              </w:pBdr>
              <w:tabs>
                <w:tab w:val="left" w:pos="1823"/>
              </w:tabs>
              <w:spacing w:after="0" w:line="240" w:lineRule="auto"/>
              <w:ind w:left="851" w:hanging="284"/>
              <w:contextualSpacing w:val="0"/>
              <w:rPr>
                <w:rFonts w:eastAsia="Bookman Old Style" w:cs="Bookman Old Style"/>
                <w:color w:val="000000" w:themeColor="text1"/>
                <w:szCs w:val="24"/>
                <w:lang w:val="id"/>
              </w:rPr>
            </w:pPr>
            <w:r w:rsidRPr="00306115">
              <w:rPr>
                <w:rFonts w:eastAsia="Bookman Old Style" w:cs="Bookman Old Style"/>
                <w:color w:val="000000" w:themeColor="text1"/>
                <w:szCs w:val="24"/>
                <w:lang w:val="id"/>
              </w:rPr>
              <w:t>Peringkat 2: &gt; 90% - ≤95%</w:t>
            </w:r>
          </w:p>
          <w:p w14:paraId="6071960E" w14:textId="77777777" w:rsidR="00710A6B" w:rsidRPr="00306115" w:rsidRDefault="00710A6B">
            <w:pPr>
              <w:pStyle w:val="ListParagraph"/>
              <w:widowControl w:val="0"/>
              <w:numPr>
                <w:ilvl w:val="0"/>
                <w:numId w:val="484"/>
              </w:numPr>
              <w:pBdr>
                <w:top w:val="nil"/>
                <w:left w:val="nil"/>
                <w:bottom w:val="nil"/>
                <w:right w:val="nil"/>
                <w:between w:val="nil"/>
              </w:pBdr>
              <w:tabs>
                <w:tab w:val="left" w:pos="1823"/>
              </w:tabs>
              <w:spacing w:after="0" w:line="240" w:lineRule="auto"/>
              <w:ind w:left="851" w:hanging="284"/>
              <w:contextualSpacing w:val="0"/>
              <w:rPr>
                <w:rFonts w:eastAsia="Bookman Old Style" w:cs="Bookman Old Style"/>
                <w:color w:val="000000" w:themeColor="text1"/>
                <w:szCs w:val="24"/>
                <w:lang w:val="id"/>
              </w:rPr>
            </w:pPr>
            <w:r w:rsidRPr="00306115">
              <w:rPr>
                <w:rFonts w:eastAsia="Bookman Old Style" w:cs="Bookman Old Style"/>
                <w:color w:val="000000" w:themeColor="text1"/>
                <w:szCs w:val="24"/>
                <w:lang w:val="id"/>
              </w:rPr>
              <w:t>Peringkat 3: &gt; 80% - ≤ 90%</w:t>
            </w:r>
          </w:p>
          <w:p w14:paraId="00968ED3" w14:textId="77777777" w:rsidR="00710A6B" w:rsidRPr="00306115" w:rsidRDefault="00710A6B">
            <w:pPr>
              <w:pStyle w:val="ListParagraph"/>
              <w:widowControl w:val="0"/>
              <w:numPr>
                <w:ilvl w:val="0"/>
                <w:numId w:val="484"/>
              </w:numPr>
              <w:pBdr>
                <w:top w:val="nil"/>
                <w:left w:val="nil"/>
                <w:bottom w:val="nil"/>
                <w:right w:val="nil"/>
                <w:between w:val="nil"/>
              </w:pBdr>
              <w:tabs>
                <w:tab w:val="left" w:pos="1823"/>
              </w:tabs>
              <w:spacing w:after="0" w:line="240" w:lineRule="auto"/>
              <w:ind w:left="851" w:hanging="284"/>
              <w:contextualSpacing w:val="0"/>
              <w:rPr>
                <w:rFonts w:eastAsia="Bookman Old Style" w:cs="Bookman Old Style"/>
                <w:color w:val="000000" w:themeColor="text1"/>
                <w:szCs w:val="24"/>
                <w:lang w:val="id"/>
              </w:rPr>
            </w:pPr>
            <w:r w:rsidRPr="00306115">
              <w:rPr>
                <w:rFonts w:eastAsia="Bookman Old Style" w:cs="Bookman Old Style"/>
                <w:color w:val="000000" w:themeColor="text1"/>
                <w:szCs w:val="24"/>
                <w:lang w:val="id"/>
              </w:rPr>
              <w:t>Peringkat 4: &gt; 50% - ≤ 80%</w:t>
            </w:r>
          </w:p>
          <w:p w14:paraId="1D751E44" w14:textId="2AF1F22C" w:rsidR="00710A6B" w:rsidRPr="00306115" w:rsidRDefault="00710A6B">
            <w:pPr>
              <w:pStyle w:val="ListParagraph"/>
              <w:widowControl w:val="0"/>
              <w:numPr>
                <w:ilvl w:val="0"/>
                <w:numId w:val="484"/>
              </w:numPr>
              <w:pBdr>
                <w:top w:val="nil"/>
                <w:left w:val="nil"/>
                <w:bottom w:val="nil"/>
                <w:right w:val="nil"/>
                <w:between w:val="nil"/>
              </w:pBdr>
              <w:tabs>
                <w:tab w:val="left" w:pos="1823"/>
              </w:tabs>
              <w:spacing w:after="0" w:line="240" w:lineRule="auto"/>
              <w:ind w:left="851" w:hanging="284"/>
              <w:contextualSpacing w:val="0"/>
              <w:rPr>
                <w:rFonts w:eastAsia="Bookman Old Style" w:cs="Bookman Old Style"/>
                <w:strike/>
                <w:color w:val="000000" w:themeColor="text1"/>
                <w:szCs w:val="24"/>
              </w:rPr>
            </w:pPr>
            <w:r w:rsidRPr="00306115">
              <w:rPr>
                <w:rFonts w:eastAsia="Bookman Old Style" w:cs="Bookman Old Style"/>
                <w:color w:val="000000" w:themeColor="text1"/>
                <w:szCs w:val="24"/>
                <w:lang w:val="id"/>
              </w:rPr>
              <w:t>Peringkat 5: ≤ 50%</w:t>
            </w:r>
          </w:p>
        </w:tc>
      </w:tr>
      <w:tr w:rsidR="00144143" w:rsidRPr="00306115" w14:paraId="59C7914A" w14:textId="77777777" w:rsidTr="00144143">
        <w:trPr>
          <w:trHeight w:val="379"/>
        </w:trPr>
        <w:tc>
          <w:tcPr>
            <w:tcW w:w="14742"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0CECE" w:themeFill="background2" w:themeFillShade="E6"/>
          </w:tcPr>
          <w:p w14:paraId="2886E338" w14:textId="77777777" w:rsidR="00144143" w:rsidRPr="00306115" w:rsidRDefault="00144143">
            <w:pPr>
              <w:widowControl w:val="0"/>
              <w:numPr>
                <w:ilvl w:val="0"/>
                <w:numId w:val="297"/>
              </w:numPr>
              <w:pBdr>
                <w:top w:val="nil"/>
                <w:left w:val="nil"/>
                <w:bottom w:val="nil"/>
                <w:right w:val="nil"/>
                <w:between w:val="nil"/>
              </w:pBdr>
              <w:spacing w:before="60" w:after="60" w:line="240" w:lineRule="auto"/>
              <w:ind w:left="567" w:hanging="567"/>
              <w:rPr>
                <w:rFonts w:eastAsia="Bookman Old Style" w:cs="Bookman Old Style"/>
                <w:b/>
                <w:bCs/>
                <w:color w:val="000000" w:themeColor="text1"/>
                <w:szCs w:val="24"/>
              </w:rPr>
            </w:pPr>
            <w:r w:rsidRPr="00306115">
              <w:rPr>
                <w:rFonts w:eastAsia="Bookman Old Style" w:cs="Bookman Old Style"/>
                <w:b/>
                <w:bCs/>
                <w:color w:val="000000" w:themeColor="text1"/>
                <w:szCs w:val="24"/>
              </w:rPr>
              <w:t>Kualitas Penerapan Manajemen Risiko</w:t>
            </w:r>
          </w:p>
        </w:tc>
      </w:tr>
      <w:tr w:rsidR="00144143" w:rsidRPr="00306115" w14:paraId="7A936C64" w14:textId="77777777" w:rsidTr="00144143">
        <w:trPr>
          <w:trHeight w:val="379"/>
        </w:trPr>
        <w:tc>
          <w:tcPr>
            <w:tcW w:w="128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81DBBB1" w14:textId="77777777" w:rsidR="00144143" w:rsidRPr="00306115" w:rsidRDefault="00144143">
            <w:pPr>
              <w:widowControl w:val="0"/>
              <w:numPr>
                <w:ilvl w:val="2"/>
                <w:numId w:val="298"/>
              </w:numPr>
              <w:pBdr>
                <w:top w:val="nil"/>
                <w:left w:val="nil"/>
                <w:bottom w:val="nil"/>
                <w:right w:val="nil"/>
                <w:between w:val="nil"/>
              </w:pBdr>
              <w:spacing w:before="97" w:after="0" w:line="240" w:lineRule="auto"/>
              <w:ind w:right="80" w:hanging="583"/>
              <w:jc w:val="left"/>
              <w:rPr>
                <w:rFonts w:eastAsia="Bookman Old Style" w:cs="Bookman Old Style"/>
                <w:b/>
                <w:bCs/>
                <w:color w:val="000000" w:themeColor="text1"/>
                <w:szCs w:val="24"/>
              </w:rPr>
            </w:pPr>
          </w:p>
        </w:tc>
        <w:tc>
          <w:tcPr>
            <w:tcW w:w="1345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B66027" w14:textId="77777777" w:rsidR="00144143" w:rsidRPr="00306115" w:rsidRDefault="00144143" w:rsidP="00346521">
            <w:pPr>
              <w:widowControl w:val="0"/>
              <w:pBdr>
                <w:top w:val="nil"/>
                <w:left w:val="nil"/>
                <w:bottom w:val="nil"/>
                <w:right w:val="nil"/>
                <w:between w:val="nil"/>
              </w:pBdr>
              <w:spacing w:before="60" w:after="6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Tata kelola risiko (</w:t>
            </w:r>
            <w:r w:rsidRPr="00306115">
              <w:rPr>
                <w:rFonts w:eastAsia="Bookman Old Style" w:cs="Bookman Old Style"/>
                <w:i/>
                <w:iCs/>
                <w:color w:val="000000" w:themeColor="text1"/>
                <w:szCs w:val="24"/>
              </w:rPr>
              <w:t>risk governance</w:t>
            </w:r>
            <w:r w:rsidRPr="00306115">
              <w:rPr>
                <w:rFonts w:eastAsia="Bookman Old Style" w:cs="Bookman Old Style"/>
                <w:color w:val="000000" w:themeColor="text1"/>
                <w:szCs w:val="24"/>
              </w:rPr>
              <w:t>) mencakup evaluasi terhadap: (i) perumusan tingkat risiko yang akan diambil (</w:t>
            </w:r>
            <w:r w:rsidRPr="00306115">
              <w:rPr>
                <w:rFonts w:eastAsia="Bookman Old Style" w:cs="Bookman Old Style"/>
                <w:i/>
                <w:iCs/>
                <w:color w:val="000000" w:themeColor="text1"/>
                <w:szCs w:val="24"/>
              </w:rPr>
              <w:t>risk appetite</w:t>
            </w:r>
            <w:r w:rsidRPr="00306115">
              <w:rPr>
                <w:rFonts w:eastAsia="Bookman Old Style" w:cs="Bookman Old Style"/>
                <w:color w:val="000000" w:themeColor="text1"/>
                <w:szCs w:val="24"/>
              </w:rPr>
              <w:t>) dan toleransi risiko (</w:t>
            </w:r>
            <w:r w:rsidRPr="00306115">
              <w:rPr>
                <w:rFonts w:eastAsia="Bookman Old Style" w:cs="Bookman Old Style"/>
                <w:i/>
                <w:iCs/>
                <w:color w:val="000000" w:themeColor="text1"/>
                <w:szCs w:val="24"/>
              </w:rPr>
              <w:t>risk tolerance</w:t>
            </w:r>
            <w:r w:rsidRPr="00306115">
              <w:rPr>
                <w:rFonts w:eastAsia="Bookman Old Style" w:cs="Bookman Old Style"/>
                <w:color w:val="000000" w:themeColor="text1"/>
                <w:szCs w:val="24"/>
              </w:rPr>
              <w:t>) dan (ii) kecukupan pengawasan aktif oleh Direksi dan Dewan Komisaris termasuk pelaksanaan kewenangan dan tanggung jawab Direksi dan Dewan Komisaris.</w:t>
            </w:r>
          </w:p>
        </w:tc>
      </w:tr>
      <w:tr w:rsidR="00144143" w:rsidRPr="00306115" w14:paraId="7D215FD9" w14:textId="77777777" w:rsidTr="00144143">
        <w:trPr>
          <w:trHeight w:val="379"/>
        </w:trPr>
        <w:tc>
          <w:tcPr>
            <w:tcW w:w="128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B22953" w14:textId="77777777" w:rsidR="00144143" w:rsidRPr="00306115" w:rsidRDefault="00144143">
            <w:pPr>
              <w:widowControl w:val="0"/>
              <w:numPr>
                <w:ilvl w:val="2"/>
                <w:numId w:val="298"/>
              </w:numPr>
              <w:pBdr>
                <w:top w:val="nil"/>
                <w:left w:val="nil"/>
                <w:bottom w:val="nil"/>
                <w:right w:val="nil"/>
                <w:between w:val="nil"/>
              </w:pBdr>
              <w:spacing w:before="97" w:after="0" w:line="240" w:lineRule="auto"/>
              <w:ind w:left="847" w:right="80" w:hanging="511"/>
              <w:jc w:val="left"/>
              <w:rPr>
                <w:rFonts w:eastAsia="Bookman Old Style" w:cs="Bookman Old Style"/>
                <w:b/>
                <w:bCs/>
                <w:color w:val="000000" w:themeColor="text1"/>
                <w:szCs w:val="24"/>
              </w:rPr>
            </w:pPr>
          </w:p>
        </w:tc>
        <w:tc>
          <w:tcPr>
            <w:tcW w:w="1345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E80555" w14:textId="77777777" w:rsidR="00144143" w:rsidRPr="00306115" w:rsidRDefault="00144143" w:rsidP="00346521">
            <w:pPr>
              <w:widowControl w:val="0"/>
              <w:pBdr>
                <w:top w:val="nil"/>
                <w:left w:val="nil"/>
                <w:bottom w:val="nil"/>
                <w:right w:val="nil"/>
                <w:between w:val="nil"/>
              </w:pBdr>
              <w:spacing w:before="60" w:after="6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Kerangka Manajemen Risiko mencakup evaluasi terhadap: (i) strategi Manajemen Risiko yang searah dengan tingkat risiko yang akan diambil dan toleransi risiko; (ii) kecukupan perangkat organisasi dalam mendukung terlaksananya Manajemen Risiko secara efektif termasuk kejelasan wewenang dan tanggung jawab; dan (iii) kecukupan kebijakan dan prosedur Manajemen Risiko serta penetapan limit risiko.</w:t>
            </w:r>
          </w:p>
        </w:tc>
      </w:tr>
      <w:tr w:rsidR="00144143" w:rsidRPr="00306115" w14:paraId="2339FCC7" w14:textId="77777777" w:rsidTr="00144143">
        <w:trPr>
          <w:trHeight w:val="379"/>
        </w:trPr>
        <w:tc>
          <w:tcPr>
            <w:tcW w:w="128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66FD19" w14:textId="77777777" w:rsidR="00144143" w:rsidRPr="00306115" w:rsidRDefault="00144143">
            <w:pPr>
              <w:widowControl w:val="0"/>
              <w:numPr>
                <w:ilvl w:val="2"/>
                <w:numId w:val="298"/>
              </w:numPr>
              <w:pBdr>
                <w:top w:val="nil"/>
                <w:left w:val="nil"/>
                <w:bottom w:val="nil"/>
                <w:right w:val="nil"/>
                <w:between w:val="nil"/>
              </w:pBdr>
              <w:spacing w:before="97" w:after="0" w:line="240" w:lineRule="auto"/>
              <w:ind w:left="847" w:right="80" w:hanging="511"/>
              <w:jc w:val="left"/>
              <w:rPr>
                <w:rFonts w:eastAsia="Bookman Old Style" w:cs="Bookman Old Style"/>
                <w:b/>
                <w:bCs/>
                <w:color w:val="000000" w:themeColor="text1"/>
                <w:szCs w:val="24"/>
              </w:rPr>
            </w:pPr>
          </w:p>
        </w:tc>
        <w:tc>
          <w:tcPr>
            <w:tcW w:w="1345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0865E5" w14:textId="77777777" w:rsidR="00144143" w:rsidRPr="00306115" w:rsidRDefault="00144143" w:rsidP="00346521">
            <w:pPr>
              <w:widowControl w:val="0"/>
              <w:pBdr>
                <w:top w:val="nil"/>
                <w:left w:val="nil"/>
                <w:bottom w:val="nil"/>
                <w:right w:val="nil"/>
                <w:between w:val="nil"/>
              </w:pBdr>
              <w:spacing w:before="60" w:after="6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 xml:space="preserve">Proses Manajemen Risiko, sistem informasi, dan sumber daya manusia mencakup evaluasi terhadap: (i) proses identifikasi, pengukuran, pemantauan, dan pengendalian risiko; (ii) kecukupan sistem informasi Manajemen </w:t>
            </w:r>
            <w:r w:rsidRPr="00306115">
              <w:rPr>
                <w:rFonts w:eastAsia="Bookman Old Style" w:cs="Bookman Old Style"/>
                <w:color w:val="000000" w:themeColor="text1"/>
                <w:szCs w:val="24"/>
              </w:rPr>
              <w:lastRenderedPageBreak/>
              <w:t>Risiko; dan (iii) kecukupan kuantitas dan kualitas sumber daya manusia dalam mendukung efektivitas proses Manajemen Risiko.</w:t>
            </w:r>
          </w:p>
        </w:tc>
      </w:tr>
      <w:tr w:rsidR="00144143" w:rsidRPr="00306115" w14:paraId="1611B05F" w14:textId="77777777" w:rsidTr="00144143">
        <w:trPr>
          <w:trHeight w:val="379"/>
        </w:trPr>
        <w:tc>
          <w:tcPr>
            <w:tcW w:w="128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A31811" w14:textId="77777777" w:rsidR="00144143" w:rsidRPr="00306115" w:rsidRDefault="00144143">
            <w:pPr>
              <w:widowControl w:val="0"/>
              <w:numPr>
                <w:ilvl w:val="2"/>
                <w:numId w:val="298"/>
              </w:numPr>
              <w:pBdr>
                <w:top w:val="nil"/>
                <w:left w:val="nil"/>
                <w:bottom w:val="nil"/>
                <w:right w:val="nil"/>
                <w:between w:val="nil"/>
              </w:pBdr>
              <w:spacing w:before="97" w:after="0" w:line="240" w:lineRule="auto"/>
              <w:ind w:left="847" w:right="80" w:hanging="511"/>
              <w:jc w:val="left"/>
              <w:rPr>
                <w:rFonts w:eastAsia="Bookman Old Style" w:cs="Bookman Old Style"/>
                <w:b/>
                <w:bCs/>
                <w:color w:val="000000" w:themeColor="text1"/>
                <w:szCs w:val="24"/>
              </w:rPr>
            </w:pPr>
          </w:p>
        </w:tc>
        <w:tc>
          <w:tcPr>
            <w:tcW w:w="1345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DEF960" w14:textId="025734DE" w:rsidR="00144143" w:rsidRPr="00306115" w:rsidRDefault="00144143" w:rsidP="00346521">
            <w:pPr>
              <w:widowControl w:val="0"/>
              <w:pBdr>
                <w:top w:val="nil"/>
                <w:left w:val="nil"/>
                <w:bottom w:val="nil"/>
                <w:right w:val="nil"/>
                <w:between w:val="nil"/>
              </w:pBdr>
              <w:spacing w:before="60" w:after="6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 xml:space="preserve">Sistem </w:t>
            </w:r>
            <w:r w:rsidR="00981DAD" w:rsidRPr="00306115">
              <w:rPr>
                <w:rFonts w:eastAsia="Bookman Old Style" w:cs="Bookman Old Style"/>
                <w:color w:val="000000" w:themeColor="text1"/>
                <w:szCs w:val="24"/>
              </w:rPr>
              <w:t>p</w:t>
            </w:r>
            <w:r w:rsidRPr="00306115">
              <w:rPr>
                <w:rFonts w:eastAsia="Bookman Old Style" w:cs="Bookman Old Style"/>
                <w:color w:val="000000" w:themeColor="text1"/>
                <w:szCs w:val="24"/>
              </w:rPr>
              <w:t xml:space="preserve">engendalian </w:t>
            </w:r>
            <w:r w:rsidR="00981DAD" w:rsidRPr="00306115">
              <w:rPr>
                <w:rFonts w:eastAsia="Bookman Old Style" w:cs="Bookman Old Style"/>
                <w:color w:val="000000" w:themeColor="text1"/>
                <w:szCs w:val="24"/>
              </w:rPr>
              <w:t>r</w:t>
            </w:r>
            <w:r w:rsidRPr="00306115">
              <w:rPr>
                <w:rFonts w:eastAsia="Bookman Old Style" w:cs="Bookman Old Style"/>
                <w:color w:val="000000" w:themeColor="text1"/>
                <w:szCs w:val="24"/>
              </w:rPr>
              <w:t xml:space="preserve">isiko mencakup evaluasi terhadap: (i) kecukupan sistem pengendalian internal dan (ii) kecukupan kaji ulang oleh pihak independen dalam Manajer Investasi baik oleh fungsi </w:t>
            </w:r>
            <w:r w:rsidR="001008B5" w:rsidRPr="00306115">
              <w:rPr>
                <w:color w:val="000000" w:themeColor="text1"/>
              </w:rPr>
              <w:t>Manajemen Risiko</w:t>
            </w:r>
            <w:r w:rsidR="001008B5" w:rsidRPr="00306115">
              <w:rPr>
                <w:rFonts w:eastAsia="Bookman Old Style" w:cs="Bookman Old Style"/>
                <w:color w:val="000000" w:themeColor="text1"/>
                <w:szCs w:val="24"/>
              </w:rPr>
              <w:t xml:space="preserve"> </w:t>
            </w:r>
            <w:r w:rsidRPr="00306115">
              <w:rPr>
                <w:rFonts w:eastAsia="Bookman Old Style" w:cs="Bookman Old Style"/>
                <w:color w:val="000000" w:themeColor="text1"/>
                <w:szCs w:val="24"/>
              </w:rPr>
              <w:t>maupun fungsi audit internal.</w:t>
            </w:r>
          </w:p>
        </w:tc>
      </w:tr>
    </w:tbl>
    <w:p w14:paraId="36664286" w14:textId="3CEA5181" w:rsidR="00144143" w:rsidRPr="00306115" w:rsidRDefault="00E34412" w:rsidP="00144143">
      <w:pPr>
        <w:pStyle w:val="HeadingAwalDaftarIsiLampiran"/>
        <w:numPr>
          <w:ilvl w:val="0"/>
          <w:numId w:val="0"/>
        </w:numPr>
        <w:tabs>
          <w:tab w:val="left" w:pos="1843"/>
        </w:tabs>
        <w:ind w:left="1134"/>
        <w:rPr>
          <w:rFonts w:eastAsia="Bookman Old Style" w:cs="Bookman Old Style"/>
        </w:rPr>
      </w:pPr>
      <w:r w:rsidRPr="00306115">
        <w:rPr>
          <w:rFonts w:eastAsia="Bookman Old Style" w:cs="Bookman Old Style"/>
        </w:rPr>
        <w:t xml:space="preserve">*) Merupakan parameter atau indikator minimal dan Manajer Investasi dapat menambah parameter atau indikator lain sesuai dengan karakteristik, kompleksitas usaha, dan kemampuan Manajer Investasi. Penilaian dilakukan dengan posisi akhir per 31 Desember posisi dan tren selama yang mencakup penilaian selama 12 (dua belas) bulan terakhir untuk parameter atau indikator pada Lampiran </w:t>
      </w:r>
      <w:r w:rsidR="004C3BF0" w:rsidRPr="00306115">
        <w:rPr>
          <w:rFonts w:eastAsia="Bookman Old Style" w:cs="Bookman Old Style"/>
        </w:rPr>
        <w:t xml:space="preserve">IV </w:t>
      </w:r>
      <w:r w:rsidR="004C3BF0" w:rsidRPr="00306115">
        <w:t>yang merupakan bagian tidak terpisahkan dari Peraturan Anggota Dewan Komisioner Otoritas Jasa Keuangan ini</w:t>
      </w:r>
      <w:r w:rsidRPr="00306115">
        <w:rPr>
          <w:rFonts w:eastAsia="Bookman Old Style" w:cs="Bookman Old Style"/>
        </w:rPr>
        <w:t>.</w:t>
      </w:r>
    </w:p>
    <w:p w14:paraId="00E135BE" w14:textId="77777777" w:rsidR="00DB0573" w:rsidRPr="00306115" w:rsidRDefault="00DB0573" w:rsidP="00144143">
      <w:pPr>
        <w:pStyle w:val="HeadingAwalDaftarIsiLampiran"/>
        <w:numPr>
          <w:ilvl w:val="0"/>
          <w:numId w:val="0"/>
        </w:numPr>
        <w:tabs>
          <w:tab w:val="left" w:pos="1843"/>
        </w:tabs>
        <w:ind w:left="1134"/>
      </w:pPr>
    </w:p>
    <w:p w14:paraId="6E9A6A63" w14:textId="0ACFC5DB" w:rsidR="00010C32" w:rsidRPr="00306115" w:rsidRDefault="00895D03">
      <w:pPr>
        <w:pStyle w:val="HeadingAwalDaftarIsiLampiran"/>
        <w:numPr>
          <w:ilvl w:val="0"/>
          <w:numId w:val="294"/>
        </w:numPr>
        <w:tabs>
          <w:tab w:val="left" w:pos="1843"/>
        </w:tabs>
        <w:ind w:left="1134" w:hanging="567"/>
      </w:pPr>
      <w:r w:rsidRPr="00306115">
        <w:rPr>
          <w:rFonts w:eastAsia="Bookman Old Style" w:cs="Bookman Old Style"/>
        </w:rPr>
        <w:t>Penilaian Risiko Operasional</w:t>
      </w:r>
    </w:p>
    <w:p w14:paraId="3E3A2CC8" w14:textId="044586A7" w:rsidR="00E34412" w:rsidRPr="00306115" w:rsidRDefault="008A1499">
      <w:pPr>
        <w:pStyle w:val="HeadingAwalDaftarIsiLampiran"/>
        <w:numPr>
          <w:ilvl w:val="3"/>
          <w:numId w:val="297"/>
        </w:numPr>
        <w:tabs>
          <w:tab w:val="left" w:pos="1843"/>
        </w:tabs>
        <w:ind w:left="1701" w:hanging="567"/>
      </w:pPr>
      <w:r w:rsidRPr="00306115">
        <w:rPr>
          <w:rFonts w:eastAsia="Bookman Old Style" w:cs="Bookman Old Style"/>
        </w:rPr>
        <w:t>Penilaian Risiko Operasional dilakukan berdasarkan hasil penilaian masing-masing parameter atau indikator Risiko Operasional menggunakan analisis yang komprehensif dan terstruktur sehingga memberikan gambaran secara menyeluruh Risiko Operasional.</w:t>
      </w:r>
    </w:p>
    <w:p w14:paraId="3A1B12F6" w14:textId="20029F3F" w:rsidR="004C3BF0" w:rsidRPr="00306115" w:rsidRDefault="00C30E14">
      <w:pPr>
        <w:pStyle w:val="HeadingAwalDaftarIsiLampiran"/>
        <w:numPr>
          <w:ilvl w:val="3"/>
          <w:numId w:val="297"/>
        </w:numPr>
        <w:tabs>
          <w:tab w:val="left" w:pos="1843"/>
        </w:tabs>
        <w:ind w:left="1701" w:hanging="567"/>
      </w:pPr>
      <w:r w:rsidRPr="00306115">
        <w:rPr>
          <w:rFonts w:eastAsia="Bookman Old Style" w:cs="Bookman Old Style"/>
          <w:lang w:val="id"/>
        </w:rPr>
        <w:t>Penetapan total peringkat Risiko Operasional dilakukan dengan cara menyimpulkan hasil penilaian atas seluruh indikator risiko inheren operasional pada kluster sumber daya manusia, teknologi informasi, dan keamanan siber (</w:t>
      </w:r>
      <w:r w:rsidRPr="00306115">
        <w:rPr>
          <w:rFonts w:eastAsia="Bookman Old Style" w:cs="Bookman Old Style"/>
          <w:i/>
          <w:iCs/>
          <w:lang w:val="id"/>
        </w:rPr>
        <w:t>Cybersecurity</w:t>
      </w:r>
      <w:r w:rsidRPr="00306115">
        <w:rPr>
          <w:rFonts w:eastAsia="Bookman Old Style" w:cs="Bookman Old Style"/>
          <w:lang w:val="id"/>
        </w:rPr>
        <w:t xml:space="preserve">), serta menentukan signifikansi indikator berdasarkan karakteristik dan kompleksitas kegiatan usaha Manajer Investasi. Sebagai contoh, bagi Manajer Investasi yang memiliki tingkat ketergantungan tinggi terhadap sistem elektronik dalam menjalankan kegiatan operasionalnya, penetapan peringkat Risiko Operasional dapat lebih menitikberatkan pada indikator-indikator pada kluster teknologi informasi dan keamanan siber, seperti jumlah kegagalan </w:t>
      </w:r>
      <w:r w:rsidRPr="00306115">
        <w:rPr>
          <w:rFonts w:eastAsia="Bookman Old Style" w:cs="Bookman Old Style"/>
          <w:i/>
          <w:iCs/>
          <w:lang w:val="id"/>
        </w:rPr>
        <w:t>core system</w:t>
      </w:r>
      <w:r w:rsidRPr="00306115">
        <w:rPr>
          <w:rFonts w:eastAsia="Bookman Old Style" w:cs="Bookman Old Style"/>
          <w:lang w:val="id"/>
        </w:rPr>
        <w:t>, rata-rata waktu deteksi dan pemulihan insiden, serta jumlah insiden keamanan siber yang terkonfirmasi</w:t>
      </w:r>
    </w:p>
    <w:p w14:paraId="4D4FB3D3" w14:textId="031372C6" w:rsidR="008A1499" w:rsidRPr="00306115" w:rsidRDefault="00142606">
      <w:pPr>
        <w:pStyle w:val="HeadingAwalDaftarIsiLampiran"/>
        <w:numPr>
          <w:ilvl w:val="3"/>
          <w:numId w:val="297"/>
        </w:numPr>
        <w:tabs>
          <w:tab w:val="left" w:pos="1843"/>
        </w:tabs>
        <w:ind w:left="1701" w:hanging="567"/>
      </w:pPr>
      <w:r w:rsidRPr="00306115">
        <w:rPr>
          <w:rFonts w:eastAsia="Bookman Old Style" w:cs="Bookman Old Style"/>
        </w:rPr>
        <w:t>Penilaian parameter atau indikator Risiko Operasional dapat menggunakan tabel  berikut:</w:t>
      </w:r>
    </w:p>
    <w:tbl>
      <w:tblPr>
        <w:tblW w:w="14175" w:type="dxa"/>
        <w:tblInd w:w="16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119"/>
        <w:gridCol w:w="6485"/>
        <w:gridCol w:w="1878"/>
        <w:gridCol w:w="2693"/>
      </w:tblGrid>
      <w:tr w:rsidR="000D77CD" w:rsidRPr="00306115" w14:paraId="08404DAC" w14:textId="77777777" w:rsidTr="00130B2C">
        <w:trPr>
          <w:trHeight w:val="557"/>
        </w:trPr>
        <w:tc>
          <w:tcPr>
            <w:tcW w:w="14175" w:type="dxa"/>
            <w:gridSpan w:val="4"/>
            <w:tcBorders>
              <w:top w:val="single" w:sz="8" w:space="0" w:color="000000"/>
              <w:left w:val="single" w:sz="8" w:space="0" w:color="000000"/>
              <w:bottom w:val="single" w:sz="8" w:space="0" w:color="000000"/>
              <w:right w:val="single" w:sz="8" w:space="0" w:color="000000"/>
            </w:tcBorders>
            <w:shd w:val="clear" w:color="auto" w:fill="BEBEBE"/>
          </w:tcPr>
          <w:p w14:paraId="2BE4EC0C" w14:textId="387175ED" w:rsidR="000D77CD" w:rsidRPr="00306115" w:rsidRDefault="000D77CD" w:rsidP="00130B2C">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 xml:space="preserve">PT </w:t>
            </w:r>
            <w:r w:rsidR="00495066" w:rsidRPr="00306115">
              <w:rPr>
                <w:rFonts w:eastAsia="Bookman Old Style" w:cs="Bookman Old Style"/>
                <w:b/>
                <w:bCs/>
                <w:color w:val="000000" w:themeColor="text1"/>
                <w:szCs w:val="24"/>
              </w:rPr>
              <w:t xml:space="preserve">MANAJER INVESTASI </w:t>
            </w:r>
            <w:r w:rsidRPr="00306115">
              <w:rPr>
                <w:rFonts w:eastAsia="Bookman Old Style" w:cs="Bookman Old Style"/>
                <w:b/>
                <w:bCs/>
                <w:color w:val="000000" w:themeColor="text1"/>
                <w:szCs w:val="24"/>
              </w:rPr>
              <w:t>ABC</w:t>
            </w:r>
          </w:p>
        </w:tc>
      </w:tr>
      <w:tr w:rsidR="000D77CD" w:rsidRPr="00306115" w14:paraId="7D4AB5DA" w14:textId="77777777" w:rsidTr="00130B2C">
        <w:trPr>
          <w:trHeight w:val="556"/>
        </w:trPr>
        <w:tc>
          <w:tcPr>
            <w:tcW w:w="3119"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25F073A3" w14:textId="60585D0E" w:rsidR="000D77CD" w:rsidRPr="00306115" w:rsidRDefault="000D77CD" w:rsidP="00130B2C">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Kategori</w:t>
            </w:r>
          </w:p>
        </w:tc>
        <w:tc>
          <w:tcPr>
            <w:tcW w:w="6485"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1490F7E1" w14:textId="77777777" w:rsidR="000D77CD" w:rsidRPr="00306115" w:rsidRDefault="000D77CD" w:rsidP="00130B2C">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Indikator</w:t>
            </w:r>
          </w:p>
        </w:tc>
        <w:tc>
          <w:tcPr>
            <w:tcW w:w="1878"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1882270A" w14:textId="73C5DD23" w:rsidR="00E36B3F" w:rsidRPr="00306115" w:rsidRDefault="00E36B3F" w:rsidP="00E36B3F">
            <w:pPr>
              <w:widowControl w:val="0"/>
              <w:pBdr>
                <w:top w:val="nil"/>
                <w:left w:val="nil"/>
                <w:bottom w:val="nil"/>
                <w:right w:val="nil"/>
                <w:between w:val="nil"/>
              </w:pBdr>
              <w:spacing w:before="60" w:after="60" w:line="240" w:lineRule="auto"/>
              <w:jc w:val="center"/>
              <w:rPr>
                <w:rFonts w:eastAsia="Bookman Old Style" w:cs="Bookman Old Style"/>
                <w:b/>
                <w:bCs/>
                <w:strike/>
                <w:color w:val="000000" w:themeColor="text1"/>
                <w:szCs w:val="24"/>
              </w:rPr>
            </w:pPr>
            <w:r w:rsidRPr="00306115">
              <w:rPr>
                <w:rFonts w:eastAsia="Bookman Old Style" w:cs="Bookman Old Style"/>
                <w:b/>
                <w:bCs/>
                <w:color w:val="000000" w:themeColor="text1"/>
                <w:szCs w:val="24"/>
              </w:rPr>
              <w:t>Peringkat</w:t>
            </w:r>
          </w:p>
        </w:tc>
        <w:tc>
          <w:tcPr>
            <w:tcW w:w="2693"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54207C3B" w14:textId="77777777" w:rsidR="000D77CD" w:rsidRPr="00306115" w:rsidRDefault="000D77CD" w:rsidP="00130B2C">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Keterangan</w:t>
            </w:r>
          </w:p>
        </w:tc>
      </w:tr>
      <w:tr w:rsidR="000D77CD" w:rsidRPr="00306115" w14:paraId="2DE10747" w14:textId="77777777" w:rsidTr="00130B2C">
        <w:trPr>
          <w:trHeight w:val="345"/>
        </w:trPr>
        <w:tc>
          <w:tcPr>
            <w:tcW w:w="3119" w:type="dxa"/>
            <w:tcBorders>
              <w:top w:val="single" w:sz="8" w:space="0" w:color="000000"/>
              <w:left w:val="single" w:sz="8" w:space="0" w:color="000000"/>
              <w:bottom w:val="single" w:sz="8" w:space="0" w:color="000000"/>
              <w:right w:val="single" w:sz="8" w:space="0" w:color="000000"/>
            </w:tcBorders>
          </w:tcPr>
          <w:p w14:paraId="362F64E8" w14:textId="77777777" w:rsidR="000D77CD" w:rsidRPr="00306115" w:rsidRDefault="000D77CD" w:rsidP="009A7216">
            <w:pPr>
              <w:widowControl w:val="0"/>
              <w:pBdr>
                <w:top w:val="nil"/>
                <w:left w:val="nil"/>
                <w:bottom w:val="nil"/>
                <w:right w:val="nil"/>
                <w:between w:val="nil"/>
              </w:pBdr>
              <w:spacing w:after="0" w:line="240" w:lineRule="auto"/>
              <w:rPr>
                <w:rFonts w:eastAsia="Bookman Old Style" w:cs="Bookman Old Style"/>
                <w:b/>
                <w:bCs/>
                <w:color w:val="000000" w:themeColor="text1"/>
                <w:szCs w:val="24"/>
              </w:rPr>
            </w:pPr>
            <w:r w:rsidRPr="00306115">
              <w:rPr>
                <w:rFonts w:eastAsia="Bookman Old Style" w:cs="Bookman Old Style"/>
                <w:b/>
                <w:bCs/>
                <w:color w:val="000000" w:themeColor="text1"/>
                <w:szCs w:val="24"/>
              </w:rPr>
              <w:t xml:space="preserve"> Organisasi dan Bisnis</w:t>
            </w:r>
          </w:p>
        </w:tc>
        <w:tc>
          <w:tcPr>
            <w:tcW w:w="6485" w:type="dxa"/>
            <w:tcBorders>
              <w:top w:val="single" w:sz="8" w:space="0" w:color="000000"/>
              <w:left w:val="single" w:sz="8" w:space="0" w:color="000000"/>
              <w:bottom w:val="single" w:sz="8" w:space="0" w:color="000000"/>
              <w:right w:val="single" w:sz="8" w:space="0" w:color="000000"/>
            </w:tcBorders>
          </w:tcPr>
          <w:p w14:paraId="533EE3BC" w14:textId="77777777" w:rsidR="000D77CD" w:rsidRPr="00306115" w:rsidRDefault="000D77CD" w:rsidP="009A7216">
            <w:pPr>
              <w:widowControl w:val="0"/>
              <w:pBdr>
                <w:top w:val="nil"/>
                <w:left w:val="nil"/>
                <w:bottom w:val="nil"/>
                <w:right w:val="nil"/>
                <w:between w:val="nil"/>
              </w:pBdr>
              <w:spacing w:after="0" w:line="240" w:lineRule="auto"/>
              <w:rPr>
                <w:rFonts w:eastAsia="Bookman Old Style" w:cs="Bookman Old Style"/>
                <w:i/>
                <w:iCs/>
                <w:color w:val="000000" w:themeColor="text1"/>
                <w:szCs w:val="24"/>
              </w:rPr>
            </w:pPr>
            <w:r w:rsidRPr="00306115">
              <w:rPr>
                <w:rFonts w:eastAsia="Bookman Old Style" w:cs="Bookman Old Style"/>
                <w:i/>
                <w:iCs/>
                <w:color w:val="000000" w:themeColor="text1"/>
                <w:szCs w:val="24"/>
              </w:rPr>
              <w:t>Operational Loss</w:t>
            </w:r>
          </w:p>
        </w:tc>
        <w:tc>
          <w:tcPr>
            <w:tcW w:w="1878" w:type="dxa"/>
            <w:tcBorders>
              <w:top w:val="single" w:sz="8" w:space="0" w:color="000000"/>
              <w:left w:val="single" w:sz="8" w:space="0" w:color="000000"/>
              <w:bottom w:val="single" w:sz="8" w:space="0" w:color="000000"/>
              <w:right w:val="single" w:sz="8" w:space="0" w:color="000000"/>
            </w:tcBorders>
          </w:tcPr>
          <w:p w14:paraId="2EB379C4" w14:textId="77777777" w:rsidR="000D77CD" w:rsidRPr="00306115" w:rsidRDefault="000D77CD" w:rsidP="00130B2C">
            <w:pPr>
              <w:widowControl w:val="0"/>
              <w:pBdr>
                <w:top w:val="nil"/>
                <w:left w:val="nil"/>
                <w:bottom w:val="nil"/>
                <w:right w:val="nil"/>
                <w:between w:val="nil"/>
              </w:pBdr>
              <w:spacing w:line="240" w:lineRule="auto"/>
              <w:rPr>
                <w:rFonts w:eastAsia="Bookman Old Style" w:cs="Bookman Old Style"/>
                <w:color w:val="000000" w:themeColor="text1"/>
                <w:szCs w:val="24"/>
              </w:rPr>
            </w:pPr>
          </w:p>
        </w:tc>
        <w:tc>
          <w:tcPr>
            <w:tcW w:w="2693" w:type="dxa"/>
            <w:tcBorders>
              <w:top w:val="single" w:sz="8" w:space="0" w:color="000000"/>
              <w:left w:val="single" w:sz="8" w:space="0" w:color="000000"/>
              <w:bottom w:val="single" w:sz="8" w:space="0" w:color="000000"/>
              <w:right w:val="single" w:sz="8" w:space="0" w:color="000000"/>
            </w:tcBorders>
          </w:tcPr>
          <w:p w14:paraId="36531F35" w14:textId="77777777" w:rsidR="000D77CD" w:rsidRPr="00306115" w:rsidRDefault="000D77CD" w:rsidP="00130B2C">
            <w:pPr>
              <w:widowControl w:val="0"/>
              <w:pBdr>
                <w:top w:val="nil"/>
                <w:left w:val="nil"/>
                <w:bottom w:val="nil"/>
                <w:right w:val="nil"/>
                <w:between w:val="nil"/>
              </w:pBdr>
              <w:spacing w:line="240" w:lineRule="auto"/>
              <w:rPr>
                <w:rFonts w:eastAsia="Bookman Old Style" w:cs="Bookman Old Style"/>
                <w:color w:val="000000" w:themeColor="text1"/>
                <w:szCs w:val="24"/>
              </w:rPr>
            </w:pPr>
          </w:p>
        </w:tc>
      </w:tr>
      <w:tr w:rsidR="00EA6AC1" w:rsidRPr="00306115" w14:paraId="462D455F" w14:textId="77777777" w:rsidTr="00130B2C">
        <w:trPr>
          <w:trHeight w:val="283"/>
        </w:trPr>
        <w:tc>
          <w:tcPr>
            <w:tcW w:w="3119" w:type="dxa"/>
            <w:tcBorders>
              <w:top w:val="single" w:sz="8" w:space="0" w:color="000000"/>
              <w:left w:val="single" w:sz="8" w:space="0" w:color="000000"/>
              <w:right w:val="single" w:sz="8" w:space="0" w:color="000000"/>
            </w:tcBorders>
          </w:tcPr>
          <w:p w14:paraId="203CBF9F" w14:textId="766651AD" w:rsidR="00EA6AC1" w:rsidRPr="00306115" w:rsidRDefault="009A7216" w:rsidP="009A7216">
            <w:pPr>
              <w:widowControl w:val="0"/>
              <w:pBdr>
                <w:top w:val="nil"/>
                <w:left w:val="nil"/>
                <w:bottom w:val="nil"/>
                <w:right w:val="nil"/>
                <w:between w:val="nil"/>
              </w:pBdr>
              <w:spacing w:after="0" w:line="240" w:lineRule="auto"/>
              <w:rPr>
                <w:rFonts w:eastAsia="Bookman Old Style" w:cs="Bookman Old Style"/>
                <w:b/>
                <w:bCs/>
                <w:color w:val="000000" w:themeColor="text1"/>
                <w:szCs w:val="24"/>
              </w:rPr>
            </w:pPr>
            <w:r w:rsidRPr="00306115">
              <w:rPr>
                <w:rFonts w:eastAsia="Bookman Old Style" w:cs="Bookman Old Style"/>
                <w:b/>
                <w:bCs/>
                <w:color w:val="000000" w:themeColor="text1"/>
                <w:szCs w:val="24"/>
              </w:rPr>
              <w:t>P</w:t>
            </w:r>
            <w:r w:rsidR="00EA6AC1" w:rsidRPr="00306115">
              <w:rPr>
                <w:rFonts w:eastAsia="Bookman Old Style" w:cs="Bookman Old Style"/>
                <w:b/>
                <w:bCs/>
                <w:color w:val="000000" w:themeColor="text1"/>
                <w:szCs w:val="24"/>
              </w:rPr>
              <w:t>ortofolio yang Dikelola</w:t>
            </w:r>
          </w:p>
        </w:tc>
        <w:tc>
          <w:tcPr>
            <w:tcW w:w="6485" w:type="dxa"/>
            <w:tcBorders>
              <w:top w:val="single" w:sz="8" w:space="0" w:color="000000"/>
              <w:left w:val="single" w:sz="8" w:space="0" w:color="000000"/>
              <w:bottom w:val="single" w:sz="8" w:space="0" w:color="000000"/>
              <w:right w:val="single" w:sz="8" w:space="0" w:color="000000"/>
            </w:tcBorders>
          </w:tcPr>
          <w:p w14:paraId="558FE9B6" w14:textId="7618A81F" w:rsidR="00EA6AC1" w:rsidRPr="00306115" w:rsidRDefault="00EA6AC1" w:rsidP="009A7216">
            <w:pPr>
              <w:widowControl w:val="0"/>
              <w:pBdr>
                <w:top w:val="nil"/>
                <w:left w:val="nil"/>
                <w:bottom w:val="nil"/>
                <w:right w:val="nil"/>
                <w:between w:val="nil"/>
              </w:pBdr>
              <w:spacing w:after="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 xml:space="preserve">Kesalahan Perhitungan </w:t>
            </w:r>
            <w:r w:rsidR="0001027F" w:rsidRPr="00306115">
              <w:rPr>
                <w:rFonts w:eastAsia="Bookman Old Style" w:cs="Bookman Old Style"/>
                <w:color w:val="000000" w:themeColor="text1"/>
                <w:szCs w:val="24"/>
              </w:rPr>
              <w:t>Nilai Aktiva Bersih (</w:t>
            </w:r>
            <w:r w:rsidRPr="00306115">
              <w:rPr>
                <w:rFonts w:eastAsia="Bookman Old Style" w:cs="Bookman Old Style"/>
                <w:color w:val="000000" w:themeColor="text1"/>
                <w:szCs w:val="24"/>
              </w:rPr>
              <w:t>NAB</w:t>
            </w:r>
            <w:r w:rsidR="0001027F" w:rsidRPr="00306115">
              <w:rPr>
                <w:rFonts w:eastAsia="Bookman Old Style" w:cs="Bookman Old Style"/>
                <w:color w:val="000000" w:themeColor="text1"/>
                <w:szCs w:val="24"/>
              </w:rPr>
              <w:t>)</w:t>
            </w:r>
          </w:p>
        </w:tc>
        <w:tc>
          <w:tcPr>
            <w:tcW w:w="1878" w:type="dxa"/>
            <w:tcBorders>
              <w:top w:val="single" w:sz="8" w:space="0" w:color="000000"/>
              <w:left w:val="single" w:sz="8" w:space="0" w:color="000000"/>
              <w:bottom w:val="single" w:sz="8" w:space="0" w:color="000000"/>
              <w:right w:val="single" w:sz="8" w:space="0" w:color="000000"/>
            </w:tcBorders>
          </w:tcPr>
          <w:p w14:paraId="0D05D8BE" w14:textId="77777777" w:rsidR="00EA6AC1" w:rsidRPr="00306115" w:rsidRDefault="00EA6AC1" w:rsidP="00130B2C">
            <w:pPr>
              <w:widowControl w:val="0"/>
              <w:pBdr>
                <w:top w:val="nil"/>
                <w:left w:val="nil"/>
                <w:bottom w:val="nil"/>
                <w:right w:val="nil"/>
                <w:between w:val="nil"/>
              </w:pBdr>
              <w:spacing w:line="240" w:lineRule="auto"/>
              <w:rPr>
                <w:rFonts w:eastAsia="Bookman Old Style" w:cs="Bookman Old Style"/>
                <w:color w:val="000000" w:themeColor="text1"/>
                <w:szCs w:val="24"/>
              </w:rPr>
            </w:pPr>
          </w:p>
        </w:tc>
        <w:tc>
          <w:tcPr>
            <w:tcW w:w="2693" w:type="dxa"/>
            <w:tcBorders>
              <w:top w:val="single" w:sz="8" w:space="0" w:color="000000"/>
              <w:left w:val="single" w:sz="8" w:space="0" w:color="000000"/>
              <w:bottom w:val="single" w:sz="8" w:space="0" w:color="000000"/>
              <w:right w:val="single" w:sz="8" w:space="0" w:color="000000"/>
            </w:tcBorders>
          </w:tcPr>
          <w:p w14:paraId="34589A89" w14:textId="77777777" w:rsidR="00EA6AC1" w:rsidRPr="00306115" w:rsidRDefault="00EA6AC1" w:rsidP="00130B2C">
            <w:pPr>
              <w:widowControl w:val="0"/>
              <w:pBdr>
                <w:top w:val="nil"/>
                <w:left w:val="nil"/>
                <w:bottom w:val="nil"/>
                <w:right w:val="nil"/>
                <w:between w:val="nil"/>
              </w:pBdr>
              <w:spacing w:line="240" w:lineRule="auto"/>
              <w:rPr>
                <w:rFonts w:eastAsia="Bookman Old Style" w:cs="Bookman Old Style"/>
                <w:color w:val="000000" w:themeColor="text1"/>
                <w:szCs w:val="24"/>
              </w:rPr>
            </w:pPr>
          </w:p>
        </w:tc>
      </w:tr>
      <w:tr w:rsidR="009A7216" w:rsidRPr="00306115" w14:paraId="6A4A7BCC" w14:textId="77777777" w:rsidTr="00931298">
        <w:trPr>
          <w:trHeight w:val="556"/>
        </w:trPr>
        <w:tc>
          <w:tcPr>
            <w:tcW w:w="3119" w:type="dxa"/>
            <w:vMerge w:val="restart"/>
            <w:tcBorders>
              <w:top w:val="single" w:sz="8" w:space="0" w:color="000000"/>
              <w:left w:val="single" w:sz="8" w:space="0" w:color="000000"/>
              <w:right w:val="single" w:sz="8" w:space="0" w:color="000000"/>
            </w:tcBorders>
            <w:vAlign w:val="center"/>
          </w:tcPr>
          <w:p w14:paraId="20283C77" w14:textId="66EE1C07" w:rsidR="009A7216" w:rsidRPr="00306115" w:rsidRDefault="009A7216" w:rsidP="009A7216">
            <w:pPr>
              <w:widowControl w:val="0"/>
              <w:pBdr>
                <w:top w:val="nil"/>
                <w:left w:val="nil"/>
                <w:bottom w:val="nil"/>
                <w:right w:val="nil"/>
                <w:between w:val="nil"/>
              </w:pBdr>
              <w:spacing w:after="0" w:line="240" w:lineRule="auto"/>
              <w:rPr>
                <w:rFonts w:eastAsia="Bookman Old Style" w:cs="Bookman Old Style"/>
                <w:b/>
                <w:bCs/>
                <w:color w:val="000000" w:themeColor="text1"/>
                <w:szCs w:val="24"/>
              </w:rPr>
            </w:pPr>
            <w:r w:rsidRPr="00306115">
              <w:rPr>
                <w:rFonts w:eastAsia="Bookman Old Style" w:cs="Bookman Old Style"/>
                <w:b/>
                <w:bCs/>
                <w:color w:val="000000" w:themeColor="text1"/>
                <w:szCs w:val="24"/>
              </w:rPr>
              <w:lastRenderedPageBreak/>
              <w:t>Manajemen Sumber Daya Manusia</w:t>
            </w:r>
          </w:p>
        </w:tc>
        <w:tc>
          <w:tcPr>
            <w:tcW w:w="6485" w:type="dxa"/>
            <w:tcBorders>
              <w:top w:val="single" w:sz="8" w:space="0" w:color="000000"/>
              <w:left w:val="single" w:sz="8" w:space="0" w:color="000000"/>
              <w:bottom w:val="single" w:sz="8" w:space="0" w:color="000000"/>
              <w:right w:val="single" w:sz="8" w:space="0" w:color="000000"/>
            </w:tcBorders>
          </w:tcPr>
          <w:p w14:paraId="42A466B0" w14:textId="77777777" w:rsidR="009A7216" w:rsidRPr="00306115" w:rsidRDefault="009A7216" w:rsidP="009A7216">
            <w:pPr>
              <w:widowControl w:val="0"/>
              <w:pBdr>
                <w:top w:val="nil"/>
                <w:left w:val="nil"/>
                <w:bottom w:val="nil"/>
                <w:right w:val="nil"/>
                <w:between w:val="nil"/>
              </w:pBdr>
              <w:spacing w:after="0" w:line="240" w:lineRule="auto"/>
              <w:rPr>
                <w:rFonts w:eastAsia="Bookman Old Style" w:cs="Bookman Old Style"/>
                <w:color w:val="000000" w:themeColor="text1"/>
                <w:szCs w:val="24"/>
              </w:rPr>
            </w:pPr>
            <w:r w:rsidRPr="00306115">
              <w:rPr>
                <w:rFonts w:eastAsia="Bookman Old Style" w:cs="Bookman Old Style"/>
                <w:i/>
                <w:iCs/>
                <w:color w:val="000000" w:themeColor="text1"/>
                <w:szCs w:val="24"/>
              </w:rPr>
              <w:t xml:space="preserve">Turn over </w:t>
            </w:r>
            <w:r w:rsidRPr="00306115">
              <w:rPr>
                <w:rFonts w:eastAsia="Bookman Old Style" w:cs="Bookman Old Style"/>
                <w:color w:val="000000" w:themeColor="text1"/>
                <w:szCs w:val="24"/>
              </w:rPr>
              <w:t>pegawai yang memiliki izin Wakil Perusahaan Efek (WPE)</w:t>
            </w:r>
          </w:p>
        </w:tc>
        <w:tc>
          <w:tcPr>
            <w:tcW w:w="1878" w:type="dxa"/>
            <w:tcBorders>
              <w:top w:val="single" w:sz="8" w:space="0" w:color="000000"/>
              <w:left w:val="single" w:sz="8" w:space="0" w:color="000000"/>
              <w:bottom w:val="single" w:sz="8" w:space="0" w:color="000000"/>
              <w:right w:val="single" w:sz="8" w:space="0" w:color="000000"/>
            </w:tcBorders>
          </w:tcPr>
          <w:p w14:paraId="38045663" w14:textId="77777777" w:rsidR="009A7216" w:rsidRPr="00306115" w:rsidRDefault="009A7216" w:rsidP="00130B2C">
            <w:pPr>
              <w:widowControl w:val="0"/>
              <w:pBdr>
                <w:top w:val="nil"/>
                <w:left w:val="nil"/>
                <w:bottom w:val="nil"/>
                <w:right w:val="nil"/>
                <w:between w:val="nil"/>
              </w:pBdr>
              <w:spacing w:line="240" w:lineRule="auto"/>
              <w:rPr>
                <w:rFonts w:eastAsia="Bookman Old Style" w:cs="Bookman Old Style"/>
                <w:color w:val="000000" w:themeColor="text1"/>
                <w:szCs w:val="24"/>
              </w:rPr>
            </w:pPr>
          </w:p>
        </w:tc>
        <w:tc>
          <w:tcPr>
            <w:tcW w:w="2693" w:type="dxa"/>
            <w:tcBorders>
              <w:top w:val="single" w:sz="8" w:space="0" w:color="000000"/>
              <w:left w:val="single" w:sz="8" w:space="0" w:color="000000"/>
              <w:bottom w:val="single" w:sz="8" w:space="0" w:color="000000"/>
              <w:right w:val="single" w:sz="8" w:space="0" w:color="000000"/>
            </w:tcBorders>
          </w:tcPr>
          <w:p w14:paraId="1972F5C0" w14:textId="77777777" w:rsidR="009A7216" w:rsidRPr="00306115" w:rsidRDefault="009A7216" w:rsidP="00130B2C">
            <w:pPr>
              <w:widowControl w:val="0"/>
              <w:pBdr>
                <w:top w:val="nil"/>
                <w:left w:val="nil"/>
                <w:bottom w:val="nil"/>
                <w:right w:val="nil"/>
                <w:between w:val="nil"/>
              </w:pBdr>
              <w:spacing w:line="240" w:lineRule="auto"/>
              <w:rPr>
                <w:rFonts w:eastAsia="Bookman Old Style" w:cs="Bookman Old Style"/>
                <w:color w:val="000000" w:themeColor="text1"/>
                <w:szCs w:val="24"/>
              </w:rPr>
            </w:pPr>
          </w:p>
        </w:tc>
      </w:tr>
      <w:tr w:rsidR="009A7216" w:rsidRPr="00306115" w14:paraId="33E131BC" w14:textId="77777777" w:rsidTr="00931298">
        <w:trPr>
          <w:trHeight w:val="286"/>
        </w:trPr>
        <w:tc>
          <w:tcPr>
            <w:tcW w:w="3119" w:type="dxa"/>
            <w:vMerge/>
            <w:tcBorders>
              <w:left w:val="single" w:sz="8" w:space="0" w:color="000000"/>
              <w:bottom w:val="single" w:sz="8" w:space="0" w:color="000000"/>
              <w:right w:val="single" w:sz="8" w:space="0" w:color="000000"/>
            </w:tcBorders>
            <w:vAlign w:val="center"/>
          </w:tcPr>
          <w:p w14:paraId="467C3207" w14:textId="77777777" w:rsidR="009A7216" w:rsidRPr="00306115" w:rsidRDefault="009A7216" w:rsidP="009A7216">
            <w:pPr>
              <w:widowControl w:val="0"/>
              <w:pBdr>
                <w:top w:val="nil"/>
                <w:left w:val="nil"/>
                <w:bottom w:val="nil"/>
                <w:right w:val="nil"/>
                <w:between w:val="nil"/>
              </w:pBdr>
              <w:spacing w:after="0" w:line="240" w:lineRule="auto"/>
              <w:rPr>
                <w:rFonts w:eastAsia="Bookman Old Style" w:cs="Bookman Old Style"/>
                <w:color w:val="000000" w:themeColor="text1"/>
                <w:szCs w:val="24"/>
              </w:rPr>
            </w:pPr>
          </w:p>
        </w:tc>
        <w:tc>
          <w:tcPr>
            <w:tcW w:w="6485" w:type="dxa"/>
            <w:tcBorders>
              <w:top w:val="single" w:sz="8" w:space="0" w:color="000000"/>
              <w:left w:val="single" w:sz="8" w:space="0" w:color="000000"/>
              <w:bottom w:val="single" w:sz="8" w:space="0" w:color="000000"/>
              <w:right w:val="single" w:sz="8" w:space="0" w:color="000000"/>
            </w:tcBorders>
          </w:tcPr>
          <w:p w14:paraId="2598061E" w14:textId="77777777" w:rsidR="009A7216" w:rsidRPr="00306115" w:rsidRDefault="009A7216" w:rsidP="009A7216">
            <w:pPr>
              <w:widowControl w:val="0"/>
              <w:pBdr>
                <w:top w:val="nil"/>
                <w:left w:val="nil"/>
                <w:bottom w:val="nil"/>
                <w:right w:val="nil"/>
                <w:between w:val="nil"/>
              </w:pBdr>
              <w:spacing w:after="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Jumlah</w:t>
            </w:r>
            <w:r w:rsidRPr="00306115">
              <w:rPr>
                <w:rFonts w:eastAsia="Bookman Old Style" w:cs="Bookman Old Style"/>
                <w:i/>
                <w:iCs/>
                <w:color w:val="000000" w:themeColor="text1"/>
                <w:szCs w:val="24"/>
              </w:rPr>
              <w:t xml:space="preserve"> fraud </w:t>
            </w:r>
            <w:r w:rsidRPr="00306115">
              <w:rPr>
                <w:rFonts w:eastAsia="Bookman Old Style" w:cs="Bookman Old Style"/>
                <w:color w:val="000000" w:themeColor="text1"/>
                <w:szCs w:val="24"/>
              </w:rPr>
              <w:t>yang terdeteksi dan/atau diketahui</w:t>
            </w:r>
          </w:p>
        </w:tc>
        <w:tc>
          <w:tcPr>
            <w:tcW w:w="1878" w:type="dxa"/>
            <w:tcBorders>
              <w:top w:val="single" w:sz="8" w:space="0" w:color="000000"/>
              <w:left w:val="single" w:sz="8" w:space="0" w:color="000000"/>
              <w:bottom w:val="single" w:sz="8" w:space="0" w:color="000000"/>
              <w:right w:val="single" w:sz="8" w:space="0" w:color="000000"/>
            </w:tcBorders>
          </w:tcPr>
          <w:p w14:paraId="542F82FD" w14:textId="77777777" w:rsidR="009A7216" w:rsidRPr="00306115" w:rsidRDefault="009A7216" w:rsidP="00130B2C">
            <w:pPr>
              <w:widowControl w:val="0"/>
              <w:pBdr>
                <w:top w:val="nil"/>
                <w:left w:val="nil"/>
                <w:bottom w:val="nil"/>
                <w:right w:val="nil"/>
                <w:between w:val="nil"/>
              </w:pBdr>
              <w:spacing w:line="240" w:lineRule="auto"/>
              <w:rPr>
                <w:rFonts w:eastAsia="Bookman Old Style" w:cs="Bookman Old Style"/>
                <w:color w:val="000000" w:themeColor="text1"/>
                <w:szCs w:val="24"/>
              </w:rPr>
            </w:pPr>
          </w:p>
        </w:tc>
        <w:tc>
          <w:tcPr>
            <w:tcW w:w="2693" w:type="dxa"/>
            <w:tcBorders>
              <w:top w:val="single" w:sz="8" w:space="0" w:color="000000"/>
              <w:left w:val="single" w:sz="8" w:space="0" w:color="000000"/>
              <w:bottom w:val="single" w:sz="8" w:space="0" w:color="000000"/>
              <w:right w:val="single" w:sz="8" w:space="0" w:color="000000"/>
            </w:tcBorders>
          </w:tcPr>
          <w:p w14:paraId="3DC118CC" w14:textId="77777777" w:rsidR="009A7216" w:rsidRPr="00306115" w:rsidRDefault="009A7216" w:rsidP="00130B2C">
            <w:pPr>
              <w:widowControl w:val="0"/>
              <w:pBdr>
                <w:top w:val="nil"/>
                <w:left w:val="nil"/>
                <w:bottom w:val="nil"/>
                <w:right w:val="nil"/>
                <w:between w:val="nil"/>
              </w:pBdr>
              <w:spacing w:line="240" w:lineRule="auto"/>
              <w:rPr>
                <w:rFonts w:eastAsia="Bookman Old Style" w:cs="Bookman Old Style"/>
                <w:color w:val="000000" w:themeColor="text1"/>
                <w:szCs w:val="24"/>
              </w:rPr>
            </w:pPr>
          </w:p>
        </w:tc>
      </w:tr>
      <w:tr w:rsidR="009A7216" w:rsidRPr="00306115" w14:paraId="4AA5760D" w14:textId="77777777" w:rsidTr="00130B2C">
        <w:trPr>
          <w:trHeight w:val="556"/>
        </w:trPr>
        <w:tc>
          <w:tcPr>
            <w:tcW w:w="3119" w:type="dxa"/>
            <w:vMerge w:val="restart"/>
            <w:tcBorders>
              <w:top w:val="single" w:sz="8" w:space="0" w:color="000000"/>
              <w:left w:val="single" w:sz="8" w:space="0" w:color="000000"/>
              <w:right w:val="single" w:sz="8" w:space="0" w:color="000000"/>
            </w:tcBorders>
          </w:tcPr>
          <w:p w14:paraId="21D986A0" w14:textId="7D7E8C8D" w:rsidR="009A7216" w:rsidRPr="00306115" w:rsidRDefault="009A7216" w:rsidP="009A7216">
            <w:pPr>
              <w:widowControl w:val="0"/>
              <w:pBdr>
                <w:top w:val="nil"/>
                <w:left w:val="nil"/>
                <w:bottom w:val="nil"/>
                <w:right w:val="nil"/>
                <w:between w:val="nil"/>
              </w:pBdr>
              <w:spacing w:after="0" w:line="240" w:lineRule="auto"/>
              <w:rPr>
                <w:rFonts w:eastAsia="Bookman Old Style" w:cs="Bookman Old Style"/>
                <w:color w:val="000000" w:themeColor="text1"/>
                <w:szCs w:val="24"/>
              </w:rPr>
            </w:pPr>
            <w:r w:rsidRPr="00306115">
              <w:rPr>
                <w:rFonts w:eastAsia="Bookman Old Style" w:cs="Bookman Old Style"/>
                <w:b/>
                <w:bCs/>
                <w:color w:val="000000" w:themeColor="text1"/>
                <w:szCs w:val="24"/>
              </w:rPr>
              <w:t>Teknologi Informasi</w:t>
            </w:r>
          </w:p>
        </w:tc>
        <w:tc>
          <w:tcPr>
            <w:tcW w:w="6485" w:type="dxa"/>
            <w:tcBorders>
              <w:top w:val="single" w:sz="8" w:space="0" w:color="000000"/>
              <w:left w:val="single" w:sz="8" w:space="0" w:color="000000"/>
              <w:bottom w:val="single" w:sz="8" w:space="0" w:color="000000"/>
              <w:right w:val="single" w:sz="8" w:space="0" w:color="000000"/>
            </w:tcBorders>
          </w:tcPr>
          <w:p w14:paraId="310E6797" w14:textId="77777777" w:rsidR="009A7216" w:rsidRPr="00306115" w:rsidRDefault="009A7216" w:rsidP="009A7216">
            <w:pPr>
              <w:widowControl w:val="0"/>
              <w:pBdr>
                <w:top w:val="nil"/>
                <w:left w:val="nil"/>
                <w:bottom w:val="nil"/>
                <w:right w:val="nil"/>
                <w:between w:val="nil"/>
              </w:pBdr>
              <w:spacing w:after="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 xml:space="preserve">Kegagalan </w:t>
            </w:r>
            <w:r w:rsidRPr="00306115">
              <w:rPr>
                <w:rFonts w:eastAsia="Cambria" w:cs="Cambria"/>
                <w:i/>
                <w:iCs/>
                <w:color w:val="000000" w:themeColor="text1"/>
                <w:szCs w:val="24"/>
              </w:rPr>
              <w:t xml:space="preserve">core system </w:t>
            </w:r>
            <w:r w:rsidRPr="00306115">
              <w:rPr>
                <w:rFonts w:eastAsia="Cambria" w:cs="Cambria"/>
                <w:color w:val="000000" w:themeColor="text1"/>
                <w:szCs w:val="24"/>
                <w:lang w:val="en-GB"/>
              </w:rPr>
              <w:t>termasuk seluruh sistem yang terhubung dengan</w:t>
            </w:r>
            <w:r w:rsidRPr="00306115">
              <w:rPr>
                <w:rFonts w:eastAsia="Cambria" w:cs="Cambria"/>
                <w:i/>
                <w:iCs/>
                <w:color w:val="000000" w:themeColor="text1"/>
                <w:szCs w:val="24"/>
                <w:lang w:val="en-GB"/>
              </w:rPr>
              <w:t xml:space="preserve"> core system</w:t>
            </w:r>
            <w:r w:rsidRPr="00306115">
              <w:rPr>
                <w:rFonts w:eastAsia="Cambria" w:cs="Cambria"/>
                <w:color w:val="000000" w:themeColor="text1"/>
                <w:szCs w:val="24"/>
              </w:rPr>
              <w:t xml:space="preserve"> </w:t>
            </w:r>
            <w:r w:rsidRPr="00306115">
              <w:rPr>
                <w:rFonts w:eastAsia="Bookman Old Style" w:cs="Bookman Old Style"/>
                <w:color w:val="000000" w:themeColor="text1"/>
                <w:szCs w:val="24"/>
              </w:rPr>
              <w:t>Teknologi Informasi</w:t>
            </w:r>
          </w:p>
        </w:tc>
        <w:tc>
          <w:tcPr>
            <w:tcW w:w="1878" w:type="dxa"/>
            <w:tcBorders>
              <w:top w:val="single" w:sz="8" w:space="0" w:color="000000"/>
              <w:left w:val="single" w:sz="8" w:space="0" w:color="000000"/>
              <w:bottom w:val="single" w:sz="8" w:space="0" w:color="000000"/>
              <w:right w:val="single" w:sz="8" w:space="0" w:color="000000"/>
            </w:tcBorders>
          </w:tcPr>
          <w:p w14:paraId="10A8DFEE" w14:textId="77777777" w:rsidR="009A7216" w:rsidRPr="00306115" w:rsidRDefault="009A7216" w:rsidP="00130B2C">
            <w:pPr>
              <w:widowControl w:val="0"/>
              <w:pBdr>
                <w:top w:val="nil"/>
                <w:left w:val="nil"/>
                <w:bottom w:val="nil"/>
                <w:right w:val="nil"/>
                <w:between w:val="nil"/>
              </w:pBdr>
              <w:spacing w:line="240" w:lineRule="auto"/>
              <w:rPr>
                <w:rFonts w:eastAsia="Bookman Old Style" w:cs="Bookman Old Style"/>
                <w:color w:val="000000" w:themeColor="text1"/>
                <w:szCs w:val="24"/>
              </w:rPr>
            </w:pPr>
          </w:p>
        </w:tc>
        <w:tc>
          <w:tcPr>
            <w:tcW w:w="2693" w:type="dxa"/>
            <w:tcBorders>
              <w:top w:val="single" w:sz="8" w:space="0" w:color="000000"/>
              <w:left w:val="single" w:sz="8" w:space="0" w:color="000000"/>
              <w:bottom w:val="single" w:sz="8" w:space="0" w:color="000000"/>
              <w:right w:val="single" w:sz="8" w:space="0" w:color="000000"/>
            </w:tcBorders>
          </w:tcPr>
          <w:p w14:paraId="39A3594B" w14:textId="77777777" w:rsidR="009A7216" w:rsidRPr="00306115" w:rsidRDefault="009A7216" w:rsidP="00130B2C">
            <w:pPr>
              <w:widowControl w:val="0"/>
              <w:pBdr>
                <w:top w:val="nil"/>
                <w:left w:val="nil"/>
                <w:bottom w:val="nil"/>
                <w:right w:val="nil"/>
                <w:between w:val="nil"/>
              </w:pBdr>
              <w:spacing w:line="240" w:lineRule="auto"/>
              <w:rPr>
                <w:rFonts w:eastAsia="Bookman Old Style" w:cs="Bookman Old Style"/>
                <w:color w:val="000000" w:themeColor="text1"/>
                <w:szCs w:val="24"/>
              </w:rPr>
            </w:pPr>
          </w:p>
        </w:tc>
      </w:tr>
      <w:tr w:rsidR="009A7216" w:rsidRPr="00306115" w14:paraId="7CB956CB" w14:textId="77777777" w:rsidTr="00BC2ABD">
        <w:trPr>
          <w:trHeight w:val="556"/>
        </w:trPr>
        <w:tc>
          <w:tcPr>
            <w:tcW w:w="3119" w:type="dxa"/>
            <w:vMerge/>
            <w:tcBorders>
              <w:left w:val="single" w:sz="8" w:space="0" w:color="000000"/>
              <w:right w:val="single" w:sz="8" w:space="0" w:color="000000"/>
            </w:tcBorders>
          </w:tcPr>
          <w:p w14:paraId="53E66AF6" w14:textId="77777777" w:rsidR="009A7216" w:rsidRPr="00306115" w:rsidRDefault="009A7216" w:rsidP="009A7216">
            <w:pPr>
              <w:widowControl w:val="0"/>
              <w:pBdr>
                <w:top w:val="nil"/>
                <w:left w:val="nil"/>
                <w:bottom w:val="nil"/>
                <w:right w:val="nil"/>
                <w:between w:val="nil"/>
              </w:pBdr>
              <w:spacing w:after="0" w:line="240" w:lineRule="auto"/>
              <w:rPr>
                <w:rFonts w:eastAsia="Bookman Old Style" w:cs="Bookman Old Style"/>
                <w:color w:val="000000" w:themeColor="text1"/>
                <w:szCs w:val="24"/>
              </w:rPr>
            </w:pPr>
          </w:p>
        </w:tc>
        <w:tc>
          <w:tcPr>
            <w:tcW w:w="6485" w:type="dxa"/>
            <w:tcBorders>
              <w:top w:val="single" w:sz="8" w:space="0" w:color="000000"/>
              <w:left w:val="single" w:sz="8" w:space="0" w:color="000000"/>
              <w:bottom w:val="single" w:sz="8" w:space="0" w:color="000000"/>
              <w:right w:val="single" w:sz="8" w:space="0" w:color="000000"/>
            </w:tcBorders>
          </w:tcPr>
          <w:p w14:paraId="49A24100" w14:textId="1219A61A" w:rsidR="009A7216" w:rsidRPr="00306115" w:rsidRDefault="009A7216" w:rsidP="009A7216">
            <w:pPr>
              <w:widowControl w:val="0"/>
              <w:pBdr>
                <w:top w:val="nil"/>
                <w:left w:val="nil"/>
                <w:bottom w:val="nil"/>
                <w:right w:val="nil"/>
                <w:between w:val="nil"/>
              </w:pBdr>
              <w:spacing w:after="0" w:line="240" w:lineRule="auto"/>
              <w:rPr>
                <w:rFonts w:eastAsia="Bookman Old Style" w:cs="Bookman Old Style"/>
                <w:color w:val="000000" w:themeColor="text1"/>
                <w:szCs w:val="24"/>
                <w:lang w:val="id"/>
              </w:rPr>
            </w:pPr>
            <w:r w:rsidRPr="00306115">
              <w:rPr>
                <w:rFonts w:eastAsia="Bookman Old Style" w:cs="Bookman Old Style"/>
                <w:color w:val="000000" w:themeColor="text1"/>
                <w:szCs w:val="24"/>
                <w:lang w:val="id"/>
              </w:rPr>
              <w:t xml:space="preserve">Rata-rata waktu yang diperlukan  untuk mendeteksi insiden kegagalan </w:t>
            </w:r>
            <w:r w:rsidRPr="00306115">
              <w:rPr>
                <w:rFonts w:eastAsia="Bookman Old Style" w:cs="Bookman Old Style"/>
                <w:i/>
                <w:iCs/>
                <w:color w:val="000000" w:themeColor="text1"/>
                <w:szCs w:val="24"/>
                <w:lang w:val="id"/>
              </w:rPr>
              <w:t>core system</w:t>
            </w:r>
            <w:r w:rsidRPr="00306115">
              <w:rPr>
                <w:rFonts w:eastAsia="Bookman Old Style" w:cs="Bookman Old Style"/>
                <w:color w:val="000000" w:themeColor="text1"/>
                <w:szCs w:val="24"/>
                <w:lang w:val="id"/>
              </w:rPr>
              <w:t xml:space="preserve"> </w:t>
            </w:r>
            <w:r w:rsidRPr="00306115">
              <w:rPr>
                <w:rFonts w:eastAsia="Bookman Old Style" w:cs="Bookman Old Style"/>
                <w:color w:val="000000" w:themeColor="text1"/>
                <w:szCs w:val="24"/>
                <w:lang w:val="en-GB"/>
              </w:rPr>
              <w:t xml:space="preserve"> termasuk seluruh sistem yang terhubung dengan</w:t>
            </w:r>
            <w:r w:rsidRPr="00306115">
              <w:rPr>
                <w:rFonts w:eastAsia="Bookman Old Style" w:cs="Bookman Old Style"/>
                <w:i/>
                <w:iCs/>
                <w:color w:val="000000" w:themeColor="text1"/>
                <w:szCs w:val="24"/>
                <w:lang w:val="en-GB"/>
              </w:rPr>
              <w:t xml:space="preserve"> core system</w:t>
            </w:r>
            <w:r w:rsidRPr="00306115">
              <w:rPr>
                <w:rFonts w:eastAsia="Bookman Old Style" w:cs="Bookman Old Style"/>
                <w:color w:val="000000" w:themeColor="text1"/>
                <w:szCs w:val="24"/>
                <w:lang w:val="id"/>
              </w:rPr>
              <w:t xml:space="preserve"> Teknologi Informasi</w:t>
            </w:r>
          </w:p>
        </w:tc>
        <w:tc>
          <w:tcPr>
            <w:tcW w:w="1878" w:type="dxa"/>
            <w:tcBorders>
              <w:top w:val="single" w:sz="8" w:space="0" w:color="000000"/>
              <w:left w:val="single" w:sz="8" w:space="0" w:color="000000"/>
              <w:bottom w:val="single" w:sz="8" w:space="0" w:color="000000"/>
              <w:right w:val="single" w:sz="8" w:space="0" w:color="000000"/>
            </w:tcBorders>
          </w:tcPr>
          <w:p w14:paraId="70A46A79" w14:textId="77777777" w:rsidR="009A7216" w:rsidRPr="00306115" w:rsidRDefault="009A7216" w:rsidP="00130B2C">
            <w:pPr>
              <w:widowControl w:val="0"/>
              <w:pBdr>
                <w:top w:val="nil"/>
                <w:left w:val="nil"/>
                <w:bottom w:val="nil"/>
                <w:right w:val="nil"/>
                <w:between w:val="nil"/>
              </w:pBdr>
              <w:spacing w:line="240" w:lineRule="auto"/>
              <w:rPr>
                <w:rFonts w:eastAsia="Bookman Old Style" w:cs="Bookman Old Style"/>
                <w:color w:val="000000" w:themeColor="text1"/>
                <w:szCs w:val="24"/>
              </w:rPr>
            </w:pPr>
          </w:p>
        </w:tc>
        <w:tc>
          <w:tcPr>
            <w:tcW w:w="2693" w:type="dxa"/>
            <w:tcBorders>
              <w:top w:val="single" w:sz="8" w:space="0" w:color="000000"/>
              <w:left w:val="single" w:sz="8" w:space="0" w:color="000000"/>
              <w:bottom w:val="single" w:sz="8" w:space="0" w:color="000000"/>
              <w:right w:val="single" w:sz="8" w:space="0" w:color="000000"/>
            </w:tcBorders>
          </w:tcPr>
          <w:p w14:paraId="6E959D1D" w14:textId="77777777" w:rsidR="009A7216" w:rsidRPr="00306115" w:rsidRDefault="009A7216" w:rsidP="00130B2C">
            <w:pPr>
              <w:widowControl w:val="0"/>
              <w:pBdr>
                <w:top w:val="nil"/>
                <w:left w:val="nil"/>
                <w:bottom w:val="nil"/>
                <w:right w:val="nil"/>
                <w:between w:val="nil"/>
              </w:pBdr>
              <w:spacing w:line="240" w:lineRule="auto"/>
              <w:rPr>
                <w:rFonts w:eastAsia="Bookman Old Style" w:cs="Bookman Old Style"/>
                <w:color w:val="000000" w:themeColor="text1"/>
                <w:szCs w:val="24"/>
              </w:rPr>
            </w:pPr>
          </w:p>
        </w:tc>
      </w:tr>
      <w:tr w:rsidR="009A7216" w:rsidRPr="00306115" w14:paraId="581EE7DC" w14:textId="77777777" w:rsidTr="00BC2ABD">
        <w:trPr>
          <w:trHeight w:val="556"/>
        </w:trPr>
        <w:tc>
          <w:tcPr>
            <w:tcW w:w="3119" w:type="dxa"/>
            <w:vMerge/>
            <w:tcBorders>
              <w:left w:val="single" w:sz="8" w:space="0" w:color="000000"/>
              <w:right w:val="single" w:sz="8" w:space="0" w:color="000000"/>
            </w:tcBorders>
          </w:tcPr>
          <w:p w14:paraId="55C69BE8" w14:textId="77777777" w:rsidR="009A7216" w:rsidRPr="00306115" w:rsidRDefault="009A7216" w:rsidP="009A7216">
            <w:pPr>
              <w:widowControl w:val="0"/>
              <w:pBdr>
                <w:top w:val="nil"/>
                <w:left w:val="nil"/>
                <w:bottom w:val="nil"/>
                <w:right w:val="nil"/>
                <w:between w:val="nil"/>
              </w:pBdr>
              <w:spacing w:after="0" w:line="240" w:lineRule="auto"/>
              <w:rPr>
                <w:rFonts w:eastAsia="Bookman Old Style" w:cs="Bookman Old Style"/>
                <w:color w:val="000000" w:themeColor="text1"/>
                <w:szCs w:val="24"/>
              </w:rPr>
            </w:pPr>
          </w:p>
        </w:tc>
        <w:tc>
          <w:tcPr>
            <w:tcW w:w="6485" w:type="dxa"/>
            <w:tcBorders>
              <w:top w:val="single" w:sz="8" w:space="0" w:color="000000"/>
              <w:left w:val="single" w:sz="8" w:space="0" w:color="000000"/>
              <w:bottom w:val="single" w:sz="8" w:space="0" w:color="000000"/>
              <w:right w:val="single" w:sz="8" w:space="0" w:color="000000"/>
            </w:tcBorders>
          </w:tcPr>
          <w:p w14:paraId="3F57F404" w14:textId="34B1C3F4" w:rsidR="009A7216" w:rsidRPr="00306115" w:rsidRDefault="009A7216" w:rsidP="009A7216">
            <w:pPr>
              <w:widowControl w:val="0"/>
              <w:pBdr>
                <w:top w:val="nil"/>
                <w:left w:val="nil"/>
                <w:bottom w:val="nil"/>
                <w:right w:val="nil"/>
                <w:between w:val="nil"/>
              </w:pBdr>
              <w:spacing w:after="0" w:line="240" w:lineRule="auto"/>
              <w:rPr>
                <w:rFonts w:eastAsia="Bookman Old Style" w:cs="Bookman Old Style"/>
                <w:color w:val="000000" w:themeColor="text1"/>
                <w:szCs w:val="24"/>
                <w:lang w:val="id"/>
              </w:rPr>
            </w:pPr>
            <w:r w:rsidRPr="00306115">
              <w:rPr>
                <w:rFonts w:eastAsia="Bookman Old Style"/>
                <w:color w:val="000000" w:themeColor="text1"/>
                <w:szCs w:val="24"/>
              </w:rPr>
              <w:t>Rata-rata lama waktu pemulihan (</w:t>
            </w:r>
            <w:r w:rsidRPr="00306115">
              <w:rPr>
                <w:rFonts w:eastAsia="Bookman Old Style"/>
                <w:i/>
                <w:iCs/>
                <w:color w:val="000000" w:themeColor="text1"/>
                <w:szCs w:val="24"/>
              </w:rPr>
              <w:t>downtime</w:t>
            </w:r>
            <w:r w:rsidRPr="00306115">
              <w:rPr>
                <w:rFonts w:eastAsia="Bookman Old Style"/>
                <w:color w:val="000000" w:themeColor="text1"/>
                <w:szCs w:val="24"/>
              </w:rPr>
              <w:t xml:space="preserve">) </w:t>
            </w:r>
            <w:r w:rsidRPr="00306115">
              <w:rPr>
                <w:rFonts w:eastAsia="Cambria"/>
                <w:i/>
                <w:iCs/>
                <w:color w:val="000000" w:themeColor="text1"/>
                <w:szCs w:val="24"/>
              </w:rPr>
              <w:t xml:space="preserve">core system </w:t>
            </w:r>
            <w:r w:rsidRPr="00306115">
              <w:rPr>
                <w:rFonts w:eastAsia="Cambria"/>
                <w:color w:val="000000" w:themeColor="text1"/>
                <w:szCs w:val="24"/>
                <w:lang w:val="en-GB"/>
              </w:rPr>
              <w:t>termasuk seluruh sistem yang terhubung dengan</w:t>
            </w:r>
            <w:r w:rsidRPr="00306115">
              <w:rPr>
                <w:rFonts w:eastAsia="Cambria"/>
                <w:i/>
                <w:iCs/>
                <w:color w:val="000000" w:themeColor="text1"/>
                <w:szCs w:val="24"/>
                <w:lang w:val="en-GB"/>
              </w:rPr>
              <w:t xml:space="preserve"> core system</w:t>
            </w:r>
            <w:r w:rsidRPr="00306115">
              <w:rPr>
                <w:rFonts w:eastAsia="Cambria"/>
                <w:color w:val="000000" w:themeColor="text1"/>
                <w:szCs w:val="24"/>
              </w:rPr>
              <w:t xml:space="preserve"> </w:t>
            </w:r>
            <w:r w:rsidRPr="00306115">
              <w:rPr>
                <w:rFonts w:eastAsia="Bookman Old Style"/>
                <w:color w:val="000000" w:themeColor="text1"/>
                <w:szCs w:val="24"/>
              </w:rPr>
              <w:t>Teknologi Informasi</w:t>
            </w:r>
          </w:p>
        </w:tc>
        <w:tc>
          <w:tcPr>
            <w:tcW w:w="1878" w:type="dxa"/>
            <w:tcBorders>
              <w:top w:val="single" w:sz="8" w:space="0" w:color="000000"/>
              <w:left w:val="single" w:sz="8" w:space="0" w:color="000000"/>
              <w:bottom w:val="single" w:sz="8" w:space="0" w:color="000000"/>
              <w:right w:val="single" w:sz="8" w:space="0" w:color="000000"/>
            </w:tcBorders>
          </w:tcPr>
          <w:p w14:paraId="2C39040A" w14:textId="77777777" w:rsidR="009A7216" w:rsidRPr="00306115" w:rsidRDefault="009A7216" w:rsidP="00130B2C">
            <w:pPr>
              <w:widowControl w:val="0"/>
              <w:pBdr>
                <w:top w:val="nil"/>
                <w:left w:val="nil"/>
                <w:bottom w:val="nil"/>
                <w:right w:val="nil"/>
                <w:between w:val="nil"/>
              </w:pBdr>
              <w:spacing w:line="240" w:lineRule="auto"/>
              <w:rPr>
                <w:rFonts w:eastAsia="Bookman Old Style" w:cs="Bookman Old Style"/>
                <w:color w:val="000000" w:themeColor="text1"/>
                <w:szCs w:val="24"/>
              </w:rPr>
            </w:pPr>
          </w:p>
        </w:tc>
        <w:tc>
          <w:tcPr>
            <w:tcW w:w="2693" w:type="dxa"/>
            <w:tcBorders>
              <w:top w:val="single" w:sz="8" w:space="0" w:color="000000"/>
              <w:left w:val="single" w:sz="8" w:space="0" w:color="000000"/>
              <w:bottom w:val="single" w:sz="8" w:space="0" w:color="000000"/>
              <w:right w:val="single" w:sz="8" w:space="0" w:color="000000"/>
            </w:tcBorders>
          </w:tcPr>
          <w:p w14:paraId="225CAB28" w14:textId="77777777" w:rsidR="009A7216" w:rsidRPr="00306115" w:rsidRDefault="009A7216" w:rsidP="00130B2C">
            <w:pPr>
              <w:widowControl w:val="0"/>
              <w:pBdr>
                <w:top w:val="nil"/>
                <w:left w:val="nil"/>
                <w:bottom w:val="nil"/>
                <w:right w:val="nil"/>
                <w:between w:val="nil"/>
              </w:pBdr>
              <w:spacing w:line="240" w:lineRule="auto"/>
              <w:rPr>
                <w:rFonts w:eastAsia="Bookman Old Style" w:cs="Bookman Old Style"/>
                <w:color w:val="000000" w:themeColor="text1"/>
                <w:szCs w:val="24"/>
              </w:rPr>
            </w:pPr>
          </w:p>
        </w:tc>
      </w:tr>
      <w:tr w:rsidR="009A7216" w:rsidRPr="00306115" w14:paraId="770DE310" w14:textId="77777777" w:rsidTr="009A7216">
        <w:trPr>
          <w:trHeight w:val="99"/>
        </w:trPr>
        <w:tc>
          <w:tcPr>
            <w:tcW w:w="3119" w:type="dxa"/>
            <w:vMerge/>
            <w:tcBorders>
              <w:left w:val="single" w:sz="8" w:space="0" w:color="000000"/>
              <w:right w:val="single" w:sz="8" w:space="0" w:color="000000"/>
            </w:tcBorders>
          </w:tcPr>
          <w:p w14:paraId="4825AF05" w14:textId="77777777" w:rsidR="009A7216" w:rsidRPr="00306115" w:rsidRDefault="009A7216" w:rsidP="009A7216">
            <w:pPr>
              <w:widowControl w:val="0"/>
              <w:pBdr>
                <w:top w:val="nil"/>
                <w:left w:val="nil"/>
                <w:bottom w:val="nil"/>
                <w:right w:val="nil"/>
                <w:between w:val="nil"/>
              </w:pBdr>
              <w:spacing w:after="0" w:line="240" w:lineRule="auto"/>
              <w:rPr>
                <w:rFonts w:eastAsia="Bookman Old Style" w:cs="Bookman Old Style"/>
                <w:color w:val="000000" w:themeColor="text1"/>
                <w:szCs w:val="24"/>
              </w:rPr>
            </w:pPr>
          </w:p>
        </w:tc>
        <w:tc>
          <w:tcPr>
            <w:tcW w:w="6485" w:type="dxa"/>
            <w:tcBorders>
              <w:top w:val="single" w:sz="8" w:space="0" w:color="000000"/>
              <w:left w:val="single" w:sz="8" w:space="0" w:color="000000"/>
              <w:bottom w:val="single" w:sz="8" w:space="0" w:color="000000"/>
              <w:right w:val="single" w:sz="8" w:space="0" w:color="000000"/>
            </w:tcBorders>
          </w:tcPr>
          <w:p w14:paraId="68B82FA7" w14:textId="5AFECD55" w:rsidR="009A7216" w:rsidRPr="00306115" w:rsidRDefault="009A7216" w:rsidP="009A7216">
            <w:pPr>
              <w:widowControl w:val="0"/>
              <w:pBdr>
                <w:top w:val="nil"/>
                <w:left w:val="nil"/>
                <w:bottom w:val="nil"/>
                <w:right w:val="nil"/>
                <w:between w:val="nil"/>
              </w:pBdr>
              <w:spacing w:after="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Tingkat Otomasi Sistem Teknologi Informasi</w:t>
            </w:r>
          </w:p>
        </w:tc>
        <w:tc>
          <w:tcPr>
            <w:tcW w:w="1878" w:type="dxa"/>
            <w:tcBorders>
              <w:top w:val="single" w:sz="8" w:space="0" w:color="000000"/>
              <w:left w:val="single" w:sz="8" w:space="0" w:color="000000"/>
              <w:bottom w:val="single" w:sz="8" w:space="0" w:color="000000"/>
              <w:right w:val="single" w:sz="8" w:space="0" w:color="000000"/>
            </w:tcBorders>
          </w:tcPr>
          <w:p w14:paraId="7D08F587" w14:textId="77777777" w:rsidR="009A7216" w:rsidRPr="00306115" w:rsidRDefault="009A7216" w:rsidP="00130B2C">
            <w:pPr>
              <w:widowControl w:val="0"/>
              <w:pBdr>
                <w:top w:val="nil"/>
                <w:left w:val="nil"/>
                <w:bottom w:val="nil"/>
                <w:right w:val="nil"/>
                <w:between w:val="nil"/>
              </w:pBdr>
              <w:spacing w:line="240" w:lineRule="auto"/>
              <w:rPr>
                <w:rFonts w:eastAsia="Bookman Old Style" w:cs="Bookman Old Style"/>
                <w:color w:val="000000" w:themeColor="text1"/>
                <w:szCs w:val="24"/>
              </w:rPr>
            </w:pPr>
          </w:p>
        </w:tc>
        <w:tc>
          <w:tcPr>
            <w:tcW w:w="2693" w:type="dxa"/>
            <w:tcBorders>
              <w:top w:val="single" w:sz="8" w:space="0" w:color="000000"/>
              <w:left w:val="single" w:sz="8" w:space="0" w:color="000000"/>
              <w:bottom w:val="single" w:sz="8" w:space="0" w:color="000000"/>
              <w:right w:val="single" w:sz="8" w:space="0" w:color="000000"/>
            </w:tcBorders>
          </w:tcPr>
          <w:p w14:paraId="5BC03068" w14:textId="77777777" w:rsidR="009A7216" w:rsidRPr="00306115" w:rsidRDefault="009A7216" w:rsidP="00130B2C">
            <w:pPr>
              <w:widowControl w:val="0"/>
              <w:pBdr>
                <w:top w:val="nil"/>
                <w:left w:val="nil"/>
                <w:bottom w:val="nil"/>
                <w:right w:val="nil"/>
                <w:between w:val="nil"/>
              </w:pBdr>
              <w:spacing w:line="240" w:lineRule="auto"/>
              <w:rPr>
                <w:rFonts w:eastAsia="Bookman Old Style" w:cs="Bookman Old Style"/>
                <w:color w:val="000000" w:themeColor="text1"/>
                <w:szCs w:val="24"/>
              </w:rPr>
            </w:pPr>
          </w:p>
        </w:tc>
      </w:tr>
      <w:tr w:rsidR="009A7216" w:rsidRPr="00306115" w14:paraId="2C063A11" w14:textId="77777777" w:rsidTr="00BC2ABD">
        <w:trPr>
          <w:trHeight w:val="556"/>
        </w:trPr>
        <w:tc>
          <w:tcPr>
            <w:tcW w:w="3119" w:type="dxa"/>
            <w:vMerge/>
            <w:tcBorders>
              <w:left w:val="single" w:sz="8" w:space="0" w:color="000000"/>
              <w:right w:val="single" w:sz="8" w:space="0" w:color="000000"/>
            </w:tcBorders>
          </w:tcPr>
          <w:p w14:paraId="1E52EF31" w14:textId="77777777" w:rsidR="009A7216" w:rsidRPr="00306115" w:rsidRDefault="009A7216" w:rsidP="009A7216">
            <w:pPr>
              <w:widowControl w:val="0"/>
              <w:pBdr>
                <w:top w:val="nil"/>
                <w:left w:val="nil"/>
                <w:bottom w:val="nil"/>
                <w:right w:val="nil"/>
                <w:between w:val="nil"/>
              </w:pBdr>
              <w:spacing w:after="0" w:line="240" w:lineRule="auto"/>
              <w:rPr>
                <w:rFonts w:eastAsia="Bookman Old Style" w:cs="Bookman Old Style"/>
                <w:color w:val="000000" w:themeColor="text1"/>
                <w:szCs w:val="24"/>
              </w:rPr>
            </w:pPr>
          </w:p>
        </w:tc>
        <w:tc>
          <w:tcPr>
            <w:tcW w:w="6485" w:type="dxa"/>
            <w:tcBorders>
              <w:top w:val="single" w:sz="8" w:space="0" w:color="000000"/>
              <w:left w:val="single" w:sz="8" w:space="0" w:color="000000"/>
              <w:bottom w:val="single" w:sz="8" w:space="0" w:color="000000"/>
              <w:right w:val="single" w:sz="8" w:space="0" w:color="000000"/>
            </w:tcBorders>
          </w:tcPr>
          <w:p w14:paraId="6EAEFB7F" w14:textId="77777777" w:rsidR="009A7216" w:rsidRPr="00306115" w:rsidRDefault="009A7216" w:rsidP="009A7216">
            <w:pPr>
              <w:widowControl w:val="0"/>
              <w:pBdr>
                <w:top w:val="nil"/>
                <w:left w:val="nil"/>
                <w:bottom w:val="nil"/>
                <w:right w:val="nil"/>
                <w:between w:val="nil"/>
              </w:pBdr>
              <w:spacing w:after="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Persentase (%) peringatan keamanan yang salah (</w:t>
            </w:r>
            <w:r w:rsidRPr="00306115">
              <w:rPr>
                <w:rFonts w:eastAsia="Bookman Old Style" w:cs="Bookman Old Style"/>
                <w:i/>
                <w:iCs/>
                <w:color w:val="000000" w:themeColor="text1"/>
                <w:szCs w:val="24"/>
              </w:rPr>
              <w:t>false positives</w:t>
            </w:r>
            <w:r w:rsidRPr="00306115">
              <w:rPr>
                <w:rFonts w:eastAsia="Bookman Old Style" w:cs="Bookman Old Style"/>
                <w:color w:val="000000" w:themeColor="text1"/>
                <w:szCs w:val="24"/>
              </w:rPr>
              <w:t>)</w:t>
            </w:r>
          </w:p>
        </w:tc>
        <w:tc>
          <w:tcPr>
            <w:tcW w:w="1878" w:type="dxa"/>
            <w:tcBorders>
              <w:top w:val="single" w:sz="8" w:space="0" w:color="000000"/>
              <w:left w:val="single" w:sz="8" w:space="0" w:color="000000"/>
              <w:bottom w:val="single" w:sz="8" w:space="0" w:color="000000"/>
              <w:right w:val="single" w:sz="8" w:space="0" w:color="000000"/>
            </w:tcBorders>
          </w:tcPr>
          <w:p w14:paraId="49F32907" w14:textId="77777777" w:rsidR="009A7216" w:rsidRPr="00306115" w:rsidRDefault="009A7216" w:rsidP="00130B2C">
            <w:pPr>
              <w:widowControl w:val="0"/>
              <w:pBdr>
                <w:top w:val="nil"/>
                <w:left w:val="nil"/>
                <w:bottom w:val="nil"/>
                <w:right w:val="nil"/>
                <w:between w:val="nil"/>
              </w:pBdr>
              <w:spacing w:line="240" w:lineRule="auto"/>
              <w:rPr>
                <w:rFonts w:eastAsia="Bookman Old Style" w:cs="Bookman Old Style"/>
                <w:color w:val="000000" w:themeColor="text1"/>
                <w:szCs w:val="24"/>
              </w:rPr>
            </w:pPr>
          </w:p>
        </w:tc>
        <w:tc>
          <w:tcPr>
            <w:tcW w:w="2693" w:type="dxa"/>
            <w:tcBorders>
              <w:top w:val="single" w:sz="8" w:space="0" w:color="000000"/>
              <w:left w:val="single" w:sz="8" w:space="0" w:color="000000"/>
              <w:bottom w:val="single" w:sz="8" w:space="0" w:color="000000"/>
              <w:right w:val="single" w:sz="8" w:space="0" w:color="000000"/>
            </w:tcBorders>
          </w:tcPr>
          <w:p w14:paraId="1079CEFB" w14:textId="77777777" w:rsidR="009A7216" w:rsidRPr="00306115" w:rsidRDefault="009A7216" w:rsidP="00130B2C">
            <w:pPr>
              <w:widowControl w:val="0"/>
              <w:pBdr>
                <w:top w:val="nil"/>
                <w:left w:val="nil"/>
                <w:bottom w:val="nil"/>
                <w:right w:val="nil"/>
                <w:between w:val="nil"/>
              </w:pBdr>
              <w:spacing w:line="240" w:lineRule="auto"/>
              <w:rPr>
                <w:rFonts w:eastAsia="Bookman Old Style" w:cs="Bookman Old Style"/>
                <w:color w:val="000000" w:themeColor="text1"/>
                <w:szCs w:val="24"/>
              </w:rPr>
            </w:pPr>
          </w:p>
        </w:tc>
      </w:tr>
      <w:tr w:rsidR="009A7216" w:rsidRPr="00306115" w14:paraId="3A3C3BC3" w14:textId="77777777" w:rsidTr="00130B2C">
        <w:trPr>
          <w:trHeight w:val="322"/>
        </w:trPr>
        <w:tc>
          <w:tcPr>
            <w:tcW w:w="3119" w:type="dxa"/>
            <w:vMerge w:val="restart"/>
            <w:tcBorders>
              <w:top w:val="single" w:sz="8" w:space="0" w:color="000000"/>
              <w:left w:val="single" w:sz="8" w:space="0" w:color="000000"/>
              <w:right w:val="single" w:sz="8" w:space="0" w:color="000000"/>
            </w:tcBorders>
          </w:tcPr>
          <w:p w14:paraId="5CDF67AF" w14:textId="6E53598D" w:rsidR="009A7216" w:rsidRPr="00306115" w:rsidRDefault="009A7216" w:rsidP="009A7216">
            <w:pPr>
              <w:widowControl w:val="0"/>
              <w:pBdr>
                <w:top w:val="nil"/>
                <w:left w:val="nil"/>
                <w:bottom w:val="nil"/>
                <w:right w:val="nil"/>
                <w:between w:val="nil"/>
              </w:pBdr>
              <w:spacing w:after="0" w:line="240" w:lineRule="auto"/>
              <w:rPr>
                <w:rFonts w:eastAsia="Bookman Old Style" w:cs="Bookman Old Style"/>
                <w:color w:val="000000" w:themeColor="text1"/>
                <w:szCs w:val="24"/>
              </w:rPr>
            </w:pPr>
            <w:r w:rsidRPr="00306115">
              <w:rPr>
                <w:b/>
                <w:bCs/>
                <w:color w:val="000000" w:themeColor="text1"/>
              </w:rPr>
              <w:t>Keamanan Siber (Cybersecurity)</w:t>
            </w:r>
          </w:p>
        </w:tc>
        <w:tc>
          <w:tcPr>
            <w:tcW w:w="6485" w:type="dxa"/>
            <w:tcBorders>
              <w:top w:val="single" w:sz="8" w:space="0" w:color="000000"/>
              <w:left w:val="single" w:sz="8" w:space="0" w:color="000000"/>
              <w:bottom w:val="single" w:sz="8" w:space="0" w:color="000000"/>
              <w:right w:val="single" w:sz="8" w:space="0" w:color="000000"/>
            </w:tcBorders>
          </w:tcPr>
          <w:p w14:paraId="01997D25" w14:textId="1F65488F" w:rsidR="009A7216" w:rsidRPr="00306115" w:rsidRDefault="009A7216" w:rsidP="009A7216">
            <w:pPr>
              <w:widowControl w:val="0"/>
              <w:pBdr>
                <w:top w:val="nil"/>
                <w:left w:val="nil"/>
                <w:bottom w:val="nil"/>
                <w:right w:val="nil"/>
                <w:between w:val="nil"/>
              </w:pBdr>
              <w:spacing w:after="0" w:line="240" w:lineRule="auto"/>
              <w:rPr>
                <w:rFonts w:eastAsia="Bookman Old Style" w:cs="Bookman Old Style"/>
                <w:color w:val="000000" w:themeColor="text1"/>
                <w:szCs w:val="24"/>
              </w:rPr>
            </w:pPr>
            <w:r w:rsidRPr="00306115">
              <w:rPr>
                <w:color w:val="000000" w:themeColor="text1"/>
              </w:rPr>
              <w:t>Jumlah Insiden Pembobolan Sistem (System Compromise) yang Terkonfirmasi</w:t>
            </w:r>
          </w:p>
        </w:tc>
        <w:tc>
          <w:tcPr>
            <w:tcW w:w="1878" w:type="dxa"/>
            <w:tcBorders>
              <w:top w:val="single" w:sz="8" w:space="0" w:color="000000"/>
              <w:left w:val="single" w:sz="8" w:space="0" w:color="000000"/>
              <w:bottom w:val="single" w:sz="8" w:space="0" w:color="000000"/>
              <w:right w:val="single" w:sz="8" w:space="0" w:color="000000"/>
            </w:tcBorders>
          </w:tcPr>
          <w:p w14:paraId="78629C60" w14:textId="77777777" w:rsidR="009A7216" w:rsidRPr="00306115" w:rsidRDefault="009A7216" w:rsidP="00A241D1">
            <w:pPr>
              <w:widowControl w:val="0"/>
              <w:pBdr>
                <w:top w:val="nil"/>
                <w:left w:val="nil"/>
                <w:bottom w:val="nil"/>
                <w:right w:val="nil"/>
                <w:between w:val="nil"/>
              </w:pBdr>
              <w:spacing w:line="240" w:lineRule="auto"/>
              <w:rPr>
                <w:rFonts w:eastAsia="Bookman Old Style" w:cs="Bookman Old Style"/>
                <w:color w:val="000000" w:themeColor="text1"/>
                <w:szCs w:val="24"/>
              </w:rPr>
            </w:pPr>
          </w:p>
        </w:tc>
        <w:tc>
          <w:tcPr>
            <w:tcW w:w="2693" w:type="dxa"/>
            <w:tcBorders>
              <w:top w:val="single" w:sz="8" w:space="0" w:color="000000"/>
              <w:left w:val="single" w:sz="8" w:space="0" w:color="000000"/>
              <w:bottom w:val="single" w:sz="8" w:space="0" w:color="000000"/>
              <w:right w:val="single" w:sz="8" w:space="0" w:color="000000"/>
            </w:tcBorders>
          </w:tcPr>
          <w:p w14:paraId="7A1607F5" w14:textId="77777777" w:rsidR="009A7216" w:rsidRPr="00306115" w:rsidRDefault="009A7216" w:rsidP="00A241D1">
            <w:pPr>
              <w:widowControl w:val="0"/>
              <w:pBdr>
                <w:top w:val="nil"/>
                <w:left w:val="nil"/>
                <w:bottom w:val="nil"/>
                <w:right w:val="nil"/>
                <w:between w:val="nil"/>
              </w:pBdr>
              <w:spacing w:line="240" w:lineRule="auto"/>
              <w:rPr>
                <w:rFonts w:eastAsia="Bookman Old Style" w:cs="Bookman Old Style"/>
                <w:color w:val="000000" w:themeColor="text1"/>
                <w:szCs w:val="24"/>
              </w:rPr>
            </w:pPr>
          </w:p>
        </w:tc>
      </w:tr>
      <w:tr w:rsidR="009A7216" w:rsidRPr="00306115" w14:paraId="0D6E6FBF" w14:textId="77777777" w:rsidTr="00A55938">
        <w:trPr>
          <w:trHeight w:val="322"/>
        </w:trPr>
        <w:tc>
          <w:tcPr>
            <w:tcW w:w="3119" w:type="dxa"/>
            <w:vMerge/>
            <w:tcBorders>
              <w:left w:val="single" w:sz="8" w:space="0" w:color="000000"/>
              <w:right w:val="single" w:sz="8" w:space="0" w:color="000000"/>
            </w:tcBorders>
          </w:tcPr>
          <w:p w14:paraId="3113696F" w14:textId="77777777" w:rsidR="009A7216" w:rsidRPr="00306115" w:rsidRDefault="009A7216" w:rsidP="009A7216">
            <w:pPr>
              <w:widowControl w:val="0"/>
              <w:pBdr>
                <w:top w:val="nil"/>
                <w:left w:val="nil"/>
                <w:bottom w:val="nil"/>
                <w:right w:val="nil"/>
                <w:between w:val="nil"/>
              </w:pBdr>
              <w:spacing w:after="0" w:line="240" w:lineRule="auto"/>
              <w:rPr>
                <w:rFonts w:eastAsia="Bookman Old Style" w:cs="Bookman Old Style"/>
                <w:color w:val="000000" w:themeColor="text1"/>
                <w:szCs w:val="24"/>
              </w:rPr>
            </w:pPr>
          </w:p>
        </w:tc>
        <w:tc>
          <w:tcPr>
            <w:tcW w:w="6485" w:type="dxa"/>
            <w:tcBorders>
              <w:top w:val="single" w:sz="8" w:space="0" w:color="000000"/>
              <w:left w:val="single" w:sz="8" w:space="0" w:color="000000"/>
              <w:bottom w:val="single" w:sz="8" w:space="0" w:color="000000"/>
              <w:right w:val="single" w:sz="8" w:space="0" w:color="000000"/>
            </w:tcBorders>
          </w:tcPr>
          <w:p w14:paraId="50C08ECE" w14:textId="0B9D5FD5" w:rsidR="009A7216" w:rsidRPr="00306115" w:rsidRDefault="009A7216" w:rsidP="009A7216">
            <w:pPr>
              <w:widowControl w:val="0"/>
              <w:pBdr>
                <w:top w:val="nil"/>
                <w:left w:val="nil"/>
                <w:bottom w:val="nil"/>
                <w:right w:val="nil"/>
                <w:between w:val="nil"/>
              </w:pBdr>
              <w:spacing w:after="0" w:line="240" w:lineRule="auto"/>
              <w:rPr>
                <w:rFonts w:eastAsia="Bookman Old Style" w:cs="Bookman Old Style"/>
                <w:color w:val="000000" w:themeColor="text1"/>
                <w:szCs w:val="24"/>
              </w:rPr>
            </w:pPr>
            <w:r w:rsidRPr="00306115">
              <w:rPr>
                <w:color w:val="000000" w:themeColor="text1"/>
              </w:rPr>
              <w:t>Jumlah kebocoran/pencurian data yang terkonfirmasi</w:t>
            </w:r>
          </w:p>
        </w:tc>
        <w:tc>
          <w:tcPr>
            <w:tcW w:w="1878" w:type="dxa"/>
            <w:tcBorders>
              <w:top w:val="single" w:sz="8" w:space="0" w:color="000000"/>
              <w:left w:val="single" w:sz="8" w:space="0" w:color="000000"/>
              <w:bottom w:val="single" w:sz="8" w:space="0" w:color="000000"/>
              <w:right w:val="single" w:sz="8" w:space="0" w:color="000000"/>
            </w:tcBorders>
          </w:tcPr>
          <w:p w14:paraId="0633599E" w14:textId="77777777" w:rsidR="009A7216" w:rsidRPr="00306115" w:rsidRDefault="009A7216" w:rsidP="00A241D1">
            <w:pPr>
              <w:widowControl w:val="0"/>
              <w:pBdr>
                <w:top w:val="nil"/>
                <w:left w:val="nil"/>
                <w:bottom w:val="nil"/>
                <w:right w:val="nil"/>
                <w:between w:val="nil"/>
              </w:pBdr>
              <w:spacing w:line="240" w:lineRule="auto"/>
              <w:rPr>
                <w:rFonts w:eastAsia="Bookman Old Style" w:cs="Bookman Old Style"/>
                <w:color w:val="000000" w:themeColor="text1"/>
                <w:szCs w:val="24"/>
              </w:rPr>
            </w:pPr>
          </w:p>
        </w:tc>
        <w:tc>
          <w:tcPr>
            <w:tcW w:w="2693" w:type="dxa"/>
            <w:tcBorders>
              <w:top w:val="single" w:sz="8" w:space="0" w:color="000000"/>
              <w:left w:val="single" w:sz="8" w:space="0" w:color="000000"/>
              <w:bottom w:val="single" w:sz="8" w:space="0" w:color="000000"/>
              <w:right w:val="single" w:sz="8" w:space="0" w:color="000000"/>
            </w:tcBorders>
          </w:tcPr>
          <w:p w14:paraId="7B01C1A2" w14:textId="77777777" w:rsidR="009A7216" w:rsidRPr="00306115" w:rsidRDefault="009A7216" w:rsidP="00A241D1">
            <w:pPr>
              <w:widowControl w:val="0"/>
              <w:pBdr>
                <w:top w:val="nil"/>
                <w:left w:val="nil"/>
                <w:bottom w:val="nil"/>
                <w:right w:val="nil"/>
                <w:between w:val="nil"/>
              </w:pBdr>
              <w:spacing w:line="240" w:lineRule="auto"/>
              <w:rPr>
                <w:rFonts w:eastAsia="Bookman Old Style" w:cs="Bookman Old Style"/>
                <w:color w:val="000000" w:themeColor="text1"/>
                <w:szCs w:val="24"/>
              </w:rPr>
            </w:pPr>
          </w:p>
        </w:tc>
      </w:tr>
      <w:tr w:rsidR="009A7216" w:rsidRPr="00306115" w14:paraId="389E296E" w14:textId="77777777" w:rsidTr="00A55938">
        <w:trPr>
          <w:trHeight w:val="322"/>
        </w:trPr>
        <w:tc>
          <w:tcPr>
            <w:tcW w:w="3119" w:type="dxa"/>
            <w:vMerge/>
            <w:tcBorders>
              <w:left w:val="single" w:sz="8" w:space="0" w:color="000000"/>
              <w:right w:val="single" w:sz="8" w:space="0" w:color="000000"/>
            </w:tcBorders>
          </w:tcPr>
          <w:p w14:paraId="7C60B58F" w14:textId="77777777" w:rsidR="009A7216" w:rsidRPr="00306115" w:rsidRDefault="009A7216" w:rsidP="009A7216">
            <w:pPr>
              <w:widowControl w:val="0"/>
              <w:pBdr>
                <w:top w:val="nil"/>
                <w:left w:val="nil"/>
                <w:bottom w:val="nil"/>
                <w:right w:val="nil"/>
                <w:between w:val="nil"/>
              </w:pBdr>
              <w:spacing w:after="0" w:line="240" w:lineRule="auto"/>
              <w:rPr>
                <w:rFonts w:eastAsia="Bookman Old Style" w:cs="Bookman Old Style"/>
                <w:color w:val="000000" w:themeColor="text1"/>
                <w:szCs w:val="24"/>
              </w:rPr>
            </w:pPr>
          </w:p>
        </w:tc>
        <w:tc>
          <w:tcPr>
            <w:tcW w:w="6485" w:type="dxa"/>
            <w:tcBorders>
              <w:top w:val="single" w:sz="8" w:space="0" w:color="000000"/>
              <w:left w:val="single" w:sz="8" w:space="0" w:color="000000"/>
              <w:bottom w:val="single" w:sz="8" w:space="0" w:color="000000"/>
              <w:right w:val="single" w:sz="8" w:space="0" w:color="000000"/>
            </w:tcBorders>
          </w:tcPr>
          <w:p w14:paraId="2522317A" w14:textId="491959C4" w:rsidR="009A7216" w:rsidRPr="00306115" w:rsidRDefault="009A7216" w:rsidP="009A7216">
            <w:pPr>
              <w:widowControl w:val="0"/>
              <w:pBdr>
                <w:top w:val="nil"/>
                <w:left w:val="nil"/>
                <w:bottom w:val="nil"/>
                <w:right w:val="nil"/>
                <w:between w:val="nil"/>
              </w:pBdr>
              <w:spacing w:after="0" w:line="240" w:lineRule="auto"/>
              <w:rPr>
                <w:rFonts w:eastAsia="Bookman Old Style" w:cs="Bookman Old Style"/>
                <w:color w:val="000000" w:themeColor="text1"/>
                <w:szCs w:val="24"/>
              </w:rPr>
            </w:pPr>
            <w:r w:rsidRPr="00306115">
              <w:rPr>
                <w:color w:val="000000" w:themeColor="text1"/>
              </w:rPr>
              <w:t>Persentase (%) temuan Pentest yang masih open</w:t>
            </w:r>
          </w:p>
        </w:tc>
        <w:tc>
          <w:tcPr>
            <w:tcW w:w="1878" w:type="dxa"/>
            <w:tcBorders>
              <w:top w:val="single" w:sz="8" w:space="0" w:color="000000"/>
              <w:left w:val="single" w:sz="8" w:space="0" w:color="000000"/>
              <w:bottom w:val="single" w:sz="8" w:space="0" w:color="000000"/>
              <w:right w:val="single" w:sz="8" w:space="0" w:color="000000"/>
            </w:tcBorders>
          </w:tcPr>
          <w:p w14:paraId="2BD0D8FB" w14:textId="77777777" w:rsidR="009A7216" w:rsidRPr="00306115" w:rsidRDefault="009A7216" w:rsidP="00A241D1">
            <w:pPr>
              <w:widowControl w:val="0"/>
              <w:pBdr>
                <w:top w:val="nil"/>
                <w:left w:val="nil"/>
                <w:bottom w:val="nil"/>
                <w:right w:val="nil"/>
                <w:between w:val="nil"/>
              </w:pBdr>
              <w:spacing w:line="240" w:lineRule="auto"/>
              <w:rPr>
                <w:rFonts w:eastAsia="Bookman Old Style" w:cs="Bookman Old Style"/>
                <w:color w:val="000000" w:themeColor="text1"/>
                <w:szCs w:val="24"/>
              </w:rPr>
            </w:pPr>
          </w:p>
        </w:tc>
        <w:tc>
          <w:tcPr>
            <w:tcW w:w="2693" w:type="dxa"/>
            <w:tcBorders>
              <w:top w:val="single" w:sz="8" w:space="0" w:color="000000"/>
              <w:left w:val="single" w:sz="8" w:space="0" w:color="000000"/>
              <w:bottom w:val="single" w:sz="8" w:space="0" w:color="000000"/>
              <w:right w:val="single" w:sz="8" w:space="0" w:color="000000"/>
            </w:tcBorders>
          </w:tcPr>
          <w:p w14:paraId="0620EFDA" w14:textId="77777777" w:rsidR="009A7216" w:rsidRPr="00306115" w:rsidRDefault="009A7216" w:rsidP="00A241D1">
            <w:pPr>
              <w:widowControl w:val="0"/>
              <w:pBdr>
                <w:top w:val="nil"/>
                <w:left w:val="nil"/>
                <w:bottom w:val="nil"/>
                <w:right w:val="nil"/>
                <w:between w:val="nil"/>
              </w:pBdr>
              <w:spacing w:line="240" w:lineRule="auto"/>
              <w:rPr>
                <w:rFonts w:eastAsia="Bookman Old Style" w:cs="Bookman Old Style"/>
                <w:color w:val="000000" w:themeColor="text1"/>
                <w:szCs w:val="24"/>
              </w:rPr>
            </w:pPr>
          </w:p>
        </w:tc>
      </w:tr>
      <w:tr w:rsidR="00A241D1" w:rsidRPr="00306115" w14:paraId="14790750" w14:textId="77777777" w:rsidTr="00130B2C">
        <w:trPr>
          <w:trHeight w:val="174"/>
        </w:trPr>
        <w:tc>
          <w:tcPr>
            <w:tcW w:w="9604" w:type="dxa"/>
            <w:gridSpan w:val="2"/>
            <w:tcBorders>
              <w:top w:val="single" w:sz="8" w:space="0" w:color="000000"/>
              <w:left w:val="single" w:sz="8" w:space="0" w:color="000000"/>
              <w:bottom w:val="single" w:sz="8" w:space="0" w:color="000000"/>
              <w:right w:val="single" w:sz="8" w:space="0" w:color="000000"/>
            </w:tcBorders>
          </w:tcPr>
          <w:p w14:paraId="5662D8E7" w14:textId="7C1812C9" w:rsidR="00A241D1" w:rsidRPr="00306115" w:rsidRDefault="000C47C4" w:rsidP="009A7216">
            <w:pPr>
              <w:widowControl w:val="0"/>
              <w:pBdr>
                <w:top w:val="nil"/>
                <w:left w:val="nil"/>
                <w:bottom w:val="nil"/>
                <w:right w:val="nil"/>
                <w:between w:val="nil"/>
              </w:pBdr>
              <w:spacing w:after="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 xml:space="preserve">Peringkat </w:t>
            </w:r>
            <w:r w:rsidR="00A241D1" w:rsidRPr="00306115">
              <w:rPr>
                <w:rFonts w:eastAsia="Bookman Old Style" w:cs="Bookman Old Style"/>
                <w:b/>
                <w:bCs/>
                <w:color w:val="000000" w:themeColor="text1"/>
                <w:szCs w:val="24"/>
              </w:rPr>
              <w:t>Risiko Operasional</w:t>
            </w:r>
          </w:p>
        </w:tc>
        <w:tc>
          <w:tcPr>
            <w:tcW w:w="1878" w:type="dxa"/>
            <w:tcBorders>
              <w:top w:val="single" w:sz="8" w:space="0" w:color="000000"/>
              <w:left w:val="single" w:sz="8" w:space="0" w:color="000000"/>
              <w:bottom w:val="single" w:sz="8" w:space="0" w:color="000000"/>
              <w:right w:val="single" w:sz="8" w:space="0" w:color="000000"/>
            </w:tcBorders>
          </w:tcPr>
          <w:p w14:paraId="2927FE12" w14:textId="77777777" w:rsidR="00A241D1" w:rsidRPr="00306115" w:rsidRDefault="00A241D1" w:rsidP="00A241D1">
            <w:pPr>
              <w:widowControl w:val="0"/>
              <w:pBdr>
                <w:top w:val="nil"/>
                <w:left w:val="nil"/>
                <w:bottom w:val="nil"/>
                <w:right w:val="nil"/>
                <w:between w:val="nil"/>
              </w:pBdr>
              <w:spacing w:line="240" w:lineRule="auto"/>
              <w:rPr>
                <w:rFonts w:eastAsia="Bookman Old Style" w:cs="Bookman Old Style"/>
                <w:color w:val="000000" w:themeColor="text1"/>
                <w:szCs w:val="24"/>
              </w:rPr>
            </w:pPr>
          </w:p>
        </w:tc>
        <w:tc>
          <w:tcPr>
            <w:tcW w:w="2693" w:type="dxa"/>
            <w:tcBorders>
              <w:top w:val="single" w:sz="8" w:space="0" w:color="000000"/>
              <w:left w:val="single" w:sz="8" w:space="0" w:color="000000"/>
              <w:bottom w:val="single" w:sz="8" w:space="0" w:color="000000"/>
              <w:right w:val="single" w:sz="8" w:space="0" w:color="000000"/>
            </w:tcBorders>
          </w:tcPr>
          <w:p w14:paraId="7E4ABE72" w14:textId="77777777" w:rsidR="00A241D1" w:rsidRPr="00306115" w:rsidRDefault="00A241D1" w:rsidP="00A241D1">
            <w:pPr>
              <w:widowControl w:val="0"/>
              <w:pBdr>
                <w:top w:val="nil"/>
                <w:left w:val="nil"/>
                <w:bottom w:val="nil"/>
                <w:right w:val="nil"/>
                <w:between w:val="nil"/>
              </w:pBdr>
              <w:spacing w:line="240" w:lineRule="auto"/>
              <w:rPr>
                <w:rFonts w:eastAsia="Bookman Old Style" w:cs="Bookman Old Style"/>
                <w:color w:val="000000" w:themeColor="text1"/>
                <w:szCs w:val="24"/>
              </w:rPr>
            </w:pPr>
          </w:p>
        </w:tc>
      </w:tr>
    </w:tbl>
    <w:p w14:paraId="009D2404" w14:textId="77777777" w:rsidR="00192F4C" w:rsidRPr="00306115" w:rsidRDefault="00192F4C" w:rsidP="00192F4C">
      <w:pPr>
        <w:pStyle w:val="HeadingAwalDaftarIsiLampiran"/>
        <w:numPr>
          <w:ilvl w:val="0"/>
          <w:numId w:val="0"/>
        </w:numPr>
        <w:tabs>
          <w:tab w:val="left" w:pos="1843"/>
        </w:tabs>
        <w:ind w:left="1701"/>
      </w:pPr>
    </w:p>
    <w:p w14:paraId="3962863F" w14:textId="66F53F2C" w:rsidR="00B941D5" w:rsidRPr="00306115" w:rsidRDefault="00B941D5">
      <w:pPr>
        <w:pStyle w:val="HeadingAwalDaftarIsiLampiran"/>
        <w:numPr>
          <w:ilvl w:val="0"/>
          <w:numId w:val="255"/>
        </w:numPr>
        <w:tabs>
          <w:tab w:val="left" w:pos="1134"/>
        </w:tabs>
        <w:ind w:left="567" w:hanging="567"/>
      </w:pPr>
      <w:r w:rsidRPr="00306115">
        <w:t>PENILAIAN RISIKO UNTUK RISIKO HUKUM</w:t>
      </w:r>
    </w:p>
    <w:p w14:paraId="379008F6" w14:textId="33E541C5" w:rsidR="00C74C14" w:rsidRPr="00306115" w:rsidRDefault="0084208A">
      <w:pPr>
        <w:pStyle w:val="HeadingAwalDaftarIsiLampiran"/>
        <w:numPr>
          <w:ilvl w:val="0"/>
          <w:numId w:val="299"/>
        </w:numPr>
        <w:tabs>
          <w:tab w:val="left" w:pos="2552"/>
        </w:tabs>
        <w:ind w:left="1134" w:hanging="567"/>
      </w:pPr>
      <w:r w:rsidRPr="00306115">
        <w:rPr>
          <w:rFonts w:eastAsia="Bookman Old Style" w:cs="Bookman Old Style"/>
        </w:rPr>
        <w:t>Parameter atau Indikator Penilaian Risiko Hukum</w:t>
      </w:r>
    </w:p>
    <w:tbl>
      <w:tblPr>
        <w:tblpPr w:leftFromText="180" w:rightFromText="180" w:vertAnchor="text" w:tblpX="1104" w:tblpY="1"/>
        <w:tblW w:w="147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266"/>
        <w:gridCol w:w="2126"/>
        <w:gridCol w:w="2552"/>
        <w:gridCol w:w="8788"/>
      </w:tblGrid>
      <w:tr w:rsidR="002E659F" w:rsidRPr="00306115" w14:paraId="58F0CC9B" w14:textId="77777777" w:rsidTr="00AC301B">
        <w:trPr>
          <w:trHeight w:val="557"/>
        </w:trPr>
        <w:tc>
          <w:tcPr>
            <w:tcW w:w="14732" w:type="dxa"/>
            <w:gridSpan w:val="4"/>
            <w:tcBorders>
              <w:top w:val="single" w:sz="8" w:space="0" w:color="000000"/>
              <w:left w:val="single" w:sz="8" w:space="0" w:color="000000"/>
              <w:bottom w:val="single" w:sz="8" w:space="0" w:color="000000"/>
              <w:right w:val="single" w:sz="8" w:space="0" w:color="000000"/>
            </w:tcBorders>
            <w:shd w:val="clear" w:color="auto" w:fill="BEBEBE"/>
          </w:tcPr>
          <w:p w14:paraId="530DF159" w14:textId="48DFBDC6" w:rsidR="002E659F" w:rsidRPr="00306115" w:rsidRDefault="002E659F">
            <w:pPr>
              <w:pStyle w:val="ListParagraph"/>
              <w:widowControl w:val="0"/>
              <w:numPr>
                <w:ilvl w:val="0"/>
                <w:numId w:val="300"/>
              </w:numPr>
              <w:pBdr>
                <w:top w:val="nil"/>
                <w:left w:val="nil"/>
                <w:bottom w:val="nil"/>
                <w:right w:val="nil"/>
                <w:between w:val="nil"/>
              </w:pBdr>
              <w:spacing w:before="60" w:after="60" w:line="240" w:lineRule="auto"/>
              <w:ind w:left="567" w:hanging="567"/>
              <w:rPr>
                <w:rFonts w:eastAsia="Bookman Old Style" w:cs="Bookman Old Style"/>
                <w:b/>
                <w:bCs/>
                <w:color w:val="000000" w:themeColor="text1"/>
                <w:szCs w:val="24"/>
              </w:rPr>
            </w:pPr>
            <w:r w:rsidRPr="00306115">
              <w:rPr>
                <w:rFonts w:eastAsia="Bookman Old Style" w:cs="Bookman Old Style"/>
                <w:b/>
                <w:bCs/>
                <w:color w:val="000000" w:themeColor="text1"/>
                <w:szCs w:val="24"/>
              </w:rPr>
              <w:t>Risiko Inheren*)</w:t>
            </w:r>
          </w:p>
        </w:tc>
      </w:tr>
      <w:tr w:rsidR="00285787" w:rsidRPr="00306115" w14:paraId="3931EDA2" w14:textId="77777777" w:rsidTr="00766983">
        <w:trPr>
          <w:trHeight w:val="557"/>
        </w:trPr>
        <w:tc>
          <w:tcPr>
            <w:tcW w:w="3392" w:type="dxa"/>
            <w:gridSpan w:val="2"/>
            <w:tcBorders>
              <w:top w:val="single" w:sz="8" w:space="0" w:color="000000"/>
              <w:left w:val="single" w:sz="8" w:space="0" w:color="000000"/>
              <w:bottom w:val="single" w:sz="8" w:space="0" w:color="000000"/>
              <w:right w:val="single" w:sz="8" w:space="0" w:color="000000"/>
            </w:tcBorders>
            <w:shd w:val="clear" w:color="auto" w:fill="BEBEBE"/>
          </w:tcPr>
          <w:p w14:paraId="0FEF25CC" w14:textId="534C332B" w:rsidR="004336FB" w:rsidRPr="00306115" w:rsidRDefault="004336FB" w:rsidP="00C74C14">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Kategori</w:t>
            </w:r>
          </w:p>
        </w:tc>
        <w:tc>
          <w:tcPr>
            <w:tcW w:w="2552" w:type="dxa"/>
            <w:tcBorders>
              <w:top w:val="single" w:sz="8" w:space="0" w:color="000000"/>
              <w:left w:val="single" w:sz="8" w:space="0" w:color="000000"/>
              <w:bottom w:val="single" w:sz="8" w:space="0" w:color="000000"/>
              <w:right w:val="single" w:sz="8" w:space="0" w:color="000000"/>
            </w:tcBorders>
            <w:shd w:val="clear" w:color="auto" w:fill="BEBEBE"/>
          </w:tcPr>
          <w:p w14:paraId="6489B5E9" w14:textId="77777777" w:rsidR="00285787" w:rsidRPr="00306115" w:rsidRDefault="00285787" w:rsidP="00C74C14">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Indikator</w:t>
            </w:r>
          </w:p>
        </w:tc>
        <w:tc>
          <w:tcPr>
            <w:tcW w:w="8788" w:type="dxa"/>
            <w:tcBorders>
              <w:top w:val="single" w:sz="8" w:space="0" w:color="000000"/>
              <w:left w:val="single" w:sz="8" w:space="0" w:color="000000"/>
              <w:bottom w:val="single" w:sz="8" w:space="0" w:color="000000"/>
              <w:right w:val="single" w:sz="8" w:space="0" w:color="000000"/>
            </w:tcBorders>
            <w:shd w:val="clear" w:color="auto" w:fill="BEBEBE"/>
          </w:tcPr>
          <w:p w14:paraId="12148B55" w14:textId="77777777" w:rsidR="00285787" w:rsidRPr="00306115" w:rsidRDefault="00285787" w:rsidP="00C74C14">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Informasi</w:t>
            </w:r>
          </w:p>
        </w:tc>
      </w:tr>
      <w:tr w:rsidR="00C13C09" w:rsidRPr="00306115" w14:paraId="239714A8" w14:textId="77777777" w:rsidTr="0093630B">
        <w:trPr>
          <w:trHeight w:val="260"/>
        </w:trPr>
        <w:tc>
          <w:tcPr>
            <w:tcW w:w="3392" w:type="dxa"/>
            <w:gridSpan w:val="2"/>
            <w:vMerge w:val="restart"/>
            <w:tcBorders>
              <w:top w:val="single" w:sz="8" w:space="0" w:color="000000"/>
              <w:left w:val="single" w:sz="8" w:space="0" w:color="000000"/>
              <w:right w:val="single" w:sz="8" w:space="0" w:color="000000"/>
            </w:tcBorders>
          </w:tcPr>
          <w:p w14:paraId="00F0F66F" w14:textId="77777777" w:rsidR="00C13C09" w:rsidRPr="00306115" w:rsidRDefault="00C13C09" w:rsidP="00C74C14">
            <w:pPr>
              <w:widowControl w:val="0"/>
              <w:pBdr>
                <w:top w:val="nil"/>
                <w:left w:val="nil"/>
                <w:bottom w:val="nil"/>
                <w:right w:val="nil"/>
                <w:between w:val="nil"/>
              </w:pBdr>
              <w:spacing w:after="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lastRenderedPageBreak/>
              <w:t>Tuntutan/Gugatan Hukum</w:t>
            </w:r>
          </w:p>
          <w:p w14:paraId="4B762AB4" w14:textId="1B8EB85F" w:rsidR="00C13C09" w:rsidRPr="00306115" w:rsidRDefault="00C13C09" w:rsidP="00C74C14">
            <w:pPr>
              <w:widowControl w:val="0"/>
              <w:pBdr>
                <w:top w:val="nil"/>
                <w:left w:val="nil"/>
                <w:bottom w:val="nil"/>
                <w:right w:val="nil"/>
                <w:between w:val="nil"/>
              </w:pBdr>
              <w:spacing w:after="0" w:line="240" w:lineRule="auto"/>
              <w:jc w:val="center"/>
              <w:rPr>
                <w:rFonts w:eastAsia="Bookman Old Style" w:cs="Bookman Old Style"/>
                <w:b/>
                <w:bCs/>
                <w:strike/>
                <w:color w:val="000000" w:themeColor="text1"/>
                <w:szCs w:val="24"/>
              </w:rPr>
            </w:pPr>
          </w:p>
        </w:tc>
        <w:tc>
          <w:tcPr>
            <w:tcW w:w="2552" w:type="dxa"/>
            <w:tcBorders>
              <w:top w:val="single" w:sz="8" w:space="0" w:color="000000"/>
              <w:left w:val="single" w:sz="8" w:space="0" w:color="000000"/>
              <w:bottom w:val="single" w:sz="8" w:space="0" w:color="000000"/>
              <w:right w:val="single" w:sz="8" w:space="0" w:color="000000"/>
            </w:tcBorders>
          </w:tcPr>
          <w:p w14:paraId="0F5126D7" w14:textId="7EDB0417" w:rsidR="00C13C09" w:rsidRPr="00306115" w:rsidRDefault="00C13C09" w:rsidP="00C74C14">
            <w:pPr>
              <w:widowControl w:val="0"/>
              <w:pBdr>
                <w:top w:val="nil"/>
                <w:left w:val="nil"/>
                <w:bottom w:val="nil"/>
                <w:right w:val="nil"/>
                <w:between w:val="nil"/>
              </w:pBdr>
              <w:spacing w:after="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Jumlah tuntutan/gugatan hukum</w:t>
            </w:r>
          </w:p>
        </w:tc>
        <w:tc>
          <w:tcPr>
            <w:tcW w:w="8788" w:type="dxa"/>
            <w:tcBorders>
              <w:top w:val="single" w:sz="8" w:space="0" w:color="000000"/>
              <w:left w:val="single" w:sz="8" w:space="0" w:color="000000"/>
              <w:bottom w:val="single" w:sz="8" w:space="0" w:color="000000"/>
              <w:right w:val="single" w:sz="8" w:space="0" w:color="000000"/>
            </w:tcBorders>
          </w:tcPr>
          <w:p w14:paraId="203CDCF3" w14:textId="77777777" w:rsidR="00C13C09" w:rsidRPr="00306115" w:rsidRDefault="00C13C09">
            <w:pPr>
              <w:pStyle w:val="ListParagraph"/>
              <w:widowControl w:val="0"/>
              <w:numPr>
                <w:ilvl w:val="0"/>
                <w:numId w:val="485"/>
              </w:numPr>
              <w:pBdr>
                <w:top w:val="nil"/>
                <w:left w:val="nil"/>
                <w:bottom w:val="nil"/>
                <w:right w:val="nil"/>
                <w:between w:val="nil"/>
              </w:pBdr>
              <w:tabs>
                <w:tab w:val="left" w:pos="675"/>
              </w:tabs>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 xml:space="preserve">Parameter atau indikator ini mengukur jumlah tuntutan/gugatan hukum </w:t>
            </w:r>
            <w:r w:rsidRPr="00306115">
              <w:rPr>
                <w:rFonts w:eastAsia="Bookman Old Style" w:cs="Bookman Old Style"/>
                <w:b/>
                <w:bCs/>
                <w:color w:val="000000" w:themeColor="text1"/>
                <w:szCs w:val="24"/>
                <w:lang w:val="en-GB"/>
              </w:rPr>
              <w:t>termasuk sengeketa di Lembaga Alternatif Penyelesaian Sengketa Sektor Jasa Keuangan (LAPS JK)</w:t>
            </w:r>
            <w:r w:rsidRPr="00306115">
              <w:rPr>
                <w:rFonts w:eastAsia="Bookman Old Style" w:cs="Bookman Old Style"/>
                <w:color w:val="000000" w:themeColor="text1"/>
                <w:szCs w:val="24"/>
                <w:lang w:val="en-GB"/>
              </w:rPr>
              <w:t xml:space="preserve"> </w:t>
            </w:r>
            <w:r w:rsidRPr="00306115">
              <w:rPr>
                <w:rFonts w:eastAsia="Bookman Old Style" w:cs="Bookman Old Style"/>
                <w:color w:val="000000" w:themeColor="text1"/>
                <w:szCs w:val="24"/>
              </w:rPr>
              <w:t xml:space="preserve">yang dialami Manajer Investasi dalam 1 (satu) tahun terakhir, termasuk jumlah  tuntutan/gugatan hukum yang di </w:t>
            </w:r>
            <w:r w:rsidRPr="00306115">
              <w:rPr>
                <w:rFonts w:eastAsia="Bookman Old Style" w:cs="Bookman Old Style"/>
                <w:i/>
                <w:iCs/>
                <w:color w:val="000000" w:themeColor="text1"/>
                <w:szCs w:val="24"/>
              </w:rPr>
              <w:t>carry-forward</w:t>
            </w:r>
            <w:r w:rsidRPr="00306115">
              <w:rPr>
                <w:rFonts w:eastAsia="Bookman Old Style" w:cs="Bookman Old Style"/>
                <w:color w:val="000000" w:themeColor="text1"/>
                <w:szCs w:val="24"/>
              </w:rPr>
              <w:t xml:space="preserve"> dari tahun sebelumnya.</w:t>
            </w:r>
          </w:p>
          <w:p w14:paraId="492C7381" w14:textId="77777777" w:rsidR="00C13C09" w:rsidRPr="00306115" w:rsidRDefault="00C13C09">
            <w:pPr>
              <w:pStyle w:val="ListParagraph"/>
              <w:widowControl w:val="0"/>
              <w:numPr>
                <w:ilvl w:val="0"/>
                <w:numId w:val="485"/>
              </w:numPr>
              <w:pBdr>
                <w:top w:val="nil"/>
                <w:left w:val="nil"/>
                <w:bottom w:val="nil"/>
                <w:right w:val="nil"/>
                <w:between w:val="nil"/>
              </w:pBdr>
              <w:tabs>
                <w:tab w:val="left" w:pos="675"/>
              </w:tabs>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Semakin tinggi atau bertambahnya  tuntutan/gugatan hukum menunjukkan adanya kelemahan legalitas pada Manajer Investasi yang berdampak pada operasional dan reputasi Manajer Investasi.</w:t>
            </w:r>
          </w:p>
          <w:p w14:paraId="243E1CB0" w14:textId="27F63027" w:rsidR="00C13C09" w:rsidRPr="00306115" w:rsidRDefault="00C13C09">
            <w:pPr>
              <w:pStyle w:val="ListParagraph"/>
              <w:widowControl w:val="0"/>
              <w:numPr>
                <w:ilvl w:val="0"/>
                <w:numId w:val="485"/>
              </w:numPr>
              <w:pBdr>
                <w:top w:val="nil"/>
                <w:left w:val="nil"/>
                <w:bottom w:val="nil"/>
                <w:right w:val="nil"/>
                <w:between w:val="nil"/>
              </w:pBdr>
              <w:tabs>
                <w:tab w:val="left" w:pos="1384"/>
              </w:tabs>
              <w:spacing w:after="0" w:line="240" w:lineRule="auto"/>
              <w:ind w:left="567" w:hanging="567"/>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Adapun klasifikasi penilaian indikator ini terbagi menjadi 5 (lima) peringkat sebagai berikut:</w:t>
            </w:r>
          </w:p>
          <w:p w14:paraId="5BE10D64" w14:textId="655DBCCA" w:rsidR="00C13C09" w:rsidRPr="00306115" w:rsidRDefault="00C13C09">
            <w:pPr>
              <w:pStyle w:val="ListParagraph"/>
              <w:widowControl w:val="0"/>
              <w:numPr>
                <w:ilvl w:val="0"/>
                <w:numId w:val="486"/>
              </w:numPr>
              <w:pBdr>
                <w:top w:val="nil"/>
                <w:left w:val="nil"/>
                <w:bottom w:val="nil"/>
                <w:right w:val="nil"/>
                <w:between w:val="nil"/>
              </w:pBdr>
              <w:tabs>
                <w:tab w:val="left" w:pos="675"/>
              </w:tabs>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 1: Tidak terdapat untutan/gugatan hukum</w:t>
            </w:r>
          </w:p>
          <w:p w14:paraId="63CBA199" w14:textId="582081ED" w:rsidR="00C13C09" w:rsidRPr="00306115" w:rsidRDefault="00C13C09">
            <w:pPr>
              <w:pStyle w:val="ListParagraph"/>
              <w:widowControl w:val="0"/>
              <w:numPr>
                <w:ilvl w:val="0"/>
                <w:numId w:val="486"/>
              </w:numPr>
              <w:pBdr>
                <w:top w:val="nil"/>
                <w:left w:val="nil"/>
                <w:bottom w:val="nil"/>
                <w:right w:val="nil"/>
                <w:between w:val="nil"/>
              </w:pBdr>
              <w:tabs>
                <w:tab w:val="left" w:pos="675"/>
              </w:tabs>
              <w:spacing w:after="0" w:line="240" w:lineRule="auto"/>
              <w:ind w:left="851" w:hanging="284"/>
              <w:rPr>
                <w:rFonts w:eastAsia="Bookman Old Style" w:cs="Bookman Old Style"/>
                <w:color w:val="000000" w:themeColor="text1"/>
                <w:szCs w:val="24"/>
                <w:lang w:val="en-GB"/>
              </w:rPr>
            </w:pPr>
            <w:r w:rsidRPr="00306115">
              <w:rPr>
                <w:rFonts w:eastAsia="Bookman Old Style" w:cs="Bookman Old Style"/>
                <w:color w:val="000000" w:themeColor="text1"/>
                <w:szCs w:val="24"/>
                <w:lang w:val="en-GB"/>
              </w:rPr>
              <w:t>Peringkat 2: Terdapat tuntutan/gugatan hukum &gt; 0 dan ≤ 2</w:t>
            </w:r>
          </w:p>
          <w:p w14:paraId="1603567B" w14:textId="72253431" w:rsidR="00C13C09" w:rsidRPr="00306115" w:rsidRDefault="00C13C09">
            <w:pPr>
              <w:pStyle w:val="ListParagraph"/>
              <w:widowControl w:val="0"/>
              <w:numPr>
                <w:ilvl w:val="0"/>
                <w:numId w:val="486"/>
              </w:numPr>
              <w:pBdr>
                <w:top w:val="nil"/>
                <w:left w:val="nil"/>
                <w:bottom w:val="nil"/>
                <w:right w:val="nil"/>
                <w:between w:val="nil"/>
              </w:pBdr>
              <w:tabs>
                <w:tab w:val="left" w:pos="675"/>
              </w:tabs>
              <w:spacing w:after="0" w:line="240" w:lineRule="auto"/>
              <w:ind w:left="851" w:hanging="284"/>
              <w:rPr>
                <w:rFonts w:eastAsia="Bookman Old Style" w:cs="Bookman Old Style"/>
                <w:color w:val="000000" w:themeColor="text1"/>
                <w:szCs w:val="24"/>
                <w:lang w:val="en-GB"/>
              </w:rPr>
            </w:pPr>
            <w:r w:rsidRPr="00306115">
              <w:rPr>
                <w:rFonts w:eastAsia="Bookman Old Style" w:cs="Bookman Old Style"/>
                <w:color w:val="000000" w:themeColor="text1"/>
                <w:szCs w:val="24"/>
                <w:lang w:val="en-GB"/>
              </w:rPr>
              <w:t>Peringkat 3: Terdapat tuntutan/gugatan hukum &gt; 2 dan ≤ 4</w:t>
            </w:r>
          </w:p>
          <w:p w14:paraId="191975BE" w14:textId="18502680" w:rsidR="00C13C09" w:rsidRPr="00306115" w:rsidRDefault="00C13C09">
            <w:pPr>
              <w:pStyle w:val="ListParagraph"/>
              <w:widowControl w:val="0"/>
              <w:numPr>
                <w:ilvl w:val="0"/>
                <w:numId w:val="486"/>
              </w:numPr>
              <w:pBdr>
                <w:top w:val="nil"/>
                <w:left w:val="nil"/>
                <w:bottom w:val="nil"/>
                <w:right w:val="nil"/>
                <w:between w:val="nil"/>
              </w:pBdr>
              <w:tabs>
                <w:tab w:val="left" w:pos="675"/>
              </w:tabs>
              <w:spacing w:after="0" w:line="240" w:lineRule="auto"/>
              <w:ind w:left="851" w:hanging="284"/>
              <w:rPr>
                <w:rFonts w:eastAsia="Bookman Old Style" w:cs="Bookman Old Style"/>
                <w:color w:val="000000" w:themeColor="text1"/>
                <w:szCs w:val="24"/>
                <w:lang w:val="en-GB"/>
              </w:rPr>
            </w:pPr>
            <w:r w:rsidRPr="00306115">
              <w:rPr>
                <w:rFonts w:eastAsia="Bookman Old Style" w:cs="Bookman Old Style"/>
                <w:color w:val="000000" w:themeColor="text1"/>
                <w:szCs w:val="24"/>
                <w:lang w:val="en-GB"/>
              </w:rPr>
              <w:t>Peringkat 4: Terdapat tuntutan/gugatan hukum &gt; 4 dan ≤ 6</w:t>
            </w:r>
          </w:p>
          <w:p w14:paraId="46075D67" w14:textId="55E1C927" w:rsidR="00C13C09" w:rsidRPr="00306115" w:rsidRDefault="00C13C09">
            <w:pPr>
              <w:pStyle w:val="ListParagraph"/>
              <w:widowControl w:val="0"/>
              <w:numPr>
                <w:ilvl w:val="0"/>
                <w:numId w:val="486"/>
              </w:numPr>
              <w:pBdr>
                <w:top w:val="nil"/>
                <w:left w:val="nil"/>
                <w:bottom w:val="nil"/>
                <w:right w:val="nil"/>
                <w:between w:val="nil"/>
              </w:pBdr>
              <w:tabs>
                <w:tab w:val="left" w:pos="675"/>
              </w:tabs>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 5: Terdapat tuntutan/gugatan hukum &gt; 6</w:t>
            </w:r>
            <w:r w:rsidRPr="00306115">
              <w:rPr>
                <w:rFonts w:eastAsia="Bookman Old Style" w:cs="Bookman Old Style"/>
                <w:color w:val="000000" w:themeColor="text1"/>
                <w:szCs w:val="24"/>
              </w:rPr>
              <w:t>.</w:t>
            </w:r>
          </w:p>
        </w:tc>
      </w:tr>
      <w:tr w:rsidR="00C13C09" w:rsidRPr="00306115" w14:paraId="66EE1A9E" w14:textId="77777777" w:rsidTr="0093630B">
        <w:trPr>
          <w:trHeight w:val="1962"/>
        </w:trPr>
        <w:tc>
          <w:tcPr>
            <w:tcW w:w="3392" w:type="dxa"/>
            <w:gridSpan w:val="2"/>
            <w:vMerge/>
            <w:tcBorders>
              <w:left w:val="single" w:sz="8" w:space="0" w:color="000000"/>
              <w:right w:val="single" w:sz="8" w:space="0" w:color="000000"/>
            </w:tcBorders>
          </w:tcPr>
          <w:p w14:paraId="76003B82" w14:textId="77777777" w:rsidR="00C13C09" w:rsidRPr="00306115" w:rsidRDefault="00C13C09" w:rsidP="00C74C14">
            <w:pPr>
              <w:widowControl w:val="0"/>
              <w:pBdr>
                <w:top w:val="nil"/>
                <w:left w:val="nil"/>
                <w:bottom w:val="nil"/>
                <w:right w:val="nil"/>
                <w:between w:val="nil"/>
              </w:pBdr>
              <w:spacing w:after="0" w:line="240" w:lineRule="auto"/>
              <w:rPr>
                <w:rFonts w:eastAsia="Bookman Old Style" w:cs="Bookman Old Style"/>
                <w:color w:val="000000" w:themeColor="text1"/>
                <w:szCs w:val="24"/>
              </w:rPr>
            </w:pPr>
          </w:p>
        </w:tc>
        <w:tc>
          <w:tcPr>
            <w:tcW w:w="2552" w:type="dxa"/>
            <w:tcBorders>
              <w:top w:val="single" w:sz="8" w:space="0" w:color="000000"/>
              <w:left w:val="single" w:sz="8" w:space="0" w:color="000000"/>
              <w:bottom w:val="single" w:sz="8" w:space="0" w:color="000000"/>
              <w:right w:val="single" w:sz="8" w:space="0" w:color="000000"/>
            </w:tcBorders>
          </w:tcPr>
          <w:p w14:paraId="01F7D933" w14:textId="77777777" w:rsidR="00C13C09" w:rsidRPr="00306115" w:rsidRDefault="00C13C09" w:rsidP="00C74C14">
            <w:pPr>
              <w:widowControl w:val="0"/>
              <w:pBdr>
                <w:top w:val="nil"/>
                <w:left w:val="nil"/>
                <w:bottom w:val="nil"/>
                <w:right w:val="nil"/>
                <w:between w:val="nil"/>
              </w:pBdr>
              <w:spacing w:after="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Besarnya nominal tuntutan/gugatan  hukum yang diajukan kepada Manajer Investasi dibandingkan dengan Modal Kerja Bersih Disesuaikan (MKBD)</w:t>
            </w:r>
          </w:p>
        </w:tc>
        <w:tc>
          <w:tcPr>
            <w:tcW w:w="8788" w:type="dxa"/>
            <w:tcBorders>
              <w:top w:val="single" w:sz="8" w:space="0" w:color="000000"/>
              <w:left w:val="single" w:sz="8" w:space="0" w:color="000000"/>
              <w:bottom w:val="single" w:sz="8" w:space="0" w:color="000000"/>
              <w:right w:val="single" w:sz="8" w:space="0" w:color="000000"/>
            </w:tcBorders>
          </w:tcPr>
          <w:p w14:paraId="1C542D75" w14:textId="3400B754" w:rsidR="00C13C09" w:rsidRPr="00306115" w:rsidRDefault="00C13C09">
            <w:pPr>
              <w:pStyle w:val="ListParagraph"/>
              <w:widowControl w:val="0"/>
              <w:numPr>
                <w:ilvl w:val="0"/>
                <w:numId w:val="487"/>
              </w:numPr>
              <w:pBdr>
                <w:top w:val="nil"/>
                <w:left w:val="nil"/>
                <w:bottom w:val="nil"/>
                <w:right w:val="nil"/>
                <w:between w:val="nil"/>
              </w:pBdr>
              <w:spacing w:after="0" w:line="240" w:lineRule="auto"/>
              <w:ind w:left="567" w:hanging="567"/>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Parameter atau indikator ini dihitung dengan membandingkan  potensi nominal  tuntutan/gugatan</w:t>
            </w:r>
            <w:r w:rsidRPr="00306115">
              <w:rPr>
                <w:rFonts w:eastAsia="Bookman Old Style" w:cs="Bookman Old Style"/>
                <w:color w:val="000000" w:themeColor="text1"/>
                <w:szCs w:val="24"/>
                <w:lang w:val="en-GB"/>
              </w:rPr>
              <w:t xml:space="preserve">  termasuk sengeketa di LAPS JK selama</w:t>
            </w:r>
            <w:r w:rsidRPr="00306115">
              <w:rPr>
                <w:rFonts w:eastAsia="Bookman Old Style" w:cs="Bookman Old Style"/>
                <w:color w:val="000000" w:themeColor="text1"/>
                <w:szCs w:val="24"/>
              </w:rPr>
              <w:t xml:space="preserve"> 1 (satu) tahun terakhir, termasuk yang di </w:t>
            </w:r>
            <w:r w:rsidRPr="00306115">
              <w:rPr>
                <w:rFonts w:eastAsia="Bookman Old Style" w:cs="Bookman Old Style"/>
                <w:i/>
                <w:iCs/>
                <w:color w:val="000000" w:themeColor="text1"/>
                <w:szCs w:val="24"/>
              </w:rPr>
              <w:t>carry-forward</w:t>
            </w:r>
            <w:r w:rsidRPr="00306115">
              <w:rPr>
                <w:rFonts w:eastAsia="Bookman Old Style" w:cs="Bookman Old Style"/>
                <w:color w:val="000000" w:themeColor="text1"/>
                <w:szCs w:val="24"/>
              </w:rPr>
              <w:t xml:space="preserve"> dari tahun sebelumnya, dengan MKBD.</w:t>
            </w:r>
          </w:p>
          <w:p w14:paraId="678B3201" w14:textId="77777777" w:rsidR="00C13C09" w:rsidRPr="00306115" w:rsidRDefault="00DD3739" w:rsidP="00C74C14">
            <w:pPr>
              <w:spacing w:after="0" w:line="240" w:lineRule="auto"/>
              <w:ind w:left="1361" w:hangingChars="567" w:hanging="1361"/>
              <w:jc w:val="center"/>
              <w:rPr>
                <w:rFonts w:eastAsia="Cambria Math" w:cs="Cambria Math"/>
                <w:color w:val="000000" w:themeColor="text1"/>
                <w:szCs w:val="24"/>
              </w:rPr>
            </w:pPr>
            <m:oMathPara>
              <m:oMathParaPr>
                <m:jc m:val="left"/>
              </m:oMathParaPr>
              <m:oMath>
                <m:nary>
                  <m:naryPr>
                    <m:chr m:val="∑"/>
                    <m:ctrlPr>
                      <w:rPr>
                        <w:rFonts w:ascii="Cambria Math" w:hAnsi="Cambria Math"/>
                        <w:color w:val="000000" w:themeColor="text1"/>
                        <w:szCs w:val="24"/>
                      </w:rPr>
                    </m:ctrlPr>
                  </m:naryPr>
                  <m:sub/>
                  <m:sup/>
                  <m:e/>
                </m:nary>
                <m:f>
                  <m:fPr>
                    <m:ctrlPr>
                      <w:rPr>
                        <w:rFonts w:ascii="Cambria Math" w:eastAsia="Cambria Math" w:hAnsi="Cambria Math" w:cs="Cambria Math"/>
                        <w:color w:val="000000" w:themeColor="text1"/>
                        <w:szCs w:val="24"/>
                      </w:rPr>
                    </m:ctrlPr>
                  </m:fPr>
                  <m:num>
                    <m:r>
                      <w:rPr>
                        <w:rFonts w:ascii="Cambria Math" w:eastAsia="Cambria Math" w:hAnsi="Cambria Math" w:cs="Cambria Math"/>
                        <w:color w:val="000000" w:themeColor="text1"/>
                        <w:szCs w:val="24"/>
                      </w:rPr>
                      <m:t>Nominal</m:t>
                    </m:r>
                    <m:r>
                      <w:rPr>
                        <w:rFonts w:ascii="Cambria Math" w:eastAsia="Cambria Math" w:hAnsi="Cambria Math" w:cs="Cambria Math"/>
                        <w:color w:val="000000" w:themeColor="text1"/>
                        <w:szCs w:val="24"/>
                      </w:rPr>
                      <m:t xml:space="preserve"> </m:t>
                    </m:r>
                    <m:r>
                      <w:rPr>
                        <w:rFonts w:ascii="Cambria Math" w:eastAsia="Cambria Math" w:hAnsi="Cambria Math" w:cs="Cambria Math"/>
                        <w:color w:val="000000" w:themeColor="text1"/>
                        <w:szCs w:val="24"/>
                      </w:rPr>
                      <m:t>tuntutan</m:t>
                    </m:r>
                    <m:r>
                      <w:rPr>
                        <w:rFonts w:ascii="Cambria Math" w:eastAsia="Cambria Math" w:hAnsi="Cambria Math" w:cs="Cambria Math"/>
                        <w:color w:val="000000" w:themeColor="text1"/>
                        <w:szCs w:val="24"/>
                      </w:rPr>
                      <m:t>/</m:t>
                    </m:r>
                    <m:r>
                      <w:rPr>
                        <w:rFonts w:ascii="Cambria Math" w:eastAsia="Cambria Math" w:hAnsi="Cambria Math" w:cs="Cambria Math"/>
                        <w:color w:val="000000" w:themeColor="text1"/>
                        <w:szCs w:val="24"/>
                      </w:rPr>
                      <m:t>gugatan</m:t>
                    </m:r>
                    <m:r>
                      <w:rPr>
                        <w:rFonts w:ascii="Cambria Math" w:eastAsia="Cambria Math" w:hAnsi="Cambria Math" w:cs="Cambria Math"/>
                        <w:color w:val="000000" w:themeColor="text1"/>
                        <w:szCs w:val="24"/>
                      </w:rPr>
                      <m:t xml:space="preserve"> h</m:t>
                    </m:r>
                    <m:r>
                      <w:rPr>
                        <w:rFonts w:ascii="Cambria Math" w:eastAsia="Cambria Math" w:hAnsi="Cambria Math" w:cs="Cambria Math"/>
                        <w:color w:val="000000" w:themeColor="text1"/>
                        <w:szCs w:val="24"/>
                      </w:rPr>
                      <m:t>ukum</m:t>
                    </m:r>
                  </m:num>
                  <m:den>
                    <m:r>
                      <w:rPr>
                        <w:rFonts w:ascii="Cambria Math" w:eastAsia="Cambria Math" w:hAnsi="Cambria Math" w:cs="Cambria Math"/>
                        <w:color w:val="000000" w:themeColor="text1"/>
                        <w:szCs w:val="24"/>
                      </w:rPr>
                      <m:t>MKBD</m:t>
                    </m:r>
                  </m:den>
                </m:f>
              </m:oMath>
            </m:oMathPara>
          </w:p>
          <w:p w14:paraId="620A3E22" w14:textId="77777777" w:rsidR="00C13C09" w:rsidRPr="00306115" w:rsidRDefault="00C13C09" w:rsidP="00C74C14">
            <w:pPr>
              <w:widowControl w:val="0"/>
              <w:pBdr>
                <w:top w:val="nil"/>
                <w:left w:val="nil"/>
                <w:bottom w:val="nil"/>
                <w:right w:val="nil"/>
                <w:between w:val="nil"/>
              </w:pBdr>
              <w:spacing w:after="0" w:line="240" w:lineRule="auto"/>
              <w:ind w:left="1361" w:hangingChars="567" w:hanging="1361"/>
              <w:rPr>
                <w:rFonts w:eastAsia="Bookman Old Style" w:cs="Bookman Old Style"/>
                <w:color w:val="000000" w:themeColor="text1"/>
                <w:szCs w:val="24"/>
              </w:rPr>
            </w:pPr>
          </w:p>
          <w:p w14:paraId="777BFB01" w14:textId="77777777" w:rsidR="00C13C09" w:rsidRPr="00306115" w:rsidRDefault="00C13C09">
            <w:pPr>
              <w:pStyle w:val="ListParagraph"/>
              <w:widowControl w:val="0"/>
              <w:numPr>
                <w:ilvl w:val="0"/>
                <w:numId w:val="487"/>
              </w:numPr>
              <w:pBdr>
                <w:top w:val="nil"/>
                <w:left w:val="nil"/>
                <w:bottom w:val="nil"/>
                <w:right w:val="nil"/>
                <w:between w:val="nil"/>
              </w:pBdr>
              <w:spacing w:after="0" w:line="240" w:lineRule="auto"/>
              <w:ind w:left="567" w:hanging="567"/>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Rasio ini untuk melihat sejauh mana potensi kerugian yang akan diterima oleh Manajer Investasi.</w:t>
            </w:r>
          </w:p>
          <w:p w14:paraId="1EA11FFD" w14:textId="27E8A4F2" w:rsidR="00C13C09" w:rsidRPr="00306115" w:rsidRDefault="00C13C09">
            <w:pPr>
              <w:pStyle w:val="ListParagraph"/>
              <w:widowControl w:val="0"/>
              <w:numPr>
                <w:ilvl w:val="0"/>
                <w:numId w:val="487"/>
              </w:numPr>
              <w:pBdr>
                <w:top w:val="nil"/>
                <w:left w:val="nil"/>
                <w:bottom w:val="nil"/>
                <w:right w:val="nil"/>
                <w:between w:val="nil"/>
              </w:pBdr>
              <w:spacing w:after="0" w:line="240" w:lineRule="auto"/>
              <w:ind w:left="567" w:hanging="567"/>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Adapun klasifikasi penilaian indikator ini terbagi menjadi 5 (lima) peringkat sebagai berikut:</w:t>
            </w:r>
          </w:p>
          <w:p w14:paraId="74DEFE48" w14:textId="51EEB00A" w:rsidR="00C13C09" w:rsidRPr="00306115" w:rsidRDefault="00C13C09">
            <w:pPr>
              <w:pStyle w:val="ListParagraph"/>
              <w:widowControl w:val="0"/>
              <w:numPr>
                <w:ilvl w:val="0"/>
                <w:numId w:val="488"/>
              </w:numPr>
              <w:pBdr>
                <w:top w:val="nil"/>
                <w:left w:val="nil"/>
                <w:bottom w:val="nil"/>
                <w:right w:val="nil"/>
                <w:between w:val="nil"/>
              </w:pBdr>
              <w:spacing w:after="0" w:line="240" w:lineRule="auto"/>
              <w:ind w:left="851" w:hanging="284"/>
              <w:contextualSpacing w:val="0"/>
              <w:rPr>
                <w:rFonts w:eastAsia="Bookman Old Style" w:cs="Bookman Old Style"/>
                <w:color w:val="000000" w:themeColor="text1"/>
                <w:szCs w:val="24"/>
                <w:lang w:val="en-GB"/>
              </w:rPr>
            </w:pPr>
            <w:r w:rsidRPr="00306115">
              <w:rPr>
                <w:rFonts w:eastAsia="Bookman Old Style" w:cs="Bookman Old Style"/>
                <w:color w:val="000000" w:themeColor="text1"/>
                <w:szCs w:val="24"/>
                <w:lang w:val="en-GB"/>
              </w:rPr>
              <w:t>Peringkat 1: Tidak terdapat tuntutan atau gugatan hukum yang diajukan kepada Manajer Investasi</w:t>
            </w:r>
          </w:p>
          <w:p w14:paraId="31F89C2A" w14:textId="4CE4456D" w:rsidR="00C13C09" w:rsidRPr="00306115" w:rsidRDefault="00C13C09">
            <w:pPr>
              <w:pStyle w:val="ListParagraph"/>
              <w:widowControl w:val="0"/>
              <w:numPr>
                <w:ilvl w:val="0"/>
                <w:numId w:val="488"/>
              </w:numPr>
              <w:pBdr>
                <w:top w:val="nil"/>
                <w:left w:val="nil"/>
                <w:bottom w:val="nil"/>
                <w:right w:val="nil"/>
                <w:between w:val="nil"/>
              </w:pBdr>
              <w:spacing w:after="0" w:line="240" w:lineRule="auto"/>
              <w:ind w:left="851" w:hanging="284"/>
              <w:contextualSpacing w:val="0"/>
              <w:rPr>
                <w:rFonts w:eastAsia="Bookman Old Style" w:cs="Bookman Old Style"/>
                <w:color w:val="000000" w:themeColor="text1"/>
                <w:szCs w:val="24"/>
                <w:lang w:val="en-GB"/>
              </w:rPr>
            </w:pPr>
            <w:r w:rsidRPr="00306115">
              <w:rPr>
                <w:rFonts w:eastAsia="Bookman Old Style" w:cs="Bookman Old Style"/>
                <w:color w:val="000000" w:themeColor="text1"/>
                <w:szCs w:val="24"/>
                <w:lang w:val="en-GB"/>
              </w:rPr>
              <w:t xml:space="preserve">Peringkat 2: Rasio nominal tuntutan/gugatan hukum terhadap </w:t>
            </w:r>
            <w:r w:rsidRPr="00306115">
              <w:rPr>
                <w:rFonts w:eastAsia="Bookman Old Style" w:cs="Bookman Old Style"/>
                <w:color w:val="000000" w:themeColor="text1"/>
                <w:szCs w:val="24"/>
                <w:lang w:val="en-GB"/>
              </w:rPr>
              <w:lastRenderedPageBreak/>
              <w:t xml:space="preserve">MKBD &gt; 0% dan ≤3% </w:t>
            </w:r>
          </w:p>
          <w:p w14:paraId="6A406F59" w14:textId="6C483F9C" w:rsidR="00C13C09" w:rsidRPr="00306115" w:rsidRDefault="00C13C09">
            <w:pPr>
              <w:pStyle w:val="ListParagraph"/>
              <w:widowControl w:val="0"/>
              <w:numPr>
                <w:ilvl w:val="0"/>
                <w:numId w:val="488"/>
              </w:numPr>
              <w:pBdr>
                <w:top w:val="nil"/>
                <w:left w:val="nil"/>
                <w:bottom w:val="nil"/>
                <w:right w:val="nil"/>
                <w:between w:val="nil"/>
              </w:pBdr>
              <w:spacing w:after="0" w:line="240" w:lineRule="auto"/>
              <w:ind w:left="851" w:hanging="284"/>
              <w:contextualSpacing w:val="0"/>
              <w:rPr>
                <w:rFonts w:eastAsia="Bookman Old Style" w:cs="Bookman Old Style"/>
                <w:color w:val="000000" w:themeColor="text1"/>
                <w:szCs w:val="24"/>
                <w:lang w:val="en-GB"/>
              </w:rPr>
            </w:pPr>
            <w:r w:rsidRPr="00306115">
              <w:rPr>
                <w:rFonts w:eastAsia="Bookman Old Style" w:cs="Bookman Old Style"/>
                <w:color w:val="000000" w:themeColor="text1"/>
                <w:szCs w:val="24"/>
                <w:lang w:val="en-GB"/>
              </w:rPr>
              <w:t xml:space="preserve">Peringkat 3: Rasio nominal tuntutan/gugatan hukum terhadap MKBD &gt; 3% dan ≤6% </w:t>
            </w:r>
          </w:p>
          <w:p w14:paraId="452F4C69" w14:textId="2ABD3BC9" w:rsidR="00C13C09" w:rsidRPr="00306115" w:rsidRDefault="00C13C09">
            <w:pPr>
              <w:pStyle w:val="ListParagraph"/>
              <w:widowControl w:val="0"/>
              <w:numPr>
                <w:ilvl w:val="0"/>
                <w:numId w:val="488"/>
              </w:numPr>
              <w:pBdr>
                <w:top w:val="nil"/>
                <w:left w:val="nil"/>
                <w:bottom w:val="nil"/>
                <w:right w:val="nil"/>
                <w:between w:val="nil"/>
              </w:pBdr>
              <w:spacing w:after="0" w:line="240" w:lineRule="auto"/>
              <w:ind w:left="851" w:hanging="284"/>
              <w:contextualSpacing w:val="0"/>
              <w:rPr>
                <w:rFonts w:eastAsia="Bookman Old Style" w:cs="Bookman Old Style"/>
                <w:color w:val="000000" w:themeColor="text1"/>
                <w:szCs w:val="24"/>
                <w:lang w:val="en-GB"/>
              </w:rPr>
            </w:pPr>
            <w:r w:rsidRPr="00306115">
              <w:rPr>
                <w:rFonts w:eastAsia="Bookman Old Style" w:cs="Bookman Old Style"/>
                <w:color w:val="000000" w:themeColor="text1"/>
                <w:szCs w:val="24"/>
                <w:lang w:val="en-GB"/>
              </w:rPr>
              <w:t xml:space="preserve">Peringkat 4: Rasio nominal tuntutan/gugatan hukum terhadap MKBD &gt; 6% dan ≤12% </w:t>
            </w:r>
          </w:p>
          <w:p w14:paraId="3DFE7C2A" w14:textId="38AB4817" w:rsidR="00C13C09" w:rsidRPr="00306115" w:rsidRDefault="00C13C09">
            <w:pPr>
              <w:pStyle w:val="ListParagraph"/>
              <w:widowControl w:val="0"/>
              <w:numPr>
                <w:ilvl w:val="0"/>
                <w:numId w:val="488"/>
              </w:numPr>
              <w:pBdr>
                <w:top w:val="nil"/>
                <w:left w:val="nil"/>
                <w:bottom w:val="nil"/>
                <w:right w:val="nil"/>
                <w:between w:val="nil"/>
              </w:pBdr>
              <w:spacing w:after="0" w:line="240" w:lineRule="auto"/>
              <w:ind w:left="851" w:hanging="284"/>
              <w:contextualSpacing w:val="0"/>
              <w:rPr>
                <w:rFonts w:eastAsia="Bookman Old Style" w:cs="Bookman Old Style"/>
                <w:color w:val="000000" w:themeColor="text1"/>
                <w:szCs w:val="24"/>
                <w:lang w:val="en-GB"/>
              </w:rPr>
            </w:pPr>
            <w:r w:rsidRPr="00306115">
              <w:rPr>
                <w:rFonts w:eastAsia="Bookman Old Style" w:cs="Bookman Old Style"/>
                <w:color w:val="000000" w:themeColor="text1"/>
                <w:szCs w:val="24"/>
                <w:lang w:val="en-GB"/>
              </w:rPr>
              <w:t>Peringkat 5:  Rasio nominal tuntutan/gugatan hukum terhadap MKBD &gt; 12% atau mengganggu kelangsungan usaha (</w:t>
            </w:r>
            <w:r w:rsidRPr="00306115">
              <w:rPr>
                <w:rFonts w:eastAsia="Bookman Old Style" w:cs="Bookman Old Style"/>
                <w:i/>
                <w:iCs/>
                <w:color w:val="000000" w:themeColor="text1"/>
                <w:szCs w:val="24"/>
                <w:lang w:val="en-GB"/>
              </w:rPr>
              <w:t>going concern</w:t>
            </w:r>
            <w:r w:rsidRPr="00306115">
              <w:rPr>
                <w:rFonts w:eastAsia="Bookman Old Style" w:cs="Bookman Old Style"/>
                <w:color w:val="000000" w:themeColor="text1"/>
                <w:szCs w:val="24"/>
                <w:lang w:val="en-GB"/>
              </w:rPr>
              <w:t>) Manajer Investasi</w:t>
            </w:r>
          </w:p>
        </w:tc>
      </w:tr>
      <w:tr w:rsidR="00C13C09" w:rsidRPr="00306115" w14:paraId="2F1B51BF" w14:textId="77777777" w:rsidTr="0093630B">
        <w:trPr>
          <w:trHeight w:val="545"/>
        </w:trPr>
        <w:tc>
          <w:tcPr>
            <w:tcW w:w="3392" w:type="dxa"/>
            <w:gridSpan w:val="2"/>
            <w:vMerge/>
            <w:tcBorders>
              <w:left w:val="single" w:sz="8" w:space="0" w:color="000000"/>
              <w:bottom w:val="single" w:sz="8" w:space="0" w:color="000000"/>
              <w:right w:val="single" w:sz="8" w:space="0" w:color="000000"/>
            </w:tcBorders>
          </w:tcPr>
          <w:p w14:paraId="5780048D" w14:textId="77777777" w:rsidR="00C13C09" w:rsidRPr="00306115" w:rsidRDefault="00C13C09" w:rsidP="00C74C14">
            <w:pPr>
              <w:widowControl w:val="0"/>
              <w:pBdr>
                <w:top w:val="nil"/>
                <w:left w:val="nil"/>
                <w:bottom w:val="nil"/>
                <w:right w:val="nil"/>
                <w:between w:val="nil"/>
              </w:pBdr>
              <w:spacing w:after="0" w:line="240" w:lineRule="auto"/>
              <w:rPr>
                <w:rFonts w:eastAsia="Bookman Old Style" w:cs="Bookman Old Style"/>
                <w:color w:val="000000" w:themeColor="text1"/>
                <w:szCs w:val="24"/>
              </w:rPr>
            </w:pPr>
          </w:p>
        </w:tc>
        <w:tc>
          <w:tcPr>
            <w:tcW w:w="2552" w:type="dxa"/>
            <w:tcBorders>
              <w:top w:val="single" w:sz="8" w:space="0" w:color="000000"/>
              <w:left w:val="single" w:sz="8" w:space="0" w:color="000000"/>
              <w:bottom w:val="single" w:sz="8" w:space="0" w:color="000000"/>
              <w:right w:val="single" w:sz="8" w:space="0" w:color="000000"/>
            </w:tcBorders>
          </w:tcPr>
          <w:p w14:paraId="653B774D" w14:textId="77777777" w:rsidR="00C13C09" w:rsidRPr="00306115" w:rsidRDefault="00C13C09" w:rsidP="00C74C14">
            <w:pPr>
              <w:widowControl w:val="0"/>
              <w:pBdr>
                <w:top w:val="nil"/>
                <w:left w:val="nil"/>
                <w:bottom w:val="nil"/>
                <w:right w:val="nil"/>
                <w:between w:val="nil"/>
              </w:pBdr>
              <w:spacing w:after="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Besarnya nominal kerugian yang dialami Manajer Investasi dari adanya putusan pengadilan yang mempunyai kekuatan hukum tetap yang diajukan oleh pihak terkait dibandingkan dengan Modal Kerja Bersih Disesuaikan (MKBD)</w:t>
            </w:r>
          </w:p>
        </w:tc>
        <w:tc>
          <w:tcPr>
            <w:tcW w:w="8788" w:type="dxa"/>
            <w:tcBorders>
              <w:top w:val="single" w:sz="8" w:space="0" w:color="000000"/>
              <w:left w:val="single" w:sz="8" w:space="0" w:color="000000"/>
              <w:bottom w:val="single" w:sz="8" w:space="0" w:color="000000"/>
              <w:right w:val="single" w:sz="8" w:space="0" w:color="000000"/>
            </w:tcBorders>
          </w:tcPr>
          <w:p w14:paraId="355CBC42" w14:textId="1812147F" w:rsidR="00C13C09" w:rsidRPr="00306115" w:rsidRDefault="00C13C09">
            <w:pPr>
              <w:pStyle w:val="ListParagraph"/>
              <w:widowControl w:val="0"/>
              <w:numPr>
                <w:ilvl w:val="0"/>
                <w:numId w:val="489"/>
              </w:numPr>
              <w:pBdr>
                <w:top w:val="nil"/>
                <w:left w:val="nil"/>
                <w:bottom w:val="nil"/>
                <w:right w:val="nil"/>
                <w:between w:val="nil"/>
              </w:pBdr>
              <w:spacing w:after="0" w:line="240" w:lineRule="auto"/>
              <w:ind w:left="567" w:hanging="567"/>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 xml:space="preserve">Parameter atau indikator ini dihitung dengan membandingkan jumlah kerugian akibat putusan pengadilan </w:t>
            </w:r>
            <w:r w:rsidRPr="00306115">
              <w:rPr>
                <w:rFonts w:eastAsia="Bookman Old Style" w:cs="Bookman Old Style"/>
                <w:color w:val="000000" w:themeColor="text1"/>
                <w:szCs w:val="24"/>
                <w:lang w:val="en-GB"/>
              </w:rPr>
              <w:t>atau hasil sengketa yang diselesaikan melalui LAPS JK dan</w:t>
            </w:r>
            <w:r w:rsidRPr="00306115">
              <w:rPr>
                <w:rFonts w:eastAsia="Bookman Old Style" w:cs="Bookman Old Style"/>
                <w:color w:val="000000" w:themeColor="text1"/>
                <w:szCs w:val="24"/>
              </w:rPr>
              <w:t xml:space="preserve"> telah memperoleh kekuatan hukum tetap dalam 1 (satu) tahun terakhir dengan MKBD.</w:t>
            </w:r>
          </w:p>
          <w:p w14:paraId="74155D37" w14:textId="65C3805A" w:rsidR="00C13C09" w:rsidRPr="00306115" w:rsidRDefault="00DD3739" w:rsidP="00C74C14">
            <w:pPr>
              <w:spacing w:after="0" w:line="240" w:lineRule="auto"/>
              <w:ind w:left="1361" w:hangingChars="567" w:hanging="1361"/>
              <w:jc w:val="center"/>
              <w:rPr>
                <w:rFonts w:eastAsia="Cambria Math" w:cs="Cambria Math"/>
                <w:color w:val="000000" w:themeColor="text1"/>
                <w:szCs w:val="24"/>
              </w:rPr>
            </w:pPr>
            <m:oMathPara>
              <m:oMathParaPr>
                <m:jc m:val="left"/>
              </m:oMathParaPr>
              <m:oMath>
                <m:nary>
                  <m:naryPr>
                    <m:chr m:val="∑"/>
                    <m:ctrlPr>
                      <w:rPr>
                        <w:rFonts w:ascii="Cambria Math" w:hAnsi="Cambria Math"/>
                        <w:color w:val="000000" w:themeColor="text1"/>
                        <w:szCs w:val="24"/>
                      </w:rPr>
                    </m:ctrlPr>
                  </m:naryPr>
                  <m:sub/>
                  <m:sup/>
                  <m:e/>
                </m:nary>
                <m:f>
                  <m:fPr>
                    <m:ctrlPr>
                      <w:rPr>
                        <w:rFonts w:ascii="Cambria Math" w:eastAsia="Cambria Math" w:hAnsi="Cambria Math" w:cs="Cambria Math"/>
                        <w:color w:val="000000" w:themeColor="text1"/>
                        <w:szCs w:val="24"/>
                      </w:rPr>
                    </m:ctrlPr>
                  </m:fPr>
                  <m:num>
                    <m:r>
                      <w:rPr>
                        <w:rFonts w:ascii="Cambria Math" w:eastAsia="Cambria Math" w:hAnsi="Cambria Math" w:cs="Cambria Math"/>
                        <w:color w:val="000000" w:themeColor="text1"/>
                        <w:szCs w:val="24"/>
                      </w:rPr>
                      <m:t>Nominal</m:t>
                    </m:r>
                    <m:r>
                      <w:rPr>
                        <w:rFonts w:ascii="Cambria Math" w:eastAsia="Cambria Math" w:hAnsi="Cambria Math" w:cs="Cambria Math"/>
                        <w:color w:val="000000" w:themeColor="text1"/>
                        <w:szCs w:val="24"/>
                      </w:rPr>
                      <m:t xml:space="preserve"> </m:t>
                    </m:r>
                    <m:r>
                      <w:rPr>
                        <w:rFonts w:ascii="Cambria Math" w:eastAsia="Cambria Math" w:hAnsi="Cambria Math" w:cs="Cambria Math"/>
                        <w:color w:val="000000" w:themeColor="text1"/>
                        <w:szCs w:val="24"/>
                      </w:rPr>
                      <m:t>kerugian</m:t>
                    </m:r>
                    <m:r>
                      <w:rPr>
                        <w:rFonts w:ascii="Cambria Math" w:eastAsia="Cambria Math" w:hAnsi="Cambria Math" w:cs="Cambria Math"/>
                        <w:color w:val="000000" w:themeColor="text1"/>
                        <w:szCs w:val="24"/>
                      </w:rPr>
                      <m:t xml:space="preserve"> </m:t>
                    </m:r>
                    <m:r>
                      <w:rPr>
                        <w:rFonts w:ascii="Cambria Math" w:eastAsia="Cambria Math" w:hAnsi="Cambria Math" w:cs="Cambria Math"/>
                        <w:color w:val="000000" w:themeColor="text1"/>
                        <w:szCs w:val="24"/>
                      </w:rPr>
                      <m:t>atas</m:t>
                    </m:r>
                    <m:r>
                      <w:rPr>
                        <w:rFonts w:ascii="Cambria Math" w:eastAsia="Cambria Math" w:hAnsi="Cambria Math" w:cs="Cambria Math"/>
                        <w:color w:val="000000" w:themeColor="text1"/>
                        <w:szCs w:val="24"/>
                      </w:rPr>
                      <m:t xml:space="preserve"> </m:t>
                    </m:r>
                    <m:r>
                      <w:rPr>
                        <w:rFonts w:ascii="Cambria Math" w:eastAsia="Cambria Math" w:hAnsi="Cambria Math" w:cs="Cambria Math"/>
                        <w:color w:val="000000" w:themeColor="text1"/>
                        <w:szCs w:val="24"/>
                      </w:rPr>
                      <m:t>keputusan</m:t>
                    </m:r>
                    <m:r>
                      <w:rPr>
                        <w:rFonts w:ascii="Cambria Math" w:eastAsia="Cambria Math" w:hAnsi="Cambria Math" w:cs="Cambria Math"/>
                        <w:color w:val="000000" w:themeColor="text1"/>
                        <w:szCs w:val="24"/>
                      </w:rPr>
                      <m:t xml:space="preserve"> </m:t>
                    </m:r>
                    <m:r>
                      <w:rPr>
                        <w:rFonts w:ascii="Cambria Math" w:eastAsia="Cambria Math" w:hAnsi="Cambria Math" w:cs="Cambria Math"/>
                        <w:color w:val="000000" w:themeColor="text1"/>
                        <w:szCs w:val="24"/>
                      </w:rPr>
                      <m:t>pengadilan</m:t>
                    </m:r>
                  </m:num>
                  <m:den>
                    <m:r>
                      <w:rPr>
                        <w:rFonts w:ascii="Cambria Math" w:eastAsia="Cambria Math" w:hAnsi="Cambria Math" w:cs="Cambria Math"/>
                        <w:color w:val="000000" w:themeColor="text1"/>
                        <w:szCs w:val="24"/>
                      </w:rPr>
                      <m:t>MKBD</m:t>
                    </m:r>
                  </m:den>
                </m:f>
              </m:oMath>
            </m:oMathPara>
          </w:p>
          <w:p w14:paraId="72A5F559" w14:textId="77777777" w:rsidR="00C13C09" w:rsidRPr="00306115" w:rsidRDefault="00C13C09" w:rsidP="00C74C14">
            <w:pPr>
              <w:widowControl w:val="0"/>
              <w:pBdr>
                <w:top w:val="nil"/>
                <w:left w:val="nil"/>
                <w:bottom w:val="nil"/>
                <w:right w:val="nil"/>
                <w:between w:val="nil"/>
              </w:pBdr>
              <w:spacing w:after="0" w:line="240" w:lineRule="auto"/>
              <w:ind w:left="1361" w:hangingChars="567" w:hanging="1361"/>
              <w:rPr>
                <w:rFonts w:eastAsia="Bookman Old Style" w:cs="Bookman Old Style"/>
                <w:color w:val="000000" w:themeColor="text1"/>
                <w:szCs w:val="24"/>
              </w:rPr>
            </w:pPr>
          </w:p>
          <w:p w14:paraId="4BD0B9B1" w14:textId="77777777" w:rsidR="00C13C09" w:rsidRPr="00306115" w:rsidRDefault="00C13C09">
            <w:pPr>
              <w:pStyle w:val="ListParagraph"/>
              <w:widowControl w:val="0"/>
              <w:numPr>
                <w:ilvl w:val="0"/>
                <w:numId w:val="489"/>
              </w:numPr>
              <w:pBdr>
                <w:top w:val="nil"/>
                <w:left w:val="nil"/>
                <w:bottom w:val="nil"/>
                <w:right w:val="nil"/>
                <w:between w:val="nil"/>
              </w:pBdr>
              <w:spacing w:after="0" w:line="240" w:lineRule="auto"/>
              <w:ind w:left="567" w:hanging="567"/>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Rasio ini untuk melihat sejauh mana dampak kerugian yang dialami Manajer Investasi karena suatu keputusan hukum terhadap kelangsungan hidup Manajer Investasi.</w:t>
            </w:r>
          </w:p>
          <w:p w14:paraId="28CEE298" w14:textId="35A511F9" w:rsidR="00C13C09" w:rsidRPr="00306115" w:rsidRDefault="00C13C09">
            <w:pPr>
              <w:pStyle w:val="ListParagraph"/>
              <w:widowControl w:val="0"/>
              <w:numPr>
                <w:ilvl w:val="0"/>
                <w:numId w:val="489"/>
              </w:numPr>
              <w:pBdr>
                <w:top w:val="nil"/>
                <w:left w:val="nil"/>
                <w:bottom w:val="nil"/>
                <w:right w:val="nil"/>
                <w:between w:val="nil"/>
              </w:pBdr>
              <w:spacing w:after="0" w:line="240" w:lineRule="auto"/>
              <w:ind w:left="567" w:hanging="567"/>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Adapun klasifikasi penilaian indikator ini terbagi menjadi 5 (lima) peringkat sebagai berikut:</w:t>
            </w:r>
          </w:p>
          <w:p w14:paraId="1E19663A" w14:textId="310B4CD6" w:rsidR="00C13C09" w:rsidRPr="00306115" w:rsidRDefault="00C13C09">
            <w:pPr>
              <w:pStyle w:val="ListParagraph"/>
              <w:widowControl w:val="0"/>
              <w:numPr>
                <w:ilvl w:val="0"/>
                <w:numId w:val="490"/>
              </w:numPr>
              <w:pBdr>
                <w:top w:val="nil"/>
                <w:left w:val="nil"/>
                <w:bottom w:val="nil"/>
                <w:right w:val="nil"/>
                <w:between w:val="nil"/>
              </w:pBdr>
              <w:spacing w:after="0" w:line="240" w:lineRule="auto"/>
              <w:ind w:left="1134" w:hanging="567"/>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1: Tidak terdapat tuntutan atau gugatan hukum yang diajukan kepada Manajer Investasi</w:t>
            </w:r>
          </w:p>
          <w:p w14:paraId="4CB9C171" w14:textId="32CCCB3E" w:rsidR="00C13C09" w:rsidRPr="00306115" w:rsidRDefault="00C13C09">
            <w:pPr>
              <w:pStyle w:val="ListParagraph"/>
              <w:widowControl w:val="0"/>
              <w:numPr>
                <w:ilvl w:val="0"/>
                <w:numId w:val="490"/>
              </w:numPr>
              <w:pBdr>
                <w:top w:val="nil"/>
                <w:left w:val="nil"/>
                <w:bottom w:val="nil"/>
                <w:right w:val="nil"/>
                <w:between w:val="nil"/>
              </w:pBdr>
              <w:spacing w:after="0" w:line="240" w:lineRule="auto"/>
              <w:ind w:left="1134" w:hanging="567"/>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2: Rasio nominal kerugian atas keputusan pengadilan terhadap MKBD &gt; 0% dan ≤3% </w:t>
            </w:r>
          </w:p>
          <w:p w14:paraId="438F3C4F" w14:textId="2776BBC6" w:rsidR="00C13C09" w:rsidRPr="00306115" w:rsidRDefault="00C13C09">
            <w:pPr>
              <w:pStyle w:val="ListParagraph"/>
              <w:widowControl w:val="0"/>
              <w:numPr>
                <w:ilvl w:val="0"/>
                <w:numId w:val="490"/>
              </w:numPr>
              <w:pBdr>
                <w:top w:val="nil"/>
                <w:left w:val="nil"/>
                <w:bottom w:val="nil"/>
                <w:right w:val="nil"/>
                <w:between w:val="nil"/>
              </w:pBdr>
              <w:spacing w:after="0" w:line="240" w:lineRule="auto"/>
              <w:ind w:left="1134" w:hanging="567"/>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3:  Rasio nominal kerugian atas keputusan pengadilan terhadap MKBD &gt; 3% dan ≤6% </w:t>
            </w:r>
          </w:p>
          <w:p w14:paraId="27C8E1F6" w14:textId="144402CC" w:rsidR="00C13C09" w:rsidRPr="00306115" w:rsidRDefault="00C13C09">
            <w:pPr>
              <w:pStyle w:val="ListParagraph"/>
              <w:widowControl w:val="0"/>
              <w:numPr>
                <w:ilvl w:val="0"/>
                <w:numId w:val="490"/>
              </w:numPr>
              <w:pBdr>
                <w:top w:val="nil"/>
                <w:left w:val="nil"/>
                <w:bottom w:val="nil"/>
                <w:right w:val="nil"/>
                <w:between w:val="nil"/>
              </w:pBdr>
              <w:spacing w:after="0" w:line="240" w:lineRule="auto"/>
              <w:ind w:left="1134" w:hanging="567"/>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4 Rasio nominal kerugian atas keputusan pengadilan terhadap MKBD &gt; 6% dan ≤12% </w:t>
            </w:r>
          </w:p>
          <w:p w14:paraId="63C24699" w14:textId="0D985161" w:rsidR="00C13C09" w:rsidRPr="00306115" w:rsidRDefault="00C13C09">
            <w:pPr>
              <w:pStyle w:val="ListParagraph"/>
              <w:widowControl w:val="0"/>
              <w:numPr>
                <w:ilvl w:val="0"/>
                <w:numId w:val="490"/>
              </w:numPr>
              <w:pBdr>
                <w:top w:val="nil"/>
                <w:left w:val="nil"/>
                <w:bottom w:val="nil"/>
                <w:right w:val="nil"/>
                <w:between w:val="nil"/>
              </w:pBdr>
              <w:spacing w:after="0" w:line="240" w:lineRule="auto"/>
              <w:ind w:left="1134" w:hanging="567"/>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5:  Rasio nominal</w:t>
            </w:r>
            <w:r w:rsidR="006714BE">
              <w:rPr>
                <w:rFonts w:eastAsia="Bookman Old Style" w:cs="Bookman Old Style"/>
                <w:color w:val="000000" w:themeColor="text1"/>
                <w:szCs w:val="24"/>
              </w:rPr>
              <w:t xml:space="preserve"> </w:t>
            </w:r>
            <w:r w:rsidRPr="00306115">
              <w:rPr>
                <w:rFonts w:eastAsia="Bookman Old Style" w:cs="Bookman Old Style"/>
                <w:color w:val="000000" w:themeColor="text1"/>
                <w:szCs w:val="24"/>
              </w:rPr>
              <w:t xml:space="preserve">Rasio nominal kerugian atas keputusan pengadilan terhadap MKBD &gt; 12% atau </w:t>
            </w:r>
            <w:r w:rsidRPr="00306115">
              <w:rPr>
                <w:rFonts w:eastAsia="Bookman Old Style" w:cs="Bookman Old Style"/>
                <w:color w:val="000000" w:themeColor="text1"/>
                <w:szCs w:val="24"/>
              </w:rPr>
              <w:lastRenderedPageBreak/>
              <w:t>mengganggu kelangsungan usaha (</w:t>
            </w:r>
            <w:r w:rsidRPr="00306115">
              <w:rPr>
                <w:rFonts w:eastAsia="Bookman Old Style" w:cs="Bookman Old Style"/>
                <w:i/>
                <w:iCs/>
                <w:color w:val="000000" w:themeColor="text1"/>
                <w:szCs w:val="24"/>
              </w:rPr>
              <w:t>going concern</w:t>
            </w:r>
            <w:r w:rsidRPr="00306115">
              <w:rPr>
                <w:rFonts w:eastAsia="Bookman Old Style" w:cs="Bookman Old Style"/>
                <w:color w:val="000000" w:themeColor="text1"/>
                <w:szCs w:val="24"/>
              </w:rPr>
              <w:t>) Manajer Investasi</w:t>
            </w:r>
          </w:p>
        </w:tc>
      </w:tr>
      <w:tr w:rsidR="00285787" w:rsidRPr="00306115" w14:paraId="342E9558" w14:textId="77777777" w:rsidTr="00C74C14">
        <w:trPr>
          <w:trHeight w:val="412"/>
        </w:trPr>
        <w:tc>
          <w:tcPr>
            <w:tcW w:w="14732" w:type="dxa"/>
            <w:gridSpan w:val="4"/>
            <w:tcBorders>
              <w:top w:val="single" w:sz="8" w:space="0" w:color="000000"/>
              <w:left w:val="single" w:sz="8" w:space="0" w:color="000000"/>
              <w:bottom w:val="single" w:sz="8" w:space="0" w:color="000000"/>
              <w:right w:val="single" w:sz="8" w:space="0" w:color="000000"/>
            </w:tcBorders>
            <w:shd w:val="clear" w:color="auto" w:fill="D9D9D9"/>
          </w:tcPr>
          <w:p w14:paraId="461BD105" w14:textId="77777777" w:rsidR="00285787" w:rsidRPr="00306115" w:rsidRDefault="00285787">
            <w:pPr>
              <w:pStyle w:val="ListParagraph"/>
              <w:widowControl w:val="0"/>
              <w:numPr>
                <w:ilvl w:val="0"/>
                <w:numId w:val="300"/>
              </w:numPr>
              <w:pBdr>
                <w:top w:val="nil"/>
                <w:left w:val="nil"/>
                <w:bottom w:val="nil"/>
                <w:right w:val="nil"/>
                <w:between w:val="nil"/>
              </w:pBdr>
              <w:spacing w:before="60" w:after="60" w:line="240" w:lineRule="auto"/>
              <w:ind w:left="567" w:hanging="567"/>
              <w:rPr>
                <w:rFonts w:eastAsia="Bookman Old Style" w:cs="Bookman Old Style"/>
                <w:b/>
                <w:bCs/>
                <w:color w:val="000000" w:themeColor="text1"/>
                <w:szCs w:val="24"/>
              </w:rPr>
            </w:pPr>
            <w:r w:rsidRPr="00306115">
              <w:rPr>
                <w:rFonts w:eastAsia="Bookman Old Style" w:cs="Bookman Old Style"/>
                <w:b/>
                <w:bCs/>
                <w:color w:val="000000" w:themeColor="text1"/>
                <w:szCs w:val="24"/>
              </w:rPr>
              <w:lastRenderedPageBreak/>
              <w:t>Kualitas Penerapan Manajemen Risiko</w:t>
            </w:r>
          </w:p>
        </w:tc>
      </w:tr>
      <w:tr w:rsidR="00285787" w:rsidRPr="00306115" w14:paraId="172E84B4" w14:textId="77777777" w:rsidTr="00E24B67">
        <w:trPr>
          <w:trHeight w:val="412"/>
        </w:trPr>
        <w:tc>
          <w:tcPr>
            <w:tcW w:w="1266" w:type="dxa"/>
            <w:tcBorders>
              <w:top w:val="single" w:sz="8" w:space="0" w:color="000000"/>
              <w:left w:val="single" w:sz="8" w:space="0" w:color="000000"/>
              <w:bottom w:val="single" w:sz="8" w:space="0" w:color="000000"/>
              <w:right w:val="single" w:sz="8" w:space="0" w:color="000000"/>
            </w:tcBorders>
          </w:tcPr>
          <w:p w14:paraId="7A24135A" w14:textId="77777777" w:rsidR="00285787" w:rsidRPr="00306115" w:rsidRDefault="00285787">
            <w:pPr>
              <w:pStyle w:val="ListParagraph"/>
              <w:widowControl w:val="0"/>
              <w:numPr>
                <w:ilvl w:val="0"/>
                <w:numId w:val="301"/>
              </w:numPr>
              <w:pBdr>
                <w:top w:val="nil"/>
                <w:left w:val="nil"/>
                <w:bottom w:val="nil"/>
                <w:right w:val="nil"/>
                <w:between w:val="nil"/>
              </w:pBdr>
              <w:tabs>
                <w:tab w:val="left" w:pos="440"/>
              </w:tabs>
              <w:spacing w:after="0" w:line="240" w:lineRule="auto"/>
              <w:rPr>
                <w:rFonts w:eastAsia="Bookman Old Style" w:cs="Bookman Old Style"/>
                <w:b/>
                <w:bCs/>
                <w:color w:val="000000" w:themeColor="text1"/>
                <w:szCs w:val="24"/>
              </w:rPr>
            </w:pPr>
          </w:p>
        </w:tc>
        <w:tc>
          <w:tcPr>
            <w:tcW w:w="13466" w:type="dxa"/>
            <w:gridSpan w:val="3"/>
            <w:tcBorders>
              <w:top w:val="single" w:sz="8" w:space="0" w:color="000000"/>
              <w:left w:val="single" w:sz="8" w:space="0" w:color="000000"/>
              <w:bottom w:val="single" w:sz="8" w:space="0" w:color="000000"/>
              <w:right w:val="single" w:sz="8" w:space="0" w:color="000000"/>
            </w:tcBorders>
          </w:tcPr>
          <w:p w14:paraId="55076159" w14:textId="77777777" w:rsidR="00285787" w:rsidRPr="00306115" w:rsidRDefault="00285787" w:rsidP="00CC4F33">
            <w:pPr>
              <w:widowControl w:val="0"/>
              <w:pBdr>
                <w:top w:val="nil"/>
                <w:left w:val="nil"/>
                <w:bottom w:val="nil"/>
                <w:right w:val="nil"/>
                <w:between w:val="nil"/>
              </w:pBdr>
              <w:tabs>
                <w:tab w:val="left" w:pos="440"/>
              </w:tabs>
              <w:spacing w:before="60" w:after="60" w:line="240" w:lineRule="auto"/>
              <w:rPr>
                <w:rFonts w:eastAsia="Bookman Old Style" w:cs="Bookman Old Style"/>
                <w:b/>
                <w:bCs/>
                <w:color w:val="000000" w:themeColor="text1"/>
                <w:szCs w:val="24"/>
              </w:rPr>
            </w:pPr>
            <w:r w:rsidRPr="00306115">
              <w:rPr>
                <w:rFonts w:eastAsia="Bookman Old Style" w:cs="Bookman Old Style"/>
                <w:color w:val="000000" w:themeColor="text1"/>
                <w:szCs w:val="24"/>
              </w:rPr>
              <w:t>Tata kelola risiko (</w:t>
            </w:r>
            <w:r w:rsidRPr="00306115">
              <w:rPr>
                <w:rFonts w:eastAsia="Bookman Old Style" w:cs="Bookman Old Style"/>
                <w:i/>
                <w:iCs/>
                <w:color w:val="000000" w:themeColor="text1"/>
                <w:szCs w:val="24"/>
              </w:rPr>
              <w:t>risk governance</w:t>
            </w:r>
            <w:r w:rsidRPr="00306115">
              <w:rPr>
                <w:rFonts w:eastAsia="Bookman Old Style" w:cs="Bookman Old Style"/>
                <w:color w:val="000000" w:themeColor="text1"/>
                <w:szCs w:val="24"/>
              </w:rPr>
              <w:t>) mencakup evaluasi terhadap: (i) perumusan tingkat risiko yang akan diambil (</w:t>
            </w:r>
            <w:r w:rsidRPr="00306115">
              <w:rPr>
                <w:rFonts w:eastAsia="Bookman Old Style" w:cs="Bookman Old Style"/>
                <w:i/>
                <w:iCs/>
                <w:color w:val="000000" w:themeColor="text1"/>
                <w:szCs w:val="24"/>
              </w:rPr>
              <w:t>risk appetite</w:t>
            </w:r>
            <w:r w:rsidRPr="00306115">
              <w:rPr>
                <w:rFonts w:eastAsia="Bookman Old Style" w:cs="Bookman Old Style"/>
                <w:color w:val="000000" w:themeColor="text1"/>
                <w:szCs w:val="24"/>
              </w:rPr>
              <w:t>) dan toleransi risiko (</w:t>
            </w:r>
            <w:r w:rsidRPr="00306115">
              <w:rPr>
                <w:rFonts w:eastAsia="Bookman Old Style" w:cs="Bookman Old Style"/>
                <w:i/>
                <w:iCs/>
                <w:color w:val="000000" w:themeColor="text1"/>
                <w:szCs w:val="24"/>
              </w:rPr>
              <w:t>risk tolerance</w:t>
            </w:r>
            <w:r w:rsidRPr="00306115">
              <w:rPr>
                <w:rFonts w:eastAsia="Bookman Old Style" w:cs="Bookman Old Style"/>
                <w:color w:val="000000" w:themeColor="text1"/>
                <w:szCs w:val="24"/>
              </w:rPr>
              <w:t>) dan (ii) kecukupan pengawasan aktif oleh Direksi dan Dewan Komisaris termasuk pelaksanaan kewenangan dan tanggung jawab Direksi dan Dewan Komisaris.</w:t>
            </w:r>
          </w:p>
        </w:tc>
      </w:tr>
      <w:tr w:rsidR="00285787" w:rsidRPr="00306115" w14:paraId="263E1D34" w14:textId="77777777" w:rsidTr="00E24B67">
        <w:trPr>
          <w:trHeight w:val="412"/>
        </w:trPr>
        <w:tc>
          <w:tcPr>
            <w:tcW w:w="1266" w:type="dxa"/>
            <w:tcBorders>
              <w:top w:val="single" w:sz="8" w:space="0" w:color="000000"/>
              <w:left w:val="single" w:sz="8" w:space="0" w:color="000000"/>
              <w:bottom w:val="single" w:sz="8" w:space="0" w:color="000000"/>
              <w:right w:val="single" w:sz="8" w:space="0" w:color="000000"/>
            </w:tcBorders>
          </w:tcPr>
          <w:p w14:paraId="6EA59A0C" w14:textId="77777777" w:rsidR="00285787" w:rsidRPr="00306115" w:rsidRDefault="00285787">
            <w:pPr>
              <w:widowControl w:val="0"/>
              <w:numPr>
                <w:ilvl w:val="0"/>
                <w:numId w:val="301"/>
              </w:numPr>
              <w:pBdr>
                <w:top w:val="nil"/>
                <w:left w:val="nil"/>
                <w:bottom w:val="nil"/>
                <w:right w:val="nil"/>
                <w:between w:val="nil"/>
              </w:pBdr>
              <w:tabs>
                <w:tab w:val="left" w:pos="440"/>
              </w:tabs>
              <w:spacing w:after="0" w:line="240" w:lineRule="auto"/>
              <w:rPr>
                <w:rFonts w:eastAsia="Bookman Old Style" w:cs="Bookman Old Style"/>
                <w:b/>
                <w:bCs/>
                <w:color w:val="000000" w:themeColor="text1"/>
                <w:szCs w:val="24"/>
              </w:rPr>
            </w:pPr>
          </w:p>
        </w:tc>
        <w:tc>
          <w:tcPr>
            <w:tcW w:w="13466" w:type="dxa"/>
            <w:gridSpan w:val="3"/>
            <w:tcBorders>
              <w:top w:val="single" w:sz="8" w:space="0" w:color="000000"/>
              <w:left w:val="single" w:sz="8" w:space="0" w:color="000000"/>
              <w:bottom w:val="single" w:sz="8" w:space="0" w:color="000000"/>
              <w:right w:val="single" w:sz="8" w:space="0" w:color="000000"/>
            </w:tcBorders>
          </w:tcPr>
          <w:p w14:paraId="6213A216" w14:textId="77777777" w:rsidR="00285787" w:rsidRPr="00306115" w:rsidRDefault="00285787" w:rsidP="00CC4F33">
            <w:pPr>
              <w:widowControl w:val="0"/>
              <w:pBdr>
                <w:top w:val="nil"/>
                <w:left w:val="nil"/>
                <w:bottom w:val="nil"/>
                <w:right w:val="nil"/>
                <w:between w:val="nil"/>
              </w:pBdr>
              <w:tabs>
                <w:tab w:val="left" w:pos="440"/>
              </w:tabs>
              <w:spacing w:before="60" w:after="60" w:line="240" w:lineRule="auto"/>
              <w:rPr>
                <w:rFonts w:eastAsia="Bookman Old Style" w:cs="Bookman Old Style"/>
                <w:b/>
                <w:bCs/>
                <w:color w:val="000000" w:themeColor="text1"/>
                <w:szCs w:val="24"/>
              </w:rPr>
            </w:pPr>
            <w:r w:rsidRPr="00306115">
              <w:rPr>
                <w:rFonts w:eastAsia="Bookman Old Style" w:cs="Bookman Old Style"/>
                <w:color w:val="000000" w:themeColor="text1"/>
                <w:szCs w:val="24"/>
              </w:rPr>
              <w:t>Kerangka Manajemen Risiko mencakup evaluasi terhadap: (i) strategi Manajemen Risiko yang searah dengan tingkat risiko yang akan diambil dan toleransi risiko; (ii) kecukupan perangkat organisasi dalam mendukung terlaksananya Manajemen Risiko secara efektif termasuk kejelasan wewenang dan tanggung jawab; dan (iii) kecukupan kebijakan dan prosedur Manajemen Risiko serta penetapan limit risiko.</w:t>
            </w:r>
          </w:p>
        </w:tc>
      </w:tr>
      <w:tr w:rsidR="00285787" w:rsidRPr="00306115" w14:paraId="6AAB723E" w14:textId="77777777" w:rsidTr="00E24B67">
        <w:trPr>
          <w:trHeight w:val="412"/>
        </w:trPr>
        <w:tc>
          <w:tcPr>
            <w:tcW w:w="1266" w:type="dxa"/>
            <w:tcBorders>
              <w:top w:val="single" w:sz="8" w:space="0" w:color="000000"/>
              <w:left w:val="single" w:sz="8" w:space="0" w:color="000000"/>
              <w:bottom w:val="single" w:sz="8" w:space="0" w:color="000000"/>
              <w:right w:val="single" w:sz="8" w:space="0" w:color="000000"/>
            </w:tcBorders>
          </w:tcPr>
          <w:p w14:paraId="37F32D5B" w14:textId="77777777" w:rsidR="00285787" w:rsidRPr="00306115" w:rsidRDefault="00285787">
            <w:pPr>
              <w:widowControl w:val="0"/>
              <w:numPr>
                <w:ilvl w:val="0"/>
                <w:numId w:val="301"/>
              </w:numPr>
              <w:pBdr>
                <w:top w:val="nil"/>
                <w:left w:val="nil"/>
                <w:bottom w:val="nil"/>
                <w:right w:val="nil"/>
                <w:between w:val="nil"/>
              </w:pBdr>
              <w:tabs>
                <w:tab w:val="left" w:pos="440"/>
              </w:tabs>
              <w:spacing w:after="0" w:line="240" w:lineRule="auto"/>
              <w:rPr>
                <w:rFonts w:eastAsia="Bookman Old Style" w:cs="Bookman Old Style"/>
                <w:b/>
                <w:bCs/>
                <w:color w:val="000000" w:themeColor="text1"/>
                <w:szCs w:val="24"/>
              </w:rPr>
            </w:pPr>
          </w:p>
        </w:tc>
        <w:tc>
          <w:tcPr>
            <w:tcW w:w="13466" w:type="dxa"/>
            <w:gridSpan w:val="3"/>
            <w:tcBorders>
              <w:top w:val="single" w:sz="8" w:space="0" w:color="000000"/>
              <w:left w:val="single" w:sz="8" w:space="0" w:color="000000"/>
              <w:bottom w:val="single" w:sz="8" w:space="0" w:color="000000"/>
              <w:right w:val="single" w:sz="8" w:space="0" w:color="000000"/>
            </w:tcBorders>
          </w:tcPr>
          <w:p w14:paraId="071FD142" w14:textId="77777777" w:rsidR="00285787" w:rsidRPr="00306115" w:rsidRDefault="00285787" w:rsidP="00CC4F33">
            <w:pPr>
              <w:widowControl w:val="0"/>
              <w:pBdr>
                <w:top w:val="nil"/>
                <w:left w:val="nil"/>
                <w:bottom w:val="nil"/>
                <w:right w:val="nil"/>
                <w:between w:val="nil"/>
              </w:pBdr>
              <w:tabs>
                <w:tab w:val="left" w:pos="440"/>
              </w:tabs>
              <w:spacing w:before="60" w:after="60" w:line="240" w:lineRule="auto"/>
              <w:rPr>
                <w:rFonts w:eastAsia="Bookman Old Style" w:cs="Bookman Old Style"/>
                <w:b/>
                <w:bCs/>
                <w:color w:val="000000" w:themeColor="text1"/>
                <w:szCs w:val="24"/>
              </w:rPr>
            </w:pPr>
            <w:r w:rsidRPr="00306115">
              <w:rPr>
                <w:rFonts w:eastAsia="Bookman Old Style" w:cs="Bookman Old Style"/>
                <w:color w:val="000000" w:themeColor="text1"/>
                <w:szCs w:val="24"/>
              </w:rPr>
              <w:t>Proses Manajemen Risiko, sistem informasi, dan sumber daya manusia mencakup evaluasi terhadap: (i) proses identifikasi, pengukuran, pemantauan, dan pengendalian risiko; (ii) kecukupan sistem informasi Manajemen Risiko; dan (iii) kecukupan kuantitas dan kualitas sumber daya manusia dalam mendukung efektivitas proses Manajemen Risiko.</w:t>
            </w:r>
          </w:p>
        </w:tc>
      </w:tr>
      <w:tr w:rsidR="00285787" w:rsidRPr="00306115" w14:paraId="652D5097" w14:textId="77777777" w:rsidTr="00E24B67">
        <w:trPr>
          <w:trHeight w:val="412"/>
        </w:trPr>
        <w:tc>
          <w:tcPr>
            <w:tcW w:w="1266" w:type="dxa"/>
            <w:tcBorders>
              <w:top w:val="single" w:sz="8" w:space="0" w:color="000000"/>
              <w:left w:val="single" w:sz="8" w:space="0" w:color="000000"/>
              <w:bottom w:val="single" w:sz="8" w:space="0" w:color="000000"/>
              <w:right w:val="single" w:sz="8" w:space="0" w:color="000000"/>
            </w:tcBorders>
          </w:tcPr>
          <w:p w14:paraId="4E4AA73D" w14:textId="77777777" w:rsidR="00285787" w:rsidRPr="00306115" w:rsidRDefault="00285787">
            <w:pPr>
              <w:widowControl w:val="0"/>
              <w:numPr>
                <w:ilvl w:val="0"/>
                <w:numId w:val="301"/>
              </w:numPr>
              <w:pBdr>
                <w:top w:val="nil"/>
                <w:left w:val="nil"/>
                <w:bottom w:val="nil"/>
                <w:right w:val="nil"/>
                <w:between w:val="nil"/>
              </w:pBdr>
              <w:tabs>
                <w:tab w:val="left" w:pos="440"/>
              </w:tabs>
              <w:spacing w:after="0" w:line="240" w:lineRule="auto"/>
              <w:rPr>
                <w:rFonts w:eastAsia="Bookman Old Style" w:cs="Bookman Old Style"/>
                <w:b/>
                <w:bCs/>
                <w:color w:val="000000" w:themeColor="text1"/>
                <w:szCs w:val="24"/>
              </w:rPr>
            </w:pPr>
          </w:p>
        </w:tc>
        <w:tc>
          <w:tcPr>
            <w:tcW w:w="13466" w:type="dxa"/>
            <w:gridSpan w:val="3"/>
            <w:tcBorders>
              <w:top w:val="single" w:sz="8" w:space="0" w:color="000000"/>
              <w:left w:val="single" w:sz="8" w:space="0" w:color="000000"/>
              <w:bottom w:val="single" w:sz="8" w:space="0" w:color="000000"/>
              <w:right w:val="single" w:sz="8" w:space="0" w:color="000000"/>
            </w:tcBorders>
          </w:tcPr>
          <w:p w14:paraId="20FEAC86" w14:textId="5CB959A0" w:rsidR="00285787" w:rsidRPr="00306115" w:rsidRDefault="00285787" w:rsidP="00CC4F33">
            <w:pPr>
              <w:widowControl w:val="0"/>
              <w:pBdr>
                <w:top w:val="nil"/>
                <w:left w:val="nil"/>
                <w:bottom w:val="nil"/>
                <w:right w:val="nil"/>
                <w:between w:val="nil"/>
              </w:pBdr>
              <w:tabs>
                <w:tab w:val="left" w:pos="440"/>
              </w:tabs>
              <w:spacing w:before="60" w:after="60" w:line="240" w:lineRule="auto"/>
              <w:rPr>
                <w:rFonts w:eastAsia="Bookman Old Style" w:cs="Bookman Old Style"/>
                <w:b/>
                <w:bCs/>
                <w:color w:val="000000" w:themeColor="text1"/>
                <w:szCs w:val="24"/>
              </w:rPr>
            </w:pPr>
            <w:r w:rsidRPr="00306115">
              <w:rPr>
                <w:rFonts w:eastAsia="Bookman Old Style" w:cs="Bookman Old Style"/>
                <w:color w:val="000000" w:themeColor="text1"/>
                <w:szCs w:val="24"/>
              </w:rPr>
              <w:t xml:space="preserve">Sistem </w:t>
            </w:r>
            <w:r w:rsidR="006745A5" w:rsidRPr="00306115">
              <w:rPr>
                <w:rFonts w:eastAsia="Bookman Old Style" w:cs="Bookman Old Style"/>
                <w:color w:val="000000" w:themeColor="text1"/>
                <w:szCs w:val="24"/>
              </w:rPr>
              <w:t>p</w:t>
            </w:r>
            <w:r w:rsidRPr="00306115">
              <w:rPr>
                <w:rFonts w:eastAsia="Bookman Old Style" w:cs="Bookman Old Style"/>
                <w:color w:val="000000" w:themeColor="text1"/>
                <w:szCs w:val="24"/>
              </w:rPr>
              <w:t xml:space="preserve">engendalian </w:t>
            </w:r>
            <w:r w:rsidR="006745A5" w:rsidRPr="00306115">
              <w:rPr>
                <w:rFonts w:eastAsia="Bookman Old Style" w:cs="Bookman Old Style"/>
                <w:color w:val="000000" w:themeColor="text1"/>
                <w:szCs w:val="24"/>
              </w:rPr>
              <w:t>r</w:t>
            </w:r>
            <w:r w:rsidRPr="00306115">
              <w:rPr>
                <w:rFonts w:eastAsia="Bookman Old Style" w:cs="Bookman Old Style"/>
                <w:color w:val="000000" w:themeColor="text1"/>
                <w:szCs w:val="24"/>
              </w:rPr>
              <w:t xml:space="preserve">isiko mencakup evaluasi terhadap: (i) kecukupan sistem pengendalian internal dan (ii) kecukupan kaji ulang oleh pihak independen dalam Manajer Investasi baik oleh fungsi </w:t>
            </w:r>
            <w:r w:rsidR="001008B5" w:rsidRPr="00306115">
              <w:rPr>
                <w:color w:val="000000" w:themeColor="text1"/>
              </w:rPr>
              <w:t xml:space="preserve"> Manajemen Risiko</w:t>
            </w:r>
            <w:r w:rsidR="001008B5" w:rsidRPr="00306115">
              <w:rPr>
                <w:rFonts w:eastAsia="Bookman Old Style" w:cs="Bookman Old Style"/>
                <w:color w:val="000000" w:themeColor="text1"/>
                <w:szCs w:val="24"/>
              </w:rPr>
              <w:t xml:space="preserve"> </w:t>
            </w:r>
            <w:r w:rsidRPr="00306115">
              <w:rPr>
                <w:rFonts w:eastAsia="Bookman Old Style" w:cs="Bookman Old Style"/>
                <w:color w:val="000000" w:themeColor="text1"/>
                <w:szCs w:val="24"/>
              </w:rPr>
              <w:t>maupun fungsi audit internal.</w:t>
            </w:r>
          </w:p>
        </w:tc>
      </w:tr>
    </w:tbl>
    <w:p w14:paraId="51FA71DE" w14:textId="4D06686F" w:rsidR="00285787" w:rsidRPr="00306115" w:rsidRDefault="001C0F74" w:rsidP="00285787">
      <w:pPr>
        <w:pStyle w:val="HeadingAwalDaftarIsiLampiran"/>
        <w:numPr>
          <w:ilvl w:val="0"/>
          <w:numId w:val="0"/>
        </w:numPr>
        <w:tabs>
          <w:tab w:val="left" w:pos="2552"/>
        </w:tabs>
        <w:ind w:left="1134"/>
        <w:rPr>
          <w:rFonts w:eastAsia="Bookman Old Style" w:cs="Bookman Old Style"/>
        </w:rPr>
      </w:pPr>
      <w:r w:rsidRPr="00306115">
        <w:rPr>
          <w:rFonts w:eastAsia="Bookman Old Style" w:cs="Bookman Old Style"/>
        </w:rPr>
        <w:t xml:space="preserve">*) Merupakan parameter atau indikator minimal dan Manajer Investasi dapat menambah parameter atau indikator lain sesuai dengan karakteristik, kompleksitas usaha, dan kemampuan Manajer Investasi. Penilaian dilakukan dengan posisi akhir per 31 Desember posisi dan tren selama yang mencakup penilaian selama 12 (dua belas) bulan terakhir untuk parameter atau indikator pada Lampiran </w:t>
      </w:r>
      <w:r w:rsidR="00187B21" w:rsidRPr="00306115">
        <w:rPr>
          <w:rFonts w:eastAsia="Bookman Old Style" w:cs="Bookman Old Style"/>
        </w:rPr>
        <w:t xml:space="preserve">IV </w:t>
      </w:r>
      <w:r w:rsidR="00187B21" w:rsidRPr="00306115">
        <w:t>yang merupakan bagian tidak terpisahkan dari Peraturan Anggota Dewan Komisioner Otoritas Jasa Keuangan ini</w:t>
      </w:r>
      <w:r w:rsidRPr="00306115">
        <w:rPr>
          <w:rFonts w:eastAsia="Bookman Old Style" w:cs="Bookman Old Style"/>
        </w:rPr>
        <w:t>.</w:t>
      </w:r>
    </w:p>
    <w:p w14:paraId="13998FCF" w14:textId="77777777" w:rsidR="00DB0573" w:rsidRPr="00306115" w:rsidRDefault="00DB0573" w:rsidP="00285787">
      <w:pPr>
        <w:pStyle w:val="HeadingAwalDaftarIsiLampiran"/>
        <w:numPr>
          <w:ilvl w:val="0"/>
          <w:numId w:val="0"/>
        </w:numPr>
        <w:tabs>
          <w:tab w:val="left" w:pos="2552"/>
        </w:tabs>
        <w:ind w:left="1134"/>
        <w:rPr>
          <w:sz w:val="28"/>
          <w:szCs w:val="28"/>
        </w:rPr>
      </w:pPr>
    </w:p>
    <w:p w14:paraId="35FD9A96" w14:textId="67A431B2" w:rsidR="0084208A" w:rsidRPr="00306115" w:rsidRDefault="005B69C4">
      <w:pPr>
        <w:pStyle w:val="HeadingAwalDaftarIsiLampiran"/>
        <w:numPr>
          <w:ilvl w:val="0"/>
          <w:numId w:val="299"/>
        </w:numPr>
        <w:tabs>
          <w:tab w:val="left" w:pos="2552"/>
        </w:tabs>
        <w:ind w:left="1134" w:hanging="567"/>
      </w:pPr>
      <w:r w:rsidRPr="00306115">
        <w:t>Penilaian Risiko Hukum</w:t>
      </w:r>
    </w:p>
    <w:p w14:paraId="12B52FEB" w14:textId="09E14212" w:rsidR="00CF6774" w:rsidRPr="00306115" w:rsidRDefault="00950157">
      <w:pPr>
        <w:pStyle w:val="HeadingAwalDaftarIsiLampiran"/>
        <w:numPr>
          <w:ilvl w:val="3"/>
          <w:numId w:val="301"/>
        </w:numPr>
        <w:tabs>
          <w:tab w:val="left" w:pos="2552"/>
        </w:tabs>
        <w:ind w:left="1701" w:hanging="567"/>
      </w:pPr>
      <w:r w:rsidRPr="00306115">
        <w:rPr>
          <w:rFonts w:eastAsia="Bookman Old Style" w:cs="Bookman Old Style"/>
        </w:rPr>
        <w:t>Penilaian Risiko Hukum dilakukan berdasarkan hasil penilaian masing-masing parameter atau indikator Risiko Hukum menggunakan analisis yang komprehensif dan terstruktur sehingga memberikan gambaran secara menyeluruh terkait Risiko Hukum.</w:t>
      </w:r>
    </w:p>
    <w:p w14:paraId="4788F886" w14:textId="7E83FB07" w:rsidR="00187B21" w:rsidRPr="00306115" w:rsidRDefault="00B3082A">
      <w:pPr>
        <w:pStyle w:val="HeadingAwalDaftarIsiLampiran"/>
        <w:numPr>
          <w:ilvl w:val="3"/>
          <w:numId w:val="301"/>
        </w:numPr>
        <w:tabs>
          <w:tab w:val="left" w:pos="2552"/>
        </w:tabs>
        <w:ind w:left="1701" w:hanging="567"/>
      </w:pPr>
      <w:r w:rsidRPr="00306115">
        <w:rPr>
          <w:rFonts w:eastAsia="Bookman Old Style" w:cs="Bookman Old Style"/>
          <w:lang w:val="id"/>
        </w:rPr>
        <w:t xml:space="preserve">Dalam menentukan tingkat atau nilai Risiko, pertimbangan utama difokuskan pada besarnya nominal kerugian yang dialami oleh Manajer Investasi. Kerugian ini bersumber dari adanya putusan pengadilan yang telah mempunyai kekuatan </w:t>
      </w:r>
      <w:r w:rsidRPr="00306115">
        <w:rPr>
          <w:rFonts w:eastAsia="Bookman Old Style" w:cs="Bookman Old Style"/>
          <w:lang w:val="id"/>
        </w:rPr>
        <w:lastRenderedPageBreak/>
        <w:t>hukum tetap atas gugatan yang diajukan oleh pihak terkait. Nominal kerugian tersebut kemudian diukur dengan membandingkannya terhadap MKBD perusahaan.</w:t>
      </w:r>
    </w:p>
    <w:p w14:paraId="137B12C7" w14:textId="0D82C5EF" w:rsidR="00950157" w:rsidRPr="00306115" w:rsidRDefault="002D070F">
      <w:pPr>
        <w:pStyle w:val="HeadingAwalDaftarIsiLampiran"/>
        <w:numPr>
          <w:ilvl w:val="3"/>
          <w:numId w:val="301"/>
        </w:numPr>
        <w:tabs>
          <w:tab w:val="left" w:pos="2552"/>
        </w:tabs>
        <w:ind w:left="1701" w:hanging="567"/>
      </w:pPr>
      <w:r w:rsidRPr="00306115">
        <w:rPr>
          <w:rFonts w:eastAsia="Bookman Old Style" w:cs="Bookman Old Style"/>
        </w:rPr>
        <w:t>Penilaian parameter atau indikator Risiko Hukum dapat menggunakan tabel berikut:</w:t>
      </w:r>
    </w:p>
    <w:tbl>
      <w:tblPr>
        <w:tblW w:w="14175" w:type="dxa"/>
        <w:tblInd w:w="16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977"/>
        <w:gridCol w:w="5074"/>
        <w:gridCol w:w="2722"/>
        <w:gridCol w:w="3402"/>
      </w:tblGrid>
      <w:tr w:rsidR="006F0A2B" w:rsidRPr="00306115" w14:paraId="440DF332" w14:textId="77777777" w:rsidTr="006F0A2B">
        <w:trPr>
          <w:trHeight w:val="557"/>
        </w:trPr>
        <w:tc>
          <w:tcPr>
            <w:tcW w:w="14175" w:type="dxa"/>
            <w:gridSpan w:val="4"/>
            <w:tcBorders>
              <w:top w:val="single" w:sz="8" w:space="0" w:color="000000"/>
              <w:left w:val="single" w:sz="8" w:space="0" w:color="000000"/>
              <w:bottom w:val="single" w:sz="8" w:space="0" w:color="000000"/>
              <w:right w:val="single" w:sz="8" w:space="0" w:color="000000"/>
            </w:tcBorders>
            <w:shd w:val="clear" w:color="auto" w:fill="BEBEBE"/>
          </w:tcPr>
          <w:p w14:paraId="3F874925" w14:textId="04A87EEA" w:rsidR="006F0A2B" w:rsidRPr="00306115" w:rsidRDefault="008F7EAE" w:rsidP="006F0A2B">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PT MANAJER INVESTASI ABC</w:t>
            </w:r>
          </w:p>
        </w:tc>
      </w:tr>
      <w:tr w:rsidR="006F0A2B" w:rsidRPr="00306115" w14:paraId="42C3DF07" w14:textId="77777777" w:rsidTr="00CD0CB8">
        <w:trPr>
          <w:trHeight w:val="572"/>
        </w:trPr>
        <w:tc>
          <w:tcPr>
            <w:tcW w:w="2977" w:type="dxa"/>
            <w:tcBorders>
              <w:top w:val="single" w:sz="8" w:space="0" w:color="000000"/>
              <w:left w:val="single" w:sz="8" w:space="0" w:color="000000"/>
              <w:bottom w:val="single" w:sz="8" w:space="0" w:color="000000"/>
              <w:right w:val="single" w:sz="8" w:space="0" w:color="000000"/>
            </w:tcBorders>
            <w:shd w:val="clear" w:color="auto" w:fill="BEBEBE"/>
          </w:tcPr>
          <w:p w14:paraId="6637AE70" w14:textId="77777777" w:rsidR="006F0A2B" w:rsidRPr="00306115" w:rsidRDefault="006F0A2B" w:rsidP="00CD0CB8">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Kategori</w:t>
            </w:r>
          </w:p>
        </w:tc>
        <w:tc>
          <w:tcPr>
            <w:tcW w:w="5074" w:type="dxa"/>
            <w:tcBorders>
              <w:top w:val="single" w:sz="8" w:space="0" w:color="000000"/>
              <w:left w:val="single" w:sz="8" w:space="0" w:color="000000"/>
              <w:bottom w:val="single" w:sz="8" w:space="0" w:color="000000"/>
              <w:right w:val="single" w:sz="8" w:space="0" w:color="000000"/>
            </w:tcBorders>
            <w:shd w:val="clear" w:color="auto" w:fill="BEBEBE"/>
          </w:tcPr>
          <w:p w14:paraId="012BE066" w14:textId="77777777" w:rsidR="006F0A2B" w:rsidRPr="00306115" w:rsidRDefault="006F0A2B" w:rsidP="00CD0CB8">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Indikator</w:t>
            </w:r>
          </w:p>
        </w:tc>
        <w:tc>
          <w:tcPr>
            <w:tcW w:w="2722" w:type="dxa"/>
            <w:tcBorders>
              <w:top w:val="single" w:sz="8" w:space="0" w:color="000000"/>
              <w:left w:val="single" w:sz="8" w:space="0" w:color="000000"/>
              <w:bottom w:val="single" w:sz="8" w:space="0" w:color="000000"/>
              <w:right w:val="single" w:sz="8" w:space="0" w:color="000000"/>
            </w:tcBorders>
            <w:shd w:val="clear" w:color="auto" w:fill="BEBEBE"/>
          </w:tcPr>
          <w:p w14:paraId="0B4C5724" w14:textId="4F199ABE" w:rsidR="006F0A2B" w:rsidRPr="00306115" w:rsidRDefault="00E36B3F" w:rsidP="00CD0CB8">
            <w:pPr>
              <w:widowControl w:val="0"/>
              <w:pBdr>
                <w:top w:val="nil"/>
                <w:left w:val="nil"/>
                <w:bottom w:val="nil"/>
                <w:right w:val="nil"/>
                <w:between w:val="nil"/>
              </w:pBdr>
              <w:spacing w:before="60" w:after="60" w:line="240" w:lineRule="auto"/>
              <w:jc w:val="center"/>
              <w:rPr>
                <w:rFonts w:eastAsia="Bookman Old Style" w:cs="Bookman Old Style"/>
                <w:b/>
                <w:bCs/>
                <w:strike/>
                <w:color w:val="000000" w:themeColor="text1"/>
                <w:szCs w:val="24"/>
              </w:rPr>
            </w:pPr>
            <w:r w:rsidRPr="00306115">
              <w:rPr>
                <w:rFonts w:eastAsia="Bookman Old Style" w:cs="Bookman Old Style"/>
                <w:b/>
                <w:bCs/>
                <w:color w:val="000000" w:themeColor="text1"/>
                <w:szCs w:val="24"/>
              </w:rPr>
              <w:t>Peringkat</w:t>
            </w:r>
          </w:p>
        </w:tc>
        <w:tc>
          <w:tcPr>
            <w:tcW w:w="3402" w:type="dxa"/>
            <w:tcBorders>
              <w:top w:val="single" w:sz="8" w:space="0" w:color="000000"/>
              <w:left w:val="single" w:sz="8" w:space="0" w:color="000000"/>
              <w:bottom w:val="single" w:sz="8" w:space="0" w:color="000000"/>
              <w:right w:val="single" w:sz="8" w:space="0" w:color="000000"/>
            </w:tcBorders>
            <w:shd w:val="clear" w:color="auto" w:fill="BEBEBE"/>
          </w:tcPr>
          <w:p w14:paraId="0AB7A865" w14:textId="77777777" w:rsidR="006F0A2B" w:rsidRPr="00306115" w:rsidRDefault="006F0A2B" w:rsidP="00CD0CB8">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Keterangan</w:t>
            </w:r>
          </w:p>
        </w:tc>
      </w:tr>
      <w:tr w:rsidR="006F0A2B" w:rsidRPr="00306115" w14:paraId="499C30AD" w14:textId="77777777" w:rsidTr="00E24B67">
        <w:trPr>
          <w:trHeight w:val="99"/>
        </w:trPr>
        <w:tc>
          <w:tcPr>
            <w:tcW w:w="2977" w:type="dxa"/>
            <w:vMerge w:val="restart"/>
            <w:tcBorders>
              <w:top w:val="single" w:sz="8" w:space="0" w:color="000000"/>
              <w:left w:val="single" w:sz="8" w:space="0" w:color="000000"/>
              <w:bottom w:val="single" w:sz="8" w:space="0" w:color="000000"/>
              <w:right w:val="single" w:sz="8" w:space="0" w:color="000000"/>
            </w:tcBorders>
          </w:tcPr>
          <w:p w14:paraId="6F041022" w14:textId="77777777" w:rsidR="006F0A2B" w:rsidRPr="00306115" w:rsidRDefault="006F0A2B" w:rsidP="00CD0CB8">
            <w:pPr>
              <w:widowControl w:val="0"/>
              <w:pBdr>
                <w:top w:val="nil"/>
                <w:left w:val="nil"/>
                <w:bottom w:val="nil"/>
                <w:right w:val="nil"/>
                <w:between w:val="nil"/>
              </w:pBdr>
              <w:spacing w:after="0" w:line="240" w:lineRule="auto"/>
              <w:rPr>
                <w:rFonts w:eastAsia="Bookman Old Style" w:cs="Bookman Old Style"/>
                <w:b/>
                <w:bCs/>
                <w:color w:val="000000" w:themeColor="text1"/>
                <w:szCs w:val="24"/>
              </w:rPr>
            </w:pPr>
            <w:r w:rsidRPr="00306115">
              <w:rPr>
                <w:rFonts w:eastAsia="Bookman Old Style" w:cs="Bookman Old Style"/>
                <w:b/>
                <w:bCs/>
                <w:color w:val="000000" w:themeColor="text1"/>
                <w:szCs w:val="24"/>
              </w:rPr>
              <w:t>Tuntutan/Gugatan Hukum</w:t>
            </w:r>
          </w:p>
        </w:tc>
        <w:tc>
          <w:tcPr>
            <w:tcW w:w="5074" w:type="dxa"/>
            <w:tcBorders>
              <w:top w:val="single" w:sz="8" w:space="0" w:color="000000"/>
              <w:left w:val="single" w:sz="8" w:space="0" w:color="000000"/>
              <w:bottom w:val="single" w:sz="8" w:space="0" w:color="000000"/>
              <w:right w:val="single" w:sz="8" w:space="0" w:color="000000"/>
            </w:tcBorders>
          </w:tcPr>
          <w:p w14:paraId="09EBE08A" w14:textId="77777777" w:rsidR="006F0A2B" w:rsidRPr="00306115" w:rsidRDefault="006F0A2B" w:rsidP="00CD0CB8">
            <w:pPr>
              <w:widowControl w:val="0"/>
              <w:pBdr>
                <w:top w:val="nil"/>
                <w:left w:val="nil"/>
                <w:bottom w:val="nil"/>
                <w:right w:val="nil"/>
                <w:between w:val="nil"/>
              </w:pBdr>
              <w:spacing w:after="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Jumlah tuntutan/gugatan hukum</w:t>
            </w:r>
          </w:p>
        </w:tc>
        <w:tc>
          <w:tcPr>
            <w:tcW w:w="2722" w:type="dxa"/>
            <w:tcBorders>
              <w:top w:val="single" w:sz="8" w:space="0" w:color="000000"/>
              <w:left w:val="single" w:sz="8" w:space="0" w:color="000000"/>
              <w:bottom w:val="single" w:sz="8" w:space="0" w:color="000000"/>
              <w:right w:val="single" w:sz="8" w:space="0" w:color="000000"/>
            </w:tcBorders>
          </w:tcPr>
          <w:p w14:paraId="3911CF19" w14:textId="77777777" w:rsidR="006F0A2B" w:rsidRPr="00306115" w:rsidRDefault="006F0A2B" w:rsidP="006F0A2B">
            <w:pPr>
              <w:widowControl w:val="0"/>
              <w:pBdr>
                <w:top w:val="nil"/>
                <w:left w:val="nil"/>
                <w:bottom w:val="nil"/>
                <w:right w:val="nil"/>
                <w:between w:val="nil"/>
              </w:pBdr>
              <w:spacing w:line="240" w:lineRule="auto"/>
              <w:rPr>
                <w:rFonts w:eastAsia="Bookman Old Style" w:cs="Bookman Old Style"/>
                <w:color w:val="000000" w:themeColor="text1"/>
                <w:szCs w:val="24"/>
              </w:rPr>
            </w:pPr>
          </w:p>
        </w:tc>
        <w:tc>
          <w:tcPr>
            <w:tcW w:w="3402" w:type="dxa"/>
            <w:tcBorders>
              <w:top w:val="single" w:sz="8" w:space="0" w:color="000000"/>
              <w:left w:val="single" w:sz="8" w:space="0" w:color="000000"/>
              <w:bottom w:val="single" w:sz="8" w:space="0" w:color="000000"/>
              <w:right w:val="single" w:sz="8" w:space="0" w:color="000000"/>
            </w:tcBorders>
          </w:tcPr>
          <w:p w14:paraId="7B42B810" w14:textId="77777777" w:rsidR="006F0A2B" w:rsidRPr="00306115" w:rsidRDefault="006F0A2B" w:rsidP="006F0A2B">
            <w:pPr>
              <w:widowControl w:val="0"/>
              <w:pBdr>
                <w:top w:val="nil"/>
                <w:left w:val="nil"/>
                <w:bottom w:val="nil"/>
                <w:right w:val="nil"/>
                <w:between w:val="nil"/>
              </w:pBdr>
              <w:spacing w:line="240" w:lineRule="auto"/>
              <w:rPr>
                <w:rFonts w:eastAsia="Bookman Old Style" w:cs="Bookman Old Style"/>
                <w:color w:val="000000" w:themeColor="text1"/>
                <w:szCs w:val="24"/>
              </w:rPr>
            </w:pPr>
          </w:p>
        </w:tc>
      </w:tr>
      <w:tr w:rsidR="006F0A2B" w:rsidRPr="00306115" w14:paraId="1ACAA0BC" w14:textId="77777777" w:rsidTr="00CD0CB8">
        <w:trPr>
          <w:trHeight w:val="652"/>
        </w:trPr>
        <w:tc>
          <w:tcPr>
            <w:tcW w:w="2977" w:type="dxa"/>
            <w:vMerge/>
            <w:tcBorders>
              <w:top w:val="single" w:sz="8" w:space="0" w:color="000000"/>
              <w:left w:val="single" w:sz="8" w:space="0" w:color="000000"/>
              <w:bottom w:val="single" w:sz="8" w:space="0" w:color="000000"/>
              <w:right w:val="single" w:sz="8" w:space="0" w:color="000000"/>
            </w:tcBorders>
          </w:tcPr>
          <w:p w14:paraId="08044839" w14:textId="77777777" w:rsidR="006F0A2B" w:rsidRPr="00306115" w:rsidRDefault="006F0A2B" w:rsidP="00CD0CB8">
            <w:pPr>
              <w:widowControl w:val="0"/>
              <w:pBdr>
                <w:top w:val="nil"/>
                <w:left w:val="nil"/>
                <w:bottom w:val="nil"/>
                <w:right w:val="nil"/>
                <w:between w:val="nil"/>
              </w:pBdr>
              <w:spacing w:after="0" w:line="240" w:lineRule="auto"/>
              <w:rPr>
                <w:rFonts w:eastAsia="Bookman Old Style" w:cs="Bookman Old Style"/>
                <w:color w:val="000000" w:themeColor="text1"/>
                <w:szCs w:val="24"/>
              </w:rPr>
            </w:pPr>
          </w:p>
        </w:tc>
        <w:tc>
          <w:tcPr>
            <w:tcW w:w="5074" w:type="dxa"/>
            <w:tcBorders>
              <w:top w:val="single" w:sz="8" w:space="0" w:color="000000"/>
              <w:left w:val="single" w:sz="8" w:space="0" w:color="000000"/>
              <w:bottom w:val="single" w:sz="8" w:space="0" w:color="000000"/>
              <w:right w:val="single" w:sz="8" w:space="0" w:color="000000"/>
            </w:tcBorders>
          </w:tcPr>
          <w:p w14:paraId="27537159" w14:textId="77777777" w:rsidR="006F0A2B" w:rsidRPr="00306115" w:rsidRDefault="006F0A2B" w:rsidP="00CD0CB8">
            <w:pPr>
              <w:widowControl w:val="0"/>
              <w:pBdr>
                <w:top w:val="nil"/>
                <w:left w:val="nil"/>
                <w:bottom w:val="nil"/>
                <w:right w:val="nil"/>
                <w:between w:val="nil"/>
              </w:pBdr>
              <w:spacing w:after="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Besarnya nominal tuntutan/gugatan  hukum yang diajukan kepada Manajer Investasi dibandingkan dengan Modal Kerja Bersih Disesuaikan (MKBD)</w:t>
            </w:r>
          </w:p>
        </w:tc>
        <w:tc>
          <w:tcPr>
            <w:tcW w:w="2722" w:type="dxa"/>
            <w:tcBorders>
              <w:top w:val="single" w:sz="8" w:space="0" w:color="000000"/>
              <w:left w:val="single" w:sz="8" w:space="0" w:color="000000"/>
              <w:bottom w:val="single" w:sz="8" w:space="0" w:color="000000"/>
              <w:right w:val="single" w:sz="8" w:space="0" w:color="000000"/>
            </w:tcBorders>
          </w:tcPr>
          <w:p w14:paraId="4730377A" w14:textId="77777777" w:rsidR="006F0A2B" w:rsidRPr="00306115" w:rsidRDefault="006F0A2B" w:rsidP="006F0A2B">
            <w:pPr>
              <w:widowControl w:val="0"/>
              <w:pBdr>
                <w:top w:val="nil"/>
                <w:left w:val="nil"/>
                <w:bottom w:val="nil"/>
                <w:right w:val="nil"/>
                <w:between w:val="nil"/>
              </w:pBdr>
              <w:spacing w:line="240" w:lineRule="auto"/>
              <w:rPr>
                <w:rFonts w:eastAsia="Bookman Old Style" w:cs="Bookman Old Style"/>
                <w:color w:val="000000" w:themeColor="text1"/>
                <w:szCs w:val="24"/>
              </w:rPr>
            </w:pPr>
          </w:p>
        </w:tc>
        <w:tc>
          <w:tcPr>
            <w:tcW w:w="3402" w:type="dxa"/>
            <w:tcBorders>
              <w:top w:val="single" w:sz="8" w:space="0" w:color="000000"/>
              <w:left w:val="single" w:sz="8" w:space="0" w:color="000000"/>
              <w:bottom w:val="single" w:sz="8" w:space="0" w:color="000000"/>
              <w:right w:val="single" w:sz="8" w:space="0" w:color="000000"/>
            </w:tcBorders>
          </w:tcPr>
          <w:p w14:paraId="1FCD1C7D" w14:textId="77777777" w:rsidR="006F0A2B" w:rsidRPr="00306115" w:rsidRDefault="006F0A2B" w:rsidP="006F0A2B">
            <w:pPr>
              <w:widowControl w:val="0"/>
              <w:pBdr>
                <w:top w:val="nil"/>
                <w:left w:val="nil"/>
                <w:bottom w:val="nil"/>
                <w:right w:val="nil"/>
                <w:between w:val="nil"/>
              </w:pBdr>
              <w:spacing w:line="240" w:lineRule="auto"/>
              <w:rPr>
                <w:rFonts w:eastAsia="Bookman Old Style" w:cs="Bookman Old Style"/>
                <w:color w:val="000000" w:themeColor="text1"/>
                <w:szCs w:val="24"/>
              </w:rPr>
            </w:pPr>
          </w:p>
        </w:tc>
      </w:tr>
      <w:tr w:rsidR="006F0A2B" w:rsidRPr="00306115" w14:paraId="2BE808EC" w14:textId="77777777" w:rsidTr="00CD0CB8">
        <w:trPr>
          <w:trHeight w:val="1294"/>
        </w:trPr>
        <w:tc>
          <w:tcPr>
            <w:tcW w:w="2977" w:type="dxa"/>
            <w:vMerge/>
            <w:tcBorders>
              <w:top w:val="single" w:sz="8" w:space="0" w:color="000000"/>
              <w:left w:val="single" w:sz="8" w:space="0" w:color="000000"/>
              <w:bottom w:val="single" w:sz="8" w:space="0" w:color="000000"/>
              <w:right w:val="single" w:sz="8" w:space="0" w:color="000000"/>
            </w:tcBorders>
          </w:tcPr>
          <w:p w14:paraId="6A84FE0C" w14:textId="77777777" w:rsidR="006F0A2B" w:rsidRPr="00306115" w:rsidRDefault="006F0A2B" w:rsidP="00CD0CB8">
            <w:pPr>
              <w:widowControl w:val="0"/>
              <w:pBdr>
                <w:top w:val="nil"/>
                <w:left w:val="nil"/>
                <w:bottom w:val="nil"/>
                <w:right w:val="nil"/>
                <w:between w:val="nil"/>
              </w:pBdr>
              <w:spacing w:after="0" w:line="240" w:lineRule="auto"/>
              <w:rPr>
                <w:rFonts w:eastAsia="Bookman Old Style" w:cs="Bookman Old Style"/>
                <w:color w:val="000000" w:themeColor="text1"/>
                <w:szCs w:val="24"/>
              </w:rPr>
            </w:pPr>
          </w:p>
        </w:tc>
        <w:tc>
          <w:tcPr>
            <w:tcW w:w="5074" w:type="dxa"/>
            <w:tcBorders>
              <w:top w:val="single" w:sz="8" w:space="0" w:color="000000"/>
              <w:left w:val="single" w:sz="8" w:space="0" w:color="000000"/>
              <w:bottom w:val="single" w:sz="8" w:space="0" w:color="000000"/>
              <w:right w:val="single" w:sz="8" w:space="0" w:color="000000"/>
            </w:tcBorders>
          </w:tcPr>
          <w:p w14:paraId="1EEFB5CE" w14:textId="51CA4328" w:rsidR="006F0A2B" w:rsidRPr="00306115" w:rsidRDefault="006F0A2B" w:rsidP="00CD0CB8">
            <w:pPr>
              <w:widowControl w:val="0"/>
              <w:pBdr>
                <w:top w:val="nil"/>
                <w:left w:val="nil"/>
                <w:bottom w:val="nil"/>
                <w:right w:val="nil"/>
                <w:between w:val="nil"/>
              </w:pBdr>
              <w:spacing w:after="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Besarnya  nominal   kerugian   yang  dialami  dari   adanya</w:t>
            </w:r>
            <w:r w:rsidR="00CD0CB8" w:rsidRPr="00306115">
              <w:rPr>
                <w:rFonts w:eastAsia="Bookman Old Style" w:cs="Bookman Old Style"/>
                <w:color w:val="000000" w:themeColor="text1"/>
                <w:szCs w:val="24"/>
              </w:rPr>
              <w:t xml:space="preserve"> </w:t>
            </w:r>
            <w:r w:rsidRPr="00306115">
              <w:rPr>
                <w:rFonts w:eastAsia="Bookman Old Style" w:cs="Bookman Old Style"/>
                <w:color w:val="000000" w:themeColor="text1"/>
                <w:szCs w:val="24"/>
              </w:rPr>
              <w:t>putusan  pengadilan  yang mempunyai kekuatan hukum</w:t>
            </w:r>
            <w:r w:rsidR="00CD0CB8" w:rsidRPr="00306115">
              <w:rPr>
                <w:rFonts w:eastAsia="Bookman Old Style" w:cs="Bookman Old Style"/>
                <w:color w:val="000000" w:themeColor="text1"/>
                <w:szCs w:val="24"/>
              </w:rPr>
              <w:t xml:space="preserve"> </w:t>
            </w:r>
            <w:r w:rsidRPr="00306115">
              <w:rPr>
                <w:rFonts w:eastAsia="Bookman Old Style" w:cs="Bookman Old Style"/>
                <w:color w:val="000000" w:themeColor="text1"/>
                <w:szCs w:val="24"/>
              </w:rPr>
              <w:t>tetap yang diajukan oleh pihak terkait dibandingkan dengan Modal Kerja Bersih Disesuaikan (MKBD)</w:t>
            </w:r>
          </w:p>
        </w:tc>
        <w:tc>
          <w:tcPr>
            <w:tcW w:w="2722" w:type="dxa"/>
            <w:tcBorders>
              <w:top w:val="single" w:sz="8" w:space="0" w:color="000000"/>
              <w:left w:val="single" w:sz="8" w:space="0" w:color="000000"/>
              <w:bottom w:val="single" w:sz="8" w:space="0" w:color="000000"/>
              <w:right w:val="single" w:sz="8" w:space="0" w:color="000000"/>
            </w:tcBorders>
          </w:tcPr>
          <w:p w14:paraId="6D1E6FEF" w14:textId="77777777" w:rsidR="006F0A2B" w:rsidRPr="00306115" w:rsidRDefault="006F0A2B" w:rsidP="006F0A2B">
            <w:pPr>
              <w:widowControl w:val="0"/>
              <w:pBdr>
                <w:top w:val="nil"/>
                <w:left w:val="nil"/>
                <w:bottom w:val="nil"/>
                <w:right w:val="nil"/>
                <w:between w:val="nil"/>
              </w:pBdr>
              <w:spacing w:line="240" w:lineRule="auto"/>
              <w:rPr>
                <w:rFonts w:eastAsia="Bookman Old Style" w:cs="Bookman Old Style"/>
                <w:color w:val="000000" w:themeColor="text1"/>
                <w:szCs w:val="24"/>
              </w:rPr>
            </w:pPr>
          </w:p>
        </w:tc>
        <w:tc>
          <w:tcPr>
            <w:tcW w:w="3402" w:type="dxa"/>
            <w:tcBorders>
              <w:top w:val="single" w:sz="8" w:space="0" w:color="000000"/>
              <w:left w:val="single" w:sz="8" w:space="0" w:color="000000"/>
              <w:bottom w:val="single" w:sz="8" w:space="0" w:color="000000"/>
              <w:right w:val="single" w:sz="8" w:space="0" w:color="000000"/>
            </w:tcBorders>
          </w:tcPr>
          <w:p w14:paraId="43B90455" w14:textId="77777777" w:rsidR="006F0A2B" w:rsidRPr="00306115" w:rsidRDefault="006F0A2B" w:rsidP="006F0A2B">
            <w:pPr>
              <w:widowControl w:val="0"/>
              <w:pBdr>
                <w:top w:val="nil"/>
                <w:left w:val="nil"/>
                <w:bottom w:val="nil"/>
                <w:right w:val="nil"/>
                <w:between w:val="nil"/>
              </w:pBdr>
              <w:spacing w:line="240" w:lineRule="auto"/>
              <w:rPr>
                <w:rFonts w:eastAsia="Bookman Old Style" w:cs="Bookman Old Style"/>
                <w:color w:val="000000" w:themeColor="text1"/>
                <w:szCs w:val="24"/>
              </w:rPr>
            </w:pPr>
          </w:p>
        </w:tc>
      </w:tr>
      <w:tr w:rsidR="006F0A2B" w:rsidRPr="00306115" w14:paraId="2903C5EF" w14:textId="77777777" w:rsidTr="00CD0CB8">
        <w:trPr>
          <w:trHeight w:val="166"/>
        </w:trPr>
        <w:tc>
          <w:tcPr>
            <w:tcW w:w="8051" w:type="dxa"/>
            <w:gridSpan w:val="2"/>
            <w:tcBorders>
              <w:top w:val="single" w:sz="8" w:space="0" w:color="000000"/>
              <w:left w:val="single" w:sz="8" w:space="0" w:color="000000"/>
              <w:bottom w:val="single" w:sz="8" w:space="0" w:color="000000"/>
              <w:right w:val="single" w:sz="8" w:space="0" w:color="000000"/>
            </w:tcBorders>
          </w:tcPr>
          <w:p w14:paraId="7FAB099E" w14:textId="4776B9AB" w:rsidR="006F0A2B" w:rsidRPr="00306115" w:rsidRDefault="00E36B3F" w:rsidP="00CD0CB8">
            <w:pPr>
              <w:widowControl w:val="0"/>
              <w:pBdr>
                <w:top w:val="nil"/>
                <w:left w:val="nil"/>
                <w:bottom w:val="nil"/>
                <w:right w:val="nil"/>
                <w:between w:val="nil"/>
              </w:pBdr>
              <w:spacing w:after="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 xml:space="preserve">Peringkat </w:t>
            </w:r>
            <w:r w:rsidR="006F0A2B" w:rsidRPr="00306115">
              <w:rPr>
                <w:rFonts w:eastAsia="Bookman Old Style" w:cs="Bookman Old Style"/>
                <w:b/>
                <w:bCs/>
                <w:color w:val="000000" w:themeColor="text1"/>
                <w:szCs w:val="24"/>
              </w:rPr>
              <w:t>Risiko Hukum</w:t>
            </w:r>
          </w:p>
        </w:tc>
        <w:tc>
          <w:tcPr>
            <w:tcW w:w="2722" w:type="dxa"/>
            <w:tcBorders>
              <w:top w:val="single" w:sz="8" w:space="0" w:color="000000"/>
              <w:left w:val="single" w:sz="8" w:space="0" w:color="000000"/>
              <w:bottom w:val="single" w:sz="8" w:space="0" w:color="000000"/>
              <w:right w:val="single" w:sz="8" w:space="0" w:color="000000"/>
            </w:tcBorders>
          </w:tcPr>
          <w:p w14:paraId="5F9CE1F7" w14:textId="77777777" w:rsidR="006F0A2B" w:rsidRPr="00306115" w:rsidRDefault="006F0A2B" w:rsidP="006F0A2B">
            <w:pPr>
              <w:widowControl w:val="0"/>
              <w:pBdr>
                <w:top w:val="nil"/>
                <w:left w:val="nil"/>
                <w:bottom w:val="nil"/>
                <w:right w:val="nil"/>
                <w:between w:val="nil"/>
              </w:pBdr>
              <w:spacing w:line="240" w:lineRule="auto"/>
              <w:rPr>
                <w:rFonts w:eastAsia="Bookman Old Style" w:cs="Bookman Old Style"/>
                <w:color w:val="000000" w:themeColor="text1"/>
                <w:szCs w:val="24"/>
              </w:rPr>
            </w:pPr>
          </w:p>
        </w:tc>
        <w:tc>
          <w:tcPr>
            <w:tcW w:w="3402" w:type="dxa"/>
            <w:tcBorders>
              <w:top w:val="single" w:sz="8" w:space="0" w:color="000000"/>
              <w:left w:val="single" w:sz="8" w:space="0" w:color="000000"/>
              <w:bottom w:val="single" w:sz="8" w:space="0" w:color="000000"/>
              <w:right w:val="single" w:sz="8" w:space="0" w:color="000000"/>
            </w:tcBorders>
          </w:tcPr>
          <w:p w14:paraId="2095AC68" w14:textId="77777777" w:rsidR="006F0A2B" w:rsidRPr="00306115" w:rsidRDefault="006F0A2B" w:rsidP="006F0A2B">
            <w:pPr>
              <w:widowControl w:val="0"/>
              <w:pBdr>
                <w:top w:val="nil"/>
                <w:left w:val="nil"/>
                <w:bottom w:val="nil"/>
                <w:right w:val="nil"/>
                <w:between w:val="nil"/>
              </w:pBdr>
              <w:spacing w:line="240" w:lineRule="auto"/>
              <w:rPr>
                <w:rFonts w:eastAsia="Bookman Old Style" w:cs="Bookman Old Style"/>
                <w:color w:val="000000" w:themeColor="text1"/>
                <w:szCs w:val="24"/>
              </w:rPr>
            </w:pPr>
          </w:p>
        </w:tc>
      </w:tr>
    </w:tbl>
    <w:p w14:paraId="4FA7D114" w14:textId="77777777" w:rsidR="002D070F" w:rsidRPr="00306115" w:rsidRDefault="002D070F" w:rsidP="002D070F">
      <w:pPr>
        <w:pStyle w:val="HeadingAwalDaftarIsiLampiran"/>
        <w:numPr>
          <w:ilvl w:val="0"/>
          <w:numId w:val="0"/>
        </w:numPr>
        <w:tabs>
          <w:tab w:val="left" w:pos="2552"/>
        </w:tabs>
        <w:ind w:left="1701"/>
      </w:pPr>
    </w:p>
    <w:p w14:paraId="3BE5CAE2" w14:textId="3B7AAAF1" w:rsidR="00B941D5" w:rsidRPr="00306115" w:rsidRDefault="00B941D5">
      <w:pPr>
        <w:pStyle w:val="HeadingAwalDaftarIsiLampiran"/>
        <w:numPr>
          <w:ilvl w:val="0"/>
          <w:numId w:val="255"/>
        </w:numPr>
        <w:tabs>
          <w:tab w:val="left" w:pos="1134"/>
        </w:tabs>
        <w:ind w:left="567" w:hanging="567"/>
      </w:pPr>
      <w:r w:rsidRPr="00306115">
        <w:t>PENILAIAN RISIKO UNTUK RISIKO KEPATUHAN</w:t>
      </w:r>
    </w:p>
    <w:p w14:paraId="3BB552ED" w14:textId="3E274427" w:rsidR="00902115" w:rsidRPr="00306115" w:rsidRDefault="004F4241">
      <w:pPr>
        <w:pStyle w:val="HeadingAwalDaftarIsiLampiran"/>
        <w:numPr>
          <w:ilvl w:val="0"/>
          <w:numId w:val="302"/>
        </w:numPr>
        <w:tabs>
          <w:tab w:val="left" w:pos="2694"/>
        </w:tabs>
        <w:ind w:left="1134" w:hanging="567"/>
      </w:pPr>
      <w:r w:rsidRPr="00306115">
        <w:rPr>
          <w:rFonts w:eastAsia="Bookman Old Style" w:cs="Bookman Old Style"/>
        </w:rPr>
        <w:t>Parameter atau Indikator Penilaian Risiko Kepatuhan</w:t>
      </w:r>
    </w:p>
    <w:tbl>
      <w:tblPr>
        <w:tblW w:w="14742" w:type="dxa"/>
        <w:tblInd w:w="1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276"/>
        <w:gridCol w:w="2126"/>
        <w:gridCol w:w="11340"/>
      </w:tblGrid>
      <w:tr w:rsidR="000B5ABD" w:rsidRPr="00306115" w14:paraId="44F6082F" w14:textId="77777777" w:rsidTr="000B5ABD">
        <w:trPr>
          <w:trHeight w:val="556"/>
        </w:trPr>
        <w:tc>
          <w:tcPr>
            <w:tcW w:w="14742"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EBEBE"/>
          </w:tcPr>
          <w:p w14:paraId="5C3DABD6" w14:textId="77777777" w:rsidR="000B5ABD" w:rsidRPr="00306115" w:rsidRDefault="000B5ABD">
            <w:pPr>
              <w:widowControl w:val="0"/>
              <w:numPr>
                <w:ilvl w:val="0"/>
                <w:numId w:val="303"/>
              </w:numPr>
              <w:pBdr>
                <w:top w:val="nil"/>
                <w:left w:val="nil"/>
                <w:bottom w:val="nil"/>
                <w:right w:val="nil"/>
                <w:between w:val="nil"/>
              </w:pBdr>
              <w:spacing w:before="60" w:after="60" w:line="240" w:lineRule="auto"/>
              <w:ind w:left="567" w:hanging="567"/>
              <w:jc w:val="left"/>
              <w:rPr>
                <w:rFonts w:eastAsia="Bookman Old Style" w:cs="Bookman Old Style"/>
                <w:b/>
                <w:bCs/>
                <w:color w:val="000000" w:themeColor="text1"/>
                <w:szCs w:val="24"/>
              </w:rPr>
            </w:pPr>
            <w:bookmarkStart w:id="6" w:name="_Hlk218245502"/>
            <w:r w:rsidRPr="00306115">
              <w:rPr>
                <w:rFonts w:eastAsia="Bookman Old Style" w:cs="Bookman Old Style"/>
                <w:b/>
                <w:bCs/>
                <w:color w:val="000000" w:themeColor="text1"/>
                <w:szCs w:val="24"/>
              </w:rPr>
              <w:t>Risiko Inheren*)</w:t>
            </w:r>
          </w:p>
        </w:tc>
      </w:tr>
      <w:tr w:rsidR="00124295" w:rsidRPr="00306115" w14:paraId="2C79F989" w14:textId="77777777" w:rsidTr="00124295">
        <w:trPr>
          <w:trHeight w:val="556"/>
        </w:trPr>
        <w:tc>
          <w:tcPr>
            <w:tcW w:w="340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EBEBE"/>
          </w:tcPr>
          <w:p w14:paraId="2630A05D" w14:textId="77777777" w:rsidR="00124295" w:rsidRPr="00306115" w:rsidRDefault="00124295" w:rsidP="009C383B">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Indikator</w:t>
            </w:r>
          </w:p>
        </w:tc>
        <w:tc>
          <w:tcPr>
            <w:tcW w:w="11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EBEBE"/>
          </w:tcPr>
          <w:p w14:paraId="3284D206" w14:textId="77777777" w:rsidR="00124295" w:rsidRPr="00306115" w:rsidRDefault="00124295" w:rsidP="009C383B">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Informasi</w:t>
            </w:r>
          </w:p>
        </w:tc>
      </w:tr>
      <w:tr w:rsidR="00124295" w:rsidRPr="00306115" w14:paraId="3B14D7A0" w14:textId="77777777" w:rsidTr="00124295">
        <w:trPr>
          <w:trHeight w:val="1998"/>
        </w:trPr>
        <w:tc>
          <w:tcPr>
            <w:tcW w:w="340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0E8868" w14:textId="77777777" w:rsidR="00124295" w:rsidRPr="00306115" w:rsidRDefault="00124295" w:rsidP="00A12260">
            <w:pPr>
              <w:widowControl w:val="0"/>
              <w:pBdr>
                <w:top w:val="nil"/>
                <w:left w:val="nil"/>
                <w:bottom w:val="nil"/>
                <w:right w:val="nil"/>
                <w:between w:val="nil"/>
              </w:pBdr>
              <w:spacing w:after="0" w:line="240" w:lineRule="auto"/>
              <w:rPr>
                <w:rFonts w:eastAsia="Bookman Old Style" w:cs="Bookman Old Style"/>
                <w:color w:val="000000" w:themeColor="text1"/>
                <w:szCs w:val="24"/>
              </w:rPr>
            </w:pPr>
            <w:r w:rsidRPr="00306115">
              <w:rPr>
                <w:rFonts w:eastAsia="Bookman Old Style" w:cs="Bookman Old Style"/>
                <w:color w:val="000000" w:themeColor="text1"/>
                <w:szCs w:val="24"/>
              </w:rPr>
              <w:lastRenderedPageBreak/>
              <w:t>Jumlah pelanggaran yang dikenakan sanksi oleh OJK</w:t>
            </w:r>
          </w:p>
        </w:tc>
        <w:tc>
          <w:tcPr>
            <w:tcW w:w="11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93DD2A" w14:textId="7DC3D111" w:rsidR="00124295" w:rsidRPr="00306115" w:rsidRDefault="00124295">
            <w:pPr>
              <w:pStyle w:val="ListParagraph"/>
              <w:widowControl w:val="0"/>
              <w:numPr>
                <w:ilvl w:val="0"/>
                <w:numId w:val="304"/>
              </w:numPr>
              <w:pBdr>
                <w:top w:val="nil"/>
                <w:left w:val="nil"/>
                <w:bottom w:val="nil"/>
                <w:right w:val="nil"/>
                <w:between w:val="nil"/>
              </w:pBdr>
              <w:tabs>
                <w:tab w:val="left" w:pos="1026"/>
              </w:tabs>
              <w:spacing w:after="0" w:line="240" w:lineRule="auto"/>
              <w:ind w:left="567" w:hanging="567"/>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Parameter atau indikator ini mengukur jumlah pelanggaran yang dikenakan sanksi oleh OJK kepada Manajer Investasi atas pelanggaran peraturan perundang-undangan selama 1 (satu) tahun terakhir.</w:t>
            </w:r>
          </w:p>
          <w:p w14:paraId="6EDF0BA9" w14:textId="77777777" w:rsidR="00124295" w:rsidRPr="00306115" w:rsidRDefault="00124295">
            <w:pPr>
              <w:widowControl w:val="0"/>
              <w:numPr>
                <w:ilvl w:val="0"/>
                <w:numId w:val="304"/>
              </w:numPr>
              <w:pBdr>
                <w:top w:val="nil"/>
                <w:left w:val="nil"/>
                <w:bottom w:val="nil"/>
                <w:right w:val="nil"/>
                <w:between w:val="nil"/>
              </w:pBdr>
              <w:tabs>
                <w:tab w:val="left" w:pos="1026"/>
              </w:tabs>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Semakin banyaknya pelanggaran yang dikenakan sanksi oleh OJK menunjukkan rendahnya tingkat kepatuhan Manajer Investasi terhadap peraturan perundang-undangan</w:t>
            </w:r>
            <w:r w:rsidRPr="00306115">
              <w:rPr>
                <w:rFonts w:eastAsia="Bookman Old Style" w:cs="Bookman Old Style"/>
                <w:color w:val="000000" w:themeColor="text1"/>
                <w:szCs w:val="24"/>
                <w:lang w:val="en-GB"/>
              </w:rPr>
              <w:t>.</w:t>
            </w:r>
          </w:p>
          <w:p w14:paraId="14C9E37C" w14:textId="170B8EEF" w:rsidR="00124295" w:rsidRPr="00306115" w:rsidRDefault="00124295">
            <w:pPr>
              <w:widowControl w:val="0"/>
              <w:numPr>
                <w:ilvl w:val="0"/>
                <w:numId w:val="304"/>
              </w:numPr>
              <w:pBdr>
                <w:top w:val="nil"/>
                <w:left w:val="nil"/>
                <w:bottom w:val="nil"/>
                <w:right w:val="nil"/>
                <w:between w:val="nil"/>
              </w:pBdr>
              <w:tabs>
                <w:tab w:val="left" w:pos="1026"/>
              </w:tabs>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Adapun klasifikasi penilaian indikator ini terbagi menjadi 5 (lima) peringkat sebagai berikut:</w:t>
            </w:r>
          </w:p>
          <w:p w14:paraId="19B8E403" w14:textId="4164DC31" w:rsidR="00124295" w:rsidRPr="00306115" w:rsidRDefault="00124295">
            <w:pPr>
              <w:pStyle w:val="ListParagraph"/>
              <w:widowControl w:val="0"/>
              <w:numPr>
                <w:ilvl w:val="0"/>
                <w:numId w:val="491"/>
              </w:numPr>
              <w:pBdr>
                <w:top w:val="nil"/>
                <w:left w:val="nil"/>
                <w:bottom w:val="nil"/>
                <w:right w:val="nil"/>
                <w:between w:val="nil"/>
              </w:pBdr>
              <w:tabs>
                <w:tab w:val="left" w:pos="1877"/>
              </w:tabs>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1: Tidak terdapat pelanggaran yang dikenakan sanksi oleh OJK</w:t>
            </w:r>
          </w:p>
          <w:p w14:paraId="4E83B5F4" w14:textId="5560292E" w:rsidR="00124295" w:rsidRPr="00306115" w:rsidRDefault="00124295">
            <w:pPr>
              <w:pStyle w:val="ListParagraph"/>
              <w:widowControl w:val="0"/>
              <w:numPr>
                <w:ilvl w:val="0"/>
                <w:numId w:val="491"/>
              </w:numPr>
              <w:pBdr>
                <w:top w:val="nil"/>
                <w:left w:val="nil"/>
                <w:bottom w:val="nil"/>
                <w:right w:val="nil"/>
                <w:between w:val="nil"/>
              </w:pBdr>
              <w:tabs>
                <w:tab w:val="left" w:pos="1877"/>
              </w:tabs>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2: Terdapat pelanggaran yang dikenakan sanksi oleh OJK &gt; 0 dan ≤ 2</w:t>
            </w:r>
          </w:p>
          <w:p w14:paraId="0D2F6A7B" w14:textId="65189A55" w:rsidR="00124295" w:rsidRPr="00306115" w:rsidRDefault="00124295">
            <w:pPr>
              <w:pStyle w:val="ListParagraph"/>
              <w:widowControl w:val="0"/>
              <w:numPr>
                <w:ilvl w:val="0"/>
                <w:numId w:val="491"/>
              </w:numPr>
              <w:pBdr>
                <w:top w:val="nil"/>
                <w:left w:val="nil"/>
                <w:bottom w:val="nil"/>
                <w:right w:val="nil"/>
                <w:between w:val="nil"/>
              </w:pBdr>
              <w:tabs>
                <w:tab w:val="left" w:pos="1877"/>
              </w:tabs>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3: Terdapat pelanggaran yang dikenakan sanksi oleh OJK &gt; 2 dan ≤ 4</w:t>
            </w:r>
          </w:p>
          <w:p w14:paraId="07083A48" w14:textId="7BE599CC" w:rsidR="00124295" w:rsidRPr="00306115" w:rsidRDefault="00124295">
            <w:pPr>
              <w:pStyle w:val="ListParagraph"/>
              <w:widowControl w:val="0"/>
              <w:numPr>
                <w:ilvl w:val="0"/>
                <w:numId w:val="491"/>
              </w:numPr>
              <w:pBdr>
                <w:top w:val="nil"/>
                <w:left w:val="nil"/>
                <w:bottom w:val="nil"/>
                <w:right w:val="nil"/>
                <w:between w:val="nil"/>
              </w:pBdr>
              <w:tabs>
                <w:tab w:val="left" w:pos="1877"/>
              </w:tabs>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4: Terdapat pelanggaran yang dikenakan sanksi oleh OJK &gt; 4 dan ≤ 6</w:t>
            </w:r>
          </w:p>
          <w:p w14:paraId="739876DC" w14:textId="324A2F08" w:rsidR="00124295" w:rsidRPr="00306115" w:rsidRDefault="00124295">
            <w:pPr>
              <w:pStyle w:val="ListParagraph"/>
              <w:widowControl w:val="0"/>
              <w:numPr>
                <w:ilvl w:val="0"/>
                <w:numId w:val="491"/>
              </w:numPr>
              <w:pBdr>
                <w:top w:val="nil"/>
                <w:left w:val="nil"/>
                <w:bottom w:val="nil"/>
                <w:right w:val="nil"/>
                <w:between w:val="nil"/>
              </w:pBdr>
              <w:tabs>
                <w:tab w:val="left" w:pos="1877"/>
              </w:tabs>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5: Terdapat pelanggaran yang dikenakan sanksi oleh OJK &gt; 6</w:t>
            </w:r>
          </w:p>
        </w:tc>
      </w:tr>
      <w:tr w:rsidR="00124295" w:rsidRPr="00306115" w14:paraId="36274FC6" w14:textId="77777777" w:rsidTr="00124295">
        <w:trPr>
          <w:trHeight w:val="3857"/>
        </w:trPr>
        <w:tc>
          <w:tcPr>
            <w:tcW w:w="3402" w:type="dxa"/>
            <w:gridSpan w:val="2"/>
            <w:tcBorders>
              <w:right w:val="single" w:sz="8" w:space="0" w:color="000000" w:themeColor="text1"/>
            </w:tcBorders>
          </w:tcPr>
          <w:p w14:paraId="037B375F" w14:textId="77777777" w:rsidR="00124295" w:rsidRPr="00306115" w:rsidRDefault="00124295" w:rsidP="00A12260">
            <w:pPr>
              <w:widowControl w:val="0"/>
              <w:pBdr>
                <w:top w:val="nil"/>
                <w:left w:val="nil"/>
                <w:bottom w:val="nil"/>
                <w:right w:val="nil"/>
                <w:between w:val="nil"/>
              </w:pBdr>
              <w:spacing w:after="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Signifikansi dari sanksi terberat</w:t>
            </w:r>
          </w:p>
        </w:tc>
        <w:tc>
          <w:tcPr>
            <w:tcW w:w="11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BA76C2" w14:textId="7EB85FB9" w:rsidR="00124295" w:rsidRPr="00306115" w:rsidRDefault="00124295">
            <w:pPr>
              <w:widowControl w:val="0"/>
              <w:numPr>
                <w:ilvl w:val="0"/>
                <w:numId w:val="492"/>
              </w:numPr>
              <w:pBdr>
                <w:top w:val="nil"/>
                <w:left w:val="nil"/>
                <w:bottom w:val="nil"/>
                <w:right w:val="nil"/>
                <w:between w:val="nil"/>
              </w:pBdr>
              <w:tabs>
                <w:tab w:val="left" w:pos="1026"/>
              </w:tabs>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Parameter atau indikator ini mengukur signifikansi sanksi terberat yang diterima Manajer Investasi terhadap aktivitas kegiatan usaha yang dilakukan oleh Manajer Investasi. Adapun keterangan nilai sebagai berikut:</w:t>
            </w:r>
          </w:p>
          <w:p w14:paraId="1C10B434" w14:textId="62FB0C90" w:rsidR="00124295" w:rsidRPr="00306115" w:rsidRDefault="00124295">
            <w:pPr>
              <w:pStyle w:val="ListParagraph"/>
              <w:widowControl w:val="0"/>
              <w:numPr>
                <w:ilvl w:val="0"/>
                <w:numId w:val="493"/>
              </w:numPr>
              <w:pBdr>
                <w:top w:val="nil"/>
                <w:left w:val="nil"/>
                <w:bottom w:val="nil"/>
                <w:right w:val="nil"/>
                <w:between w:val="nil"/>
              </w:pBdr>
              <w:tabs>
                <w:tab w:val="left" w:pos="2160"/>
              </w:tabs>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1 = Tidak terdapat sanksi </w:t>
            </w:r>
          </w:p>
          <w:p w14:paraId="6C890354" w14:textId="541DD52A" w:rsidR="00124295" w:rsidRPr="00306115" w:rsidRDefault="00124295">
            <w:pPr>
              <w:pStyle w:val="ListParagraph"/>
              <w:widowControl w:val="0"/>
              <w:numPr>
                <w:ilvl w:val="0"/>
                <w:numId w:val="493"/>
              </w:numPr>
              <w:pBdr>
                <w:top w:val="nil"/>
                <w:left w:val="nil"/>
                <w:bottom w:val="nil"/>
                <w:right w:val="nil"/>
                <w:between w:val="nil"/>
              </w:pBdr>
              <w:tabs>
                <w:tab w:val="left" w:pos="2160"/>
              </w:tabs>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2 = Sanksi terberat yang diterima Manajer Investasi memiliki signifikansi yang rendah terhadap aktivitas kegiatan usaha Manajer Investasi</w:t>
            </w:r>
          </w:p>
          <w:p w14:paraId="33ABE0F1" w14:textId="178798D5" w:rsidR="00124295" w:rsidRPr="00306115" w:rsidRDefault="00124295">
            <w:pPr>
              <w:pStyle w:val="ListParagraph"/>
              <w:widowControl w:val="0"/>
              <w:numPr>
                <w:ilvl w:val="0"/>
                <w:numId w:val="493"/>
              </w:numPr>
              <w:pBdr>
                <w:top w:val="nil"/>
                <w:left w:val="nil"/>
                <w:bottom w:val="nil"/>
                <w:right w:val="nil"/>
                <w:between w:val="nil"/>
              </w:pBdr>
              <w:tabs>
                <w:tab w:val="left" w:pos="2160"/>
              </w:tabs>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3 = Sanksi terberat yang diterima Manajer Investasi memiliki signifikansi yang cukup mempengaruhi aktivitas kegiatan usaha Manajer Investasi</w:t>
            </w:r>
          </w:p>
          <w:p w14:paraId="77A27243" w14:textId="47FEDE6C" w:rsidR="00124295" w:rsidRPr="00306115" w:rsidRDefault="00124295">
            <w:pPr>
              <w:pStyle w:val="ListParagraph"/>
              <w:widowControl w:val="0"/>
              <w:numPr>
                <w:ilvl w:val="0"/>
                <w:numId w:val="493"/>
              </w:numPr>
              <w:pBdr>
                <w:top w:val="nil"/>
                <w:left w:val="nil"/>
                <w:bottom w:val="nil"/>
                <w:right w:val="nil"/>
                <w:between w:val="nil"/>
              </w:pBdr>
              <w:tabs>
                <w:tab w:val="left" w:pos="2160"/>
              </w:tabs>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4 = Sanksi terberat yang diterima Manajer Investasi memiliki signifikansi yang tinggi terhadap aktivitas kegiatan usaha Manajer Investasi</w:t>
            </w:r>
          </w:p>
          <w:p w14:paraId="18183C24" w14:textId="17A7B42C" w:rsidR="00124295" w:rsidRPr="00306115" w:rsidRDefault="00124295">
            <w:pPr>
              <w:pStyle w:val="ListParagraph"/>
              <w:widowControl w:val="0"/>
              <w:numPr>
                <w:ilvl w:val="0"/>
                <w:numId w:val="493"/>
              </w:numPr>
              <w:pBdr>
                <w:top w:val="nil"/>
                <w:left w:val="nil"/>
                <w:bottom w:val="nil"/>
                <w:right w:val="nil"/>
                <w:between w:val="nil"/>
              </w:pBdr>
              <w:tabs>
                <w:tab w:val="left" w:pos="2160"/>
              </w:tabs>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5 = Sanksi terberat yang diterima Manajer Investasi memiliki signifikansi yang sangat tinggi terhadap aktivitas kegiatan usaha Manajer Investasi  </w:t>
            </w:r>
          </w:p>
          <w:p w14:paraId="74C7F5A2" w14:textId="78728ADA" w:rsidR="00124295" w:rsidRPr="00306115" w:rsidRDefault="00124295">
            <w:pPr>
              <w:widowControl w:val="0"/>
              <w:numPr>
                <w:ilvl w:val="0"/>
                <w:numId w:val="492"/>
              </w:numPr>
              <w:pBdr>
                <w:top w:val="nil"/>
                <w:left w:val="nil"/>
                <w:bottom w:val="nil"/>
                <w:right w:val="nil"/>
                <w:between w:val="nil"/>
              </w:pBdr>
              <w:tabs>
                <w:tab w:val="left" w:pos="1026"/>
              </w:tabs>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Pada kolom keterangan, Manajer Investasi memberikan informasi mengenai sanksi terberat yang diterima.</w:t>
            </w:r>
          </w:p>
        </w:tc>
      </w:tr>
      <w:tr w:rsidR="00124295" w:rsidRPr="00306115" w14:paraId="43E8B440" w14:textId="77777777" w:rsidTr="00124295">
        <w:trPr>
          <w:trHeight w:val="2447"/>
        </w:trPr>
        <w:tc>
          <w:tcPr>
            <w:tcW w:w="3402" w:type="dxa"/>
            <w:gridSpan w:val="2"/>
            <w:tcBorders>
              <w:right w:val="single" w:sz="8" w:space="0" w:color="000000" w:themeColor="text1"/>
            </w:tcBorders>
          </w:tcPr>
          <w:p w14:paraId="2E730B8A" w14:textId="77777777" w:rsidR="00124295" w:rsidRPr="00306115" w:rsidRDefault="00124295" w:rsidP="00A12260">
            <w:pPr>
              <w:widowControl w:val="0"/>
              <w:pBdr>
                <w:top w:val="nil"/>
                <w:left w:val="nil"/>
                <w:bottom w:val="nil"/>
                <w:right w:val="nil"/>
                <w:between w:val="nil"/>
              </w:pBdr>
              <w:spacing w:after="0" w:line="240" w:lineRule="auto"/>
              <w:rPr>
                <w:rFonts w:eastAsia="Bookman Old Style" w:cs="Bookman Old Style"/>
                <w:color w:val="000000" w:themeColor="text1"/>
                <w:szCs w:val="24"/>
              </w:rPr>
            </w:pPr>
            <w:r w:rsidRPr="00306115">
              <w:rPr>
                <w:rFonts w:eastAsia="Bookman Old Style" w:cs="Bookman Old Style"/>
                <w:color w:val="000000" w:themeColor="text1"/>
                <w:szCs w:val="24"/>
              </w:rPr>
              <w:lastRenderedPageBreak/>
              <w:t>Jumlah teguran Bank Kustodian</w:t>
            </w:r>
          </w:p>
        </w:tc>
        <w:tc>
          <w:tcPr>
            <w:tcW w:w="11340" w:type="dxa"/>
            <w:tcBorders>
              <w:top w:val="single" w:sz="8" w:space="0" w:color="000000" w:themeColor="text1"/>
              <w:left w:val="single" w:sz="8" w:space="0" w:color="000000" w:themeColor="text1"/>
              <w:bottom w:val="single" w:sz="4" w:space="0" w:color="000000" w:themeColor="text1"/>
              <w:right w:val="single" w:sz="8" w:space="0" w:color="000000" w:themeColor="text1"/>
            </w:tcBorders>
          </w:tcPr>
          <w:p w14:paraId="0E8E8C12" w14:textId="77777777" w:rsidR="00124295" w:rsidRPr="00306115" w:rsidRDefault="00124295">
            <w:pPr>
              <w:widowControl w:val="0"/>
              <w:numPr>
                <w:ilvl w:val="0"/>
                <w:numId w:val="494"/>
              </w:numPr>
              <w:pBdr>
                <w:top w:val="nil"/>
                <w:left w:val="nil"/>
                <w:bottom w:val="nil"/>
                <w:right w:val="nil"/>
                <w:between w:val="nil"/>
              </w:pBdr>
              <w:tabs>
                <w:tab w:val="left" w:pos="1026"/>
              </w:tabs>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Parameter atau indikator ini mengukur frekuensi Manajer Investasi menerima surat teguran dari Bank Kustodian selama 1 (satu) tahun terakhir.</w:t>
            </w:r>
          </w:p>
          <w:p w14:paraId="0DA04757" w14:textId="77777777" w:rsidR="00124295" w:rsidRPr="00306115" w:rsidRDefault="00124295">
            <w:pPr>
              <w:widowControl w:val="0"/>
              <w:numPr>
                <w:ilvl w:val="0"/>
                <w:numId w:val="494"/>
              </w:numPr>
              <w:pBdr>
                <w:top w:val="nil"/>
                <w:left w:val="nil"/>
                <w:bottom w:val="nil"/>
                <w:right w:val="nil"/>
                <w:between w:val="nil"/>
              </w:pBdr>
              <w:tabs>
                <w:tab w:val="left" w:pos="1026"/>
              </w:tabs>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 xml:space="preserve">Teguran yang diberikan adalah teguran oleh Bank Kustodian karena adanya pelanggaran aktif </w:t>
            </w:r>
            <w:r w:rsidRPr="00306115">
              <w:rPr>
                <w:rFonts w:eastAsia="Bookman Old Style" w:cs="Bookman Old Style"/>
                <w:color w:val="000000" w:themeColor="text1"/>
                <w:szCs w:val="24"/>
                <w:lang w:val="en-GB"/>
              </w:rPr>
              <w:t xml:space="preserve">dan/atau pelanggaran pasif tanpa adanya upaya perbaikan dan penyesuaian dalam waktu 20 hari Bursa sejak diterimanya surat pemberitahuan </w:t>
            </w:r>
            <w:r w:rsidRPr="00306115">
              <w:rPr>
                <w:rFonts w:eastAsia="Bookman Old Style" w:cs="Bookman Old Style"/>
                <w:color w:val="000000" w:themeColor="text1"/>
                <w:szCs w:val="24"/>
              </w:rPr>
              <w:t>oleh Manajer Investasi.</w:t>
            </w:r>
          </w:p>
          <w:p w14:paraId="2F26F58B" w14:textId="77777777" w:rsidR="00124295" w:rsidRPr="00306115" w:rsidRDefault="00124295">
            <w:pPr>
              <w:widowControl w:val="0"/>
              <w:numPr>
                <w:ilvl w:val="0"/>
                <w:numId w:val="494"/>
              </w:numPr>
              <w:pBdr>
                <w:top w:val="nil"/>
                <w:left w:val="nil"/>
                <w:bottom w:val="nil"/>
                <w:right w:val="nil"/>
                <w:between w:val="nil"/>
              </w:pBdr>
              <w:tabs>
                <w:tab w:val="left" w:pos="1026"/>
              </w:tabs>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Jumlah surat teguran dari Bank Kustodian merupakan salah satu parameter atau indikator tingkat kepatuhan Manajer Investasi.</w:t>
            </w:r>
          </w:p>
          <w:p w14:paraId="046C1301" w14:textId="43CB1007" w:rsidR="00124295" w:rsidRPr="00306115" w:rsidRDefault="00124295">
            <w:pPr>
              <w:widowControl w:val="0"/>
              <w:numPr>
                <w:ilvl w:val="0"/>
                <w:numId w:val="494"/>
              </w:numPr>
              <w:pBdr>
                <w:top w:val="nil"/>
                <w:left w:val="nil"/>
                <w:bottom w:val="nil"/>
                <w:right w:val="nil"/>
                <w:between w:val="nil"/>
              </w:pBdr>
              <w:tabs>
                <w:tab w:val="left" w:pos="1026"/>
              </w:tabs>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Adapun klasifikasi penilaian indikator ini terbagi menjadi 5 (lima) peringkat sebagai berikut:</w:t>
            </w:r>
          </w:p>
          <w:p w14:paraId="56AFFCC0" w14:textId="17B7B4C8" w:rsidR="00124295" w:rsidRPr="00306115" w:rsidRDefault="00124295">
            <w:pPr>
              <w:pStyle w:val="ListParagraph"/>
              <w:widowControl w:val="0"/>
              <w:numPr>
                <w:ilvl w:val="0"/>
                <w:numId w:val="495"/>
              </w:numPr>
              <w:pBdr>
                <w:top w:val="nil"/>
                <w:left w:val="nil"/>
                <w:bottom w:val="nil"/>
                <w:right w:val="nil"/>
                <w:between w:val="nil"/>
              </w:pBdr>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1: Tidak terdapat Teguran Bank Kustodian</w:t>
            </w:r>
          </w:p>
          <w:p w14:paraId="58F14CEC" w14:textId="7D9F2A5A" w:rsidR="00124295" w:rsidRPr="00306115" w:rsidRDefault="00124295">
            <w:pPr>
              <w:pStyle w:val="ListParagraph"/>
              <w:widowControl w:val="0"/>
              <w:numPr>
                <w:ilvl w:val="0"/>
                <w:numId w:val="495"/>
              </w:numPr>
              <w:pBdr>
                <w:top w:val="nil"/>
                <w:left w:val="nil"/>
                <w:bottom w:val="nil"/>
                <w:right w:val="nil"/>
                <w:between w:val="nil"/>
              </w:pBdr>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2: Terdapat teguran Bank Kustodian &gt; 0 dan ≤ 3</w:t>
            </w:r>
          </w:p>
          <w:p w14:paraId="33BB81CE" w14:textId="5E28CCC2" w:rsidR="00124295" w:rsidRPr="00306115" w:rsidRDefault="00124295">
            <w:pPr>
              <w:pStyle w:val="ListParagraph"/>
              <w:widowControl w:val="0"/>
              <w:numPr>
                <w:ilvl w:val="0"/>
                <w:numId w:val="495"/>
              </w:numPr>
              <w:pBdr>
                <w:top w:val="nil"/>
                <w:left w:val="nil"/>
                <w:bottom w:val="nil"/>
                <w:right w:val="nil"/>
                <w:between w:val="nil"/>
              </w:pBdr>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3: Terdapat teguran Bank Kustodian &gt; 3 dan ≤ 10</w:t>
            </w:r>
          </w:p>
          <w:p w14:paraId="1B46683F" w14:textId="5E44174D" w:rsidR="00124295" w:rsidRPr="00306115" w:rsidRDefault="00124295">
            <w:pPr>
              <w:pStyle w:val="ListParagraph"/>
              <w:widowControl w:val="0"/>
              <w:numPr>
                <w:ilvl w:val="0"/>
                <w:numId w:val="495"/>
              </w:numPr>
              <w:pBdr>
                <w:top w:val="nil"/>
                <w:left w:val="nil"/>
                <w:bottom w:val="nil"/>
                <w:right w:val="nil"/>
                <w:between w:val="nil"/>
              </w:pBdr>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4: Terdapat teguran Bank Kustodian &gt; 10 dan ≤ 20</w:t>
            </w:r>
          </w:p>
          <w:p w14:paraId="58DD7BF1" w14:textId="753EC33B" w:rsidR="00124295" w:rsidRPr="00306115" w:rsidRDefault="00124295">
            <w:pPr>
              <w:pStyle w:val="ListParagraph"/>
              <w:widowControl w:val="0"/>
              <w:numPr>
                <w:ilvl w:val="0"/>
                <w:numId w:val="495"/>
              </w:numPr>
              <w:pBdr>
                <w:top w:val="nil"/>
                <w:left w:val="nil"/>
                <w:bottom w:val="nil"/>
                <w:right w:val="nil"/>
                <w:between w:val="nil"/>
              </w:pBdr>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5: Terdapat teguran Bank Kustodian &gt; 20</w:t>
            </w:r>
          </w:p>
        </w:tc>
      </w:tr>
      <w:tr w:rsidR="00124295" w:rsidRPr="00306115" w14:paraId="1809D606" w14:textId="77777777" w:rsidTr="00124295">
        <w:trPr>
          <w:trHeight w:val="1598"/>
        </w:trPr>
        <w:tc>
          <w:tcPr>
            <w:tcW w:w="340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FA5D9E9" w14:textId="1E4D094A" w:rsidR="00124295" w:rsidRPr="00306115" w:rsidRDefault="00124295" w:rsidP="00F94CFC">
            <w:pPr>
              <w:widowControl w:val="0"/>
              <w:pBdr>
                <w:top w:val="nil"/>
                <w:left w:val="nil"/>
                <w:bottom w:val="nil"/>
                <w:right w:val="nil"/>
                <w:between w:val="nil"/>
              </w:pBdr>
              <w:spacing w:after="0" w:line="240" w:lineRule="auto"/>
              <w:rPr>
                <w:rFonts w:eastAsia="Bookman Old Style" w:cs="Bookman Old Style"/>
                <w:color w:val="000000" w:themeColor="text1"/>
                <w:szCs w:val="24"/>
                <w:lang w:val="en-GB"/>
              </w:rPr>
            </w:pPr>
            <w:r w:rsidRPr="00306115">
              <w:rPr>
                <w:rFonts w:eastAsia="Bookman Old Style" w:cs="Bookman Old Style"/>
                <w:color w:val="000000" w:themeColor="text1"/>
                <w:szCs w:val="24"/>
                <w:lang w:val="en-GB"/>
              </w:rPr>
              <w:t xml:space="preserve">Jumlah Tindakan </w:t>
            </w:r>
            <w:r w:rsidRPr="00306115">
              <w:rPr>
                <w:rFonts w:eastAsia="Bookman Old Style" w:cs="Bookman Old Style"/>
                <w:color w:val="000000" w:themeColor="text1"/>
                <w:szCs w:val="24"/>
              </w:rPr>
              <w:t>pembinaan</w:t>
            </w:r>
            <w:r w:rsidRPr="00306115">
              <w:rPr>
                <w:rFonts w:eastAsia="Bookman Old Style" w:cs="Bookman Old Style"/>
                <w:color w:val="000000" w:themeColor="text1"/>
                <w:szCs w:val="24"/>
                <w:lang w:val="en-GB"/>
              </w:rPr>
              <w:t xml:space="preserve"> yang diterima Manajer Investasi dalam 1 tahun</w:t>
            </w:r>
          </w:p>
          <w:p w14:paraId="18A5B775" w14:textId="77777777" w:rsidR="00124295" w:rsidRPr="00306115" w:rsidRDefault="00124295" w:rsidP="00A12260">
            <w:pPr>
              <w:widowControl w:val="0"/>
              <w:pBdr>
                <w:top w:val="nil"/>
                <w:left w:val="nil"/>
                <w:bottom w:val="nil"/>
                <w:right w:val="nil"/>
                <w:between w:val="nil"/>
              </w:pBdr>
              <w:spacing w:after="0" w:line="240" w:lineRule="auto"/>
              <w:rPr>
                <w:rFonts w:eastAsia="Bookman Old Style" w:cs="Bookman Old Style"/>
                <w:color w:val="000000" w:themeColor="text1"/>
                <w:szCs w:val="24"/>
                <w:lang w:val="en-GB"/>
              </w:rPr>
            </w:pPr>
          </w:p>
        </w:tc>
        <w:tc>
          <w:tcPr>
            <w:tcW w:w="11340" w:type="dxa"/>
            <w:tcBorders>
              <w:top w:val="single" w:sz="8" w:space="0" w:color="000000" w:themeColor="text1"/>
              <w:left w:val="single" w:sz="8" w:space="0" w:color="000000" w:themeColor="text1"/>
              <w:bottom w:val="single" w:sz="4" w:space="0" w:color="000000" w:themeColor="text1"/>
              <w:right w:val="single" w:sz="8" w:space="0" w:color="000000" w:themeColor="text1"/>
            </w:tcBorders>
          </w:tcPr>
          <w:p w14:paraId="287BC811" w14:textId="3CE5EC66" w:rsidR="00124295" w:rsidRPr="00306115" w:rsidRDefault="00124295">
            <w:pPr>
              <w:widowControl w:val="0"/>
              <w:numPr>
                <w:ilvl w:val="0"/>
                <w:numId w:val="496"/>
              </w:numPr>
              <w:pBdr>
                <w:top w:val="nil"/>
                <w:left w:val="nil"/>
                <w:bottom w:val="nil"/>
                <w:right w:val="nil"/>
                <w:between w:val="nil"/>
              </w:pBdr>
              <w:tabs>
                <w:tab w:val="left" w:pos="1026"/>
              </w:tabs>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Parameter atau indikator Jumlah Tindakan Pembinaan yang diterima Manajer Investasi dalam 1 (satu) tahun digunakan untuk mengukur tingkat kepatuhan Manajer Investasi terhadap ketentuan yang berlaku.</w:t>
            </w:r>
          </w:p>
          <w:p w14:paraId="6A82DBE3" w14:textId="16C7A58A" w:rsidR="00124295" w:rsidRPr="00306115" w:rsidRDefault="00124295">
            <w:pPr>
              <w:widowControl w:val="0"/>
              <w:numPr>
                <w:ilvl w:val="0"/>
                <w:numId w:val="496"/>
              </w:numPr>
              <w:pBdr>
                <w:top w:val="nil"/>
                <w:left w:val="nil"/>
                <w:bottom w:val="nil"/>
                <w:right w:val="nil"/>
                <w:between w:val="nil"/>
              </w:pBdr>
              <w:tabs>
                <w:tab w:val="left" w:pos="1026"/>
              </w:tabs>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Adapun klasifikasi penilaian indikator ini terbagi menjadi 5 (lima) peringkat sebagai berikut:</w:t>
            </w:r>
          </w:p>
          <w:p w14:paraId="72E675A7" w14:textId="03D49B9C" w:rsidR="00124295" w:rsidRPr="00306115" w:rsidRDefault="00124295">
            <w:pPr>
              <w:pStyle w:val="ListParagraph"/>
              <w:widowControl w:val="0"/>
              <w:numPr>
                <w:ilvl w:val="0"/>
                <w:numId w:val="497"/>
              </w:numPr>
              <w:pBdr>
                <w:top w:val="nil"/>
                <w:left w:val="nil"/>
                <w:bottom w:val="nil"/>
                <w:right w:val="nil"/>
                <w:between w:val="nil"/>
              </w:pBdr>
              <w:tabs>
                <w:tab w:val="left" w:pos="2018"/>
              </w:tabs>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1: Tidak ada Perintah Tindakan Tertentu (PTT) yang dikenakan oleh OJK.</w:t>
            </w:r>
          </w:p>
          <w:p w14:paraId="59658174" w14:textId="0E6255D0" w:rsidR="00124295" w:rsidRPr="00306115" w:rsidRDefault="00124295">
            <w:pPr>
              <w:pStyle w:val="ListParagraph"/>
              <w:widowControl w:val="0"/>
              <w:numPr>
                <w:ilvl w:val="0"/>
                <w:numId w:val="497"/>
              </w:numPr>
              <w:pBdr>
                <w:top w:val="nil"/>
                <w:left w:val="nil"/>
                <w:bottom w:val="nil"/>
                <w:right w:val="nil"/>
                <w:between w:val="nil"/>
              </w:pBdr>
              <w:tabs>
                <w:tab w:val="left" w:pos="2018"/>
              </w:tabs>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2: Jumlah PTT yang dikenakan oleh OJK &gt; 0 dan ≤ 5</w:t>
            </w:r>
          </w:p>
          <w:p w14:paraId="0743023D" w14:textId="6D82D17E" w:rsidR="00124295" w:rsidRPr="00306115" w:rsidRDefault="00124295">
            <w:pPr>
              <w:pStyle w:val="ListParagraph"/>
              <w:widowControl w:val="0"/>
              <w:numPr>
                <w:ilvl w:val="0"/>
                <w:numId w:val="497"/>
              </w:numPr>
              <w:pBdr>
                <w:top w:val="nil"/>
                <w:left w:val="nil"/>
                <w:bottom w:val="nil"/>
                <w:right w:val="nil"/>
                <w:between w:val="nil"/>
              </w:pBdr>
              <w:tabs>
                <w:tab w:val="left" w:pos="2018"/>
              </w:tabs>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3: Jumlah PTT yang dikenakan oleh OJK &gt; 5 dan ≤ 10</w:t>
            </w:r>
          </w:p>
          <w:p w14:paraId="6868E933" w14:textId="4EABD32C" w:rsidR="00124295" w:rsidRPr="00306115" w:rsidRDefault="00124295">
            <w:pPr>
              <w:pStyle w:val="ListParagraph"/>
              <w:widowControl w:val="0"/>
              <w:numPr>
                <w:ilvl w:val="0"/>
                <w:numId w:val="497"/>
              </w:numPr>
              <w:pBdr>
                <w:top w:val="nil"/>
                <w:left w:val="nil"/>
                <w:bottom w:val="nil"/>
                <w:right w:val="nil"/>
                <w:between w:val="nil"/>
              </w:pBdr>
              <w:tabs>
                <w:tab w:val="left" w:pos="2018"/>
              </w:tabs>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4: Jumlah PTT yang dikenakan oleh OJK &gt; 10</w:t>
            </w:r>
          </w:p>
          <w:p w14:paraId="153B8628" w14:textId="30D11753" w:rsidR="00124295" w:rsidRPr="00306115" w:rsidRDefault="00124295">
            <w:pPr>
              <w:pStyle w:val="ListParagraph"/>
              <w:widowControl w:val="0"/>
              <w:numPr>
                <w:ilvl w:val="0"/>
                <w:numId w:val="497"/>
              </w:numPr>
              <w:pBdr>
                <w:top w:val="nil"/>
                <w:left w:val="nil"/>
                <w:bottom w:val="nil"/>
                <w:right w:val="nil"/>
                <w:between w:val="nil"/>
              </w:pBdr>
              <w:tabs>
                <w:tab w:val="left" w:pos="2018"/>
              </w:tabs>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5: Terdapat Pembatasan Kegiatan Usaha oleh OJK</w:t>
            </w:r>
          </w:p>
          <w:p w14:paraId="2FB6EF5F" w14:textId="77777777" w:rsidR="00124295" w:rsidRPr="00306115" w:rsidRDefault="00124295">
            <w:pPr>
              <w:widowControl w:val="0"/>
              <w:numPr>
                <w:ilvl w:val="0"/>
                <w:numId w:val="496"/>
              </w:numPr>
              <w:pBdr>
                <w:top w:val="nil"/>
                <w:left w:val="nil"/>
                <w:bottom w:val="nil"/>
                <w:right w:val="nil"/>
                <w:between w:val="nil"/>
              </w:pBdr>
              <w:tabs>
                <w:tab w:val="left" w:pos="1026"/>
              </w:tabs>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lang w:val="en-GB"/>
              </w:rPr>
              <w:t>S</w:t>
            </w:r>
            <w:r w:rsidRPr="00306115">
              <w:rPr>
                <w:rFonts w:eastAsia="Bookman Old Style" w:cs="Bookman Old Style"/>
                <w:color w:val="000000" w:themeColor="text1"/>
                <w:szCs w:val="24"/>
              </w:rPr>
              <w:t xml:space="preserve">emakin banyaknya </w:t>
            </w:r>
            <w:r w:rsidRPr="00306115">
              <w:rPr>
                <w:rFonts w:eastAsia="Bookman Old Style" w:cs="Bookman Old Style"/>
                <w:color w:val="000000" w:themeColor="text1"/>
                <w:szCs w:val="24"/>
                <w:lang w:val="en-GB"/>
              </w:rPr>
              <w:t xml:space="preserve">Tindakan Pembinaan yang </w:t>
            </w:r>
            <w:r w:rsidRPr="00306115">
              <w:rPr>
                <w:rFonts w:eastAsia="Bookman Old Style" w:cs="Bookman Old Style"/>
                <w:color w:val="000000" w:themeColor="text1"/>
                <w:szCs w:val="24"/>
              </w:rPr>
              <w:t xml:space="preserve">dikenakan oleh OJK menunjukkan rendahnya tingkat kepatuhan Manajer Investasi </w:t>
            </w:r>
            <w:r w:rsidRPr="00306115">
              <w:rPr>
                <w:rFonts w:eastAsia="Bookman Old Style" w:cs="Bookman Old Style"/>
                <w:color w:val="000000" w:themeColor="text1"/>
                <w:szCs w:val="24"/>
                <w:lang w:val="en-GB"/>
              </w:rPr>
              <w:t xml:space="preserve">terhadap ketentuan yang berlaku. </w:t>
            </w:r>
          </w:p>
        </w:tc>
      </w:tr>
      <w:tr w:rsidR="00124295" w:rsidRPr="00306115" w14:paraId="01530200" w14:textId="77777777" w:rsidTr="00124295">
        <w:trPr>
          <w:trHeight w:val="2447"/>
        </w:trPr>
        <w:tc>
          <w:tcPr>
            <w:tcW w:w="340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1D4DE56" w14:textId="34EFB511" w:rsidR="00124295" w:rsidRPr="00306115" w:rsidRDefault="00124295" w:rsidP="00F94CFC">
            <w:pPr>
              <w:widowControl w:val="0"/>
              <w:pBdr>
                <w:top w:val="nil"/>
                <w:left w:val="nil"/>
                <w:bottom w:val="nil"/>
                <w:right w:val="nil"/>
                <w:between w:val="nil"/>
              </w:pBdr>
              <w:spacing w:after="0" w:line="240" w:lineRule="auto"/>
              <w:rPr>
                <w:rFonts w:eastAsia="Bookman Old Style" w:cs="Bookman Old Style"/>
                <w:color w:val="000000" w:themeColor="text1"/>
                <w:szCs w:val="24"/>
                <w:lang w:val="en-GB"/>
              </w:rPr>
            </w:pPr>
            <w:bookmarkStart w:id="7" w:name="_Hlk218085157"/>
            <w:r w:rsidRPr="00306115">
              <w:rPr>
                <w:rFonts w:eastAsia="Bookman Old Style" w:cs="Bookman Old Style"/>
                <w:color w:val="000000" w:themeColor="text1"/>
                <w:szCs w:val="24"/>
                <w:lang w:val="en-GB"/>
              </w:rPr>
              <w:lastRenderedPageBreak/>
              <w:t xml:space="preserve">Jumlah </w:t>
            </w:r>
            <w:r w:rsidRPr="00306115">
              <w:rPr>
                <w:rFonts w:eastAsia="Bookman Old Style" w:cs="Bookman Old Style"/>
                <w:i/>
                <w:iCs/>
                <w:color w:val="000000" w:themeColor="text1"/>
                <w:szCs w:val="24"/>
              </w:rPr>
              <w:t>outstanding</w:t>
            </w:r>
            <w:r w:rsidRPr="00306115">
              <w:rPr>
                <w:rFonts w:eastAsia="Bookman Old Style" w:cs="Bookman Old Style"/>
                <w:color w:val="000000" w:themeColor="text1"/>
                <w:szCs w:val="24"/>
              </w:rPr>
              <w:t xml:space="preserve"> tindakan pembinaan yang belum dipenuhi MI dalam waktu 1 tahun</w:t>
            </w:r>
            <w:bookmarkEnd w:id="7"/>
          </w:p>
        </w:tc>
        <w:tc>
          <w:tcPr>
            <w:tcW w:w="11340" w:type="dxa"/>
            <w:tcBorders>
              <w:top w:val="single" w:sz="8" w:space="0" w:color="000000" w:themeColor="text1"/>
              <w:left w:val="single" w:sz="8" w:space="0" w:color="000000" w:themeColor="text1"/>
              <w:bottom w:val="single" w:sz="4" w:space="0" w:color="000000" w:themeColor="text1"/>
              <w:right w:val="single" w:sz="8" w:space="0" w:color="000000" w:themeColor="text1"/>
            </w:tcBorders>
          </w:tcPr>
          <w:p w14:paraId="3E6262B5" w14:textId="4A2CF251" w:rsidR="00124295" w:rsidRPr="00306115" w:rsidRDefault="00124295">
            <w:pPr>
              <w:widowControl w:val="0"/>
              <w:numPr>
                <w:ilvl w:val="0"/>
                <w:numId w:val="498"/>
              </w:numPr>
              <w:pBdr>
                <w:top w:val="nil"/>
                <w:left w:val="nil"/>
                <w:bottom w:val="nil"/>
                <w:right w:val="nil"/>
                <w:between w:val="nil"/>
              </w:pBdr>
              <w:tabs>
                <w:tab w:val="left" w:pos="1026"/>
              </w:tabs>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 xml:space="preserve">Parameter atau indikator </w:t>
            </w:r>
            <w:r w:rsidRPr="00306115">
              <w:rPr>
                <w:rFonts w:eastAsia="Bookman Old Style" w:cs="Bookman Old Style"/>
                <w:color w:val="000000" w:themeColor="text1"/>
                <w:szCs w:val="24"/>
                <w:lang w:val="en-GB"/>
              </w:rPr>
              <w:t>j</w:t>
            </w:r>
            <w:r w:rsidRPr="00306115">
              <w:rPr>
                <w:rFonts w:eastAsia="Bookman Old Style" w:cs="Bookman Old Style"/>
                <w:color w:val="000000" w:themeColor="text1"/>
                <w:szCs w:val="24"/>
              </w:rPr>
              <w:t xml:space="preserve">umlah </w:t>
            </w:r>
            <w:r w:rsidRPr="00306115">
              <w:rPr>
                <w:rFonts w:eastAsia="Bookman Old Style" w:cs="Bookman Old Style"/>
                <w:i/>
                <w:iCs/>
                <w:color w:val="000000" w:themeColor="text1"/>
                <w:szCs w:val="24"/>
              </w:rPr>
              <w:t>outstanding</w:t>
            </w:r>
            <w:r w:rsidRPr="00306115">
              <w:rPr>
                <w:rFonts w:eastAsia="Bookman Old Style" w:cs="Bookman Old Style"/>
                <w:color w:val="000000" w:themeColor="text1"/>
                <w:szCs w:val="24"/>
              </w:rPr>
              <w:t xml:space="preserve"> tindakan pembinaan yang belum dipenuhi Manajer Investasi dalam waktu 1 (satu) tahun digunakan untuk mengukur tingkat kepatuhan dan efektivitas tindak lanjut Manajer Investasi atas tindakan pembinaan yang telah diberikan.</w:t>
            </w:r>
          </w:p>
          <w:p w14:paraId="5F718EF2" w14:textId="2502D27A" w:rsidR="00124295" w:rsidRPr="00306115" w:rsidRDefault="00124295">
            <w:pPr>
              <w:widowControl w:val="0"/>
              <w:numPr>
                <w:ilvl w:val="0"/>
                <w:numId w:val="498"/>
              </w:numPr>
              <w:pBdr>
                <w:top w:val="nil"/>
                <w:left w:val="nil"/>
                <w:bottom w:val="nil"/>
                <w:right w:val="nil"/>
                <w:between w:val="nil"/>
              </w:pBdr>
              <w:tabs>
                <w:tab w:val="left" w:pos="1026"/>
              </w:tabs>
              <w:spacing w:after="0" w:line="240" w:lineRule="auto"/>
              <w:ind w:left="567" w:hanging="567"/>
              <w:rPr>
                <w:rFonts w:eastAsia="Bookman Old Style" w:cs="Bookman Old Style"/>
                <w:color w:val="000000" w:themeColor="text1"/>
                <w:szCs w:val="24"/>
              </w:rPr>
            </w:pPr>
            <w:r w:rsidRPr="00306115">
              <w:rPr>
                <w:rFonts w:eastAsia="Bookman Old Style" w:cs="Bookman Old Style"/>
                <w:i/>
                <w:iCs/>
                <w:color w:val="000000" w:themeColor="text1"/>
                <w:szCs w:val="24"/>
              </w:rPr>
              <w:t xml:space="preserve">Outstanding </w:t>
            </w:r>
            <w:r w:rsidRPr="00306115">
              <w:rPr>
                <w:rFonts w:eastAsia="Bookman Old Style" w:cs="Bookman Old Style"/>
                <w:color w:val="000000" w:themeColor="text1"/>
                <w:szCs w:val="24"/>
              </w:rPr>
              <w:t xml:space="preserve">tindakan pembinaan dimaksud merupakan tindakan pembinaan yang ditetapkan oleh </w:t>
            </w:r>
            <w:r w:rsidRPr="00306115">
              <w:rPr>
                <w:rFonts w:eastAsia="Bookman Old Style" w:cs="Bookman Old Style"/>
                <w:color w:val="000000" w:themeColor="text1"/>
                <w:szCs w:val="24"/>
                <w:lang w:val="en-GB"/>
              </w:rPr>
              <w:t>OJK</w:t>
            </w:r>
            <w:r w:rsidRPr="00306115">
              <w:rPr>
                <w:rFonts w:eastAsia="Bookman Old Style" w:cs="Bookman Old Style"/>
                <w:color w:val="000000" w:themeColor="text1"/>
                <w:szCs w:val="24"/>
              </w:rPr>
              <w:t>, namun belum dipenuhi atau diselesaikan oleh Manajer Investasi dalam jangka waktu yang ditetapkan selama periode 1 (satu) tahun.</w:t>
            </w:r>
          </w:p>
          <w:p w14:paraId="7C711B3F" w14:textId="50BFB3DD" w:rsidR="00124295" w:rsidRPr="00306115" w:rsidRDefault="00124295">
            <w:pPr>
              <w:widowControl w:val="0"/>
              <w:numPr>
                <w:ilvl w:val="0"/>
                <w:numId w:val="498"/>
              </w:numPr>
              <w:pBdr>
                <w:top w:val="nil"/>
                <w:left w:val="nil"/>
                <w:bottom w:val="nil"/>
                <w:right w:val="nil"/>
                <w:between w:val="nil"/>
              </w:pBdr>
              <w:tabs>
                <w:tab w:val="left" w:pos="1026"/>
              </w:tabs>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Adapun klasifikasi penilaian indikator ini terbagi menjadi 5 (lima) peringkat sebagai berikut:</w:t>
            </w:r>
          </w:p>
          <w:p w14:paraId="03659A33" w14:textId="6078AAE9" w:rsidR="00124295" w:rsidRPr="00306115" w:rsidRDefault="00124295">
            <w:pPr>
              <w:pStyle w:val="ListParagraph"/>
              <w:widowControl w:val="0"/>
              <w:numPr>
                <w:ilvl w:val="0"/>
                <w:numId w:val="499"/>
              </w:numPr>
              <w:pBdr>
                <w:top w:val="nil"/>
                <w:left w:val="nil"/>
                <w:bottom w:val="nil"/>
                <w:right w:val="nil"/>
                <w:between w:val="nil"/>
              </w:pBdr>
              <w:tabs>
                <w:tab w:val="left" w:pos="1735"/>
              </w:tabs>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1: Tidak ada Perintah Tindakan Tertentu (PTT) yang dikenakan oleh OJK.</w:t>
            </w:r>
          </w:p>
          <w:p w14:paraId="31D653C8" w14:textId="10418BBB" w:rsidR="00124295" w:rsidRPr="00306115" w:rsidRDefault="00124295">
            <w:pPr>
              <w:pStyle w:val="ListParagraph"/>
              <w:widowControl w:val="0"/>
              <w:numPr>
                <w:ilvl w:val="0"/>
                <w:numId w:val="499"/>
              </w:numPr>
              <w:pBdr>
                <w:top w:val="nil"/>
                <w:left w:val="nil"/>
                <w:bottom w:val="nil"/>
                <w:right w:val="nil"/>
                <w:between w:val="nil"/>
              </w:pBdr>
              <w:tabs>
                <w:tab w:val="left" w:pos="1735"/>
              </w:tabs>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2: Jumlah PTT yang dikenakan oleh OJK &gt; 0 dan ≤ 5</w:t>
            </w:r>
          </w:p>
          <w:p w14:paraId="2FF63128" w14:textId="3D9A4BAB" w:rsidR="00124295" w:rsidRPr="00306115" w:rsidRDefault="00124295">
            <w:pPr>
              <w:pStyle w:val="ListParagraph"/>
              <w:widowControl w:val="0"/>
              <w:numPr>
                <w:ilvl w:val="0"/>
                <w:numId w:val="499"/>
              </w:numPr>
              <w:pBdr>
                <w:top w:val="nil"/>
                <w:left w:val="nil"/>
                <w:bottom w:val="nil"/>
                <w:right w:val="nil"/>
                <w:between w:val="nil"/>
              </w:pBdr>
              <w:tabs>
                <w:tab w:val="left" w:pos="1735"/>
              </w:tabs>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3: Jumlah PTT yang dikenakan oleh OJK &gt; 5 dan ≤ 10</w:t>
            </w:r>
          </w:p>
          <w:p w14:paraId="186C84B9" w14:textId="6355A494" w:rsidR="00124295" w:rsidRPr="00306115" w:rsidRDefault="00124295">
            <w:pPr>
              <w:pStyle w:val="ListParagraph"/>
              <w:widowControl w:val="0"/>
              <w:numPr>
                <w:ilvl w:val="0"/>
                <w:numId w:val="499"/>
              </w:numPr>
              <w:pBdr>
                <w:top w:val="nil"/>
                <w:left w:val="nil"/>
                <w:bottom w:val="nil"/>
                <w:right w:val="nil"/>
                <w:between w:val="nil"/>
              </w:pBdr>
              <w:tabs>
                <w:tab w:val="left" w:pos="1735"/>
              </w:tabs>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4: Jumlah PTT yang dikenakan oleh OJK &gt; 10</w:t>
            </w:r>
          </w:p>
          <w:p w14:paraId="3C29E841" w14:textId="6797AA37" w:rsidR="00124295" w:rsidRPr="00306115" w:rsidRDefault="00124295">
            <w:pPr>
              <w:pStyle w:val="ListParagraph"/>
              <w:widowControl w:val="0"/>
              <w:numPr>
                <w:ilvl w:val="0"/>
                <w:numId w:val="499"/>
              </w:numPr>
              <w:pBdr>
                <w:top w:val="nil"/>
                <w:left w:val="nil"/>
                <w:bottom w:val="nil"/>
                <w:right w:val="nil"/>
                <w:between w:val="nil"/>
              </w:pBdr>
              <w:tabs>
                <w:tab w:val="left" w:pos="1735"/>
              </w:tabs>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5: Terdapat Pembatasan Kegiatan Usaha oleh OJK</w:t>
            </w:r>
          </w:p>
          <w:p w14:paraId="2285C7E9" w14:textId="64A40A1A" w:rsidR="00124295" w:rsidRPr="00306115" w:rsidRDefault="00124295">
            <w:pPr>
              <w:widowControl w:val="0"/>
              <w:numPr>
                <w:ilvl w:val="0"/>
                <w:numId w:val="498"/>
              </w:numPr>
              <w:pBdr>
                <w:top w:val="nil"/>
                <w:left w:val="nil"/>
                <w:bottom w:val="nil"/>
                <w:right w:val="nil"/>
                <w:between w:val="nil"/>
              </w:pBdr>
              <w:tabs>
                <w:tab w:val="left" w:pos="1026"/>
              </w:tabs>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lang w:val="en-GB"/>
              </w:rPr>
              <w:t>J</w:t>
            </w:r>
            <w:r w:rsidRPr="00306115">
              <w:rPr>
                <w:rFonts w:eastAsia="Bookman Old Style" w:cs="Bookman Old Style"/>
                <w:color w:val="000000" w:themeColor="text1"/>
                <w:szCs w:val="24"/>
              </w:rPr>
              <w:t xml:space="preserve">umlah </w:t>
            </w:r>
            <w:r w:rsidRPr="00306115">
              <w:rPr>
                <w:rFonts w:eastAsia="Bookman Old Style" w:cs="Bookman Old Style"/>
                <w:i/>
                <w:iCs/>
                <w:color w:val="000000" w:themeColor="text1"/>
                <w:szCs w:val="24"/>
              </w:rPr>
              <w:t>outstanding</w:t>
            </w:r>
            <w:r w:rsidRPr="00306115">
              <w:rPr>
                <w:rFonts w:eastAsia="Bookman Old Style" w:cs="Bookman Old Style"/>
                <w:color w:val="000000" w:themeColor="text1"/>
                <w:szCs w:val="24"/>
              </w:rPr>
              <w:t xml:space="preserve"> tindakan pembinaan tersebut mencerminkan komitmen Manajer Investasi dalam melakukan perbaikan dan penyesuaian</w:t>
            </w:r>
            <w:r w:rsidRPr="00306115">
              <w:rPr>
                <w:rFonts w:eastAsia="Bookman Old Style" w:cs="Bookman Old Style"/>
                <w:color w:val="000000" w:themeColor="text1"/>
                <w:szCs w:val="24"/>
                <w:lang w:val="en-GB"/>
              </w:rPr>
              <w:t>.</w:t>
            </w:r>
          </w:p>
        </w:tc>
      </w:tr>
      <w:tr w:rsidR="000B5ABD" w:rsidRPr="00306115" w14:paraId="227BCCEB" w14:textId="77777777" w:rsidTr="000B5ABD">
        <w:trPr>
          <w:trHeight w:val="379"/>
        </w:trPr>
        <w:tc>
          <w:tcPr>
            <w:tcW w:w="14742" w:type="dxa"/>
            <w:gridSpan w:val="3"/>
            <w:tcBorders>
              <w:top w:val="single" w:sz="4" w:space="0" w:color="000000" w:themeColor="text1"/>
              <w:left w:val="single" w:sz="8" w:space="0" w:color="000000" w:themeColor="text1"/>
              <w:bottom w:val="single" w:sz="8" w:space="0" w:color="000000" w:themeColor="text1"/>
              <w:right w:val="single" w:sz="8" w:space="0" w:color="000000" w:themeColor="text1"/>
            </w:tcBorders>
            <w:shd w:val="clear" w:color="auto" w:fill="D0CECE" w:themeFill="background2" w:themeFillShade="E6"/>
          </w:tcPr>
          <w:p w14:paraId="688070FF" w14:textId="77777777" w:rsidR="000B5ABD" w:rsidRPr="00306115" w:rsidRDefault="000B5ABD">
            <w:pPr>
              <w:widowControl w:val="0"/>
              <w:numPr>
                <w:ilvl w:val="0"/>
                <w:numId w:val="303"/>
              </w:numPr>
              <w:pBdr>
                <w:top w:val="nil"/>
                <w:left w:val="nil"/>
                <w:bottom w:val="nil"/>
                <w:right w:val="nil"/>
                <w:between w:val="nil"/>
              </w:pBdr>
              <w:spacing w:before="60" w:after="60" w:line="240" w:lineRule="auto"/>
              <w:ind w:left="567" w:hanging="567"/>
              <w:jc w:val="left"/>
              <w:rPr>
                <w:rFonts w:eastAsia="Bookman Old Style" w:cs="Bookman Old Style"/>
                <w:b/>
                <w:bCs/>
                <w:color w:val="000000" w:themeColor="text1"/>
                <w:szCs w:val="24"/>
              </w:rPr>
            </w:pPr>
            <w:r w:rsidRPr="00306115">
              <w:rPr>
                <w:rFonts w:eastAsia="Bookman Old Style" w:cs="Bookman Old Style"/>
                <w:b/>
                <w:bCs/>
                <w:color w:val="000000" w:themeColor="text1"/>
                <w:szCs w:val="24"/>
              </w:rPr>
              <w:t>Kualitas Penerapan Manajemen Risiko</w:t>
            </w:r>
          </w:p>
        </w:tc>
      </w:tr>
      <w:tr w:rsidR="000B5ABD" w:rsidRPr="00306115" w14:paraId="191698EB" w14:textId="77777777" w:rsidTr="00731D35">
        <w:trPr>
          <w:trHeight w:val="379"/>
        </w:trPr>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710FFE" w14:textId="77777777" w:rsidR="000B5ABD" w:rsidRPr="00306115" w:rsidRDefault="000B5ABD">
            <w:pPr>
              <w:widowControl w:val="0"/>
              <w:numPr>
                <w:ilvl w:val="2"/>
                <w:numId w:val="305"/>
              </w:numPr>
              <w:pBdr>
                <w:top w:val="nil"/>
                <w:left w:val="nil"/>
                <w:bottom w:val="nil"/>
                <w:right w:val="nil"/>
                <w:between w:val="nil"/>
              </w:pBdr>
              <w:spacing w:before="97" w:after="0" w:line="240" w:lineRule="auto"/>
              <w:ind w:left="847" w:right="80" w:hanging="511"/>
              <w:jc w:val="left"/>
              <w:rPr>
                <w:rFonts w:eastAsia="Bookman Old Style" w:cs="Bookman Old Style"/>
                <w:b/>
                <w:bCs/>
                <w:color w:val="000000" w:themeColor="text1"/>
                <w:szCs w:val="24"/>
              </w:rPr>
            </w:pPr>
          </w:p>
        </w:tc>
        <w:tc>
          <w:tcPr>
            <w:tcW w:w="1346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7F34BA" w14:textId="77777777" w:rsidR="000B5ABD" w:rsidRPr="00306115" w:rsidRDefault="000B5ABD" w:rsidP="00731D35">
            <w:pPr>
              <w:widowControl w:val="0"/>
              <w:pBdr>
                <w:top w:val="nil"/>
                <w:left w:val="nil"/>
                <w:bottom w:val="nil"/>
                <w:right w:val="nil"/>
                <w:between w:val="nil"/>
              </w:pBdr>
              <w:spacing w:before="60" w:after="6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Tata kelola risiko (</w:t>
            </w:r>
            <w:r w:rsidRPr="00306115">
              <w:rPr>
                <w:rFonts w:eastAsia="Bookman Old Style" w:cs="Bookman Old Style"/>
                <w:i/>
                <w:iCs/>
                <w:color w:val="000000" w:themeColor="text1"/>
                <w:szCs w:val="24"/>
              </w:rPr>
              <w:t>risk governance</w:t>
            </w:r>
            <w:r w:rsidRPr="00306115">
              <w:rPr>
                <w:rFonts w:eastAsia="Bookman Old Style" w:cs="Bookman Old Style"/>
                <w:color w:val="000000" w:themeColor="text1"/>
                <w:szCs w:val="24"/>
              </w:rPr>
              <w:t>) mencakup evaluasi terhadap: (i) perumusan tingkat risiko yang akan diambil (</w:t>
            </w:r>
            <w:r w:rsidRPr="00306115">
              <w:rPr>
                <w:rFonts w:eastAsia="Bookman Old Style" w:cs="Bookman Old Style"/>
                <w:i/>
                <w:iCs/>
                <w:color w:val="000000" w:themeColor="text1"/>
                <w:szCs w:val="24"/>
              </w:rPr>
              <w:t>risk appetite</w:t>
            </w:r>
            <w:r w:rsidRPr="00306115">
              <w:rPr>
                <w:rFonts w:eastAsia="Bookman Old Style" w:cs="Bookman Old Style"/>
                <w:color w:val="000000" w:themeColor="text1"/>
                <w:szCs w:val="24"/>
              </w:rPr>
              <w:t>) dan toleransi risiko (</w:t>
            </w:r>
            <w:r w:rsidRPr="00306115">
              <w:rPr>
                <w:rFonts w:eastAsia="Bookman Old Style" w:cs="Bookman Old Style"/>
                <w:i/>
                <w:iCs/>
                <w:color w:val="000000" w:themeColor="text1"/>
                <w:szCs w:val="24"/>
              </w:rPr>
              <w:t>risk tolerance</w:t>
            </w:r>
            <w:r w:rsidRPr="00306115">
              <w:rPr>
                <w:rFonts w:eastAsia="Bookman Old Style" w:cs="Bookman Old Style"/>
                <w:color w:val="000000" w:themeColor="text1"/>
                <w:szCs w:val="24"/>
              </w:rPr>
              <w:t>) dan (ii) kecukupan pengawasan aktif oleh Direksi dan Dewan Komisaris termasuk pelaksanaan kewenangan dan tanggung jawab Direksi dan Dewan Komisaris.</w:t>
            </w:r>
          </w:p>
        </w:tc>
      </w:tr>
      <w:tr w:rsidR="000B5ABD" w:rsidRPr="00306115" w14:paraId="20B186EC" w14:textId="77777777" w:rsidTr="00731D35">
        <w:trPr>
          <w:trHeight w:val="379"/>
        </w:trPr>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F53595" w14:textId="77777777" w:rsidR="000B5ABD" w:rsidRPr="00306115" w:rsidRDefault="000B5ABD">
            <w:pPr>
              <w:widowControl w:val="0"/>
              <w:numPr>
                <w:ilvl w:val="2"/>
                <w:numId w:val="305"/>
              </w:numPr>
              <w:pBdr>
                <w:top w:val="nil"/>
                <w:left w:val="nil"/>
                <w:bottom w:val="nil"/>
                <w:right w:val="nil"/>
                <w:between w:val="nil"/>
              </w:pBdr>
              <w:spacing w:before="97" w:after="0" w:line="240" w:lineRule="auto"/>
              <w:ind w:left="847" w:right="80" w:hanging="511"/>
              <w:jc w:val="left"/>
              <w:rPr>
                <w:rFonts w:eastAsia="Bookman Old Style" w:cs="Bookman Old Style"/>
                <w:b/>
                <w:bCs/>
                <w:color w:val="000000" w:themeColor="text1"/>
                <w:szCs w:val="24"/>
              </w:rPr>
            </w:pPr>
          </w:p>
        </w:tc>
        <w:tc>
          <w:tcPr>
            <w:tcW w:w="1346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15502C" w14:textId="77777777" w:rsidR="000B5ABD" w:rsidRPr="00306115" w:rsidRDefault="000B5ABD" w:rsidP="00731D35">
            <w:pPr>
              <w:widowControl w:val="0"/>
              <w:pBdr>
                <w:top w:val="nil"/>
                <w:left w:val="nil"/>
                <w:bottom w:val="nil"/>
                <w:right w:val="nil"/>
                <w:between w:val="nil"/>
              </w:pBdr>
              <w:spacing w:before="60" w:after="6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Kerangka Manajemen Risiko mencakup evaluasi terhadap: (i) strategi Manajemen Risiko yang searah dengan tingkat risiko yang akan diambil dan toleransi risiko; (ii) kecukupan perangkat organisasi dalam mendukung terlaksananya Manajemen Risiko secara efektif termasuk kejelasan wewenang dan tanggung jawab; dan (iii) kecukupan kebijakan dan prosedur Manajemen Risiko serta penetapan limit risiko.</w:t>
            </w:r>
          </w:p>
        </w:tc>
      </w:tr>
      <w:tr w:rsidR="000B5ABD" w:rsidRPr="00306115" w14:paraId="6C3FEA82" w14:textId="77777777" w:rsidTr="00731D35">
        <w:trPr>
          <w:trHeight w:val="379"/>
        </w:trPr>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91C487" w14:textId="77777777" w:rsidR="000B5ABD" w:rsidRPr="00306115" w:rsidRDefault="000B5ABD">
            <w:pPr>
              <w:widowControl w:val="0"/>
              <w:numPr>
                <w:ilvl w:val="2"/>
                <w:numId w:val="305"/>
              </w:numPr>
              <w:pBdr>
                <w:top w:val="nil"/>
                <w:left w:val="nil"/>
                <w:bottom w:val="nil"/>
                <w:right w:val="nil"/>
                <w:between w:val="nil"/>
              </w:pBdr>
              <w:spacing w:before="97" w:after="0" w:line="240" w:lineRule="auto"/>
              <w:ind w:left="847" w:right="80" w:hanging="511"/>
              <w:jc w:val="left"/>
              <w:rPr>
                <w:rFonts w:eastAsia="Bookman Old Style" w:cs="Bookman Old Style"/>
                <w:b/>
                <w:bCs/>
                <w:color w:val="000000" w:themeColor="text1"/>
                <w:szCs w:val="24"/>
              </w:rPr>
            </w:pPr>
          </w:p>
        </w:tc>
        <w:tc>
          <w:tcPr>
            <w:tcW w:w="1346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2D631B" w14:textId="77777777" w:rsidR="000B5ABD" w:rsidRPr="00306115" w:rsidRDefault="000B5ABD" w:rsidP="00731D35">
            <w:pPr>
              <w:widowControl w:val="0"/>
              <w:pBdr>
                <w:top w:val="nil"/>
                <w:left w:val="nil"/>
                <w:bottom w:val="nil"/>
                <w:right w:val="nil"/>
                <w:between w:val="nil"/>
              </w:pBdr>
              <w:spacing w:before="60" w:after="6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Proses Manajemen Risiko, sistem informasi, dan sumber daya manusia mencakup evaluasi terhadap: (i) proses identifikasi, pengukuran, pemantauan, dan pengendalian risiko; (ii) kecukupan sistem informasi Manajemen Risiko; dan (iii) kecukupan kuantitas dan kualitas sumber daya manusia dalam mendukung efektivitas proses Manajemen Risiko.</w:t>
            </w:r>
          </w:p>
        </w:tc>
      </w:tr>
      <w:tr w:rsidR="000B5ABD" w:rsidRPr="00306115" w14:paraId="5EC9104C" w14:textId="77777777" w:rsidTr="00731D35">
        <w:trPr>
          <w:trHeight w:val="379"/>
        </w:trPr>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14660D" w14:textId="77777777" w:rsidR="000B5ABD" w:rsidRPr="00306115" w:rsidRDefault="000B5ABD">
            <w:pPr>
              <w:widowControl w:val="0"/>
              <w:numPr>
                <w:ilvl w:val="2"/>
                <w:numId w:val="305"/>
              </w:numPr>
              <w:pBdr>
                <w:top w:val="nil"/>
                <w:left w:val="nil"/>
                <w:bottom w:val="nil"/>
                <w:right w:val="nil"/>
                <w:between w:val="nil"/>
              </w:pBdr>
              <w:spacing w:before="97" w:after="0" w:line="240" w:lineRule="auto"/>
              <w:ind w:left="847" w:right="80" w:hanging="511"/>
              <w:jc w:val="left"/>
              <w:rPr>
                <w:rFonts w:eastAsia="Bookman Old Style" w:cs="Bookman Old Style"/>
                <w:b/>
                <w:bCs/>
                <w:color w:val="000000" w:themeColor="text1"/>
                <w:szCs w:val="24"/>
              </w:rPr>
            </w:pPr>
          </w:p>
        </w:tc>
        <w:tc>
          <w:tcPr>
            <w:tcW w:w="1346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9BDF10" w14:textId="49DE4867" w:rsidR="000B5ABD" w:rsidRPr="00306115" w:rsidRDefault="000B5ABD" w:rsidP="00731D35">
            <w:pPr>
              <w:widowControl w:val="0"/>
              <w:pBdr>
                <w:top w:val="nil"/>
                <w:left w:val="nil"/>
                <w:bottom w:val="nil"/>
                <w:right w:val="nil"/>
                <w:between w:val="nil"/>
              </w:pBdr>
              <w:spacing w:before="60" w:after="6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 xml:space="preserve">Sistem </w:t>
            </w:r>
            <w:r w:rsidR="00731D35" w:rsidRPr="00306115">
              <w:rPr>
                <w:rFonts w:eastAsia="Bookman Old Style" w:cs="Bookman Old Style"/>
                <w:color w:val="000000" w:themeColor="text1"/>
                <w:szCs w:val="24"/>
              </w:rPr>
              <w:t>p</w:t>
            </w:r>
            <w:r w:rsidRPr="00306115">
              <w:rPr>
                <w:rFonts w:eastAsia="Bookman Old Style" w:cs="Bookman Old Style"/>
                <w:color w:val="000000" w:themeColor="text1"/>
                <w:szCs w:val="24"/>
              </w:rPr>
              <w:t xml:space="preserve">engendalian </w:t>
            </w:r>
            <w:r w:rsidR="00731D35" w:rsidRPr="00306115">
              <w:rPr>
                <w:rFonts w:eastAsia="Bookman Old Style" w:cs="Bookman Old Style"/>
                <w:color w:val="000000" w:themeColor="text1"/>
                <w:szCs w:val="24"/>
              </w:rPr>
              <w:t>r</w:t>
            </w:r>
            <w:r w:rsidRPr="00306115">
              <w:rPr>
                <w:rFonts w:eastAsia="Bookman Old Style" w:cs="Bookman Old Style"/>
                <w:color w:val="000000" w:themeColor="text1"/>
                <w:szCs w:val="24"/>
              </w:rPr>
              <w:t xml:space="preserve">isiko mencakup evaluasi terhadap: (i) kecukupan sistem pengendalian internal dan (ii) </w:t>
            </w:r>
            <w:r w:rsidRPr="00306115">
              <w:rPr>
                <w:rFonts w:eastAsia="Bookman Old Style" w:cs="Bookman Old Style"/>
                <w:color w:val="000000" w:themeColor="text1"/>
                <w:szCs w:val="24"/>
              </w:rPr>
              <w:lastRenderedPageBreak/>
              <w:t xml:space="preserve">kecukupan kaji ulang oleh pihak independen dalam Manajer Investasi baik oleh fungsi </w:t>
            </w:r>
            <w:r w:rsidR="001008B5" w:rsidRPr="00306115">
              <w:rPr>
                <w:color w:val="000000" w:themeColor="text1"/>
              </w:rPr>
              <w:t>Manajemen Risiko</w:t>
            </w:r>
            <w:r w:rsidR="001008B5" w:rsidRPr="00306115">
              <w:rPr>
                <w:rFonts w:eastAsia="Bookman Old Style" w:cs="Bookman Old Style"/>
                <w:color w:val="000000" w:themeColor="text1"/>
                <w:szCs w:val="24"/>
              </w:rPr>
              <w:t xml:space="preserve"> </w:t>
            </w:r>
            <w:r w:rsidRPr="00306115">
              <w:rPr>
                <w:rFonts w:eastAsia="Bookman Old Style" w:cs="Bookman Old Style"/>
                <w:color w:val="000000" w:themeColor="text1"/>
                <w:szCs w:val="24"/>
              </w:rPr>
              <w:t>maupun fungsi audit internal.</w:t>
            </w:r>
          </w:p>
        </w:tc>
      </w:tr>
    </w:tbl>
    <w:bookmarkEnd w:id="6"/>
    <w:p w14:paraId="303E86D2" w14:textId="0AF96CFB" w:rsidR="004F4241" w:rsidRPr="00306115" w:rsidRDefault="0054701F" w:rsidP="004F4241">
      <w:pPr>
        <w:pStyle w:val="HeadingAwalDaftarIsiLampiran"/>
        <w:numPr>
          <w:ilvl w:val="0"/>
          <w:numId w:val="0"/>
        </w:numPr>
        <w:tabs>
          <w:tab w:val="left" w:pos="2694"/>
        </w:tabs>
        <w:ind w:left="1134"/>
        <w:rPr>
          <w:rFonts w:eastAsia="Bookman Old Style" w:cs="Bookman Old Style"/>
        </w:rPr>
      </w:pPr>
      <w:r w:rsidRPr="00306115">
        <w:rPr>
          <w:rFonts w:eastAsia="Bookman Old Style" w:cs="Bookman Old Style"/>
        </w:rPr>
        <w:lastRenderedPageBreak/>
        <w:t xml:space="preserve">*) Merupakan parameter atau indikator minimal dan Manajer Investasi dapat menambah parameter atau indikator lain sesuai dengan karakteristik, kompleksitas usaha, dan kemampuan Manajer Investasi. Penilaian dilakukan dengan posisi akhir per 31 Desember posisi dan tren selama yang mencakup penilaian selama 12 (dua belas) bulan terakhir untuk parameter atau indikator pada Lampiran </w:t>
      </w:r>
      <w:r w:rsidR="00F11F65" w:rsidRPr="00306115">
        <w:rPr>
          <w:rFonts w:eastAsia="Bookman Old Style" w:cs="Bookman Old Style"/>
        </w:rPr>
        <w:t xml:space="preserve">IV </w:t>
      </w:r>
      <w:r w:rsidR="00F11F65" w:rsidRPr="00306115">
        <w:t>yang merupakan bagian tidak terpisahkan dari Peraturan Anggota Dewan Komisioner Otoritas Jasa Keuangan ini</w:t>
      </w:r>
      <w:r w:rsidRPr="00306115">
        <w:rPr>
          <w:rFonts w:eastAsia="Bookman Old Style" w:cs="Bookman Old Style"/>
        </w:rPr>
        <w:t>.</w:t>
      </w:r>
    </w:p>
    <w:p w14:paraId="1D30CDBF" w14:textId="77777777" w:rsidR="007D48B8" w:rsidRPr="00306115" w:rsidRDefault="007D48B8" w:rsidP="004F4241">
      <w:pPr>
        <w:pStyle w:val="HeadingAwalDaftarIsiLampiran"/>
        <w:numPr>
          <w:ilvl w:val="0"/>
          <w:numId w:val="0"/>
        </w:numPr>
        <w:tabs>
          <w:tab w:val="left" w:pos="2694"/>
        </w:tabs>
        <w:ind w:left="1134"/>
        <w:rPr>
          <w:sz w:val="28"/>
          <w:szCs w:val="28"/>
        </w:rPr>
      </w:pPr>
    </w:p>
    <w:p w14:paraId="3DCAA6B5" w14:textId="782498F8" w:rsidR="004F4241" w:rsidRPr="00306115" w:rsidRDefault="004F4241">
      <w:pPr>
        <w:pStyle w:val="HeadingAwalDaftarIsiLampiran"/>
        <w:numPr>
          <w:ilvl w:val="0"/>
          <w:numId w:val="302"/>
        </w:numPr>
        <w:tabs>
          <w:tab w:val="left" w:pos="2694"/>
        </w:tabs>
        <w:ind w:left="1134" w:hanging="567"/>
      </w:pPr>
      <w:r w:rsidRPr="00306115">
        <w:rPr>
          <w:rFonts w:eastAsia="Bookman Old Style" w:cs="Bookman Old Style"/>
        </w:rPr>
        <w:t>Penilaian Risiko Kepatuhan</w:t>
      </w:r>
    </w:p>
    <w:p w14:paraId="72FA7DB9" w14:textId="1DD68FA9" w:rsidR="0054701F" w:rsidRPr="00306115" w:rsidRDefault="002909DB">
      <w:pPr>
        <w:pStyle w:val="HeadingAwalDaftarIsiLampiran"/>
        <w:numPr>
          <w:ilvl w:val="3"/>
          <w:numId w:val="303"/>
        </w:numPr>
        <w:tabs>
          <w:tab w:val="left" w:pos="3261"/>
        </w:tabs>
        <w:ind w:left="1701" w:hanging="567"/>
        <w:rPr>
          <w:sz w:val="28"/>
          <w:szCs w:val="28"/>
        </w:rPr>
      </w:pPr>
      <w:r w:rsidRPr="00306115">
        <w:rPr>
          <w:rFonts w:eastAsia="Bookman Old Style" w:cs="Bookman Old Style"/>
        </w:rPr>
        <w:t>Penilaian Risiko Kepatuhan dilakukan berdasarkan hasil penilaian masing-masing parameter atau indikator Risiko Kepatuhan menggunakan analisis yang komprehensif dan terstruktur sehingga memberikan gambaran secara menyeluruh terkait Risiko Kepatuhan.</w:t>
      </w:r>
    </w:p>
    <w:p w14:paraId="60C0CFE2" w14:textId="0A641BEB" w:rsidR="00F11F65" w:rsidRPr="00306115" w:rsidRDefault="00A36AFB">
      <w:pPr>
        <w:pStyle w:val="HeadingAwalDaftarIsiLampiran"/>
        <w:numPr>
          <w:ilvl w:val="3"/>
          <w:numId w:val="303"/>
        </w:numPr>
        <w:tabs>
          <w:tab w:val="left" w:pos="3261"/>
        </w:tabs>
        <w:ind w:left="1701" w:hanging="567"/>
        <w:rPr>
          <w:sz w:val="28"/>
          <w:szCs w:val="28"/>
        </w:rPr>
      </w:pPr>
      <w:bookmarkStart w:id="8" w:name="_Hlk234178461"/>
      <w:r w:rsidRPr="00306115">
        <w:rPr>
          <w:rFonts w:eastAsia="Bookman Old Style" w:cs="Bookman Old Style"/>
          <w:lang w:val="id"/>
        </w:rPr>
        <w:t xml:space="preserve">Dalam menentukan tingkat atau nilai Risiko, pertimbangan utama difokuskan pada tingkat signifikansi sanksi terberat yang dijatuhkan kepada Manajer Investasi. </w:t>
      </w:r>
      <w:r w:rsidRPr="00306115">
        <w:rPr>
          <w:rFonts w:eastAsia="Bookman Old Style" w:cs="Bookman Old Style"/>
          <w:lang w:val="en-GB"/>
        </w:rPr>
        <w:t xml:space="preserve">Untuk </w:t>
      </w:r>
      <w:r w:rsidRPr="00306115">
        <w:rPr>
          <w:rFonts w:eastAsia="Bookman Old Style" w:cs="Bookman Old Style"/>
          <w:lang w:val="id"/>
        </w:rPr>
        <w:t>memastikan akuntabilitas dan kedalaman analisis, setiap penilaian tersebut diwajibkan untuk memuat keterangan secara komprehensif</w:t>
      </w:r>
      <w:bookmarkEnd w:id="8"/>
      <w:r w:rsidRPr="00306115">
        <w:rPr>
          <w:rFonts w:eastAsia="Bookman Old Style" w:cs="Bookman Old Style"/>
          <w:lang w:val="id"/>
        </w:rPr>
        <w:t>.</w:t>
      </w:r>
    </w:p>
    <w:p w14:paraId="644B7D27" w14:textId="105B4CCB" w:rsidR="002909DB" w:rsidRPr="00306115" w:rsidRDefault="00674623">
      <w:pPr>
        <w:pStyle w:val="HeadingAwalDaftarIsiLampiran"/>
        <w:numPr>
          <w:ilvl w:val="3"/>
          <w:numId w:val="303"/>
        </w:numPr>
        <w:tabs>
          <w:tab w:val="left" w:pos="3261"/>
        </w:tabs>
        <w:ind w:left="1701" w:hanging="567"/>
        <w:rPr>
          <w:sz w:val="28"/>
          <w:szCs w:val="28"/>
        </w:rPr>
      </w:pPr>
      <w:r w:rsidRPr="00306115">
        <w:rPr>
          <w:rFonts w:eastAsia="Bookman Old Style" w:cs="Bookman Old Style"/>
        </w:rPr>
        <w:t>Penilaian parameter atau indikator Risiko Kepatuhan dapat menggunakan tabel berikut:</w:t>
      </w:r>
    </w:p>
    <w:tbl>
      <w:tblPr>
        <w:tblW w:w="14175" w:type="dxa"/>
        <w:tblInd w:w="16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946"/>
        <w:gridCol w:w="2552"/>
        <w:gridCol w:w="4677"/>
      </w:tblGrid>
      <w:tr w:rsidR="0072665B" w:rsidRPr="00306115" w14:paraId="6B045A42" w14:textId="77777777" w:rsidTr="0072665B">
        <w:trPr>
          <w:trHeight w:val="572"/>
        </w:trPr>
        <w:tc>
          <w:tcPr>
            <w:tcW w:w="14175" w:type="dxa"/>
            <w:gridSpan w:val="3"/>
            <w:tcBorders>
              <w:top w:val="single" w:sz="8" w:space="0" w:color="000000"/>
              <w:left w:val="single" w:sz="8" w:space="0" w:color="000000"/>
              <w:bottom w:val="single" w:sz="8" w:space="0" w:color="000000"/>
              <w:right w:val="single" w:sz="8" w:space="0" w:color="000000"/>
            </w:tcBorders>
            <w:shd w:val="clear" w:color="auto" w:fill="BEBEBE"/>
          </w:tcPr>
          <w:p w14:paraId="2CB30645" w14:textId="23394E32" w:rsidR="0072665B" w:rsidRPr="00306115" w:rsidRDefault="00A36AFB" w:rsidP="0072665B">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PT MANAJER INVESTASI ABC</w:t>
            </w:r>
          </w:p>
        </w:tc>
      </w:tr>
      <w:tr w:rsidR="00B70B72" w:rsidRPr="00306115" w14:paraId="0705FD97" w14:textId="77777777" w:rsidTr="00C13C09">
        <w:trPr>
          <w:trHeight w:val="556"/>
        </w:trPr>
        <w:tc>
          <w:tcPr>
            <w:tcW w:w="6946"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385EB3CF" w14:textId="77777777" w:rsidR="00B70B72" w:rsidRPr="00306115" w:rsidRDefault="00B70B72" w:rsidP="0072665B">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Indikator</w:t>
            </w:r>
          </w:p>
        </w:tc>
        <w:tc>
          <w:tcPr>
            <w:tcW w:w="2552"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2424E990" w14:textId="68798B02" w:rsidR="00B70B72" w:rsidRPr="00306115" w:rsidRDefault="00B70B72" w:rsidP="0072665B">
            <w:pPr>
              <w:widowControl w:val="0"/>
              <w:pBdr>
                <w:top w:val="nil"/>
                <w:left w:val="nil"/>
                <w:bottom w:val="nil"/>
                <w:right w:val="nil"/>
                <w:between w:val="nil"/>
              </w:pBdr>
              <w:spacing w:before="60" w:after="60" w:line="240" w:lineRule="auto"/>
              <w:jc w:val="center"/>
              <w:rPr>
                <w:rFonts w:eastAsia="Bookman Old Style" w:cs="Bookman Old Style"/>
                <w:b/>
                <w:bCs/>
                <w:strike/>
                <w:color w:val="000000" w:themeColor="text1"/>
                <w:szCs w:val="24"/>
              </w:rPr>
            </w:pPr>
            <w:r w:rsidRPr="00306115">
              <w:rPr>
                <w:rFonts w:eastAsia="Bookman Old Style" w:cs="Bookman Old Style"/>
                <w:b/>
                <w:bCs/>
                <w:color w:val="000000" w:themeColor="text1"/>
                <w:szCs w:val="24"/>
              </w:rPr>
              <w:t>Peringkat</w:t>
            </w:r>
          </w:p>
        </w:tc>
        <w:tc>
          <w:tcPr>
            <w:tcW w:w="4677"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3720F93A" w14:textId="77777777" w:rsidR="00B70B72" w:rsidRPr="00306115" w:rsidRDefault="00B70B72" w:rsidP="0072665B">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Keterangan</w:t>
            </w:r>
          </w:p>
        </w:tc>
      </w:tr>
      <w:tr w:rsidR="00B70B72" w:rsidRPr="00306115" w14:paraId="73E01135" w14:textId="77777777" w:rsidTr="00C13C09">
        <w:trPr>
          <w:trHeight w:val="99"/>
        </w:trPr>
        <w:tc>
          <w:tcPr>
            <w:tcW w:w="6946" w:type="dxa"/>
            <w:tcBorders>
              <w:top w:val="single" w:sz="8" w:space="0" w:color="000000"/>
              <w:left w:val="single" w:sz="8" w:space="0" w:color="000000"/>
              <w:bottom w:val="single" w:sz="8" w:space="0" w:color="000000"/>
              <w:right w:val="single" w:sz="8" w:space="0" w:color="000000"/>
            </w:tcBorders>
          </w:tcPr>
          <w:p w14:paraId="1C068CDE" w14:textId="77777777" w:rsidR="00B70B72" w:rsidRPr="00306115" w:rsidRDefault="00B70B72" w:rsidP="0072665B">
            <w:pPr>
              <w:widowControl w:val="0"/>
              <w:pBdr>
                <w:top w:val="nil"/>
                <w:left w:val="nil"/>
                <w:bottom w:val="nil"/>
                <w:right w:val="nil"/>
                <w:between w:val="nil"/>
              </w:pBdr>
              <w:spacing w:after="0" w:line="240" w:lineRule="auto"/>
              <w:rPr>
                <w:rFonts w:eastAsia="Bookman Old Style" w:cs="Bookman Old Style"/>
                <w:color w:val="000000" w:themeColor="text1"/>
                <w:sz w:val="22"/>
              </w:rPr>
            </w:pPr>
            <w:r w:rsidRPr="00306115">
              <w:rPr>
                <w:rFonts w:eastAsia="Bookman Old Style" w:cs="Bookman Old Style"/>
                <w:color w:val="000000" w:themeColor="text1"/>
                <w:sz w:val="22"/>
              </w:rPr>
              <w:t>Jumlah pelanggaran yang dikenakan sanksi oleh OJK</w:t>
            </w:r>
          </w:p>
        </w:tc>
        <w:tc>
          <w:tcPr>
            <w:tcW w:w="2552" w:type="dxa"/>
            <w:tcBorders>
              <w:top w:val="single" w:sz="8" w:space="0" w:color="000000"/>
              <w:left w:val="single" w:sz="8" w:space="0" w:color="000000"/>
              <w:bottom w:val="single" w:sz="8" w:space="0" w:color="000000"/>
              <w:right w:val="single" w:sz="8" w:space="0" w:color="000000"/>
            </w:tcBorders>
          </w:tcPr>
          <w:p w14:paraId="4256E67B" w14:textId="77777777" w:rsidR="00B70B72" w:rsidRPr="00306115" w:rsidRDefault="00B70B72" w:rsidP="0072665B">
            <w:pPr>
              <w:widowControl w:val="0"/>
              <w:pBdr>
                <w:top w:val="nil"/>
                <w:left w:val="nil"/>
                <w:bottom w:val="nil"/>
                <w:right w:val="nil"/>
                <w:between w:val="nil"/>
              </w:pBdr>
              <w:spacing w:after="0" w:line="240" w:lineRule="auto"/>
              <w:rPr>
                <w:rFonts w:eastAsia="Bookman Old Style" w:cs="Bookman Old Style"/>
                <w:color w:val="000000" w:themeColor="text1"/>
                <w:sz w:val="22"/>
              </w:rPr>
            </w:pPr>
          </w:p>
        </w:tc>
        <w:tc>
          <w:tcPr>
            <w:tcW w:w="4677" w:type="dxa"/>
            <w:tcBorders>
              <w:top w:val="single" w:sz="8" w:space="0" w:color="000000"/>
              <w:left w:val="single" w:sz="8" w:space="0" w:color="000000"/>
              <w:bottom w:val="single" w:sz="8" w:space="0" w:color="000000"/>
              <w:right w:val="single" w:sz="8" w:space="0" w:color="000000"/>
            </w:tcBorders>
          </w:tcPr>
          <w:p w14:paraId="1AD4E19D" w14:textId="77777777" w:rsidR="00B70B72" w:rsidRPr="00306115" w:rsidRDefault="00B70B72" w:rsidP="0072665B">
            <w:pPr>
              <w:widowControl w:val="0"/>
              <w:pBdr>
                <w:top w:val="nil"/>
                <w:left w:val="nil"/>
                <w:bottom w:val="nil"/>
                <w:right w:val="nil"/>
                <w:between w:val="nil"/>
              </w:pBdr>
              <w:spacing w:after="0" w:line="240" w:lineRule="auto"/>
              <w:rPr>
                <w:rFonts w:eastAsia="Bookman Old Style" w:cs="Bookman Old Style"/>
                <w:color w:val="000000" w:themeColor="text1"/>
                <w:sz w:val="22"/>
              </w:rPr>
            </w:pPr>
          </w:p>
        </w:tc>
      </w:tr>
      <w:tr w:rsidR="00B70B72" w:rsidRPr="00306115" w14:paraId="0E18AC4A" w14:textId="77777777" w:rsidTr="00C13C09">
        <w:trPr>
          <w:trHeight w:val="221"/>
        </w:trPr>
        <w:tc>
          <w:tcPr>
            <w:tcW w:w="6946" w:type="dxa"/>
            <w:tcBorders>
              <w:top w:val="single" w:sz="8" w:space="0" w:color="000000"/>
              <w:left w:val="single" w:sz="8" w:space="0" w:color="000000"/>
              <w:bottom w:val="single" w:sz="8" w:space="0" w:color="000000"/>
              <w:right w:val="single" w:sz="8" w:space="0" w:color="000000"/>
            </w:tcBorders>
          </w:tcPr>
          <w:p w14:paraId="247E7A4E" w14:textId="77777777" w:rsidR="00B70B72" w:rsidRPr="00306115" w:rsidRDefault="00B70B72" w:rsidP="0072665B">
            <w:pPr>
              <w:widowControl w:val="0"/>
              <w:pBdr>
                <w:top w:val="nil"/>
                <w:left w:val="nil"/>
                <w:bottom w:val="nil"/>
                <w:right w:val="nil"/>
                <w:between w:val="nil"/>
              </w:pBdr>
              <w:spacing w:after="0" w:line="240" w:lineRule="auto"/>
              <w:rPr>
                <w:rFonts w:eastAsia="Bookman Old Style" w:cs="Bookman Old Style"/>
                <w:color w:val="000000" w:themeColor="text1"/>
                <w:sz w:val="22"/>
              </w:rPr>
            </w:pPr>
            <w:r w:rsidRPr="00306115">
              <w:rPr>
                <w:rFonts w:eastAsia="Bookman Old Style" w:cs="Bookman Old Style"/>
                <w:color w:val="000000" w:themeColor="text1"/>
                <w:sz w:val="22"/>
              </w:rPr>
              <w:t xml:space="preserve">Signifikansi dari sanksi terberat </w:t>
            </w:r>
          </w:p>
        </w:tc>
        <w:tc>
          <w:tcPr>
            <w:tcW w:w="2552" w:type="dxa"/>
            <w:tcBorders>
              <w:top w:val="single" w:sz="8" w:space="0" w:color="000000"/>
              <w:left w:val="single" w:sz="8" w:space="0" w:color="000000"/>
              <w:bottom w:val="single" w:sz="8" w:space="0" w:color="000000"/>
              <w:right w:val="single" w:sz="8" w:space="0" w:color="000000"/>
            </w:tcBorders>
          </w:tcPr>
          <w:p w14:paraId="2326BEA8" w14:textId="77777777" w:rsidR="00B70B72" w:rsidRPr="00306115" w:rsidRDefault="00B70B72" w:rsidP="0072665B">
            <w:pPr>
              <w:widowControl w:val="0"/>
              <w:pBdr>
                <w:top w:val="nil"/>
                <w:left w:val="nil"/>
                <w:bottom w:val="nil"/>
                <w:right w:val="nil"/>
                <w:between w:val="nil"/>
              </w:pBdr>
              <w:spacing w:after="0" w:line="240" w:lineRule="auto"/>
              <w:rPr>
                <w:rFonts w:eastAsia="Bookman Old Style" w:cs="Bookman Old Style"/>
                <w:color w:val="000000" w:themeColor="text1"/>
                <w:sz w:val="22"/>
              </w:rPr>
            </w:pPr>
          </w:p>
        </w:tc>
        <w:tc>
          <w:tcPr>
            <w:tcW w:w="4677" w:type="dxa"/>
            <w:tcBorders>
              <w:top w:val="single" w:sz="8" w:space="0" w:color="000000"/>
              <w:left w:val="single" w:sz="8" w:space="0" w:color="000000"/>
              <w:bottom w:val="single" w:sz="8" w:space="0" w:color="000000"/>
              <w:right w:val="single" w:sz="8" w:space="0" w:color="000000"/>
            </w:tcBorders>
          </w:tcPr>
          <w:p w14:paraId="206CEEFA" w14:textId="77777777" w:rsidR="00B70B72" w:rsidRPr="00306115" w:rsidRDefault="00B70B72" w:rsidP="0072665B">
            <w:pPr>
              <w:widowControl w:val="0"/>
              <w:pBdr>
                <w:top w:val="nil"/>
                <w:left w:val="nil"/>
                <w:bottom w:val="nil"/>
                <w:right w:val="nil"/>
                <w:between w:val="nil"/>
              </w:pBdr>
              <w:spacing w:after="0" w:line="240" w:lineRule="auto"/>
              <w:rPr>
                <w:rFonts w:eastAsia="Bookman Old Style" w:cs="Bookman Old Style"/>
                <w:color w:val="000000" w:themeColor="text1"/>
                <w:sz w:val="22"/>
              </w:rPr>
            </w:pPr>
          </w:p>
        </w:tc>
      </w:tr>
      <w:tr w:rsidR="00B70B72" w:rsidRPr="00306115" w14:paraId="7F71FC64" w14:textId="77777777" w:rsidTr="00C13C09">
        <w:trPr>
          <w:trHeight w:val="185"/>
        </w:trPr>
        <w:tc>
          <w:tcPr>
            <w:tcW w:w="6946" w:type="dxa"/>
            <w:tcBorders>
              <w:top w:val="single" w:sz="8" w:space="0" w:color="000000"/>
              <w:left w:val="single" w:sz="8" w:space="0" w:color="000000"/>
              <w:bottom w:val="single" w:sz="8" w:space="0" w:color="000000"/>
              <w:right w:val="single" w:sz="8" w:space="0" w:color="000000"/>
            </w:tcBorders>
          </w:tcPr>
          <w:p w14:paraId="1638B30E" w14:textId="77777777" w:rsidR="00B70B72" w:rsidRPr="00306115" w:rsidRDefault="00B70B72" w:rsidP="0072665B">
            <w:pPr>
              <w:widowControl w:val="0"/>
              <w:pBdr>
                <w:top w:val="nil"/>
                <w:left w:val="nil"/>
                <w:bottom w:val="nil"/>
                <w:right w:val="nil"/>
                <w:between w:val="nil"/>
              </w:pBdr>
              <w:spacing w:after="0" w:line="240" w:lineRule="auto"/>
              <w:rPr>
                <w:rFonts w:eastAsia="Bookman Old Style" w:cs="Bookman Old Style"/>
                <w:color w:val="000000" w:themeColor="text1"/>
                <w:sz w:val="22"/>
              </w:rPr>
            </w:pPr>
            <w:r w:rsidRPr="00306115">
              <w:rPr>
                <w:rFonts w:eastAsia="Bookman Old Style" w:cs="Bookman Old Style"/>
                <w:color w:val="000000" w:themeColor="text1"/>
                <w:sz w:val="22"/>
              </w:rPr>
              <w:t>Jumlah teguran Bank Kustodian</w:t>
            </w:r>
          </w:p>
        </w:tc>
        <w:tc>
          <w:tcPr>
            <w:tcW w:w="2552" w:type="dxa"/>
            <w:tcBorders>
              <w:top w:val="single" w:sz="8" w:space="0" w:color="000000"/>
              <w:left w:val="single" w:sz="8" w:space="0" w:color="000000"/>
              <w:bottom w:val="single" w:sz="8" w:space="0" w:color="000000"/>
              <w:right w:val="single" w:sz="8" w:space="0" w:color="000000"/>
            </w:tcBorders>
          </w:tcPr>
          <w:p w14:paraId="1839DD88" w14:textId="77777777" w:rsidR="00B70B72" w:rsidRPr="00306115" w:rsidRDefault="00B70B72" w:rsidP="0072665B">
            <w:pPr>
              <w:widowControl w:val="0"/>
              <w:pBdr>
                <w:top w:val="nil"/>
                <w:left w:val="nil"/>
                <w:bottom w:val="nil"/>
                <w:right w:val="nil"/>
                <w:between w:val="nil"/>
              </w:pBdr>
              <w:spacing w:after="0" w:line="240" w:lineRule="auto"/>
              <w:rPr>
                <w:rFonts w:eastAsia="Bookman Old Style" w:cs="Bookman Old Style"/>
                <w:color w:val="000000" w:themeColor="text1"/>
                <w:sz w:val="22"/>
              </w:rPr>
            </w:pPr>
          </w:p>
        </w:tc>
        <w:tc>
          <w:tcPr>
            <w:tcW w:w="4677" w:type="dxa"/>
            <w:tcBorders>
              <w:top w:val="single" w:sz="8" w:space="0" w:color="000000"/>
              <w:left w:val="single" w:sz="8" w:space="0" w:color="000000"/>
              <w:bottom w:val="single" w:sz="8" w:space="0" w:color="000000"/>
              <w:right w:val="single" w:sz="8" w:space="0" w:color="000000"/>
            </w:tcBorders>
          </w:tcPr>
          <w:p w14:paraId="7EF45BC8" w14:textId="77777777" w:rsidR="00B70B72" w:rsidRPr="00306115" w:rsidRDefault="00B70B72" w:rsidP="0072665B">
            <w:pPr>
              <w:widowControl w:val="0"/>
              <w:pBdr>
                <w:top w:val="nil"/>
                <w:left w:val="nil"/>
                <w:bottom w:val="nil"/>
                <w:right w:val="nil"/>
                <w:between w:val="nil"/>
              </w:pBdr>
              <w:spacing w:after="0" w:line="240" w:lineRule="auto"/>
              <w:rPr>
                <w:rFonts w:eastAsia="Bookman Old Style" w:cs="Bookman Old Style"/>
                <w:color w:val="000000" w:themeColor="text1"/>
                <w:sz w:val="22"/>
              </w:rPr>
            </w:pPr>
          </w:p>
        </w:tc>
      </w:tr>
      <w:tr w:rsidR="00B70B72" w:rsidRPr="00306115" w14:paraId="16AACDEF" w14:textId="77777777" w:rsidTr="00C13C09">
        <w:trPr>
          <w:trHeight w:val="112"/>
        </w:trPr>
        <w:tc>
          <w:tcPr>
            <w:tcW w:w="6946" w:type="dxa"/>
            <w:tcBorders>
              <w:top w:val="single" w:sz="8" w:space="0" w:color="000000"/>
              <w:left w:val="single" w:sz="8" w:space="0" w:color="000000"/>
              <w:bottom w:val="single" w:sz="8" w:space="0" w:color="000000"/>
              <w:right w:val="single" w:sz="8" w:space="0" w:color="000000"/>
            </w:tcBorders>
          </w:tcPr>
          <w:p w14:paraId="573E9B27" w14:textId="77777777" w:rsidR="00B70B72" w:rsidRPr="00306115" w:rsidRDefault="00B70B72" w:rsidP="0072665B">
            <w:pPr>
              <w:widowControl w:val="0"/>
              <w:pBdr>
                <w:top w:val="nil"/>
                <w:left w:val="nil"/>
                <w:bottom w:val="nil"/>
                <w:right w:val="nil"/>
                <w:between w:val="nil"/>
              </w:pBdr>
              <w:spacing w:after="0" w:line="240" w:lineRule="auto"/>
              <w:rPr>
                <w:rFonts w:eastAsia="Bookman Old Style" w:cs="Bookman Old Style"/>
                <w:color w:val="000000" w:themeColor="text1"/>
                <w:sz w:val="22"/>
                <w:lang w:val="en-GB"/>
              </w:rPr>
            </w:pPr>
            <w:r w:rsidRPr="00306115">
              <w:rPr>
                <w:rFonts w:eastAsia="Bookman Old Style" w:cs="Bookman Old Style"/>
                <w:color w:val="000000" w:themeColor="text1"/>
                <w:sz w:val="22"/>
                <w:lang w:val="en-GB"/>
              </w:rPr>
              <w:t xml:space="preserve">Jumlah tindakan </w:t>
            </w:r>
            <w:r w:rsidRPr="00306115">
              <w:rPr>
                <w:rFonts w:eastAsia="Bookman Old Style" w:cs="Bookman Old Style"/>
                <w:color w:val="000000" w:themeColor="text1"/>
                <w:sz w:val="22"/>
              </w:rPr>
              <w:t>pembinaan</w:t>
            </w:r>
            <w:r w:rsidRPr="00306115">
              <w:rPr>
                <w:rFonts w:eastAsia="Bookman Old Style" w:cs="Bookman Old Style"/>
                <w:color w:val="000000" w:themeColor="text1"/>
                <w:sz w:val="22"/>
                <w:lang w:val="en-GB"/>
              </w:rPr>
              <w:t xml:space="preserve"> yang diterima MI dalam 1 tahun</w:t>
            </w:r>
          </w:p>
        </w:tc>
        <w:tc>
          <w:tcPr>
            <w:tcW w:w="2552" w:type="dxa"/>
            <w:tcBorders>
              <w:top w:val="single" w:sz="8" w:space="0" w:color="000000"/>
              <w:left w:val="single" w:sz="8" w:space="0" w:color="000000"/>
              <w:bottom w:val="single" w:sz="8" w:space="0" w:color="000000"/>
              <w:right w:val="single" w:sz="8" w:space="0" w:color="000000"/>
            </w:tcBorders>
          </w:tcPr>
          <w:p w14:paraId="17D30787" w14:textId="77777777" w:rsidR="00B70B72" w:rsidRPr="00306115" w:rsidRDefault="00B70B72" w:rsidP="0072665B">
            <w:pPr>
              <w:widowControl w:val="0"/>
              <w:pBdr>
                <w:top w:val="nil"/>
                <w:left w:val="nil"/>
                <w:bottom w:val="nil"/>
                <w:right w:val="nil"/>
                <w:between w:val="nil"/>
              </w:pBdr>
              <w:spacing w:after="0" w:line="240" w:lineRule="auto"/>
              <w:rPr>
                <w:rFonts w:eastAsia="Bookman Old Style" w:cs="Bookman Old Style"/>
                <w:color w:val="000000" w:themeColor="text1"/>
                <w:sz w:val="22"/>
              </w:rPr>
            </w:pPr>
          </w:p>
        </w:tc>
        <w:tc>
          <w:tcPr>
            <w:tcW w:w="4677" w:type="dxa"/>
            <w:tcBorders>
              <w:top w:val="single" w:sz="8" w:space="0" w:color="000000"/>
              <w:left w:val="single" w:sz="8" w:space="0" w:color="000000"/>
              <w:bottom w:val="single" w:sz="8" w:space="0" w:color="000000"/>
              <w:right w:val="single" w:sz="8" w:space="0" w:color="000000"/>
            </w:tcBorders>
          </w:tcPr>
          <w:p w14:paraId="15D49026" w14:textId="77777777" w:rsidR="00B70B72" w:rsidRPr="00306115" w:rsidRDefault="00B70B72" w:rsidP="0072665B">
            <w:pPr>
              <w:widowControl w:val="0"/>
              <w:pBdr>
                <w:top w:val="nil"/>
                <w:left w:val="nil"/>
                <w:bottom w:val="nil"/>
                <w:right w:val="nil"/>
                <w:between w:val="nil"/>
              </w:pBdr>
              <w:spacing w:after="0" w:line="240" w:lineRule="auto"/>
              <w:rPr>
                <w:rFonts w:eastAsia="Bookman Old Style" w:cs="Bookman Old Style"/>
                <w:color w:val="000000" w:themeColor="text1"/>
                <w:sz w:val="22"/>
              </w:rPr>
            </w:pPr>
          </w:p>
        </w:tc>
      </w:tr>
      <w:tr w:rsidR="00B70B72" w:rsidRPr="00306115" w14:paraId="40E2A4E1" w14:textId="77777777" w:rsidTr="00C13C09">
        <w:trPr>
          <w:trHeight w:val="275"/>
        </w:trPr>
        <w:tc>
          <w:tcPr>
            <w:tcW w:w="6946" w:type="dxa"/>
            <w:tcBorders>
              <w:top w:val="single" w:sz="8" w:space="0" w:color="000000"/>
              <w:left w:val="single" w:sz="8" w:space="0" w:color="000000"/>
              <w:bottom w:val="single" w:sz="8" w:space="0" w:color="000000"/>
              <w:right w:val="single" w:sz="8" w:space="0" w:color="000000"/>
            </w:tcBorders>
          </w:tcPr>
          <w:p w14:paraId="0AE92070" w14:textId="2C359781" w:rsidR="00B70B72" w:rsidRPr="00306115" w:rsidRDefault="00B70B72" w:rsidP="0072665B">
            <w:pPr>
              <w:widowControl w:val="0"/>
              <w:pBdr>
                <w:top w:val="nil"/>
                <w:left w:val="nil"/>
                <w:bottom w:val="nil"/>
                <w:right w:val="nil"/>
                <w:between w:val="nil"/>
              </w:pBdr>
              <w:spacing w:after="0" w:line="240" w:lineRule="auto"/>
              <w:rPr>
                <w:rFonts w:eastAsia="Bookman Old Style" w:cs="Bookman Old Style"/>
                <w:color w:val="000000" w:themeColor="text1"/>
                <w:sz w:val="22"/>
              </w:rPr>
            </w:pPr>
            <w:r w:rsidRPr="00306115">
              <w:rPr>
                <w:rFonts w:eastAsia="Bookman Old Style" w:cs="Bookman Old Style"/>
                <w:color w:val="000000" w:themeColor="text1"/>
                <w:sz w:val="22"/>
                <w:lang w:val="en-GB"/>
              </w:rPr>
              <w:t xml:space="preserve">Jumlah </w:t>
            </w:r>
            <w:r w:rsidRPr="00306115">
              <w:rPr>
                <w:rFonts w:eastAsia="Bookman Old Style" w:cs="Bookman Old Style"/>
                <w:i/>
                <w:iCs/>
                <w:color w:val="000000" w:themeColor="text1"/>
                <w:sz w:val="22"/>
                <w:lang w:val="en-GB"/>
              </w:rPr>
              <w:t>outstanding</w:t>
            </w:r>
            <w:r w:rsidRPr="00306115">
              <w:rPr>
                <w:rFonts w:eastAsia="Bookman Old Style" w:cs="Bookman Old Style"/>
                <w:color w:val="000000" w:themeColor="text1"/>
                <w:sz w:val="22"/>
              </w:rPr>
              <w:t xml:space="preserve"> tindakan pembinaan yang belum dipenuhi MI dalam waktu 1 tahun</w:t>
            </w:r>
          </w:p>
        </w:tc>
        <w:tc>
          <w:tcPr>
            <w:tcW w:w="2552" w:type="dxa"/>
            <w:tcBorders>
              <w:top w:val="single" w:sz="8" w:space="0" w:color="000000"/>
              <w:left w:val="single" w:sz="8" w:space="0" w:color="000000"/>
              <w:right w:val="single" w:sz="8" w:space="0" w:color="000000"/>
            </w:tcBorders>
          </w:tcPr>
          <w:p w14:paraId="2C8E18B8" w14:textId="77777777" w:rsidR="00B70B72" w:rsidRPr="00306115" w:rsidRDefault="00B70B72" w:rsidP="0072665B">
            <w:pPr>
              <w:widowControl w:val="0"/>
              <w:pBdr>
                <w:top w:val="nil"/>
                <w:left w:val="nil"/>
                <w:bottom w:val="nil"/>
                <w:right w:val="nil"/>
                <w:between w:val="nil"/>
              </w:pBdr>
              <w:spacing w:after="0" w:line="240" w:lineRule="auto"/>
              <w:rPr>
                <w:rFonts w:eastAsia="Bookman Old Style" w:cs="Bookman Old Style"/>
                <w:color w:val="000000" w:themeColor="text1"/>
                <w:sz w:val="22"/>
              </w:rPr>
            </w:pPr>
          </w:p>
        </w:tc>
        <w:tc>
          <w:tcPr>
            <w:tcW w:w="4677" w:type="dxa"/>
            <w:tcBorders>
              <w:top w:val="single" w:sz="8" w:space="0" w:color="000000"/>
              <w:left w:val="single" w:sz="8" w:space="0" w:color="000000"/>
              <w:right w:val="single" w:sz="8" w:space="0" w:color="000000"/>
            </w:tcBorders>
          </w:tcPr>
          <w:p w14:paraId="62570EE0" w14:textId="77777777" w:rsidR="00B70B72" w:rsidRPr="00306115" w:rsidRDefault="00B70B72" w:rsidP="0072665B">
            <w:pPr>
              <w:widowControl w:val="0"/>
              <w:pBdr>
                <w:top w:val="nil"/>
                <w:left w:val="nil"/>
                <w:bottom w:val="nil"/>
                <w:right w:val="nil"/>
                <w:between w:val="nil"/>
              </w:pBdr>
              <w:spacing w:after="0" w:line="240" w:lineRule="auto"/>
              <w:rPr>
                <w:rFonts w:eastAsia="Bookman Old Style" w:cs="Bookman Old Style"/>
                <w:color w:val="000000" w:themeColor="text1"/>
                <w:sz w:val="22"/>
              </w:rPr>
            </w:pPr>
          </w:p>
        </w:tc>
      </w:tr>
      <w:tr w:rsidR="0072665B" w:rsidRPr="00306115" w14:paraId="78AD613D" w14:textId="77777777" w:rsidTr="00C13C09">
        <w:trPr>
          <w:trHeight w:val="300"/>
        </w:trPr>
        <w:tc>
          <w:tcPr>
            <w:tcW w:w="6946" w:type="dxa"/>
            <w:tcBorders>
              <w:top w:val="single" w:sz="8" w:space="0" w:color="000000"/>
              <w:left w:val="single" w:sz="8" w:space="0" w:color="000000"/>
              <w:bottom w:val="single" w:sz="8" w:space="0" w:color="000000"/>
              <w:right w:val="single" w:sz="8" w:space="0" w:color="000000"/>
            </w:tcBorders>
          </w:tcPr>
          <w:p w14:paraId="51DC2F18" w14:textId="7943D777" w:rsidR="0072665B" w:rsidRPr="00306115" w:rsidRDefault="00E36B3F" w:rsidP="0072665B">
            <w:pPr>
              <w:widowControl w:val="0"/>
              <w:pBdr>
                <w:top w:val="nil"/>
                <w:left w:val="nil"/>
                <w:bottom w:val="nil"/>
                <w:right w:val="nil"/>
                <w:between w:val="nil"/>
              </w:pBdr>
              <w:spacing w:after="0" w:line="240" w:lineRule="auto"/>
              <w:jc w:val="center"/>
              <w:rPr>
                <w:rFonts w:eastAsia="Bookman Old Style" w:cs="Bookman Old Style"/>
                <w:b/>
                <w:bCs/>
                <w:color w:val="000000" w:themeColor="text1"/>
                <w:sz w:val="22"/>
              </w:rPr>
            </w:pPr>
            <w:r w:rsidRPr="00306115">
              <w:rPr>
                <w:rFonts w:eastAsia="Bookman Old Style" w:cs="Bookman Old Style"/>
                <w:b/>
                <w:bCs/>
                <w:color w:val="000000" w:themeColor="text1"/>
                <w:sz w:val="22"/>
              </w:rPr>
              <w:t xml:space="preserve">Peringkat </w:t>
            </w:r>
            <w:r w:rsidR="0072665B" w:rsidRPr="00306115">
              <w:rPr>
                <w:rFonts w:eastAsia="Bookman Old Style" w:cs="Bookman Old Style"/>
                <w:b/>
                <w:bCs/>
                <w:color w:val="000000" w:themeColor="text1"/>
                <w:sz w:val="22"/>
              </w:rPr>
              <w:t>Risiko Kepatuhan</w:t>
            </w:r>
          </w:p>
        </w:tc>
        <w:tc>
          <w:tcPr>
            <w:tcW w:w="2552" w:type="dxa"/>
            <w:tcBorders>
              <w:top w:val="single" w:sz="8" w:space="0" w:color="000000"/>
              <w:left w:val="single" w:sz="8" w:space="0" w:color="000000"/>
              <w:bottom w:val="single" w:sz="8" w:space="0" w:color="000000"/>
              <w:right w:val="single" w:sz="8" w:space="0" w:color="000000"/>
            </w:tcBorders>
          </w:tcPr>
          <w:p w14:paraId="07078004" w14:textId="77777777" w:rsidR="0072665B" w:rsidRPr="00306115" w:rsidRDefault="0072665B" w:rsidP="0072665B">
            <w:pPr>
              <w:widowControl w:val="0"/>
              <w:pBdr>
                <w:top w:val="nil"/>
                <w:left w:val="nil"/>
                <w:bottom w:val="nil"/>
                <w:right w:val="nil"/>
                <w:between w:val="nil"/>
              </w:pBdr>
              <w:spacing w:after="0" w:line="240" w:lineRule="auto"/>
              <w:rPr>
                <w:rFonts w:eastAsia="Bookman Old Style" w:cs="Bookman Old Style"/>
                <w:color w:val="000000" w:themeColor="text1"/>
                <w:sz w:val="22"/>
              </w:rPr>
            </w:pPr>
          </w:p>
        </w:tc>
        <w:tc>
          <w:tcPr>
            <w:tcW w:w="4677" w:type="dxa"/>
            <w:tcBorders>
              <w:top w:val="single" w:sz="8" w:space="0" w:color="000000"/>
              <w:left w:val="single" w:sz="8" w:space="0" w:color="000000"/>
              <w:bottom w:val="single" w:sz="8" w:space="0" w:color="000000"/>
              <w:right w:val="single" w:sz="8" w:space="0" w:color="000000"/>
            </w:tcBorders>
          </w:tcPr>
          <w:p w14:paraId="45C6DA31" w14:textId="77777777" w:rsidR="0072665B" w:rsidRPr="00306115" w:rsidRDefault="0072665B" w:rsidP="0072665B">
            <w:pPr>
              <w:widowControl w:val="0"/>
              <w:pBdr>
                <w:top w:val="nil"/>
                <w:left w:val="nil"/>
                <w:bottom w:val="nil"/>
                <w:right w:val="nil"/>
                <w:between w:val="nil"/>
              </w:pBdr>
              <w:spacing w:after="0" w:line="240" w:lineRule="auto"/>
              <w:rPr>
                <w:rFonts w:eastAsia="Bookman Old Style" w:cs="Bookman Old Style"/>
                <w:color w:val="000000" w:themeColor="text1"/>
                <w:sz w:val="22"/>
              </w:rPr>
            </w:pPr>
          </w:p>
        </w:tc>
      </w:tr>
    </w:tbl>
    <w:p w14:paraId="66B67DA3" w14:textId="77777777" w:rsidR="00674623" w:rsidRPr="00306115" w:rsidRDefault="00674623" w:rsidP="00674623">
      <w:pPr>
        <w:pStyle w:val="HeadingAwalDaftarIsiLampiran"/>
        <w:numPr>
          <w:ilvl w:val="0"/>
          <w:numId w:val="0"/>
        </w:numPr>
        <w:tabs>
          <w:tab w:val="left" w:pos="3261"/>
        </w:tabs>
        <w:ind w:left="1701"/>
        <w:rPr>
          <w:sz w:val="28"/>
          <w:szCs w:val="28"/>
        </w:rPr>
      </w:pPr>
    </w:p>
    <w:p w14:paraId="5B2FCE2D" w14:textId="4099649C" w:rsidR="00B941D5" w:rsidRPr="00306115" w:rsidRDefault="00B941D5">
      <w:pPr>
        <w:pStyle w:val="HeadingAwalDaftarIsiLampiran"/>
        <w:numPr>
          <w:ilvl w:val="0"/>
          <w:numId w:val="255"/>
        </w:numPr>
        <w:tabs>
          <w:tab w:val="left" w:pos="1134"/>
        </w:tabs>
        <w:ind w:left="567" w:hanging="567"/>
      </w:pPr>
      <w:r w:rsidRPr="00306115">
        <w:t>PENILAIAN RISIKO UNTUK RISIKO REPUTASI</w:t>
      </w:r>
    </w:p>
    <w:p w14:paraId="28FCAC89" w14:textId="2DCD9B58" w:rsidR="00D32F34" w:rsidRPr="00306115" w:rsidRDefault="00D32F34">
      <w:pPr>
        <w:pStyle w:val="HeadingAwalDaftarIsiLampiran"/>
        <w:numPr>
          <w:ilvl w:val="0"/>
          <w:numId w:val="306"/>
        </w:numPr>
        <w:tabs>
          <w:tab w:val="left" w:pos="1134"/>
        </w:tabs>
        <w:ind w:left="1134" w:hanging="567"/>
      </w:pPr>
      <w:r w:rsidRPr="00306115">
        <w:rPr>
          <w:rFonts w:eastAsia="Bookman Old Style" w:cs="Bookman Old Style"/>
        </w:rPr>
        <w:t>Parameter atau Indikator Penilaian Risiko Reputasi</w:t>
      </w:r>
    </w:p>
    <w:tbl>
      <w:tblPr>
        <w:tblW w:w="14742" w:type="dxa"/>
        <w:tblInd w:w="1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276"/>
        <w:gridCol w:w="1833"/>
        <w:gridCol w:w="2845"/>
        <w:gridCol w:w="8788"/>
      </w:tblGrid>
      <w:tr w:rsidR="00BD0910" w:rsidRPr="00306115" w14:paraId="477A9A38" w14:textId="77777777" w:rsidTr="00A34DCD">
        <w:trPr>
          <w:trHeight w:val="556"/>
        </w:trPr>
        <w:tc>
          <w:tcPr>
            <w:tcW w:w="14742" w:type="dxa"/>
            <w:gridSpan w:val="4"/>
            <w:tcBorders>
              <w:top w:val="single" w:sz="8" w:space="0" w:color="000000"/>
              <w:left w:val="single" w:sz="8" w:space="0" w:color="000000"/>
              <w:bottom w:val="single" w:sz="8" w:space="0" w:color="000000"/>
              <w:right w:val="single" w:sz="8" w:space="0" w:color="000000"/>
            </w:tcBorders>
            <w:shd w:val="clear" w:color="auto" w:fill="BEBEBE"/>
          </w:tcPr>
          <w:p w14:paraId="6DFE150E" w14:textId="04BFCC50" w:rsidR="00BD0910" w:rsidRPr="00306115" w:rsidRDefault="00BD0910">
            <w:pPr>
              <w:pStyle w:val="ListParagraph"/>
              <w:widowControl w:val="0"/>
              <w:numPr>
                <w:ilvl w:val="0"/>
                <w:numId w:val="309"/>
              </w:numPr>
              <w:pBdr>
                <w:top w:val="nil"/>
                <w:left w:val="nil"/>
                <w:bottom w:val="nil"/>
                <w:right w:val="nil"/>
                <w:between w:val="nil"/>
              </w:pBdr>
              <w:spacing w:before="60" w:after="60" w:line="240" w:lineRule="auto"/>
              <w:ind w:left="567" w:hanging="567"/>
              <w:contextualSpacing w:val="0"/>
              <w:rPr>
                <w:rFonts w:eastAsia="Bookman Old Style" w:cs="Bookman Old Style"/>
                <w:b/>
                <w:bCs/>
                <w:color w:val="000000" w:themeColor="text1"/>
                <w:sz w:val="22"/>
              </w:rPr>
            </w:pPr>
            <w:r w:rsidRPr="00306115">
              <w:rPr>
                <w:rFonts w:eastAsia="Bookman Old Style" w:cs="Bookman Old Style"/>
                <w:b/>
                <w:bCs/>
                <w:color w:val="000000" w:themeColor="text1"/>
                <w:szCs w:val="24"/>
              </w:rPr>
              <w:lastRenderedPageBreak/>
              <w:t>Risiko Inheren*)</w:t>
            </w:r>
          </w:p>
        </w:tc>
      </w:tr>
      <w:tr w:rsidR="00BD0910" w:rsidRPr="00306115" w14:paraId="1E5224D1" w14:textId="77777777" w:rsidTr="00C13C09">
        <w:trPr>
          <w:trHeight w:val="556"/>
        </w:trPr>
        <w:tc>
          <w:tcPr>
            <w:tcW w:w="3109" w:type="dxa"/>
            <w:gridSpan w:val="2"/>
            <w:tcBorders>
              <w:top w:val="single" w:sz="8" w:space="0" w:color="000000"/>
              <w:left w:val="single" w:sz="8" w:space="0" w:color="000000"/>
              <w:bottom w:val="single" w:sz="8" w:space="0" w:color="000000"/>
              <w:right w:val="single" w:sz="8" w:space="0" w:color="000000"/>
            </w:tcBorders>
            <w:shd w:val="clear" w:color="auto" w:fill="BEBEBE"/>
          </w:tcPr>
          <w:p w14:paraId="5DB884DB" w14:textId="77777777" w:rsidR="00BD0910" w:rsidRPr="00306115" w:rsidRDefault="00BD0910" w:rsidP="00BD0910">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Kategori</w:t>
            </w:r>
          </w:p>
        </w:tc>
        <w:tc>
          <w:tcPr>
            <w:tcW w:w="2845" w:type="dxa"/>
            <w:tcBorders>
              <w:top w:val="single" w:sz="8" w:space="0" w:color="000000"/>
              <w:left w:val="single" w:sz="8" w:space="0" w:color="000000"/>
              <w:bottom w:val="single" w:sz="8" w:space="0" w:color="000000"/>
              <w:right w:val="single" w:sz="8" w:space="0" w:color="000000"/>
            </w:tcBorders>
            <w:shd w:val="clear" w:color="auto" w:fill="BEBEBE"/>
          </w:tcPr>
          <w:p w14:paraId="0ACDB0A2" w14:textId="77777777" w:rsidR="00BD0910" w:rsidRPr="00306115" w:rsidRDefault="00BD0910" w:rsidP="00BD0910">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Indikator</w:t>
            </w:r>
          </w:p>
        </w:tc>
        <w:tc>
          <w:tcPr>
            <w:tcW w:w="8788" w:type="dxa"/>
            <w:tcBorders>
              <w:top w:val="single" w:sz="8" w:space="0" w:color="000000"/>
              <w:left w:val="single" w:sz="8" w:space="0" w:color="000000"/>
              <w:bottom w:val="single" w:sz="8" w:space="0" w:color="000000"/>
              <w:right w:val="single" w:sz="8" w:space="0" w:color="000000"/>
            </w:tcBorders>
            <w:shd w:val="clear" w:color="auto" w:fill="BEBEBE"/>
          </w:tcPr>
          <w:p w14:paraId="0FFDFFFC" w14:textId="77777777" w:rsidR="00BD0910" w:rsidRPr="00306115" w:rsidRDefault="00BD0910" w:rsidP="00BD0910">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Informasi</w:t>
            </w:r>
          </w:p>
        </w:tc>
      </w:tr>
      <w:tr w:rsidR="00BD0910" w:rsidRPr="00306115" w14:paraId="55562144" w14:textId="77777777" w:rsidTr="00C13C09">
        <w:trPr>
          <w:trHeight w:val="619"/>
        </w:trPr>
        <w:tc>
          <w:tcPr>
            <w:tcW w:w="3109" w:type="dxa"/>
            <w:gridSpan w:val="2"/>
            <w:tcBorders>
              <w:top w:val="single" w:sz="8" w:space="0" w:color="000000"/>
              <w:left w:val="single" w:sz="8" w:space="0" w:color="000000"/>
              <w:bottom w:val="single" w:sz="8" w:space="0" w:color="000000"/>
              <w:right w:val="single" w:sz="8" w:space="0" w:color="000000"/>
            </w:tcBorders>
          </w:tcPr>
          <w:p w14:paraId="27FB8AEB" w14:textId="77777777" w:rsidR="00BD0910" w:rsidRPr="00306115" w:rsidRDefault="00BD0910" w:rsidP="003D05A2">
            <w:pPr>
              <w:widowControl w:val="0"/>
              <w:pBdr>
                <w:top w:val="nil"/>
                <w:left w:val="nil"/>
                <w:bottom w:val="nil"/>
                <w:right w:val="nil"/>
                <w:between w:val="nil"/>
              </w:pBdr>
              <w:spacing w:after="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Jumlah Pengaduan Nasabah</w:t>
            </w:r>
          </w:p>
        </w:tc>
        <w:tc>
          <w:tcPr>
            <w:tcW w:w="2845" w:type="dxa"/>
            <w:tcBorders>
              <w:top w:val="single" w:sz="8" w:space="0" w:color="000000"/>
              <w:left w:val="single" w:sz="8" w:space="0" w:color="000000"/>
              <w:bottom w:val="single" w:sz="8" w:space="0" w:color="000000"/>
              <w:right w:val="single" w:sz="8" w:space="0" w:color="000000"/>
            </w:tcBorders>
          </w:tcPr>
          <w:p w14:paraId="780D1CBB" w14:textId="77777777" w:rsidR="00BD0910" w:rsidRPr="00306115" w:rsidRDefault="00BD0910" w:rsidP="003D05A2">
            <w:pPr>
              <w:widowControl w:val="0"/>
              <w:pBdr>
                <w:top w:val="nil"/>
                <w:left w:val="nil"/>
                <w:bottom w:val="nil"/>
                <w:right w:val="nil"/>
                <w:between w:val="nil"/>
              </w:pBdr>
              <w:spacing w:after="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Rasio Jumlah Pengaduan Nasabah Terhadap Jumlah Nasabah</w:t>
            </w:r>
          </w:p>
          <w:p w14:paraId="2A141717" w14:textId="77777777" w:rsidR="00BD0910" w:rsidRPr="00306115" w:rsidRDefault="00BD0910" w:rsidP="003D05A2">
            <w:pPr>
              <w:widowControl w:val="0"/>
              <w:pBdr>
                <w:top w:val="nil"/>
                <w:left w:val="nil"/>
                <w:bottom w:val="nil"/>
                <w:right w:val="nil"/>
                <w:between w:val="nil"/>
              </w:pBdr>
              <w:spacing w:after="0" w:line="240" w:lineRule="auto"/>
              <w:rPr>
                <w:rFonts w:eastAsia="Bookman Old Style" w:cs="Bookman Old Style"/>
                <w:b/>
                <w:bCs/>
                <w:color w:val="000000" w:themeColor="text1"/>
                <w:szCs w:val="24"/>
              </w:rPr>
            </w:pPr>
          </w:p>
        </w:tc>
        <w:tc>
          <w:tcPr>
            <w:tcW w:w="8788" w:type="dxa"/>
            <w:tcBorders>
              <w:top w:val="single" w:sz="8" w:space="0" w:color="000000"/>
              <w:left w:val="single" w:sz="8" w:space="0" w:color="000000"/>
              <w:bottom w:val="single" w:sz="8" w:space="0" w:color="000000"/>
              <w:right w:val="single" w:sz="8" w:space="0" w:color="000000"/>
            </w:tcBorders>
          </w:tcPr>
          <w:p w14:paraId="5FC68939" w14:textId="15E0A540" w:rsidR="00BD0910" w:rsidRPr="00306115" w:rsidRDefault="00BD0910">
            <w:pPr>
              <w:widowControl w:val="0"/>
              <w:numPr>
                <w:ilvl w:val="0"/>
                <w:numId w:val="307"/>
              </w:numPr>
              <w:pBdr>
                <w:top w:val="nil"/>
                <w:left w:val="nil"/>
                <w:bottom w:val="nil"/>
                <w:right w:val="nil"/>
                <w:between w:val="nil"/>
              </w:pBdr>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 xml:space="preserve">Parameter atau indikator ini mengukur signifikasi banyaknya pengaduan nasabah kepada </w:t>
            </w:r>
            <w:r w:rsidR="003D05A2" w:rsidRPr="00306115">
              <w:rPr>
                <w:rFonts w:eastAsia="Bookman Old Style" w:cs="Bookman Old Style"/>
                <w:color w:val="000000" w:themeColor="text1"/>
                <w:szCs w:val="24"/>
              </w:rPr>
              <w:t>Manajer Investasi</w:t>
            </w:r>
            <w:r w:rsidRPr="00306115">
              <w:rPr>
                <w:rFonts w:eastAsia="Bookman Old Style" w:cs="Bookman Old Style"/>
                <w:color w:val="000000" w:themeColor="text1"/>
                <w:szCs w:val="24"/>
              </w:rPr>
              <w:t xml:space="preserve"> dalam 1 (satu) tahun terakhir.</w:t>
            </w:r>
          </w:p>
          <w:p w14:paraId="5E8B2E91" w14:textId="77777777" w:rsidR="00BD0910" w:rsidRPr="00306115" w:rsidRDefault="00BD0910">
            <w:pPr>
              <w:widowControl w:val="0"/>
              <w:numPr>
                <w:ilvl w:val="0"/>
                <w:numId w:val="307"/>
              </w:numPr>
              <w:pBdr>
                <w:top w:val="nil"/>
                <w:left w:val="nil"/>
                <w:bottom w:val="nil"/>
                <w:right w:val="nil"/>
                <w:between w:val="nil"/>
              </w:pBdr>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Pengaduan nasabah dihitung baik dari nasabah langsung maupun tidak langsung.</w:t>
            </w:r>
          </w:p>
          <w:p w14:paraId="1C8648DE" w14:textId="77777777" w:rsidR="00BD0910" w:rsidRPr="00306115" w:rsidRDefault="00BD0910">
            <w:pPr>
              <w:widowControl w:val="0"/>
              <w:numPr>
                <w:ilvl w:val="0"/>
                <w:numId w:val="307"/>
              </w:numPr>
              <w:pBdr>
                <w:top w:val="nil"/>
                <w:left w:val="nil"/>
                <w:bottom w:val="nil"/>
                <w:right w:val="nil"/>
                <w:between w:val="nil"/>
              </w:pBdr>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 xml:space="preserve">Jumlah nasabah yang dihitung adalah nasabah aktif, yaitu nasabah yang memiliki saldo atau </w:t>
            </w:r>
            <w:r w:rsidRPr="00306115">
              <w:rPr>
                <w:rFonts w:eastAsia="Bookman Old Style" w:cs="Bookman Old Style"/>
                <w:i/>
                <w:iCs/>
                <w:color w:val="000000" w:themeColor="text1"/>
                <w:szCs w:val="24"/>
              </w:rPr>
              <w:t>balance</w:t>
            </w:r>
            <w:r w:rsidRPr="00306115">
              <w:rPr>
                <w:rFonts w:eastAsia="Bookman Old Style" w:cs="Bookman Old Style"/>
                <w:color w:val="000000" w:themeColor="text1"/>
                <w:szCs w:val="24"/>
              </w:rPr>
              <w:t xml:space="preserve"> dan memiliki transaksi dalam 1 (satu) tahun terakhir. </w:t>
            </w:r>
          </w:p>
          <w:p w14:paraId="66A63E78" w14:textId="77777777" w:rsidR="00BD0910" w:rsidRPr="00306115" w:rsidRDefault="00BD0910">
            <w:pPr>
              <w:widowControl w:val="0"/>
              <w:numPr>
                <w:ilvl w:val="0"/>
                <w:numId w:val="307"/>
              </w:numPr>
              <w:pBdr>
                <w:top w:val="nil"/>
                <w:left w:val="nil"/>
                <w:bottom w:val="nil"/>
                <w:right w:val="nil"/>
                <w:between w:val="nil"/>
              </w:pBdr>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Untuk menghitung parameter atau indikator ini menggunakan rumus sebagai berikut:</w:t>
            </w:r>
          </w:p>
          <w:p w14:paraId="72A3950C" w14:textId="765E503F" w:rsidR="00CE27D4" w:rsidRPr="00306115" w:rsidRDefault="00DD3739" w:rsidP="00CE27D4">
            <w:pPr>
              <w:widowControl w:val="0"/>
              <w:pBdr>
                <w:top w:val="nil"/>
                <w:left w:val="nil"/>
                <w:bottom w:val="nil"/>
                <w:right w:val="nil"/>
                <w:between w:val="nil"/>
              </w:pBdr>
              <w:spacing w:after="120" w:line="240" w:lineRule="auto"/>
              <w:ind w:left="567"/>
              <w:rPr>
                <w:rFonts w:eastAsia="Bookman Old Style" w:cs="Bookman Old Style"/>
                <w:color w:val="000000" w:themeColor="text1"/>
                <w:szCs w:val="24"/>
              </w:rPr>
            </w:pPr>
            <m:oMathPara>
              <m:oMathParaPr>
                <m:jc m:val="center"/>
              </m:oMathParaPr>
              <m:oMath>
                <m:f>
                  <m:fPr>
                    <m:ctrlPr>
                      <w:rPr>
                        <w:rFonts w:ascii="Cambria Math" w:eastAsia="Cambria Math" w:hAnsi="Cambria Math" w:cs="Cambria Math"/>
                        <w:color w:val="000000" w:themeColor="text1"/>
                        <w:szCs w:val="24"/>
                      </w:rPr>
                    </m:ctrlPr>
                  </m:fPr>
                  <m:num>
                    <m:r>
                      <w:rPr>
                        <w:rFonts w:ascii="Cambria Math" w:eastAsia="Cambria Math" w:hAnsi="Cambria Math" w:cs="Cambria Math"/>
                        <w:color w:val="000000" w:themeColor="text1"/>
                        <w:szCs w:val="24"/>
                      </w:rPr>
                      <m:t>Jumla</m:t>
                    </m:r>
                    <m:r>
                      <w:rPr>
                        <w:rFonts w:ascii="Cambria Math" w:eastAsia="Cambria Math" w:hAnsi="Cambria Math" w:cs="Cambria Math"/>
                        <w:color w:val="000000" w:themeColor="text1"/>
                        <w:szCs w:val="24"/>
                      </w:rPr>
                      <m:t>h</m:t>
                    </m:r>
                    <m:r>
                      <w:rPr>
                        <w:rFonts w:ascii="Cambria Math" w:eastAsia="Cambria Math" w:hAnsi="Cambria Math" w:cs="Cambria Math"/>
                        <w:color w:val="000000" w:themeColor="text1"/>
                        <w:szCs w:val="24"/>
                      </w:rPr>
                      <m:t xml:space="preserve"> </m:t>
                    </m:r>
                    <m:r>
                      <w:rPr>
                        <w:rFonts w:ascii="Cambria Math" w:eastAsia="Cambria Math" w:hAnsi="Cambria Math" w:cs="Cambria Math"/>
                        <w:color w:val="000000" w:themeColor="text1"/>
                        <w:szCs w:val="24"/>
                      </w:rPr>
                      <m:t>Pengaduan</m:t>
                    </m:r>
                  </m:num>
                  <m:den>
                    <m:r>
                      <w:rPr>
                        <w:rFonts w:ascii="Cambria Math" w:eastAsia="Cambria Math" w:hAnsi="Cambria Math" w:cs="Cambria Math"/>
                        <w:color w:val="000000" w:themeColor="text1"/>
                        <w:szCs w:val="24"/>
                      </w:rPr>
                      <m:t>Total</m:t>
                    </m:r>
                    <m:r>
                      <w:rPr>
                        <w:rFonts w:ascii="Cambria Math" w:eastAsia="Cambria Math" w:hAnsi="Cambria Math" w:cs="Cambria Math"/>
                        <w:color w:val="000000" w:themeColor="text1"/>
                        <w:szCs w:val="24"/>
                      </w:rPr>
                      <m:t xml:space="preserve"> </m:t>
                    </m:r>
                    <m:r>
                      <w:rPr>
                        <w:rFonts w:ascii="Cambria Math" w:eastAsia="Cambria Math" w:hAnsi="Cambria Math" w:cs="Cambria Math"/>
                        <w:color w:val="000000" w:themeColor="text1"/>
                        <w:szCs w:val="24"/>
                      </w:rPr>
                      <m:t>jumla</m:t>
                    </m:r>
                    <m:r>
                      <w:rPr>
                        <w:rFonts w:ascii="Cambria Math" w:eastAsia="Cambria Math" w:hAnsi="Cambria Math" w:cs="Cambria Math"/>
                        <w:color w:val="000000" w:themeColor="text1"/>
                        <w:szCs w:val="24"/>
                      </w:rPr>
                      <m:t>h</m:t>
                    </m:r>
                    <m:r>
                      <w:rPr>
                        <w:rFonts w:ascii="Cambria Math" w:eastAsia="Cambria Math" w:hAnsi="Cambria Math" w:cs="Cambria Math"/>
                        <w:color w:val="000000" w:themeColor="text1"/>
                        <w:szCs w:val="24"/>
                      </w:rPr>
                      <m:t xml:space="preserve"> </m:t>
                    </m:r>
                    <m:r>
                      <w:rPr>
                        <w:rFonts w:ascii="Cambria Math" w:eastAsia="Cambria Math" w:hAnsi="Cambria Math" w:cs="Cambria Math"/>
                        <w:color w:val="000000" w:themeColor="text1"/>
                        <w:szCs w:val="24"/>
                      </w:rPr>
                      <m:t>nasaba</m:t>
                    </m:r>
                    <m:r>
                      <w:rPr>
                        <w:rFonts w:ascii="Cambria Math" w:eastAsia="Cambria Math" w:hAnsi="Cambria Math" w:cs="Cambria Math"/>
                        <w:color w:val="000000" w:themeColor="text1"/>
                        <w:szCs w:val="24"/>
                      </w:rPr>
                      <m:t>h</m:t>
                    </m:r>
                  </m:den>
                </m:f>
              </m:oMath>
            </m:oMathPara>
          </w:p>
          <w:p w14:paraId="546DAFEE" w14:textId="77777777" w:rsidR="00A36AFB" w:rsidRPr="00306115" w:rsidRDefault="00A36AFB">
            <w:pPr>
              <w:widowControl w:val="0"/>
              <w:numPr>
                <w:ilvl w:val="0"/>
                <w:numId w:val="307"/>
              </w:numPr>
              <w:pBdr>
                <w:top w:val="nil"/>
                <w:left w:val="nil"/>
                <w:bottom w:val="nil"/>
                <w:right w:val="nil"/>
                <w:between w:val="nil"/>
              </w:pBdr>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Adapun klasifikasi penilaian indikator ini terbagi menjadi 5 (lima) peringkat sebagai berikut:</w:t>
            </w:r>
          </w:p>
          <w:p w14:paraId="2D1BF3B6" w14:textId="44C3BD2E" w:rsidR="00CE27D4" w:rsidRPr="00306115" w:rsidRDefault="00CE27D4">
            <w:pPr>
              <w:pStyle w:val="ListParagraph"/>
              <w:widowControl w:val="0"/>
              <w:numPr>
                <w:ilvl w:val="0"/>
                <w:numId w:val="500"/>
              </w:numPr>
              <w:pBdr>
                <w:top w:val="nil"/>
                <w:left w:val="nil"/>
                <w:bottom w:val="nil"/>
                <w:right w:val="nil"/>
                <w:between w:val="nil"/>
              </w:pBdr>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1: Tidak ada Pengaduan Nasabah</w:t>
            </w:r>
          </w:p>
          <w:p w14:paraId="24616A41" w14:textId="243D5A97" w:rsidR="00CE27D4" w:rsidRPr="00306115" w:rsidRDefault="00CE27D4">
            <w:pPr>
              <w:pStyle w:val="ListParagraph"/>
              <w:widowControl w:val="0"/>
              <w:numPr>
                <w:ilvl w:val="0"/>
                <w:numId w:val="500"/>
              </w:numPr>
              <w:pBdr>
                <w:top w:val="nil"/>
                <w:left w:val="nil"/>
                <w:bottom w:val="nil"/>
                <w:right w:val="nil"/>
                <w:between w:val="nil"/>
              </w:pBdr>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2: Rasio Pengaduan Nasabah dibandingkan jumlah nasabah &gt; 0% dan ≤1%</w:t>
            </w:r>
          </w:p>
          <w:p w14:paraId="483610FC" w14:textId="60C91444" w:rsidR="00CE27D4" w:rsidRPr="00306115" w:rsidRDefault="00CE27D4">
            <w:pPr>
              <w:pStyle w:val="ListParagraph"/>
              <w:widowControl w:val="0"/>
              <w:numPr>
                <w:ilvl w:val="0"/>
                <w:numId w:val="500"/>
              </w:numPr>
              <w:pBdr>
                <w:top w:val="nil"/>
                <w:left w:val="nil"/>
                <w:bottom w:val="nil"/>
                <w:right w:val="nil"/>
                <w:between w:val="nil"/>
              </w:pBdr>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3: Rasio Pengaduan Nasabah dibandingkan jumlah nasabah &gt; 1% dan ≤3%</w:t>
            </w:r>
          </w:p>
          <w:p w14:paraId="5D36776D" w14:textId="1D1B6480" w:rsidR="00CE27D4" w:rsidRPr="00306115" w:rsidRDefault="00CE27D4">
            <w:pPr>
              <w:pStyle w:val="ListParagraph"/>
              <w:widowControl w:val="0"/>
              <w:numPr>
                <w:ilvl w:val="0"/>
                <w:numId w:val="500"/>
              </w:numPr>
              <w:pBdr>
                <w:top w:val="nil"/>
                <w:left w:val="nil"/>
                <w:bottom w:val="nil"/>
                <w:right w:val="nil"/>
                <w:between w:val="nil"/>
              </w:pBdr>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4: Rasio Pengaduan Nasabah dibandingkan jumlah nasabah &gt; 3% dan ≤5%</w:t>
            </w:r>
          </w:p>
          <w:p w14:paraId="529FBE58" w14:textId="3EEB3647" w:rsidR="00A36AFB" w:rsidRPr="00306115" w:rsidRDefault="00CE27D4">
            <w:pPr>
              <w:pStyle w:val="ListParagraph"/>
              <w:widowControl w:val="0"/>
              <w:numPr>
                <w:ilvl w:val="0"/>
                <w:numId w:val="500"/>
              </w:numPr>
              <w:pBdr>
                <w:top w:val="nil"/>
                <w:left w:val="nil"/>
                <w:bottom w:val="nil"/>
                <w:right w:val="nil"/>
                <w:between w:val="nil"/>
              </w:pBdr>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5: Rasio Pengaduan Nasabah dibandingkan jumlah nasabah &gt; 5%</w:t>
            </w:r>
          </w:p>
        </w:tc>
      </w:tr>
      <w:tr w:rsidR="007D48B8" w:rsidRPr="00306115" w14:paraId="48A4BD78" w14:textId="77777777" w:rsidTr="00C13C09">
        <w:trPr>
          <w:trHeight w:val="80"/>
        </w:trPr>
        <w:tc>
          <w:tcPr>
            <w:tcW w:w="3109" w:type="dxa"/>
            <w:gridSpan w:val="2"/>
            <w:vMerge w:val="restart"/>
            <w:tcBorders>
              <w:top w:val="single" w:sz="8" w:space="0" w:color="000000"/>
              <w:left w:val="single" w:sz="8" w:space="0" w:color="000000"/>
              <w:right w:val="single" w:sz="8" w:space="0" w:color="000000"/>
            </w:tcBorders>
          </w:tcPr>
          <w:p w14:paraId="64470BBC" w14:textId="77777777" w:rsidR="007D48B8" w:rsidRPr="00306115" w:rsidRDefault="007D48B8" w:rsidP="003D05A2">
            <w:pPr>
              <w:widowControl w:val="0"/>
              <w:pBdr>
                <w:top w:val="nil"/>
                <w:left w:val="nil"/>
                <w:bottom w:val="nil"/>
                <w:right w:val="nil"/>
                <w:between w:val="nil"/>
              </w:pBdr>
              <w:spacing w:after="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Pemberitaan Negatif</w:t>
            </w:r>
          </w:p>
        </w:tc>
        <w:tc>
          <w:tcPr>
            <w:tcW w:w="2845" w:type="dxa"/>
            <w:tcBorders>
              <w:top w:val="single" w:sz="8" w:space="0" w:color="000000"/>
              <w:left w:val="single" w:sz="8" w:space="0" w:color="000000"/>
              <w:bottom w:val="single" w:sz="8" w:space="0" w:color="000000"/>
              <w:right w:val="single" w:sz="8" w:space="0" w:color="000000"/>
            </w:tcBorders>
          </w:tcPr>
          <w:p w14:paraId="149A29EE" w14:textId="77777777" w:rsidR="007D48B8" w:rsidRPr="00306115" w:rsidRDefault="007D48B8" w:rsidP="003D05A2">
            <w:pPr>
              <w:widowControl w:val="0"/>
              <w:pBdr>
                <w:top w:val="nil"/>
                <w:left w:val="nil"/>
                <w:bottom w:val="nil"/>
                <w:right w:val="nil"/>
                <w:between w:val="nil"/>
              </w:pBdr>
              <w:spacing w:after="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Jumlah Topik Pemberitaan Negatif di Media Massa Cetak dan/atau Elektronik.</w:t>
            </w:r>
          </w:p>
        </w:tc>
        <w:tc>
          <w:tcPr>
            <w:tcW w:w="8788" w:type="dxa"/>
            <w:tcBorders>
              <w:top w:val="single" w:sz="8" w:space="0" w:color="000000"/>
              <w:left w:val="single" w:sz="8" w:space="0" w:color="000000"/>
              <w:bottom w:val="single" w:sz="8" w:space="0" w:color="000000"/>
              <w:right w:val="single" w:sz="8" w:space="0" w:color="000000"/>
            </w:tcBorders>
          </w:tcPr>
          <w:p w14:paraId="794741E2" w14:textId="77777777" w:rsidR="007D48B8" w:rsidRPr="00306115" w:rsidRDefault="007D48B8">
            <w:pPr>
              <w:widowControl w:val="0"/>
              <w:numPr>
                <w:ilvl w:val="0"/>
                <w:numId w:val="501"/>
              </w:numPr>
              <w:pBdr>
                <w:top w:val="nil"/>
                <w:left w:val="nil"/>
                <w:bottom w:val="nil"/>
                <w:right w:val="nil"/>
                <w:between w:val="nil"/>
              </w:pBdr>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 xml:space="preserve">Parameter atau indikator ini menghitung jumlah pemberitaan negatif terkait Manajer Investasi di media massa. Media massa dimaksud adalah media cetak dan/atau elektronik. Adapun media sosial tidak termasuk dalam perhitungan parameter atau indikator </w:t>
            </w:r>
            <w:r w:rsidRPr="00306115">
              <w:rPr>
                <w:rFonts w:eastAsia="Bookman Old Style" w:cs="Bookman Old Style"/>
                <w:color w:val="000000" w:themeColor="text1"/>
                <w:szCs w:val="24"/>
              </w:rPr>
              <w:lastRenderedPageBreak/>
              <w:t>ini.</w:t>
            </w:r>
          </w:p>
          <w:p w14:paraId="3DB784AC" w14:textId="77777777" w:rsidR="007D48B8" w:rsidRPr="00306115" w:rsidRDefault="007D48B8">
            <w:pPr>
              <w:widowControl w:val="0"/>
              <w:numPr>
                <w:ilvl w:val="0"/>
                <w:numId w:val="501"/>
              </w:numPr>
              <w:pBdr>
                <w:top w:val="nil"/>
                <w:left w:val="nil"/>
                <w:bottom w:val="nil"/>
                <w:right w:val="nil"/>
                <w:between w:val="nil"/>
              </w:pBdr>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Dilakukan dengan menghitung jumlah topik pemberitaan negatif di media massa selama 1 (satu) tahun terakhir.</w:t>
            </w:r>
          </w:p>
          <w:p w14:paraId="65FEDF0F" w14:textId="77777777" w:rsidR="007D48B8" w:rsidRPr="00306115" w:rsidRDefault="007D48B8">
            <w:pPr>
              <w:widowControl w:val="0"/>
              <w:numPr>
                <w:ilvl w:val="0"/>
                <w:numId w:val="501"/>
              </w:numPr>
              <w:pBdr>
                <w:top w:val="nil"/>
                <w:left w:val="nil"/>
                <w:bottom w:val="nil"/>
                <w:right w:val="nil"/>
                <w:between w:val="nil"/>
              </w:pBdr>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Semakin banyak jumlah topik pemberitaan negatif Manajer Investasi diberitakan di media massa maka semakin tinggi Risiko Reputasi Manajer Investasi.</w:t>
            </w:r>
          </w:p>
          <w:p w14:paraId="47EEA537" w14:textId="77777777" w:rsidR="00CE27D4" w:rsidRPr="00306115" w:rsidRDefault="006063C9">
            <w:pPr>
              <w:widowControl w:val="0"/>
              <w:numPr>
                <w:ilvl w:val="0"/>
                <w:numId w:val="501"/>
              </w:numPr>
              <w:pBdr>
                <w:top w:val="nil"/>
                <w:left w:val="nil"/>
                <w:bottom w:val="nil"/>
                <w:right w:val="nil"/>
                <w:between w:val="nil"/>
              </w:pBdr>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Adapun klasifikasi penilaian indikator ini terbagi menjadi 5 (lima) peringkat sebagai berikut:</w:t>
            </w:r>
          </w:p>
          <w:p w14:paraId="3719A3DE" w14:textId="608E08F9" w:rsidR="00583E53" w:rsidRPr="00306115" w:rsidRDefault="00583E53">
            <w:pPr>
              <w:pStyle w:val="ListParagraph"/>
              <w:widowControl w:val="0"/>
              <w:numPr>
                <w:ilvl w:val="0"/>
                <w:numId w:val="502"/>
              </w:numPr>
              <w:pBdr>
                <w:top w:val="nil"/>
                <w:left w:val="nil"/>
                <w:bottom w:val="nil"/>
                <w:right w:val="nil"/>
                <w:between w:val="nil"/>
              </w:pBdr>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1 = Tidak Terdapat Topik Pemberitaan Negatif Di Media Massa Cetak dan/atau Elektronik.</w:t>
            </w:r>
          </w:p>
          <w:p w14:paraId="18B44B26" w14:textId="43FB27BA" w:rsidR="00583E53" w:rsidRPr="00306115" w:rsidRDefault="00583E53">
            <w:pPr>
              <w:pStyle w:val="ListParagraph"/>
              <w:widowControl w:val="0"/>
              <w:numPr>
                <w:ilvl w:val="0"/>
                <w:numId w:val="502"/>
              </w:numPr>
              <w:pBdr>
                <w:top w:val="nil"/>
                <w:left w:val="nil"/>
                <w:bottom w:val="nil"/>
                <w:right w:val="nil"/>
                <w:between w:val="nil"/>
              </w:pBdr>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2: Terdapat Topik Pemberitaan Negatif Di Media Massa Cetak dan/atau Elektronik &gt; 0 dan ≤1</w:t>
            </w:r>
          </w:p>
          <w:p w14:paraId="394DF4A9" w14:textId="152FDA4C" w:rsidR="00583E53" w:rsidRPr="00306115" w:rsidRDefault="00583E53">
            <w:pPr>
              <w:pStyle w:val="ListParagraph"/>
              <w:widowControl w:val="0"/>
              <w:numPr>
                <w:ilvl w:val="0"/>
                <w:numId w:val="502"/>
              </w:numPr>
              <w:pBdr>
                <w:top w:val="nil"/>
                <w:left w:val="nil"/>
                <w:bottom w:val="nil"/>
                <w:right w:val="nil"/>
                <w:between w:val="nil"/>
              </w:pBdr>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3: Terdapat Topik Pemberitaan Negatif Di Media Massa Cetak dan/atau Elektronik &gt; 1 dan ≤3</w:t>
            </w:r>
          </w:p>
          <w:p w14:paraId="4D557E03" w14:textId="67D65346" w:rsidR="00583E53" w:rsidRPr="00306115" w:rsidRDefault="00583E53">
            <w:pPr>
              <w:pStyle w:val="ListParagraph"/>
              <w:widowControl w:val="0"/>
              <w:numPr>
                <w:ilvl w:val="0"/>
                <w:numId w:val="502"/>
              </w:numPr>
              <w:pBdr>
                <w:top w:val="nil"/>
                <w:left w:val="nil"/>
                <w:bottom w:val="nil"/>
                <w:right w:val="nil"/>
                <w:between w:val="nil"/>
              </w:pBdr>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4: Terdapat Topik Pemberitaan Negatif Di Media Massa Cetak dan/atau Elektronik &gt; 3 dan ≤5</w:t>
            </w:r>
          </w:p>
          <w:p w14:paraId="1E80A774" w14:textId="24459114" w:rsidR="006063C9" w:rsidRPr="00306115" w:rsidRDefault="00583E53">
            <w:pPr>
              <w:pStyle w:val="ListParagraph"/>
              <w:widowControl w:val="0"/>
              <w:numPr>
                <w:ilvl w:val="0"/>
                <w:numId w:val="502"/>
              </w:numPr>
              <w:pBdr>
                <w:top w:val="nil"/>
                <w:left w:val="nil"/>
                <w:bottom w:val="nil"/>
                <w:right w:val="nil"/>
                <w:between w:val="nil"/>
              </w:pBdr>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5: Terdapat Topik Pemberitaan Negatif Di Media Massa Cetak dan/atau Elektronik &gt; 5</w:t>
            </w:r>
          </w:p>
        </w:tc>
      </w:tr>
      <w:tr w:rsidR="007D48B8" w:rsidRPr="00306115" w14:paraId="25C8A212" w14:textId="77777777" w:rsidTr="00C13C09">
        <w:trPr>
          <w:trHeight w:val="1011"/>
        </w:trPr>
        <w:tc>
          <w:tcPr>
            <w:tcW w:w="3109" w:type="dxa"/>
            <w:gridSpan w:val="2"/>
            <w:vMerge/>
            <w:tcBorders>
              <w:left w:val="single" w:sz="8" w:space="0" w:color="000000"/>
              <w:right w:val="single" w:sz="8" w:space="0" w:color="000000"/>
            </w:tcBorders>
          </w:tcPr>
          <w:p w14:paraId="73058480" w14:textId="77777777" w:rsidR="007D48B8" w:rsidRPr="00306115" w:rsidRDefault="007D48B8" w:rsidP="003D05A2">
            <w:pPr>
              <w:widowControl w:val="0"/>
              <w:pBdr>
                <w:top w:val="nil"/>
                <w:left w:val="nil"/>
                <w:bottom w:val="nil"/>
                <w:right w:val="nil"/>
                <w:between w:val="nil"/>
              </w:pBdr>
              <w:spacing w:after="0" w:line="240" w:lineRule="auto"/>
              <w:rPr>
                <w:rFonts w:eastAsia="Bookman Old Style" w:cs="Bookman Old Style"/>
                <w:b/>
                <w:bCs/>
                <w:color w:val="000000" w:themeColor="text1"/>
                <w:szCs w:val="24"/>
              </w:rPr>
            </w:pPr>
          </w:p>
        </w:tc>
        <w:tc>
          <w:tcPr>
            <w:tcW w:w="2845" w:type="dxa"/>
            <w:tcBorders>
              <w:top w:val="single" w:sz="8" w:space="0" w:color="000000"/>
              <w:left w:val="single" w:sz="8" w:space="0" w:color="000000"/>
              <w:bottom w:val="single" w:sz="8" w:space="0" w:color="000000"/>
              <w:right w:val="single" w:sz="8" w:space="0" w:color="000000"/>
            </w:tcBorders>
          </w:tcPr>
          <w:p w14:paraId="35B90F86" w14:textId="77777777" w:rsidR="007D48B8" w:rsidRPr="00306115" w:rsidRDefault="007D48B8" w:rsidP="003D05A2">
            <w:pPr>
              <w:widowControl w:val="0"/>
              <w:pBdr>
                <w:top w:val="nil"/>
                <w:left w:val="nil"/>
                <w:bottom w:val="nil"/>
                <w:right w:val="nil"/>
                <w:between w:val="nil"/>
              </w:pBdr>
              <w:spacing w:after="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Signifikansi Pemberitaan Negatif</w:t>
            </w:r>
          </w:p>
        </w:tc>
        <w:tc>
          <w:tcPr>
            <w:tcW w:w="8788" w:type="dxa"/>
            <w:tcBorders>
              <w:top w:val="single" w:sz="8" w:space="0" w:color="000000"/>
              <w:left w:val="single" w:sz="8" w:space="0" w:color="000000"/>
              <w:bottom w:val="single" w:sz="8" w:space="0" w:color="000000"/>
              <w:right w:val="single" w:sz="8" w:space="0" w:color="000000"/>
            </w:tcBorders>
          </w:tcPr>
          <w:p w14:paraId="6BA9BB50" w14:textId="77777777" w:rsidR="007D48B8" w:rsidRPr="00306115" w:rsidRDefault="007D48B8">
            <w:pPr>
              <w:widowControl w:val="0"/>
              <w:numPr>
                <w:ilvl w:val="0"/>
                <w:numId w:val="503"/>
              </w:numPr>
              <w:pBdr>
                <w:top w:val="nil"/>
                <w:left w:val="nil"/>
                <w:bottom w:val="nil"/>
                <w:right w:val="nil"/>
                <w:between w:val="nil"/>
              </w:pBdr>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 xml:space="preserve">Parameter atau indikator ini mengukur signifikansi pemberitaan negatif terhadap Manajer Investasi. Adapun keterangan nilai sebagai berikut </w:t>
            </w:r>
          </w:p>
          <w:p w14:paraId="54B4AC10" w14:textId="1BDB6E48" w:rsidR="007D48B8" w:rsidRPr="00306115" w:rsidRDefault="00583E53">
            <w:pPr>
              <w:pStyle w:val="ListParagraph"/>
              <w:widowControl w:val="0"/>
              <w:numPr>
                <w:ilvl w:val="1"/>
                <w:numId w:val="503"/>
              </w:numPr>
              <w:pBdr>
                <w:top w:val="nil"/>
                <w:left w:val="nil"/>
                <w:bottom w:val="nil"/>
                <w:right w:val="nil"/>
                <w:between w:val="nil"/>
              </w:pBdr>
              <w:spacing w:after="0" w:line="240" w:lineRule="auto"/>
              <w:ind w:hanging="567"/>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w:t>
            </w:r>
            <w:r w:rsidR="007D48B8" w:rsidRPr="00306115">
              <w:rPr>
                <w:rFonts w:eastAsia="Bookman Old Style" w:cs="Bookman Old Style"/>
                <w:color w:val="000000" w:themeColor="text1"/>
                <w:szCs w:val="24"/>
              </w:rPr>
              <w:t xml:space="preserve">1   = Tidak terdapat pemberitaan negatif </w:t>
            </w:r>
          </w:p>
          <w:p w14:paraId="3239BF19" w14:textId="4C22749B" w:rsidR="007D48B8" w:rsidRPr="00306115" w:rsidRDefault="00583E53">
            <w:pPr>
              <w:pStyle w:val="ListParagraph"/>
              <w:widowControl w:val="0"/>
              <w:numPr>
                <w:ilvl w:val="1"/>
                <w:numId w:val="503"/>
              </w:numPr>
              <w:pBdr>
                <w:top w:val="nil"/>
                <w:left w:val="nil"/>
                <w:bottom w:val="nil"/>
                <w:right w:val="nil"/>
                <w:between w:val="nil"/>
              </w:pBdr>
              <w:spacing w:after="0" w:line="240" w:lineRule="auto"/>
              <w:ind w:hanging="567"/>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w:t>
            </w:r>
            <w:r w:rsidR="007D48B8" w:rsidRPr="00306115">
              <w:rPr>
                <w:rFonts w:eastAsia="Bookman Old Style" w:cs="Bookman Old Style"/>
                <w:color w:val="000000" w:themeColor="text1"/>
                <w:szCs w:val="24"/>
              </w:rPr>
              <w:t>2 = Pemberitaan negatif terkait Manajer Investasi memiliki signifikansi yang rendah terhadap Manajer Investasi</w:t>
            </w:r>
          </w:p>
          <w:p w14:paraId="6C650163" w14:textId="60E03DD7" w:rsidR="007D48B8" w:rsidRPr="00306115" w:rsidRDefault="00583E53">
            <w:pPr>
              <w:pStyle w:val="ListParagraph"/>
              <w:widowControl w:val="0"/>
              <w:numPr>
                <w:ilvl w:val="1"/>
                <w:numId w:val="503"/>
              </w:numPr>
              <w:pBdr>
                <w:top w:val="nil"/>
                <w:left w:val="nil"/>
                <w:bottom w:val="nil"/>
                <w:right w:val="nil"/>
                <w:between w:val="nil"/>
              </w:pBdr>
              <w:spacing w:after="0" w:line="240" w:lineRule="auto"/>
              <w:ind w:hanging="567"/>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w:t>
            </w:r>
            <w:r w:rsidR="007D48B8" w:rsidRPr="00306115">
              <w:rPr>
                <w:rFonts w:eastAsia="Bookman Old Style" w:cs="Bookman Old Style"/>
                <w:color w:val="000000" w:themeColor="text1"/>
                <w:szCs w:val="24"/>
              </w:rPr>
              <w:t>3   = Pemberitaan negatif terkait Manajer Investasi memiliki signifikansi yang cukup mempengaruhi terhadap Manajer Investasi</w:t>
            </w:r>
          </w:p>
          <w:p w14:paraId="79F334F6" w14:textId="15B151A7" w:rsidR="007D48B8" w:rsidRPr="00306115" w:rsidRDefault="00583E53">
            <w:pPr>
              <w:pStyle w:val="ListParagraph"/>
              <w:widowControl w:val="0"/>
              <w:numPr>
                <w:ilvl w:val="1"/>
                <w:numId w:val="503"/>
              </w:numPr>
              <w:pBdr>
                <w:top w:val="nil"/>
                <w:left w:val="nil"/>
                <w:bottom w:val="nil"/>
                <w:right w:val="nil"/>
                <w:between w:val="nil"/>
              </w:pBdr>
              <w:spacing w:after="0" w:line="240" w:lineRule="auto"/>
              <w:ind w:hanging="567"/>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w:t>
            </w:r>
            <w:r w:rsidR="007D48B8" w:rsidRPr="00306115">
              <w:rPr>
                <w:rFonts w:eastAsia="Bookman Old Style" w:cs="Bookman Old Style"/>
                <w:color w:val="000000" w:themeColor="text1"/>
                <w:szCs w:val="24"/>
              </w:rPr>
              <w:t>4 = Pemberitaan negatif terkait Manajer Investasi memiliki signifikansi yang tinggi terhadap Manajer Investasi</w:t>
            </w:r>
          </w:p>
          <w:p w14:paraId="0243C745" w14:textId="4E962066" w:rsidR="007D48B8" w:rsidRPr="00306115" w:rsidRDefault="00583E53">
            <w:pPr>
              <w:pStyle w:val="ListParagraph"/>
              <w:widowControl w:val="0"/>
              <w:numPr>
                <w:ilvl w:val="1"/>
                <w:numId w:val="503"/>
              </w:numPr>
              <w:pBdr>
                <w:top w:val="nil"/>
                <w:left w:val="nil"/>
                <w:bottom w:val="nil"/>
                <w:right w:val="nil"/>
                <w:between w:val="nil"/>
              </w:pBdr>
              <w:spacing w:after="0" w:line="240" w:lineRule="auto"/>
              <w:ind w:hanging="567"/>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w:t>
            </w:r>
            <w:r w:rsidR="007D48B8" w:rsidRPr="00306115">
              <w:rPr>
                <w:rFonts w:eastAsia="Bookman Old Style" w:cs="Bookman Old Style"/>
                <w:color w:val="000000" w:themeColor="text1"/>
                <w:szCs w:val="24"/>
              </w:rPr>
              <w:t xml:space="preserve">5 = Pemberitaan negatif terkait Manajer Investasi memiliki signifikansi yang sangat tinggi terhadap Manajer </w:t>
            </w:r>
            <w:r w:rsidR="007D48B8" w:rsidRPr="00306115">
              <w:rPr>
                <w:rFonts w:eastAsia="Bookman Old Style" w:cs="Bookman Old Style"/>
                <w:color w:val="000000" w:themeColor="text1"/>
                <w:szCs w:val="24"/>
              </w:rPr>
              <w:lastRenderedPageBreak/>
              <w:t>Investasi</w:t>
            </w:r>
          </w:p>
          <w:p w14:paraId="7D4045F4" w14:textId="77777777" w:rsidR="007D48B8" w:rsidRPr="00306115" w:rsidRDefault="007D48B8">
            <w:pPr>
              <w:widowControl w:val="0"/>
              <w:numPr>
                <w:ilvl w:val="0"/>
                <w:numId w:val="503"/>
              </w:numPr>
              <w:pBdr>
                <w:top w:val="nil"/>
                <w:left w:val="nil"/>
                <w:bottom w:val="nil"/>
                <w:right w:val="nil"/>
                <w:between w:val="nil"/>
              </w:pBdr>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Pada kolom keterangan, Manajer Investasi memberikan informasi mengenai pemberitaan negatif yang memiliki signifikansi yang tinggi terhadap Manajer Investasi.</w:t>
            </w:r>
          </w:p>
        </w:tc>
      </w:tr>
      <w:tr w:rsidR="007D48B8" w:rsidRPr="00306115" w14:paraId="577D5277" w14:textId="77777777" w:rsidTr="00C13C09">
        <w:trPr>
          <w:trHeight w:val="1701"/>
        </w:trPr>
        <w:tc>
          <w:tcPr>
            <w:tcW w:w="3109" w:type="dxa"/>
            <w:gridSpan w:val="2"/>
            <w:vMerge/>
            <w:tcBorders>
              <w:left w:val="single" w:sz="8" w:space="0" w:color="000000"/>
              <w:bottom w:val="single" w:sz="8" w:space="0" w:color="000000"/>
              <w:right w:val="single" w:sz="8" w:space="0" w:color="000000"/>
            </w:tcBorders>
          </w:tcPr>
          <w:p w14:paraId="1CFE63D5" w14:textId="77777777" w:rsidR="007D48B8" w:rsidRPr="00306115" w:rsidRDefault="007D48B8" w:rsidP="003D05A2">
            <w:pPr>
              <w:widowControl w:val="0"/>
              <w:pBdr>
                <w:top w:val="nil"/>
                <w:left w:val="nil"/>
                <w:bottom w:val="nil"/>
                <w:right w:val="nil"/>
                <w:between w:val="nil"/>
              </w:pBdr>
              <w:spacing w:after="0" w:line="240" w:lineRule="auto"/>
              <w:rPr>
                <w:rFonts w:eastAsia="Bookman Old Style" w:cs="Bookman Old Style"/>
                <w:color w:val="000000" w:themeColor="text1"/>
                <w:szCs w:val="24"/>
              </w:rPr>
            </w:pPr>
          </w:p>
        </w:tc>
        <w:tc>
          <w:tcPr>
            <w:tcW w:w="2845" w:type="dxa"/>
            <w:tcBorders>
              <w:top w:val="single" w:sz="8" w:space="0" w:color="000000"/>
              <w:left w:val="single" w:sz="8" w:space="0" w:color="000000"/>
              <w:bottom w:val="single" w:sz="8" w:space="0" w:color="000000"/>
              <w:right w:val="single" w:sz="8" w:space="0" w:color="000000"/>
            </w:tcBorders>
          </w:tcPr>
          <w:p w14:paraId="6648AD4E" w14:textId="77777777" w:rsidR="007D48B8" w:rsidRPr="00306115" w:rsidRDefault="007D48B8" w:rsidP="003D05A2">
            <w:pPr>
              <w:widowControl w:val="0"/>
              <w:pBdr>
                <w:top w:val="nil"/>
                <w:left w:val="nil"/>
                <w:bottom w:val="nil"/>
                <w:right w:val="nil"/>
                <w:between w:val="nil"/>
              </w:pBdr>
              <w:spacing w:after="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Maksimal Durasi Pemberitaan Negatif di Media Massa</w:t>
            </w:r>
          </w:p>
        </w:tc>
        <w:tc>
          <w:tcPr>
            <w:tcW w:w="8788" w:type="dxa"/>
            <w:tcBorders>
              <w:top w:val="single" w:sz="8" w:space="0" w:color="000000"/>
              <w:left w:val="single" w:sz="8" w:space="0" w:color="000000"/>
              <w:bottom w:val="single" w:sz="8" w:space="0" w:color="000000"/>
              <w:right w:val="single" w:sz="8" w:space="0" w:color="000000"/>
            </w:tcBorders>
          </w:tcPr>
          <w:p w14:paraId="0D2D7BC1" w14:textId="77777777" w:rsidR="007D48B8" w:rsidRPr="00306115" w:rsidRDefault="007D48B8">
            <w:pPr>
              <w:widowControl w:val="0"/>
              <w:numPr>
                <w:ilvl w:val="0"/>
                <w:numId w:val="504"/>
              </w:numPr>
              <w:pBdr>
                <w:top w:val="nil"/>
                <w:left w:val="nil"/>
                <w:bottom w:val="nil"/>
                <w:right w:val="nil"/>
                <w:between w:val="nil"/>
              </w:pBdr>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Parameter atau indikator ini menghitung signifikansi pemberitaan negatif melalui durasi pemberitaan tersebut.</w:t>
            </w:r>
          </w:p>
          <w:p w14:paraId="24F15C9A" w14:textId="77777777" w:rsidR="007D48B8" w:rsidRPr="00306115" w:rsidRDefault="007D48B8">
            <w:pPr>
              <w:widowControl w:val="0"/>
              <w:numPr>
                <w:ilvl w:val="0"/>
                <w:numId w:val="504"/>
              </w:numPr>
              <w:pBdr>
                <w:top w:val="nil"/>
                <w:left w:val="nil"/>
                <w:bottom w:val="nil"/>
                <w:right w:val="nil"/>
                <w:between w:val="nil"/>
              </w:pBdr>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Dilakukan dengan menghitung lamanya maksimal durasi atau durasi terlama dari suatu pemberitaan negatif terkait Manajer Investasi di media massa selama 1 (satu) tahun terakhir, dalam satuan hari, di mana 1 (satu) bulan adalah 30 (tiga puluh) hari.</w:t>
            </w:r>
          </w:p>
          <w:p w14:paraId="5A7A5058" w14:textId="77777777" w:rsidR="007D48B8" w:rsidRPr="00306115" w:rsidRDefault="007D48B8">
            <w:pPr>
              <w:widowControl w:val="0"/>
              <w:numPr>
                <w:ilvl w:val="0"/>
                <w:numId w:val="504"/>
              </w:numPr>
              <w:pBdr>
                <w:top w:val="nil"/>
                <w:left w:val="nil"/>
                <w:bottom w:val="nil"/>
                <w:right w:val="nil"/>
                <w:between w:val="nil"/>
              </w:pBdr>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Sebagai contoh, dalam 1 (satu) tahun ada 3 (tiga) topik pemberitaan negatif Manajer Investasi yaitu topik a, topik b, dan topik c. Dari ketiga pemberitaan tersebut durasi yang paling lama adalah topik b yang diberitakan di seluruh media massa selama 3 (tiga) bulan atau 90 (sembilan puluh) hari. Maka durasi maksimal dari pemberitaan negatif adalah 90 (sembilan puluh) hari.</w:t>
            </w:r>
          </w:p>
          <w:p w14:paraId="50B60115" w14:textId="77777777" w:rsidR="007D48B8" w:rsidRPr="00306115" w:rsidRDefault="007D48B8">
            <w:pPr>
              <w:widowControl w:val="0"/>
              <w:numPr>
                <w:ilvl w:val="0"/>
                <w:numId w:val="504"/>
              </w:numPr>
              <w:pBdr>
                <w:top w:val="nil"/>
                <w:left w:val="nil"/>
                <w:bottom w:val="nil"/>
                <w:right w:val="nil"/>
                <w:between w:val="nil"/>
              </w:pBdr>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Semakin tinggi suatu durasi pemberitaan negatif menunjukkan materialitas atas pemberitaan negatif tersebut, sehingga semakin tinggi Risiko Reputasi Manajer Investasi.</w:t>
            </w:r>
          </w:p>
          <w:p w14:paraId="315F50BD" w14:textId="77777777" w:rsidR="00D2380A" w:rsidRPr="00306115" w:rsidRDefault="00D2380A">
            <w:pPr>
              <w:widowControl w:val="0"/>
              <w:numPr>
                <w:ilvl w:val="0"/>
                <w:numId w:val="504"/>
              </w:numPr>
              <w:pBdr>
                <w:top w:val="nil"/>
                <w:left w:val="nil"/>
                <w:bottom w:val="nil"/>
                <w:right w:val="nil"/>
                <w:between w:val="nil"/>
              </w:pBdr>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Adapun klasifikasi penilaian indikator ini terbagi menjadi 5 (lima) peringkat sebagai berikut:</w:t>
            </w:r>
          </w:p>
          <w:p w14:paraId="404C59D2" w14:textId="7065D3C0" w:rsidR="008664A3" w:rsidRPr="00306115" w:rsidRDefault="008664A3">
            <w:pPr>
              <w:pStyle w:val="ListParagraph"/>
              <w:widowControl w:val="0"/>
              <w:numPr>
                <w:ilvl w:val="0"/>
                <w:numId w:val="505"/>
              </w:numPr>
              <w:pBdr>
                <w:top w:val="nil"/>
                <w:left w:val="nil"/>
                <w:bottom w:val="nil"/>
                <w:right w:val="nil"/>
                <w:between w:val="nil"/>
              </w:pBdr>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 xml:space="preserve">Peringkat </w:t>
            </w:r>
            <w:r w:rsidRPr="00306115">
              <w:rPr>
                <w:rFonts w:eastAsia="Bookman Old Style" w:cs="Bookman Old Style"/>
                <w:color w:val="000000" w:themeColor="text1"/>
                <w:szCs w:val="24"/>
              </w:rPr>
              <w:t>1: Tidak ada Pemberitaan Negatif di Media Massa</w:t>
            </w:r>
          </w:p>
          <w:p w14:paraId="6D957E33" w14:textId="0D795FC5" w:rsidR="008664A3" w:rsidRPr="00306115" w:rsidRDefault="008664A3">
            <w:pPr>
              <w:pStyle w:val="ListParagraph"/>
              <w:widowControl w:val="0"/>
              <w:numPr>
                <w:ilvl w:val="0"/>
                <w:numId w:val="505"/>
              </w:numPr>
              <w:pBdr>
                <w:top w:val="nil"/>
                <w:left w:val="nil"/>
                <w:bottom w:val="nil"/>
                <w:right w:val="nil"/>
                <w:between w:val="nil"/>
              </w:pBdr>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 xml:space="preserve">Peringkat </w:t>
            </w:r>
            <w:r w:rsidR="006D1D94" w:rsidRPr="00306115">
              <w:rPr>
                <w:rFonts w:eastAsia="Bookman Old Style" w:cs="Bookman Old Style"/>
                <w:color w:val="000000" w:themeColor="text1"/>
                <w:szCs w:val="24"/>
              </w:rPr>
              <w:t>2: Durasi Pemberitaan Negatif di Media Massa &gt; 0 dan ≤1 hari</w:t>
            </w:r>
          </w:p>
          <w:p w14:paraId="0A3BFFA2" w14:textId="045BB527" w:rsidR="008664A3" w:rsidRPr="00306115" w:rsidRDefault="008664A3">
            <w:pPr>
              <w:pStyle w:val="ListParagraph"/>
              <w:widowControl w:val="0"/>
              <w:numPr>
                <w:ilvl w:val="0"/>
                <w:numId w:val="505"/>
              </w:numPr>
              <w:pBdr>
                <w:top w:val="nil"/>
                <w:left w:val="nil"/>
                <w:bottom w:val="nil"/>
                <w:right w:val="nil"/>
                <w:between w:val="nil"/>
              </w:pBdr>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 xml:space="preserve">Peringkat </w:t>
            </w:r>
            <w:r w:rsidR="006D1D94" w:rsidRPr="00306115">
              <w:rPr>
                <w:rFonts w:eastAsia="Bookman Old Style" w:cs="Bookman Old Style"/>
                <w:color w:val="000000" w:themeColor="text1"/>
                <w:szCs w:val="24"/>
              </w:rPr>
              <w:t>3: Durasi Pemberitaan Negatif di Media Massa &gt; 1 dan ≤3 hari</w:t>
            </w:r>
          </w:p>
          <w:p w14:paraId="5DB4BE29" w14:textId="4D414F91" w:rsidR="008664A3" w:rsidRPr="00306115" w:rsidRDefault="008664A3">
            <w:pPr>
              <w:pStyle w:val="ListParagraph"/>
              <w:widowControl w:val="0"/>
              <w:numPr>
                <w:ilvl w:val="0"/>
                <w:numId w:val="505"/>
              </w:numPr>
              <w:pBdr>
                <w:top w:val="nil"/>
                <w:left w:val="nil"/>
                <w:bottom w:val="nil"/>
                <w:right w:val="nil"/>
                <w:between w:val="nil"/>
              </w:pBdr>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 xml:space="preserve">Peringkat </w:t>
            </w:r>
            <w:r w:rsidR="006D1D94" w:rsidRPr="00306115">
              <w:rPr>
                <w:rFonts w:eastAsia="Bookman Old Style" w:cs="Bookman Old Style"/>
                <w:color w:val="000000" w:themeColor="text1"/>
                <w:szCs w:val="24"/>
              </w:rPr>
              <w:t>4: Durasi Pemberitaan Negatif di Media Massa &gt; 3 dan ≤7 hari</w:t>
            </w:r>
          </w:p>
          <w:p w14:paraId="216915FD" w14:textId="5D964291" w:rsidR="00D2380A" w:rsidRPr="00306115" w:rsidRDefault="008664A3">
            <w:pPr>
              <w:pStyle w:val="ListParagraph"/>
              <w:widowControl w:val="0"/>
              <w:numPr>
                <w:ilvl w:val="0"/>
                <w:numId w:val="505"/>
              </w:numPr>
              <w:pBdr>
                <w:top w:val="nil"/>
                <w:left w:val="nil"/>
                <w:bottom w:val="nil"/>
                <w:right w:val="nil"/>
                <w:between w:val="nil"/>
              </w:pBdr>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lang w:val="en-GB"/>
              </w:rPr>
              <w:t xml:space="preserve">Peringkat </w:t>
            </w:r>
            <w:r w:rsidR="006D1D94" w:rsidRPr="00306115">
              <w:rPr>
                <w:rFonts w:eastAsia="Bookman Old Style" w:cs="Bookman Old Style"/>
                <w:color w:val="000000" w:themeColor="text1"/>
                <w:szCs w:val="24"/>
              </w:rPr>
              <w:t>5: Durasi Pemberitaan Negatif di Media Massa &gt; 7 hari</w:t>
            </w:r>
          </w:p>
        </w:tc>
      </w:tr>
      <w:tr w:rsidR="00BD0910" w:rsidRPr="00306115" w14:paraId="6ACD7A4D" w14:textId="77777777" w:rsidTr="00BD0910">
        <w:trPr>
          <w:trHeight w:val="379"/>
        </w:trPr>
        <w:tc>
          <w:tcPr>
            <w:tcW w:w="14742" w:type="dxa"/>
            <w:gridSpan w:val="4"/>
            <w:tcBorders>
              <w:top w:val="single" w:sz="8" w:space="0" w:color="000000"/>
              <w:left w:val="single" w:sz="8" w:space="0" w:color="000000"/>
              <w:bottom w:val="single" w:sz="8" w:space="0" w:color="000000"/>
              <w:right w:val="single" w:sz="8" w:space="0" w:color="000000"/>
            </w:tcBorders>
            <w:shd w:val="clear" w:color="auto" w:fill="D0CECE"/>
          </w:tcPr>
          <w:p w14:paraId="7DD18AF9" w14:textId="77777777" w:rsidR="00BD0910" w:rsidRPr="00306115" w:rsidRDefault="00BD0910">
            <w:pPr>
              <w:pStyle w:val="ListParagraph"/>
              <w:widowControl w:val="0"/>
              <w:numPr>
                <w:ilvl w:val="0"/>
                <w:numId w:val="309"/>
              </w:numPr>
              <w:pBdr>
                <w:top w:val="nil"/>
                <w:left w:val="nil"/>
                <w:bottom w:val="nil"/>
                <w:right w:val="nil"/>
                <w:between w:val="nil"/>
              </w:pBdr>
              <w:spacing w:before="60" w:after="60" w:line="240" w:lineRule="auto"/>
              <w:ind w:left="567" w:hanging="567"/>
              <w:contextualSpacing w:val="0"/>
              <w:rPr>
                <w:rFonts w:eastAsia="Bookman Old Style" w:cs="Bookman Old Style"/>
                <w:b/>
                <w:bCs/>
                <w:color w:val="000000" w:themeColor="text1"/>
                <w:szCs w:val="24"/>
              </w:rPr>
            </w:pPr>
            <w:r w:rsidRPr="00306115">
              <w:rPr>
                <w:rFonts w:eastAsia="Bookman Old Style" w:cs="Bookman Old Style"/>
                <w:b/>
                <w:bCs/>
                <w:color w:val="000000" w:themeColor="text1"/>
                <w:szCs w:val="24"/>
              </w:rPr>
              <w:t>Kualitas Penerapan Manajemen Risiko</w:t>
            </w:r>
          </w:p>
        </w:tc>
      </w:tr>
      <w:tr w:rsidR="00BD0910" w:rsidRPr="00306115" w14:paraId="19C0BF59" w14:textId="77777777" w:rsidTr="003D05A2">
        <w:trPr>
          <w:trHeight w:val="379"/>
        </w:trPr>
        <w:tc>
          <w:tcPr>
            <w:tcW w:w="1276" w:type="dxa"/>
            <w:tcBorders>
              <w:top w:val="single" w:sz="8" w:space="0" w:color="000000"/>
              <w:left w:val="single" w:sz="8" w:space="0" w:color="000000"/>
              <w:bottom w:val="single" w:sz="8" w:space="0" w:color="000000"/>
              <w:right w:val="single" w:sz="8" w:space="0" w:color="000000"/>
            </w:tcBorders>
          </w:tcPr>
          <w:p w14:paraId="67D9C1F3" w14:textId="77777777" w:rsidR="00BD0910" w:rsidRPr="00306115" w:rsidRDefault="00BD0910">
            <w:pPr>
              <w:widowControl w:val="0"/>
              <w:numPr>
                <w:ilvl w:val="2"/>
                <w:numId w:val="308"/>
              </w:numPr>
              <w:pBdr>
                <w:top w:val="nil"/>
                <w:left w:val="nil"/>
                <w:bottom w:val="nil"/>
                <w:right w:val="nil"/>
                <w:between w:val="nil"/>
              </w:pBdr>
              <w:spacing w:before="97" w:after="0" w:line="240" w:lineRule="auto"/>
              <w:ind w:left="847" w:right="80" w:hanging="511"/>
              <w:jc w:val="left"/>
              <w:rPr>
                <w:rFonts w:eastAsia="Bookman Old Style" w:cs="Bookman Old Style"/>
                <w:b/>
                <w:bCs/>
                <w:color w:val="000000" w:themeColor="text1"/>
                <w:szCs w:val="24"/>
              </w:rPr>
            </w:pPr>
          </w:p>
        </w:tc>
        <w:tc>
          <w:tcPr>
            <w:tcW w:w="13466" w:type="dxa"/>
            <w:gridSpan w:val="3"/>
            <w:tcBorders>
              <w:top w:val="single" w:sz="8" w:space="0" w:color="000000"/>
              <w:left w:val="single" w:sz="8" w:space="0" w:color="000000"/>
              <w:bottom w:val="single" w:sz="8" w:space="0" w:color="000000"/>
              <w:right w:val="single" w:sz="8" w:space="0" w:color="000000"/>
            </w:tcBorders>
          </w:tcPr>
          <w:p w14:paraId="27F2695C" w14:textId="77777777" w:rsidR="00BD0910" w:rsidRPr="00306115" w:rsidRDefault="00BD0910" w:rsidP="003D05A2">
            <w:pPr>
              <w:widowControl w:val="0"/>
              <w:pBdr>
                <w:top w:val="nil"/>
                <w:left w:val="nil"/>
                <w:bottom w:val="nil"/>
                <w:right w:val="nil"/>
                <w:between w:val="nil"/>
              </w:pBdr>
              <w:spacing w:before="60" w:after="6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Tata kelola risiko (</w:t>
            </w:r>
            <w:r w:rsidRPr="00306115">
              <w:rPr>
                <w:rFonts w:eastAsia="Bookman Old Style" w:cs="Bookman Old Style"/>
                <w:i/>
                <w:iCs/>
                <w:color w:val="000000" w:themeColor="text1"/>
                <w:szCs w:val="24"/>
              </w:rPr>
              <w:t>risk governance</w:t>
            </w:r>
            <w:r w:rsidRPr="00306115">
              <w:rPr>
                <w:rFonts w:eastAsia="Bookman Old Style" w:cs="Bookman Old Style"/>
                <w:color w:val="000000" w:themeColor="text1"/>
                <w:szCs w:val="24"/>
              </w:rPr>
              <w:t>) mencakup evaluasi terhadap: (i) perumusan tingkat risiko yang akan diambil (</w:t>
            </w:r>
            <w:r w:rsidRPr="00306115">
              <w:rPr>
                <w:rFonts w:eastAsia="Bookman Old Style" w:cs="Bookman Old Style"/>
                <w:i/>
                <w:iCs/>
                <w:color w:val="000000" w:themeColor="text1"/>
                <w:szCs w:val="24"/>
              </w:rPr>
              <w:t>risk appetite</w:t>
            </w:r>
            <w:r w:rsidRPr="00306115">
              <w:rPr>
                <w:rFonts w:eastAsia="Bookman Old Style" w:cs="Bookman Old Style"/>
                <w:color w:val="000000" w:themeColor="text1"/>
                <w:szCs w:val="24"/>
              </w:rPr>
              <w:t>) dan toleransi risiko (</w:t>
            </w:r>
            <w:r w:rsidRPr="00306115">
              <w:rPr>
                <w:rFonts w:eastAsia="Bookman Old Style" w:cs="Bookman Old Style"/>
                <w:i/>
                <w:iCs/>
                <w:color w:val="000000" w:themeColor="text1"/>
                <w:szCs w:val="24"/>
              </w:rPr>
              <w:t>risk tolerance</w:t>
            </w:r>
            <w:r w:rsidRPr="00306115">
              <w:rPr>
                <w:rFonts w:eastAsia="Bookman Old Style" w:cs="Bookman Old Style"/>
                <w:color w:val="000000" w:themeColor="text1"/>
                <w:szCs w:val="24"/>
              </w:rPr>
              <w:t>) dan (ii) kecukupan pengawasan aktif oleh Direksi dan Dewan Komisaris termasuk pelaksanaan kewenangan dan tanggung jawab Direksi dan Dewan Komisaris.</w:t>
            </w:r>
          </w:p>
        </w:tc>
      </w:tr>
      <w:tr w:rsidR="00BD0910" w:rsidRPr="00306115" w14:paraId="1E2534C8" w14:textId="77777777" w:rsidTr="003D05A2">
        <w:trPr>
          <w:trHeight w:val="379"/>
        </w:trPr>
        <w:tc>
          <w:tcPr>
            <w:tcW w:w="1276" w:type="dxa"/>
            <w:tcBorders>
              <w:top w:val="single" w:sz="8" w:space="0" w:color="000000"/>
              <w:left w:val="single" w:sz="8" w:space="0" w:color="000000"/>
              <w:bottom w:val="single" w:sz="8" w:space="0" w:color="000000"/>
              <w:right w:val="single" w:sz="8" w:space="0" w:color="000000"/>
            </w:tcBorders>
          </w:tcPr>
          <w:p w14:paraId="12797368" w14:textId="77777777" w:rsidR="00BD0910" w:rsidRPr="00306115" w:rsidRDefault="00BD0910">
            <w:pPr>
              <w:widowControl w:val="0"/>
              <w:numPr>
                <w:ilvl w:val="2"/>
                <w:numId w:val="308"/>
              </w:numPr>
              <w:pBdr>
                <w:top w:val="nil"/>
                <w:left w:val="nil"/>
                <w:bottom w:val="nil"/>
                <w:right w:val="nil"/>
                <w:between w:val="nil"/>
              </w:pBdr>
              <w:spacing w:before="97" w:after="0" w:line="240" w:lineRule="auto"/>
              <w:ind w:left="847" w:right="80" w:hanging="511"/>
              <w:jc w:val="left"/>
              <w:rPr>
                <w:rFonts w:eastAsia="Bookman Old Style" w:cs="Bookman Old Style"/>
                <w:b/>
                <w:bCs/>
                <w:color w:val="000000" w:themeColor="text1"/>
                <w:szCs w:val="24"/>
              </w:rPr>
            </w:pPr>
          </w:p>
        </w:tc>
        <w:tc>
          <w:tcPr>
            <w:tcW w:w="13466" w:type="dxa"/>
            <w:gridSpan w:val="3"/>
            <w:tcBorders>
              <w:top w:val="single" w:sz="8" w:space="0" w:color="000000"/>
              <w:left w:val="single" w:sz="8" w:space="0" w:color="000000"/>
              <w:bottom w:val="single" w:sz="8" w:space="0" w:color="000000"/>
              <w:right w:val="single" w:sz="8" w:space="0" w:color="000000"/>
            </w:tcBorders>
          </w:tcPr>
          <w:p w14:paraId="584D077D" w14:textId="77777777" w:rsidR="00BD0910" w:rsidRPr="00306115" w:rsidRDefault="00BD0910" w:rsidP="003D05A2">
            <w:pPr>
              <w:widowControl w:val="0"/>
              <w:pBdr>
                <w:top w:val="nil"/>
                <w:left w:val="nil"/>
                <w:bottom w:val="nil"/>
                <w:right w:val="nil"/>
                <w:between w:val="nil"/>
              </w:pBdr>
              <w:spacing w:before="60" w:after="6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Kerangka Manajemen Risiko mencakup evaluasi terhadap: (i) strategi Manajemen Risiko yang searah dengan tingkat risiko yang akan diambil dan toleransi risiko; (ii) kecukupan perangkat organisasi dalam mendukung terlaksananya Manajemen Risiko secara efektif termasuk kejelasan wewenang dan tanggung jawab; dan (iii) kecukupan kebijakan dan prosedur Manajemen Risiko serta penetapan limit risiko.</w:t>
            </w:r>
          </w:p>
        </w:tc>
      </w:tr>
      <w:tr w:rsidR="00BD0910" w:rsidRPr="00306115" w14:paraId="0A86B469" w14:textId="77777777" w:rsidTr="003D05A2">
        <w:trPr>
          <w:trHeight w:val="379"/>
        </w:trPr>
        <w:tc>
          <w:tcPr>
            <w:tcW w:w="1276" w:type="dxa"/>
            <w:tcBorders>
              <w:top w:val="single" w:sz="8" w:space="0" w:color="000000"/>
              <w:left w:val="single" w:sz="8" w:space="0" w:color="000000"/>
              <w:bottom w:val="single" w:sz="8" w:space="0" w:color="000000"/>
              <w:right w:val="single" w:sz="8" w:space="0" w:color="000000"/>
            </w:tcBorders>
          </w:tcPr>
          <w:p w14:paraId="1466A57D" w14:textId="77777777" w:rsidR="00BD0910" w:rsidRPr="00306115" w:rsidRDefault="00BD0910">
            <w:pPr>
              <w:widowControl w:val="0"/>
              <w:numPr>
                <w:ilvl w:val="2"/>
                <w:numId w:val="308"/>
              </w:numPr>
              <w:pBdr>
                <w:top w:val="nil"/>
                <w:left w:val="nil"/>
                <w:bottom w:val="nil"/>
                <w:right w:val="nil"/>
                <w:between w:val="nil"/>
              </w:pBdr>
              <w:spacing w:before="97" w:after="0" w:line="240" w:lineRule="auto"/>
              <w:ind w:left="847" w:right="80" w:hanging="511"/>
              <w:jc w:val="left"/>
              <w:rPr>
                <w:rFonts w:eastAsia="Bookman Old Style" w:cs="Bookman Old Style"/>
                <w:b/>
                <w:bCs/>
                <w:color w:val="000000" w:themeColor="text1"/>
                <w:szCs w:val="24"/>
              </w:rPr>
            </w:pPr>
          </w:p>
        </w:tc>
        <w:tc>
          <w:tcPr>
            <w:tcW w:w="13466" w:type="dxa"/>
            <w:gridSpan w:val="3"/>
            <w:tcBorders>
              <w:top w:val="single" w:sz="8" w:space="0" w:color="000000"/>
              <w:left w:val="single" w:sz="8" w:space="0" w:color="000000"/>
              <w:bottom w:val="single" w:sz="8" w:space="0" w:color="000000"/>
              <w:right w:val="single" w:sz="8" w:space="0" w:color="000000"/>
            </w:tcBorders>
          </w:tcPr>
          <w:p w14:paraId="40E7752A" w14:textId="77777777" w:rsidR="00BD0910" w:rsidRPr="00306115" w:rsidRDefault="00BD0910" w:rsidP="003D05A2">
            <w:pPr>
              <w:widowControl w:val="0"/>
              <w:pBdr>
                <w:top w:val="nil"/>
                <w:left w:val="nil"/>
                <w:bottom w:val="nil"/>
                <w:right w:val="nil"/>
                <w:between w:val="nil"/>
              </w:pBdr>
              <w:spacing w:before="60" w:after="6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Proses Manajemen Risiko, sistem informasi, dan sumber daya manusia mencakup evaluasi terhadap: (i) proses identifikasi, pengukuran, pemantauan, dan pengendalian risiko; (ii) kecukupan sistem informasi Manajemen Risiko; dan (iii) kecukupan kuantitas dan kualitas sumber daya manusia dalam mendukung efektivitas proses Manajemen Risiko.</w:t>
            </w:r>
          </w:p>
        </w:tc>
      </w:tr>
      <w:tr w:rsidR="00BD0910" w:rsidRPr="00306115" w14:paraId="451CD8D1" w14:textId="77777777" w:rsidTr="003D05A2">
        <w:trPr>
          <w:trHeight w:val="379"/>
        </w:trPr>
        <w:tc>
          <w:tcPr>
            <w:tcW w:w="1276" w:type="dxa"/>
            <w:tcBorders>
              <w:top w:val="single" w:sz="8" w:space="0" w:color="000000"/>
              <w:left w:val="single" w:sz="8" w:space="0" w:color="000000"/>
              <w:bottom w:val="single" w:sz="8" w:space="0" w:color="000000"/>
              <w:right w:val="single" w:sz="8" w:space="0" w:color="000000"/>
            </w:tcBorders>
          </w:tcPr>
          <w:p w14:paraId="6CC3E60D" w14:textId="77777777" w:rsidR="00BD0910" w:rsidRPr="00306115" w:rsidRDefault="00BD0910">
            <w:pPr>
              <w:widowControl w:val="0"/>
              <w:numPr>
                <w:ilvl w:val="2"/>
                <w:numId w:val="308"/>
              </w:numPr>
              <w:pBdr>
                <w:top w:val="nil"/>
                <w:left w:val="nil"/>
                <w:bottom w:val="nil"/>
                <w:right w:val="nil"/>
                <w:between w:val="nil"/>
              </w:pBdr>
              <w:spacing w:before="97" w:after="0" w:line="240" w:lineRule="auto"/>
              <w:ind w:left="847" w:right="80" w:hanging="511"/>
              <w:jc w:val="left"/>
              <w:rPr>
                <w:rFonts w:eastAsia="Bookman Old Style" w:cs="Bookman Old Style"/>
                <w:b/>
                <w:bCs/>
                <w:color w:val="000000" w:themeColor="text1"/>
                <w:szCs w:val="24"/>
              </w:rPr>
            </w:pPr>
          </w:p>
        </w:tc>
        <w:tc>
          <w:tcPr>
            <w:tcW w:w="13466" w:type="dxa"/>
            <w:gridSpan w:val="3"/>
            <w:tcBorders>
              <w:top w:val="single" w:sz="8" w:space="0" w:color="000000"/>
              <w:left w:val="single" w:sz="8" w:space="0" w:color="000000"/>
              <w:bottom w:val="single" w:sz="8" w:space="0" w:color="000000"/>
              <w:right w:val="single" w:sz="8" w:space="0" w:color="000000"/>
            </w:tcBorders>
          </w:tcPr>
          <w:p w14:paraId="325D6C9F" w14:textId="598BDB76" w:rsidR="00BD0910" w:rsidRPr="00306115" w:rsidRDefault="00BD0910" w:rsidP="003D05A2">
            <w:pPr>
              <w:widowControl w:val="0"/>
              <w:pBdr>
                <w:top w:val="nil"/>
                <w:left w:val="nil"/>
                <w:bottom w:val="nil"/>
                <w:right w:val="nil"/>
                <w:between w:val="nil"/>
              </w:pBdr>
              <w:spacing w:before="60" w:after="6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 xml:space="preserve">Sistem </w:t>
            </w:r>
            <w:r w:rsidR="00FE6821" w:rsidRPr="00306115">
              <w:rPr>
                <w:rFonts w:eastAsia="Bookman Old Style" w:cs="Bookman Old Style"/>
                <w:color w:val="000000" w:themeColor="text1"/>
                <w:szCs w:val="24"/>
              </w:rPr>
              <w:t>p</w:t>
            </w:r>
            <w:r w:rsidRPr="00306115">
              <w:rPr>
                <w:rFonts w:eastAsia="Bookman Old Style" w:cs="Bookman Old Style"/>
                <w:color w:val="000000" w:themeColor="text1"/>
                <w:szCs w:val="24"/>
              </w:rPr>
              <w:t xml:space="preserve">engendalian </w:t>
            </w:r>
            <w:r w:rsidR="00FE6821" w:rsidRPr="00306115">
              <w:rPr>
                <w:rFonts w:eastAsia="Bookman Old Style" w:cs="Bookman Old Style"/>
                <w:color w:val="000000" w:themeColor="text1"/>
                <w:szCs w:val="24"/>
              </w:rPr>
              <w:t>r</w:t>
            </w:r>
            <w:r w:rsidRPr="00306115">
              <w:rPr>
                <w:rFonts w:eastAsia="Bookman Old Style" w:cs="Bookman Old Style"/>
                <w:color w:val="000000" w:themeColor="text1"/>
                <w:szCs w:val="24"/>
              </w:rPr>
              <w:t xml:space="preserve">isiko mencakup evaluasi terhadap: (i) kecukupan sistem pengendalian internal dan (ii) kecukupan kaji ulang oleh pihak independen dalam Manajer Investasi baik oleh fungsi </w:t>
            </w:r>
            <w:r w:rsidR="001008B5" w:rsidRPr="00306115">
              <w:rPr>
                <w:color w:val="000000" w:themeColor="text1"/>
              </w:rPr>
              <w:t>Manajemen Risiko</w:t>
            </w:r>
            <w:r w:rsidR="001008B5" w:rsidRPr="00306115">
              <w:rPr>
                <w:rFonts w:eastAsia="Bookman Old Style" w:cs="Bookman Old Style"/>
                <w:color w:val="000000" w:themeColor="text1"/>
                <w:szCs w:val="24"/>
              </w:rPr>
              <w:t xml:space="preserve"> </w:t>
            </w:r>
            <w:r w:rsidRPr="00306115">
              <w:rPr>
                <w:rFonts w:eastAsia="Bookman Old Style" w:cs="Bookman Old Style"/>
                <w:color w:val="000000" w:themeColor="text1"/>
                <w:szCs w:val="24"/>
              </w:rPr>
              <w:t>maupun fungsi audit internal.</w:t>
            </w:r>
          </w:p>
        </w:tc>
      </w:tr>
    </w:tbl>
    <w:p w14:paraId="25AAE162" w14:textId="61055D69" w:rsidR="00BD0910" w:rsidRPr="00306115" w:rsidRDefault="005A50C3" w:rsidP="00BD0910">
      <w:pPr>
        <w:pStyle w:val="HeadingAwalDaftarIsiLampiran"/>
        <w:numPr>
          <w:ilvl w:val="0"/>
          <w:numId w:val="0"/>
        </w:numPr>
        <w:tabs>
          <w:tab w:val="left" w:pos="1134"/>
        </w:tabs>
        <w:ind w:left="1134"/>
        <w:rPr>
          <w:rFonts w:eastAsia="Bookman Old Style" w:cs="Bookman Old Style"/>
        </w:rPr>
      </w:pPr>
      <w:r w:rsidRPr="00306115">
        <w:rPr>
          <w:rFonts w:eastAsia="Bookman Old Style" w:cs="Bookman Old Style"/>
        </w:rPr>
        <w:t xml:space="preserve">*) Merupakan parameter atau indikator minimal dan Manajer Investasi dapat menambah parameter atau indikator lain sesuai dengan karakteristik, kompleksitas usaha, dan kemampuan Manajer Investasi. Penilaian dilakukan dengan posisi akhir per 31 Desember posisi dan tren selama yang mencakup penilaian selama 12 (dua belas) bulan terakhir untuk parameter atau indikator pada Lampiran </w:t>
      </w:r>
      <w:r w:rsidR="008664A3" w:rsidRPr="00306115">
        <w:rPr>
          <w:rFonts w:eastAsia="Bookman Old Style" w:cs="Bookman Old Style"/>
        </w:rPr>
        <w:t xml:space="preserve">IV </w:t>
      </w:r>
      <w:r w:rsidR="008664A3" w:rsidRPr="00306115">
        <w:t>yang merupakan bagian tidak terpisahkan dari Peraturan Anggota Dewan Komisioner Otoritas Jasa Keuangan ini</w:t>
      </w:r>
      <w:r w:rsidRPr="00306115">
        <w:rPr>
          <w:rFonts w:eastAsia="Bookman Old Style" w:cs="Bookman Old Style"/>
        </w:rPr>
        <w:t>.</w:t>
      </w:r>
    </w:p>
    <w:p w14:paraId="6369D588" w14:textId="77777777" w:rsidR="007D48B8" w:rsidRPr="00306115" w:rsidRDefault="007D48B8" w:rsidP="00BD0910">
      <w:pPr>
        <w:pStyle w:val="HeadingAwalDaftarIsiLampiran"/>
        <w:numPr>
          <w:ilvl w:val="0"/>
          <w:numId w:val="0"/>
        </w:numPr>
        <w:tabs>
          <w:tab w:val="left" w:pos="1134"/>
        </w:tabs>
        <w:ind w:left="1134"/>
        <w:rPr>
          <w:sz w:val="28"/>
          <w:szCs w:val="28"/>
        </w:rPr>
      </w:pPr>
    </w:p>
    <w:p w14:paraId="334E62FE" w14:textId="57A7D9D1" w:rsidR="00D32F34" w:rsidRPr="00306115" w:rsidRDefault="00D32F34">
      <w:pPr>
        <w:pStyle w:val="HeadingAwalDaftarIsiLampiran"/>
        <w:numPr>
          <w:ilvl w:val="0"/>
          <w:numId w:val="306"/>
        </w:numPr>
        <w:tabs>
          <w:tab w:val="left" w:pos="1134"/>
        </w:tabs>
        <w:ind w:left="1134" w:hanging="567"/>
      </w:pPr>
      <w:r w:rsidRPr="00306115">
        <w:rPr>
          <w:rFonts w:eastAsia="Bookman Old Style" w:cs="Bookman Old Style"/>
        </w:rPr>
        <w:t>Penilaian Risiko Reputasi</w:t>
      </w:r>
    </w:p>
    <w:p w14:paraId="57CDD9E7" w14:textId="25DD7FF4" w:rsidR="002D30C6" w:rsidRPr="00306115" w:rsidRDefault="002D30C6">
      <w:pPr>
        <w:pStyle w:val="HeadingAwalDaftarIsiLampiran"/>
        <w:numPr>
          <w:ilvl w:val="6"/>
          <w:numId w:val="303"/>
        </w:numPr>
        <w:tabs>
          <w:tab w:val="left" w:pos="1134"/>
        </w:tabs>
        <w:ind w:left="1701" w:hanging="567"/>
        <w:rPr>
          <w:sz w:val="28"/>
          <w:szCs w:val="28"/>
        </w:rPr>
      </w:pPr>
      <w:r w:rsidRPr="00306115">
        <w:rPr>
          <w:rFonts w:eastAsia="Bookman Old Style" w:cs="Bookman Old Style"/>
        </w:rPr>
        <w:t>Penilaian Risiko Reputasi dilakukan berdasarkan hasil penilaian masing-masing parameter atau indikator Risiko Reputasi menggunakan analisis yang komprehensif dan terstruktur sehingga memberikan gambaran secara menyeluruh terkait Risiko Reputasi.</w:t>
      </w:r>
    </w:p>
    <w:p w14:paraId="5736F842" w14:textId="37461EA8" w:rsidR="008664A3" w:rsidRPr="00306115" w:rsidRDefault="00B54D18">
      <w:pPr>
        <w:pStyle w:val="HeadingAwalDaftarIsiLampiran"/>
        <w:numPr>
          <w:ilvl w:val="6"/>
          <w:numId w:val="303"/>
        </w:numPr>
        <w:tabs>
          <w:tab w:val="left" w:pos="1134"/>
        </w:tabs>
        <w:ind w:left="1701" w:hanging="567"/>
        <w:rPr>
          <w:sz w:val="28"/>
          <w:szCs w:val="28"/>
        </w:rPr>
      </w:pPr>
      <w:r w:rsidRPr="00306115">
        <w:rPr>
          <w:rFonts w:eastAsia="Bookman Old Style" w:cs="Bookman Old Style"/>
          <w:lang w:val="id"/>
        </w:rPr>
        <w:t xml:space="preserve">Dalam menentukan tingkat atau nilai Risiko, pertimbangan utama difokuskan pada tingkat signifikansi </w:t>
      </w:r>
      <w:r w:rsidRPr="00306115">
        <w:rPr>
          <w:rFonts w:eastAsia="Bookman Old Style" w:cs="Bookman Old Style"/>
          <w:lang w:val="en-GB"/>
        </w:rPr>
        <w:t xml:space="preserve">pemberitaan negaratif terhadap </w:t>
      </w:r>
      <w:r w:rsidRPr="00306115">
        <w:rPr>
          <w:rFonts w:eastAsia="Bookman Old Style" w:cs="Bookman Old Style"/>
          <w:lang w:val="id"/>
        </w:rPr>
        <w:t xml:space="preserve">Manajer Investasi. </w:t>
      </w:r>
      <w:r w:rsidRPr="00306115">
        <w:rPr>
          <w:rFonts w:eastAsia="Bookman Old Style" w:cs="Bookman Old Style"/>
          <w:lang w:val="en-GB"/>
        </w:rPr>
        <w:t xml:space="preserve">Untuk </w:t>
      </w:r>
      <w:r w:rsidRPr="00306115">
        <w:rPr>
          <w:rFonts w:eastAsia="Bookman Old Style" w:cs="Bookman Old Style"/>
          <w:lang w:val="id"/>
        </w:rPr>
        <w:t>memastikan akuntabilitas dan kedalaman analisis, setiap penilaian tersebut diwajibkan untuk memuat keterangan secara komprehensif</w:t>
      </w:r>
      <w:r w:rsidR="002920CD" w:rsidRPr="00306115">
        <w:rPr>
          <w:rFonts w:eastAsia="Bookman Old Style" w:cs="Bookman Old Style"/>
          <w:lang w:val="id"/>
        </w:rPr>
        <w:t>.</w:t>
      </w:r>
    </w:p>
    <w:p w14:paraId="17948A10" w14:textId="13B1BF52" w:rsidR="002D30C6" w:rsidRPr="00306115" w:rsidRDefault="007B6947">
      <w:pPr>
        <w:pStyle w:val="HeadingAwalDaftarIsiLampiran"/>
        <w:numPr>
          <w:ilvl w:val="6"/>
          <w:numId w:val="303"/>
        </w:numPr>
        <w:tabs>
          <w:tab w:val="left" w:pos="1134"/>
        </w:tabs>
        <w:ind w:left="1701" w:hanging="567"/>
        <w:rPr>
          <w:sz w:val="28"/>
          <w:szCs w:val="28"/>
        </w:rPr>
      </w:pPr>
      <w:r w:rsidRPr="00306115">
        <w:rPr>
          <w:rFonts w:eastAsia="Bookman Old Style" w:cs="Bookman Old Style"/>
        </w:rPr>
        <w:t>Penilaian parameter atau indikator Risiko Reputasi dapat menggunakan tabel berikut:</w:t>
      </w:r>
    </w:p>
    <w:tbl>
      <w:tblPr>
        <w:tblW w:w="14175" w:type="dxa"/>
        <w:tblInd w:w="16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270"/>
        <w:gridCol w:w="5526"/>
        <w:gridCol w:w="1702"/>
        <w:gridCol w:w="4677"/>
      </w:tblGrid>
      <w:tr w:rsidR="008B3072" w:rsidRPr="00306115" w14:paraId="0AA920EE" w14:textId="77777777" w:rsidTr="00596776">
        <w:trPr>
          <w:trHeight w:val="556"/>
        </w:trPr>
        <w:tc>
          <w:tcPr>
            <w:tcW w:w="14175" w:type="dxa"/>
            <w:gridSpan w:val="4"/>
            <w:tcBorders>
              <w:top w:val="single" w:sz="8" w:space="0" w:color="000000"/>
              <w:left w:val="single" w:sz="8" w:space="0" w:color="000000"/>
              <w:bottom w:val="single" w:sz="8" w:space="0" w:color="000000"/>
              <w:right w:val="single" w:sz="8" w:space="0" w:color="000000"/>
            </w:tcBorders>
            <w:shd w:val="clear" w:color="auto" w:fill="BEBEBE"/>
          </w:tcPr>
          <w:p w14:paraId="46A031F3" w14:textId="52CE2CA0" w:rsidR="008B3072" w:rsidRPr="00306115" w:rsidRDefault="00542348" w:rsidP="00C45B14">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lastRenderedPageBreak/>
              <w:t>PT MANAJER INVESTASI ABC</w:t>
            </w:r>
          </w:p>
        </w:tc>
      </w:tr>
      <w:tr w:rsidR="008B3072" w:rsidRPr="00306115" w14:paraId="511FFB09" w14:textId="77777777" w:rsidTr="00596776">
        <w:trPr>
          <w:trHeight w:val="572"/>
        </w:trPr>
        <w:tc>
          <w:tcPr>
            <w:tcW w:w="2270" w:type="dxa"/>
            <w:tcBorders>
              <w:top w:val="single" w:sz="8" w:space="0" w:color="000000"/>
              <w:left w:val="single" w:sz="8" w:space="0" w:color="000000"/>
              <w:bottom w:val="single" w:sz="8" w:space="0" w:color="000000"/>
              <w:right w:val="single" w:sz="8" w:space="0" w:color="000000"/>
            </w:tcBorders>
            <w:shd w:val="clear" w:color="auto" w:fill="BEBEBE"/>
          </w:tcPr>
          <w:p w14:paraId="15610249" w14:textId="77777777" w:rsidR="008B3072" w:rsidRPr="00306115" w:rsidRDefault="008B3072" w:rsidP="00C45B14">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Kategori</w:t>
            </w:r>
          </w:p>
        </w:tc>
        <w:tc>
          <w:tcPr>
            <w:tcW w:w="5526" w:type="dxa"/>
            <w:tcBorders>
              <w:top w:val="single" w:sz="8" w:space="0" w:color="000000"/>
              <w:left w:val="single" w:sz="8" w:space="0" w:color="000000"/>
              <w:bottom w:val="single" w:sz="8" w:space="0" w:color="000000"/>
              <w:right w:val="single" w:sz="8" w:space="0" w:color="000000"/>
            </w:tcBorders>
            <w:shd w:val="clear" w:color="auto" w:fill="BEBEBE"/>
          </w:tcPr>
          <w:p w14:paraId="45A16A5C" w14:textId="77777777" w:rsidR="008B3072" w:rsidRPr="00306115" w:rsidRDefault="008B3072" w:rsidP="00C45B14">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Indikator</w:t>
            </w:r>
          </w:p>
        </w:tc>
        <w:tc>
          <w:tcPr>
            <w:tcW w:w="1702" w:type="dxa"/>
            <w:tcBorders>
              <w:top w:val="single" w:sz="8" w:space="0" w:color="000000"/>
              <w:left w:val="single" w:sz="8" w:space="0" w:color="000000"/>
              <w:bottom w:val="single" w:sz="8" w:space="0" w:color="000000"/>
              <w:right w:val="single" w:sz="8" w:space="0" w:color="000000"/>
            </w:tcBorders>
            <w:shd w:val="clear" w:color="auto" w:fill="BEBEBE"/>
          </w:tcPr>
          <w:p w14:paraId="5C7A1BF8" w14:textId="4A92CFBD" w:rsidR="008B3072" w:rsidRPr="00306115" w:rsidRDefault="00E36B3F" w:rsidP="00C45B14">
            <w:pPr>
              <w:widowControl w:val="0"/>
              <w:pBdr>
                <w:top w:val="nil"/>
                <w:left w:val="nil"/>
                <w:bottom w:val="nil"/>
                <w:right w:val="nil"/>
                <w:between w:val="nil"/>
              </w:pBdr>
              <w:spacing w:before="60" w:after="60" w:line="240" w:lineRule="auto"/>
              <w:jc w:val="center"/>
              <w:rPr>
                <w:rFonts w:eastAsia="Bookman Old Style" w:cs="Bookman Old Style"/>
                <w:b/>
                <w:bCs/>
                <w:strike/>
                <w:color w:val="000000" w:themeColor="text1"/>
                <w:szCs w:val="24"/>
              </w:rPr>
            </w:pPr>
            <w:r w:rsidRPr="00306115">
              <w:rPr>
                <w:rFonts w:eastAsia="Bookman Old Style" w:cs="Bookman Old Style"/>
                <w:b/>
                <w:bCs/>
                <w:color w:val="000000" w:themeColor="text1"/>
                <w:szCs w:val="24"/>
              </w:rPr>
              <w:t>Peringkat</w:t>
            </w:r>
          </w:p>
        </w:tc>
        <w:tc>
          <w:tcPr>
            <w:tcW w:w="4677" w:type="dxa"/>
            <w:tcBorders>
              <w:top w:val="single" w:sz="8" w:space="0" w:color="000000"/>
              <w:left w:val="single" w:sz="8" w:space="0" w:color="000000"/>
              <w:bottom w:val="single" w:sz="8" w:space="0" w:color="000000"/>
              <w:right w:val="single" w:sz="8" w:space="0" w:color="000000"/>
            </w:tcBorders>
            <w:shd w:val="clear" w:color="auto" w:fill="BEBEBE"/>
          </w:tcPr>
          <w:p w14:paraId="538FDD0C" w14:textId="77777777" w:rsidR="008B3072" w:rsidRPr="00306115" w:rsidRDefault="008B3072" w:rsidP="00C45B14">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Keterangan</w:t>
            </w:r>
          </w:p>
        </w:tc>
      </w:tr>
      <w:tr w:rsidR="008B3072" w:rsidRPr="00306115" w14:paraId="225D2684" w14:textId="77777777" w:rsidTr="00C45B14">
        <w:trPr>
          <w:trHeight w:val="441"/>
        </w:trPr>
        <w:tc>
          <w:tcPr>
            <w:tcW w:w="2270" w:type="dxa"/>
            <w:tcBorders>
              <w:top w:val="single" w:sz="8" w:space="0" w:color="000000"/>
              <w:left w:val="single" w:sz="8" w:space="0" w:color="000000"/>
              <w:bottom w:val="single" w:sz="8" w:space="0" w:color="000000"/>
              <w:right w:val="single" w:sz="8" w:space="0" w:color="000000"/>
            </w:tcBorders>
          </w:tcPr>
          <w:p w14:paraId="52EE74C4" w14:textId="77777777" w:rsidR="008B3072" w:rsidRPr="00306115" w:rsidRDefault="008B3072" w:rsidP="00C45B14">
            <w:pPr>
              <w:widowControl w:val="0"/>
              <w:pBdr>
                <w:top w:val="nil"/>
                <w:left w:val="nil"/>
                <w:bottom w:val="nil"/>
                <w:right w:val="nil"/>
                <w:between w:val="nil"/>
              </w:pBdr>
              <w:spacing w:after="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Jumlah Pengaduan Nasabah</w:t>
            </w:r>
          </w:p>
        </w:tc>
        <w:tc>
          <w:tcPr>
            <w:tcW w:w="5526" w:type="dxa"/>
            <w:tcBorders>
              <w:top w:val="single" w:sz="8" w:space="0" w:color="000000"/>
              <w:left w:val="single" w:sz="8" w:space="0" w:color="000000"/>
              <w:bottom w:val="single" w:sz="8" w:space="0" w:color="000000"/>
              <w:right w:val="single" w:sz="8" w:space="0" w:color="000000"/>
            </w:tcBorders>
          </w:tcPr>
          <w:p w14:paraId="21025DA5" w14:textId="77777777" w:rsidR="008B3072" w:rsidRPr="00306115" w:rsidRDefault="008B3072" w:rsidP="00C45B14">
            <w:pPr>
              <w:widowControl w:val="0"/>
              <w:pBdr>
                <w:top w:val="nil"/>
                <w:left w:val="nil"/>
                <w:bottom w:val="nil"/>
                <w:right w:val="nil"/>
                <w:between w:val="nil"/>
              </w:pBdr>
              <w:spacing w:after="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Rasio Jumlah Pengaduan Nasabah Terhadap Jumlah Nasabah</w:t>
            </w:r>
          </w:p>
        </w:tc>
        <w:tc>
          <w:tcPr>
            <w:tcW w:w="1702" w:type="dxa"/>
            <w:tcBorders>
              <w:top w:val="single" w:sz="8" w:space="0" w:color="000000"/>
              <w:left w:val="single" w:sz="8" w:space="0" w:color="000000"/>
              <w:bottom w:val="single" w:sz="8" w:space="0" w:color="000000"/>
              <w:right w:val="single" w:sz="8" w:space="0" w:color="000000"/>
            </w:tcBorders>
          </w:tcPr>
          <w:p w14:paraId="72CF3FA1" w14:textId="77777777" w:rsidR="008B3072" w:rsidRPr="00306115" w:rsidRDefault="008B3072" w:rsidP="00C45B14">
            <w:pPr>
              <w:widowControl w:val="0"/>
              <w:pBdr>
                <w:top w:val="nil"/>
                <w:left w:val="nil"/>
                <w:bottom w:val="nil"/>
                <w:right w:val="nil"/>
                <w:between w:val="nil"/>
              </w:pBdr>
              <w:spacing w:after="0" w:line="240" w:lineRule="auto"/>
              <w:rPr>
                <w:rFonts w:eastAsia="Bookman Old Style" w:cs="Bookman Old Style"/>
                <w:color w:val="000000" w:themeColor="text1"/>
                <w:sz w:val="22"/>
              </w:rPr>
            </w:pPr>
          </w:p>
        </w:tc>
        <w:tc>
          <w:tcPr>
            <w:tcW w:w="4677" w:type="dxa"/>
            <w:tcBorders>
              <w:top w:val="single" w:sz="8" w:space="0" w:color="000000"/>
              <w:left w:val="single" w:sz="8" w:space="0" w:color="000000"/>
              <w:bottom w:val="single" w:sz="8" w:space="0" w:color="000000"/>
              <w:right w:val="single" w:sz="8" w:space="0" w:color="000000"/>
            </w:tcBorders>
          </w:tcPr>
          <w:p w14:paraId="13C908A4" w14:textId="77777777" w:rsidR="008B3072" w:rsidRPr="00306115" w:rsidRDefault="008B3072" w:rsidP="00C45B14">
            <w:pPr>
              <w:widowControl w:val="0"/>
              <w:pBdr>
                <w:top w:val="nil"/>
                <w:left w:val="nil"/>
                <w:bottom w:val="nil"/>
                <w:right w:val="nil"/>
                <w:between w:val="nil"/>
              </w:pBdr>
              <w:spacing w:after="0" w:line="240" w:lineRule="auto"/>
              <w:rPr>
                <w:rFonts w:eastAsia="Bookman Old Style" w:cs="Bookman Old Style"/>
                <w:color w:val="000000" w:themeColor="text1"/>
                <w:sz w:val="22"/>
              </w:rPr>
            </w:pPr>
          </w:p>
        </w:tc>
      </w:tr>
      <w:tr w:rsidR="00C45B14" w:rsidRPr="00306115" w14:paraId="682901A1" w14:textId="77777777" w:rsidTr="00F72257">
        <w:trPr>
          <w:trHeight w:val="539"/>
        </w:trPr>
        <w:tc>
          <w:tcPr>
            <w:tcW w:w="2270" w:type="dxa"/>
            <w:vMerge w:val="restart"/>
            <w:tcBorders>
              <w:top w:val="single" w:sz="8" w:space="0" w:color="000000"/>
              <w:left w:val="single" w:sz="8" w:space="0" w:color="000000"/>
              <w:right w:val="single" w:sz="8" w:space="0" w:color="000000"/>
            </w:tcBorders>
          </w:tcPr>
          <w:p w14:paraId="6A9B4C80" w14:textId="77777777" w:rsidR="00C45B14" w:rsidRPr="00306115" w:rsidRDefault="00C45B14" w:rsidP="00C45B14">
            <w:pPr>
              <w:widowControl w:val="0"/>
              <w:pBdr>
                <w:top w:val="nil"/>
                <w:left w:val="nil"/>
                <w:bottom w:val="nil"/>
                <w:right w:val="nil"/>
                <w:between w:val="nil"/>
              </w:pBdr>
              <w:spacing w:after="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Pemberitaan Negatif</w:t>
            </w:r>
          </w:p>
        </w:tc>
        <w:tc>
          <w:tcPr>
            <w:tcW w:w="5526" w:type="dxa"/>
            <w:tcBorders>
              <w:top w:val="single" w:sz="8" w:space="0" w:color="000000"/>
              <w:left w:val="single" w:sz="8" w:space="0" w:color="000000"/>
              <w:bottom w:val="single" w:sz="8" w:space="0" w:color="000000"/>
              <w:right w:val="single" w:sz="8" w:space="0" w:color="000000"/>
            </w:tcBorders>
          </w:tcPr>
          <w:p w14:paraId="62D2AD54" w14:textId="77777777" w:rsidR="00C45B14" w:rsidRPr="00306115" w:rsidRDefault="00C45B14" w:rsidP="00C45B14">
            <w:pPr>
              <w:widowControl w:val="0"/>
              <w:pBdr>
                <w:top w:val="nil"/>
                <w:left w:val="nil"/>
                <w:bottom w:val="nil"/>
                <w:right w:val="nil"/>
                <w:between w:val="nil"/>
              </w:pBdr>
              <w:spacing w:after="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Jumlah Topik Pemberitaan Negatif di Media Massa Cetak dan/atau Elektronik.</w:t>
            </w:r>
          </w:p>
        </w:tc>
        <w:tc>
          <w:tcPr>
            <w:tcW w:w="1702" w:type="dxa"/>
            <w:tcBorders>
              <w:top w:val="single" w:sz="8" w:space="0" w:color="000000"/>
              <w:left w:val="single" w:sz="8" w:space="0" w:color="000000"/>
              <w:bottom w:val="single" w:sz="8" w:space="0" w:color="000000"/>
              <w:right w:val="single" w:sz="8" w:space="0" w:color="000000"/>
            </w:tcBorders>
          </w:tcPr>
          <w:p w14:paraId="47505FC2" w14:textId="77777777" w:rsidR="00C45B14" w:rsidRPr="00306115" w:rsidRDefault="00C45B14" w:rsidP="00C45B14">
            <w:pPr>
              <w:widowControl w:val="0"/>
              <w:pBdr>
                <w:top w:val="nil"/>
                <w:left w:val="nil"/>
                <w:bottom w:val="nil"/>
                <w:right w:val="nil"/>
                <w:between w:val="nil"/>
              </w:pBdr>
              <w:spacing w:after="0" w:line="240" w:lineRule="auto"/>
              <w:rPr>
                <w:rFonts w:eastAsia="Bookman Old Style" w:cs="Bookman Old Style"/>
                <w:color w:val="000000" w:themeColor="text1"/>
                <w:sz w:val="22"/>
              </w:rPr>
            </w:pPr>
          </w:p>
        </w:tc>
        <w:tc>
          <w:tcPr>
            <w:tcW w:w="4677" w:type="dxa"/>
            <w:tcBorders>
              <w:top w:val="single" w:sz="8" w:space="0" w:color="000000"/>
              <w:left w:val="single" w:sz="8" w:space="0" w:color="000000"/>
              <w:bottom w:val="single" w:sz="8" w:space="0" w:color="000000"/>
              <w:right w:val="single" w:sz="8" w:space="0" w:color="000000"/>
            </w:tcBorders>
          </w:tcPr>
          <w:p w14:paraId="7176730F" w14:textId="77777777" w:rsidR="00C45B14" w:rsidRPr="00306115" w:rsidRDefault="00C45B14" w:rsidP="00C45B14">
            <w:pPr>
              <w:widowControl w:val="0"/>
              <w:pBdr>
                <w:top w:val="nil"/>
                <w:left w:val="nil"/>
                <w:bottom w:val="nil"/>
                <w:right w:val="nil"/>
                <w:between w:val="nil"/>
              </w:pBdr>
              <w:spacing w:after="0" w:line="240" w:lineRule="auto"/>
              <w:rPr>
                <w:rFonts w:eastAsia="Bookman Old Style" w:cs="Bookman Old Style"/>
                <w:color w:val="000000" w:themeColor="text1"/>
                <w:sz w:val="22"/>
              </w:rPr>
            </w:pPr>
          </w:p>
        </w:tc>
      </w:tr>
      <w:tr w:rsidR="00C45B14" w:rsidRPr="00306115" w14:paraId="65F83EE0" w14:textId="77777777" w:rsidTr="00F72257">
        <w:trPr>
          <w:trHeight w:val="80"/>
        </w:trPr>
        <w:tc>
          <w:tcPr>
            <w:tcW w:w="2270" w:type="dxa"/>
            <w:vMerge/>
            <w:tcBorders>
              <w:left w:val="single" w:sz="8" w:space="0" w:color="000000"/>
              <w:right w:val="single" w:sz="8" w:space="0" w:color="000000"/>
            </w:tcBorders>
          </w:tcPr>
          <w:p w14:paraId="08306F02" w14:textId="77777777" w:rsidR="00C45B14" w:rsidRPr="00306115" w:rsidRDefault="00C45B14" w:rsidP="00C45B14">
            <w:pPr>
              <w:widowControl w:val="0"/>
              <w:pBdr>
                <w:top w:val="nil"/>
                <w:left w:val="nil"/>
                <w:bottom w:val="nil"/>
                <w:right w:val="nil"/>
                <w:between w:val="nil"/>
              </w:pBdr>
              <w:spacing w:after="0" w:line="240" w:lineRule="auto"/>
              <w:rPr>
                <w:rFonts w:eastAsia="Bookman Old Style" w:cs="Bookman Old Style"/>
                <w:strike/>
                <w:color w:val="000000" w:themeColor="text1"/>
                <w:szCs w:val="24"/>
              </w:rPr>
            </w:pPr>
          </w:p>
        </w:tc>
        <w:tc>
          <w:tcPr>
            <w:tcW w:w="5526" w:type="dxa"/>
            <w:tcBorders>
              <w:top w:val="single" w:sz="8" w:space="0" w:color="000000"/>
              <w:left w:val="single" w:sz="8" w:space="0" w:color="000000"/>
              <w:bottom w:val="single" w:sz="8" w:space="0" w:color="000000"/>
              <w:right w:val="single" w:sz="8" w:space="0" w:color="000000"/>
            </w:tcBorders>
          </w:tcPr>
          <w:p w14:paraId="451F5A52" w14:textId="77777777" w:rsidR="00C45B14" w:rsidRPr="00306115" w:rsidRDefault="00C45B14" w:rsidP="00C45B14">
            <w:pPr>
              <w:widowControl w:val="0"/>
              <w:pBdr>
                <w:top w:val="nil"/>
                <w:left w:val="nil"/>
                <w:bottom w:val="nil"/>
                <w:right w:val="nil"/>
                <w:between w:val="nil"/>
              </w:pBdr>
              <w:spacing w:after="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Signifikansi Pemberitaan Negatif</w:t>
            </w:r>
          </w:p>
        </w:tc>
        <w:tc>
          <w:tcPr>
            <w:tcW w:w="1702" w:type="dxa"/>
            <w:tcBorders>
              <w:top w:val="single" w:sz="8" w:space="0" w:color="000000"/>
              <w:left w:val="single" w:sz="8" w:space="0" w:color="000000"/>
              <w:bottom w:val="single" w:sz="8" w:space="0" w:color="000000"/>
              <w:right w:val="single" w:sz="8" w:space="0" w:color="000000"/>
            </w:tcBorders>
          </w:tcPr>
          <w:p w14:paraId="5ED8D746" w14:textId="77777777" w:rsidR="00C45B14" w:rsidRPr="00306115" w:rsidRDefault="00C45B14" w:rsidP="00C45B14">
            <w:pPr>
              <w:widowControl w:val="0"/>
              <w:pBdr>
                <w:top w:val="nil"/>
                <w:left w:val="nil"/>
                <w:bottom w:val="nil"/>
                <w:right w:val="nil"/>
                <w:between w:val="nil"/>
              </w:pBdr>
              <w:spacing w:after="0" w:line="240" w:lineRule="auto"/>
              <w:rPr>
                <w:rFonts w:eastAsia="Bookman Old Style" w:cs="Bookman Old Style"/>
                <w:color w:val="000000" w:themeColor="text1"/>
                <w:sz w:val="22"/>
              </w:rPr>
            </w:pPr>
          </w:p>
        </w:tc>
        <w:tc>
          <w:tcPr>
            <w:tcW w:w="4677" w:type="dxa"/>
            <w:tcBorders>
              <w:top w:val="single" w:sz="8" w:space="0" w:color="000000"/>
              <w:left w:val="single" w:sz="8" w:space="0" w:color="000000"/>
              <w:bottom w:val="single" w:sz="8" w:space="0" w:color="000000"/>
              <w:right w:val="single" w:sz="8" w:space="0" w:color="000000"/>
            </w:tcBorders>
          </w:tcPr>
          <w:p w14:paraId="3FC79051" w14:textId="77777777" w:rsidR="00C45B14" w:rsidRPr="00306115" w:rsidRDefault="00C45B14" w:rsidP="00C45B14">
            <w:pPr>
              <w:widowControl w:val="0"/>
              <w:pBdr>
                <w:top w:val="nil"/>
                <w:left w:val="nil"/>
                <w:bottom w:val="nil"/>
                <w:right w:val="nil"/>
                <w:between w:val="nil"/>
              </w:pBdr>
              <w:spacing w:after="0" w:line="240" w:lineRule="auto"/>
              <w:rPr>
                <w:rFonts w:eastAsia="Bookman Old Style" w:cs="Bookman Old Style"/>
                <w:color w:val="000000" w:themeColor="text1"/>
                <w:sz w:val="22"/>
              </w:rPr>
            </w:pPr>
          </w:p>
        </w:tc>
      </w:tr>
      <w:tr w:rsidR="00C45B14" w:rsidRPr="00306115" w14:paraId="56307053" w14:textId="77777777" w:rsidTr="00F72257">
        <w:trPr>
          <w:trHeight w:val="637"/>
        </w:trPr>
        <w:tc>
          <w:tcPr>
            <w:tcW w:w="2270" w:type="dxa"/>
            <w:vMerge/>
            <w:tcBorders>
              <w:left w:val="single" w:sz="8" w:space="0" w:color="000000"/>
              <w:bottom w:val="single" w:sz="8" w:space="0" w:color="000000"/>
              <w:right w:val="single" w:sz="8" w:space="0" w:color="000000"/>
            </w:tcBorders>
          </w:tcPr>
          <w:p w14:paraId="7F911434" w14:textId="77777777" w:rsidR="00C45B14" w:rsidRPr="00306115" w:rsidRDefault="00C45B14" w:rsidP="00C45B14">
            <w:pPr>
              <w:widowControl w:val="0"/>
              <w:pBdr>
                <w:top w:val="nil"/>
                <w:left w:val="nil"/>
                <w:bottom w:val="nil"/>
                <w:right w:val="nil"/>
                <w:between w:val="nil"/>
              </w:pBdr>
              <w:spacing w:after="0" w:line="240" w:lineRule="auto"/>
              <w:rPr>
                <w:rFonts w:eastAsia="Bookman Old Style" w:cs="Bookman Old Style"/>
                <w:color w:val="000000" w:themeColor="text1"/>
                <w:szCs w:val="24"/>
              </w:rPr>
            </w:pPr>
          </w:p>
        </w:tc>
        <w:tc>
          <w:tcPr>
            <w:tcW w:w="5526" w:type="dxa"/>
            <w:tcBorders>
              <w:top w:val="single" w:sz="8" w:space="0" w:color="000000"/>
              <w:left w:val="single" w:sz="8" w:space="0" w:color="000000"/>
              <w:bottom w:val="single" w:sz="8" w:space="0" w:color="000000"/>
              <w:right w:val="single" w:sz="8" w:space="0" w:color="000000"/>
            </w:tcBorders>
          </w:tcPr>
          <w:p w14:paraId="7BC10041" w14:textId="77777777" w:rsidR="00C45B14" w:rsidRPr="00306115" w:rsidRDefault="00C45B14" w:rsidP="00C45B14">
            <w:pPr>
              <w:widowControl w:val="0"/>
              <w:pBdr>
                <w:top w:val="nil"/>
                <w:left w:val="nil"/>
                <w:bottom w:val="nil"/>
                <w:right w:val="nil"/>
                <w:between w:val="nil"/>
              </w:pBdr>
              <w:spacing w:after="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Maksimal Durasi Pemberitaan Negatif di Media</w:t>
            </w:r>
          </w:p>
          <w:p w14:paraId="3633B713" w14:textId="77777777" w:rsidR="00C45B14" w:rsidRPr="00306115" w:rsidRDefault="00C45B14" w:rsidP="00C45B14">
            <w:pPr>
              <w:widowControl w:val="0"/>
              <w:pBdr>
                <w:top w:val="nil"/>
                <w:left w:val="nil"/>
                <w:bottom w:val="nil"/>
                <w:right w:val="nil"/>
                <w:between w:val="nil"/>
              </w:pBdr>
              <w:spacing w:after="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Massa</w:t>
            </w:r>
          </w:p>
        </w:tc>
        <w:tc>
          <w:tcPr>
            <w:tcW w:w="1702" w:type="dxa"/>
            <w:tcBorders>
              <w:top w:val="single" w:sz="8" w:space="0" w:color="000000"/>
              <w:left w:val="single" w:sz="8" w:space="0" w:color="000000"/>
              <w:bottom w:val="single" w:sz="8" w:space="0" w:color="000000"/>
              <w:right w:val="single" w:sz="8" w:space="0" w:color="000000"/>
            </w:tcBorders>
          </w:tcPr>
          <w:p w14:paraId="7903184F" w14:textId="77777777" w:rsidR="00C45B14" w:rsidRPr="00306115" w:rsidRDefault="00C45B14" w:rsidP="00C45B14">
            <w:pPr>
              <w:widowControl w:val="0"/>
              <w:pBdr>
                <w:top w:val="nil"/>
                <w:left w:val="nil"/>
                <w:bottom w:val="nil"/>
                <w:right w:val="nil"/>
                <w:between w:val="nil"/>
              </w:pBdr>
              <w:spacing w:after="0" w:line="240" w:lineRule="auto"/>
              <w:rPr>
                <w:rFonts w:eastAsia="Bookman Old Style" w:cs="Bookman Old Style"/>
                <w:color w:val="000000" w:themeColor="text1"/>
                <w:sz w:val="22"/>
              </w:rPr>
            </w:pPr>
          </w:p>
        </w:tc>
        <w:tc>
          <w:tcPr>
            <w:tcW w:w="4677" w:type="dxa"/>
            <w:tcBorders>
              <w:top w:val="single" w:sz="8" w:space="0" w:color="000000"/>
              <w:left w:val="single" w:sz="8" w:space="0" w:color="000000"/>
              <w:bottom w:val="single" w:sz="8" w:space="0" w:color="000000"/>
              <w:right w:val="single" w:sz="8" w:space="0" w:color="000000"/>
            </w:tcBorders>
          </w:tcPr>
          <w:p w14:paraId="06C888B0" w14:textId="77777777" w:rsidR="00C45B14" w:rsidRPr="00306115" w:rsidRDefault="00C45B14" w:rsidP="00C45B14">
            <w:pPr>
              <w:widowControl w:val="0"/>
              <w:pBdr>
                <w:top w:val="nil"/>
                <w:left w:val="nil"/>
                <w:bottom w:val="nil"/>
                <w:right w:val="nil"/>
                <w:between w:val="nil"/>
              </w:pBdr>
              <w:spacing w:after="0" w:line="240" w:lineRule="auto"/>
              <w:rPr>
                <w:rFonts w:eastAsia="Bookman Old Style" w:cs="Bookman Old Style"/>
                <w:color w:val="000000" w:themeColor="text1"/>
                <w:sz w:val="22"/>
              </w:rPr>
            </w:pPr>
          </w:p>
        </w:tc>
      </w:tr>
      <w:tr w:rsidR="008B3072" w:rsidRPr="00306115" w14:paraId="3CD433A0" w14:textId="77777777" w:rsidTr="00C45B14">
        <w:trPr>
          <w:trHeight w:val="380"/>
        </w:trPr>
        <w:tc>
          <w:tcPr>
            <w:tcW w:w="7796" w:type="dxa"/>
            <w:gridSpan w:val="2"/>
            <w:tcBorders>
              <w:top w:val="single" w:sz="8" w:space="0" w:color="000000"/>
              <w:left w:val="single" w:sz="8" w:space="0" w:color="000000"/>
              <w:bottom w:val="single" w:sz="8" w:space="0" w:color="000000"/>
              <w:right w:val="single" w:sz="8" w:space="0" w:color="000000"/>
            </w:tcBorders>
          </w:tcPr>
          <w:p w14:paraId="1B51F653" w14:textId="7D3868C9" w:rsidR="008B3072" w:rsidRPr="00306115" w:rsidRDefault="00E36B3F" w:rsidP="004A0860">
            <w:pPr>
              <w:widowControl w:val="0"/>
              <w:pBdr>
                <w:top w:val="nil"/>
                <w:left w:val="nil"/>
                <w:bottom w:val="nil"/>
                <w:right w:val="nil"/>
                <w:between w:val="nil"/>
              </w:pBdr>
              <w:spacing w:after="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 xml:space="preserve">Peringkat </w:t>
            </w:r>
            <w:r w:rsidR="008B3072" w:rsidRPr="00306115">
              <w:rPr>
                <w:rFonts w:eastAsia="Bookman Old Style" w:cs="Bookman Old Style"/>
                <w:b/>
                <w:bCs/>
                <w:color w:val="000000" w:themeColor="text1"/>
                <w:szCs w:val="24"/>
              </w:rPr>
              <w:t>Risiko Reputasi</w:t>
            </w:r>
          </w:p>
        </w:tc>
        <w:tc>
          <w:tcPr>
            <w:tcW w:w="1702" w:type="dxa"/>
            <w:tcBorders>
              <w:top w:val="single" w:sz="8" w:space="0" w:color="000000"/>
              <w:left w:val="single" w:sz="8" w:space="0" w:color="000000"/>
              <w:bottom w:val="single" w:sz="8" w:space="0" w:color="000000"/>
              <w:right w:val="single" w:sz="8" w:space="0" w:color="000000"/>
            </w:tcBorders>
          </w:tcPr>
          <w:p w14:paraId="32637D49" w14:textId="77777777" w:rsidR="008B3072" w:rsidRPr="00306115" w:rsidRDefault="008B3072" w:rsidP="00C45B14">
            <w:pPr>
              <w:widowControl w:val="0"/>
              <w:pBdr>
                <w:top w:val="nil"/>
                <w:left w:val="nil"/>
                <w:bottom w:val="nil"/>
                <w:right w:val="nil"/>
                <w:between w:val="nil"/>
              </w:pBdr>
              <w:spacing w:after="0" w:line="240" w:lineRule="auto"/>
              <w:rPr>
                <w:rFonts w:eastAsia="Bookman Old Style" w:cs="Bookman Old Style"/>
                <w:color w:val="000000" w:themeColor="text1"/>
                <w:sz w:val="22"/>
              </w:rPr>
            </w:pPr>
          </w:p>
        </w:tc>
        <w:tc>
          <w:tcPr>
            <w:tcW w:w="4677" w:type="dxa"/>
            <w:tcBorders>
              <w:top w:val="single" w:sz="8" w:space="0" w:color="000000"/>
              <w:left w:val="single" w:sz="8" w:space="0" w:color="000000"/>
              <w:bottom w:val="single" w:sz="8" w:space="0" w:color="000000"/>
              <w:right w:val="single" w:sz="8" w:space="0" w:color="000000"/>
            </w:tcBorders>
          </w:tcPr>
          <w:p w14:paraId="2DCA16AA" w14:textId="77777777" w:rsidR="008B3072" w:rsidRPr="00306115" w:rsidRDefault="008B3072" w:rsidP="00C45B14">
            <w:pPr>
              <w:widowControl w:val="0"/>
              <w:pBdr>
                <w:top w:val="nil"/>
                <w:left w:val="nil"/>
                <w:bottom w:val="nil"/>
                <w:right w:val="nil"/>
                <w:between w:val="nil"/>
              </w:pBdr>
              <w:spacing w:after="0" w:line="240" w:lineRule="auto"/>
              <w:rPr>
                <w:rFonts w:eastAsia="Bookman Old Style" w:cs="Bookman Old Style"/>
                <w:color w:val="000000" w:themeColor="text1"/>
                <w:sz w:val="22"/>
              </w:rPr>
            </w:pPr>
          </w:p>
        </w:tc>
      </w:tr>
    </w:tbl>
    <w:p w14:paraId="7CC16431" w14:textId="77777777" w:rsidR="007B6947" w:rsidRPr="00306115" w:rsidRDefault="007B6947" w:rsidP="007B6947">
      <w:pPr>
        <w:pStyle w:val="HeadingAwalDaftarIsiLampiran"/>
        <w:numPr>
          <w:ilvl w:val="0"/>
          <w:numId w:val="0"/>
        </w:numPr>
        <w:tabs>
          <w:tab w:val="left" w:pos="1134"/>
        </w:tabs>
        <w:ind w:left="1701"/>
        <w:rPr>
          <w:sz w:val="28"/>
          <w:szCs w:val="28"/>
        </w:rPr>
      </w:pPr>
    </w:p>
    <w:p w14:paraId="6B8DA4BC" w14:textId="42E347D5" w:rsidR="00B941D5" w:rsidRPr="00306115" w:rsidRDefault="00C624C5">
      <w:pPr>
        <w:pStyle w:val="HeadingAwalDaftarIsiLampiran"/>
        <w:numPr>
          <w:ilvl w:val="0"/>
          <w:numId w:val="255"/>
        </w:numPr>
        <w:tabs>
          <w:tab w:val="left" w:pos="1134"/>
        </w:tabs>
        <w:ind w:left="567" w:hanging="567"/>
      </w:pPr>
      <w:r w:rsidRPr="00306115">
        <w:t>PENILAIAN RISIKO UNTUK RISIKO STRATEGIS</w:t>
      </w:r>
    </w:p>
    <w:p w14:paraId="047FB85B" w14:textId="58CCEAB8" w:rsidR="004A0860" w:rsidRPr="00306115" w:rsidRDefault="005A3758">
      <w:pPr>
        <w:pStyle w:val="HeadingAwalDaftarIsiLampiran"/>
        <w:numPr>
          <w:ilvl w:val="0"/>
          <w:numId w:val="310"/>
        </w:numPr>
        <w:tabs>
          <w:tab w:val="left" w:pos="1134"/>
        </w:tabs>
        <w:ind w:left="1134" w:hanging="567"/>
      </w:pPr>
      <w:r w:rsidRPr="00306115">
        <w:rPr>
          <w:rFonts w:eastAsia="Bookman Old Style" w:cs="Bookman Old Style"/>
        </w:rPr>
        <w:t>Parameter atau Indikator Penilaian Risiko Strategis</w:t>
      </w:r>
    </w:p>
    <w:tbl>
      <w:tblPr>
        <w:tblW w:w="14742" w:type="dxa"/>
        <w:tblInd w:w="1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276"/>
        <w:gridCol w:w="2126"/>
        <w:gridCol w:w="11340"/>
      </w:tblGrid>
      <w:tr w:rsidR="003B4B65" w:rsidRPr="00306115" w14:paraId="3FD22D0D" w14:textId="77777777" w:rsidTr="004D60F2">
        <w:trPr>
          <w:trHeight w:val="556"/>
        </w:trPr>
        <w:tc>
          <w:tcPr>
            <w:tcW w:w="14742" w:type="dxa"/>
            <w:gridSpan w:val="3"/>
            <w:tcBorders>
              <w:top w:val="single" w:sz="8" w:space="0" w:color="000000"/>
              <w:left w:val="single" w:sz="8" w:space="0" w:color="000000"/>
              <w:bottom w:val="single" w:sz="8" w:space="0" w:color="000000"/>
              <w:right w:val="single" w:sz="8" w:space="0" w:color="000000"/>
            </w:tcBorders>
            <w:shd w:val="clear" w:color="auto" w:fill="BEBEBE"/>
          </w:tcPr>
          <w:p w14:paraId="2F969B57" w14:textId="48F4BE60" w:rsidR="003B4B65" w:rsidRPr="00306115" w:rsidRDefault="003B4B65">
            <w:pPr>
              <w:pStyle w:val="ListParagraph"/>
              <w:widowControl w:val="0"/>
              <w:numPr>
                <w:ilvl w:val="0"/>
                <w:numId w:val="313"/>
              </w:numPr>
              <w:pBdr>
                <w:top w:val="nil"/>
                <w:left w:val="nil"/>
                <w:bottom w:val="nil"/>
                <w:right w:val="nil"/>
                <w:between w:val="nil"/>
              </w:pBdr>
              <w:spacing w:before="60" w:after="60" w:line="240" w:lineRule="auto"/>
              <w:ind w:left="567" w:hanging="567"/>
              <w:contextualSpacing w:val="0"/>
              <w:rPr>
                <w:rFonts w:eastAsia="Bookman Old Style" w:cs="Bookman Old Style"/>
                <w:b/>
                <w:bCs/>
                <w:color w:val="000000" w:themeColor="text1"/>
                <w:szCs w:val="24"/>
              </w:rPr>
            </w:pPr>
            <w:r w:rsidRPr="00306115">
              <w:rPr>
                <w:rFonts w:eastAsia="Bookman Old Style" w:cs="Bookman Old Style"/>
                <w:b/>
                <w:bCs/>
                <w:color w:val="000000" w:themeColor="text1"/>
                <w:szCs w:val="24"/>
              </w:rPr>
              <w:t>Risiko Inheren*)</w:t>
            </w:r>
          </w:p>
        </w:tc>
      </w:tr>
      <w:tr w:rsidR="00776660" w:rsidRPr="00306115" w14:paraId="00C3FAC8" w14:textId="77777777" w:rsidTr="00C13C09">
        <w:trPr>
          <w:trHeight w:val="556"/>
        </w:trPr>
        <w:tc>
          <w:tcPr>
            <w:tcW w:w="3402" w:type="dxa"/>
            <w:gridSpan w:val="2"/>
            <w:tcBorders>
              <w:top w:val="single" w:sz="8" w:space="0" w:color="000000"/>
              <w:left w:val="single" w:sz="8" w:space="0" w:color="000000"/>
              <w:bottom w:val="single" w:sz="8" w:space="0" w:color="000000"/>
              <w:right w:val="single" w:sz="8" w:space="0" w:color="000000"/>
            </w:tcBorders>
            <w:shd w:val="clear" w:color="auto" w:fill="BEBEBE"/>
          </w:tcPr>
          <w:p w14:paraId="293803E8" w14:textId="77777777" w:rsidR="00776660" w:rsidRPr="00306115" w:rsidRDefault="00776660" w:rsidP="003B4B65">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Indikator</w:t>
            </w:r>
          </w:p>
        </w:tc>
        <w:tc>
          <w:tcPr>
            <w:tcW w:w="11340" w:type="dxa"/>
            <w:tcBorders>
              <w:top w:val="single" w:sz="8" w:space="0" w:color="000000"/>
              <w:left w:val="single" w:sz="8" w:space="0" w:color="000000"/>
              <w:bottom w:val="single" w:sz="8" w:space="0" w:color="000000"/>
              <w:right w:val="single" w:sz="8" w:space="0" w:color="000000"/>
            </w:tcBorders>
            <w:shd w:val="clear" w:color="auto" w:fill="BEBEBE"/>
          </w:tcPr>
          <w:p w14:paraId="64FAB378" w14:textId="77777777" w:rsidR="00776660" w:rsidRPr="00306115" w:rsidRDefault="00776660" w:rsidP="003B4B65">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Informasi</w:t>
            </w:r>
          </w:p>
        </w:tc>
      </w:tr>
      <w:tr w:rsidR="00776660" w:rsidRPr="00306115" w14:paraId="2B25FC6F" w14:textId="77777777" w:rsidTr="00C13C09">
        <w:trPr>
          <w:trHeight w:val="180"/>
        </w:trPr>
        <w:tc>
          <w:tcPr>
            <w:tcW w:w="3402" w:type="dxa"/>
            <w:gridSpan w:val="2"/>
            <w:tcBorders>
              <w:top w:val="single" w:sz="8" w:space="0" w:color="000000"/>
              <w:left w:val="single" w:sz="8" w:space="0" w:color="000000"/>
              <w:bottom w:val="single" w:sz="8" w:space="0" w:color="000000"/>
              <w:right w:val="single" w:sz="8" w:space="0" w:color="000000"/>
            </w:tcBorders>
          </w:tcPr>
          <w:p w14:paraId="397B52D9" w14:textId="77777777" w:rsidR="00776660" w:rsidRPr="00306115" w:rsidRDefault="00776660" w:rsidP="003B4B65">
            <w:pPr>
              <w:widowControl w:val="0"/>
              <w:pBdr>
                <w:top w:val="nil"/>
                <w:left w:val="nil"/>
                <w:bottom w:val="nil"/>
                <w:right w:val="nil"/>
                <w:between w:val="nil"/>
              </w:pBdr>
              <w:spacing w:after="0" w:line="240" w:lineRule="auto"/>
              <w:rPr>
                <w:rFonts w:eastAsia="Bookman Old Style" w:cs="Bookman Old Style"/>
                <w:i/>
                <w:iCs/>
                <w:color w:val="000000" w:themeColor="text1"/>
                <w:szCs w:val="24"/>
              </w:rPr>
            </w:pPr>
            <w:r w:rsidRPr="00306115">
              <w:rPr>
                <w:rFonts w:eastAsia="Bookman Old Style" w:cs="Bookman Old Style"/>
                <w:color w:val="000000" w:themeColor="text1"/>
                <w:szCs w:val="24"/>
              </w:rPr>
              <w:t>Persentase (%) realisasi dari strategi pengembangan bisnis dalam Rencana Bisnis MI</w:t>
            </w:r>
          </w:p>
        </w:tc>
        <w:tc>
          <w:tcPr>
            <w:tcW w:w="11340" w:type="dxa"/>
            <w:tcBorders>
              <w:top w:val="single" w:sz="8" w:space="0" w:color="000000"/>
              <w:left w:val="single" w:sz="8" w:space="0" w:color="000000"/>
              <w:bottom w:val="single" w:sz="8" w:space="0" w:color="000000"/>
              <w:right w:val="single" w:sz="8" w:space="0" w:color="000000"/>
            </w:tcBorders>
          </w:tcPr>
          <w:p w14:paraId="4B261830" w14:textId="77777777" w:rsidR="00776660" w:rsidRPr="00306115" w:rsidRDefault="00776660">
            <w:pPr>
              <w:widowControl w:val="0"/>
              <w:numPr>
                <w:ilvl w:val="0"/>
                <w:numId w:val="311"/>
              </w:numPr>
              <w:pBdr>
                <w:top w:val="nil"/>
                <w:left w:val="nil"/>
                <w:bottom w:val="nil"/>
                <w:right w:val="nil"/>
                <w:between w:val="nil"/>
              </w:pBdr>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Parameter atau indikator ini mengukur realisasi strategi pengembangan bisnis yang dimasukkan dalam Rencana Bisnis yang disampaikan kepada OJK.</w:t>
            </w:r>
          </w:p>
          <w:p w14:paraId="140F7D89" w14:textId="07DF0716" w:rsidR="00A74869" w:rsidRPr="00306115" w:rsidRDefault="00776660">
            <w:pPr>
              <w:widowControl w:val="0"/>
              <w:numPr>
                <w:ilvl w:val="0"/>
                <w:numId w:val="311"/>
              </w:numPr>
              <w:pBdr>
                <w:top w:val="nil"/>
                <w:left w:val="nil"/>
                <w:bottom w:val="nil"/>
                <w:right w:val="nil"/>
                <w:between w:val="nil"/>
              </w:pBdr>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Capaian realisasi dari strategi pengembangan bisnis dimaksud diukur dalam bentuk persentase (%)</w:t>
            </w:r>
            <w:r w:rsidR="002920CD" w:rsidRPr="00306115">
              <w:rPr>
                <w:rFonts w:eastAsia="Bookman Old Style" w:cs="Bookman Old Style"/>
                <w:color w:val="000000" w:themeColor="text1"/>
                <w:szCs w:val="24"/>
              </w:rPr>
              <w:t>.</w:t>
            </w:r>
          </w:p>
          <w:p w14:paraId="5CBFC9E8" w14:textId="21856F73" w:rsidR="002920CD" w:rsidRPr="00306115" w:rsidRDefault="002920CD">
            <w:pPr>
              <w:widowControl w:val="0"/>
              <w:numPr>
                <w:ilvl w:val="0"/>
                <w:numId w:val="311"/>
              </w:numPr>
              <w:pBdr>
                <w:top w:val="nil"/>
                <w:left w:val="nil"/>
                <w:bottom w:val="nil"/>
                <w:right w:val="nil"/>
                <w:between w:val="nil"/>
              </w:pBdr>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Adapun klasifikasi penilaian indikator ini terbagi menjadi 5 (lima) peringkat sebagai berikut:</w:t>
            </w:r>
          </w:p>
          <w:p w14:paraId="5F6402AB" w14:textId="1BA80B39" w:rsidR="002920CD" w:rsidRPr="00306115" w:rsidRDefault="002920CD">
            <w:pPr>
              <w:pStyle w:val="ListParagraph"/>
              <w:widowControl w:val="0"/>
              <w:numPr>
                <w:ilvl w:val="0"/>
                <w:numId w:val="506"/>
              </w:numPr>
              <w:pBdr>
                <w:top w:val="nil"/>
                <w:left w:val="nil"/>
                <w:bottom w:val="nil"/>
                <w:right w:val="nil"/>
                <w:between w:val="nil"/>
              </w:pBdr>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w:t>
            </w:r>
            <w:r w:rsidR="00776660" w:rsidRPr="00306115">
              <w:rPr>
                <w:rFonts w:eastAsia="Bookman Old Style" w:cs="Bookman Old Style"/>
                <w:color w:val="000000" w:themeColor="text1"/>
                <w:szCs w:val="24"/>
              </w:rPr>
              <w:t>1:  &gt;=80%</w:t>
            </w:r>
          </w:p>
          <w:p w14:paraId="5DE17A59" w14:textId="18C34E45" w:rsidR="00776660" w:rsidRPr="00306115" w:rsidRDefault="002920CD">
            <w:pPr>
              <w:pStyle w:val="ListParagraph"/>
              <w:widowControl w:val="0"/>
              <w:numPr>
                <w:ilvl w:val="0"/>
                <w:numId w:val="506"/>
              </w:numPr>
              <w:pBdr>
                <w:top w:val="nil"/>
                <w:left w:val="nil"/>
                <w:bottom w:val="nil"/>
                <w:right w:val="nil"/>
                <w:between w:val="nil"/>
              </w:pBdr>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w:t>
            </w:r>
            <w:r w:rsidR="00776660" w:rsidRPr="00306115">
              <w:rPr>
                <w:rFonts w:eastAsia="Bookman Old Style" w:cs="Bookman Old Style"/>
                <w:color w:val="000000" w:themeColor="text1"/>
                <w:szCs w:val="24"/>
              </w:rPr>
              <w:t xml:space="preserve">2: &gt;=60% s.d.&lt;80% </w:t>
            </w:r>
          </w:p>
          <w:p w14:paraId="2E1FA1F1" w14:textId="179E6843" w:rsidR="00776660" w:rsidRPr="00306115" w:rsidRDefault="002920CD">
            <w:pPr>
              <w:pStyle w:val="ListParagraph"/>
              <w:widowControl w:val="0"/>
              <w:numPr>
                <w:ilvl w:val="0"/>
                <w:numId w:val="506"/>
              </w:numPr>
              <w:pBdr>
                <w:top w:val="nil"/>
                <w:left w:val="nil"/>
                <w:bottom w:val="nil"/>
                <w:right w:val="nil"/>
                <w:between w:val="nil"/>
              </w:pBdr>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w:t>
            </w:r>
            <w:r w:rsidR="00776660" w:rsidRPr="00306115">
              <w:rPr>
                <w:rFonts w:eastAsia="Bookman Old Style" w:cs="Bookman Old Style"/>
                <w:color w:val="000000" w:themeColor="text1"/>
                <w:szCs w:val="24"/>
              </w:rPr>
              <w:t>3: &gt;=40% s.d.&lt;60%</w:t>
            </w:r>
          </w:p>
          <w:p w14:paraId="0E946CD3" w14:textId="331298D9" w:rsidR="00776660" w:rsidRPr="00306115" w:rsidRDefault="002920CD">
            <w:pPr>
              <w:pStyle w:val="ListParagraph"/>
              <w:widowControl w:val="0"/>
              <w:numPr>
                <w:ilvl w:val="0"/>
                <w:numId w:val="506"/>
              </w:numPr>
              <w:pBdr>
                <w:top w:val="nil"/>
                <w:left w:val="nil"/>
                <w:bottom w:val="nil"/>
                <w:right w:val="nil"/>
                <w:between w:val="nil"/>
              </w:pBdr>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lang w:val="en-GB"/>
              </w:rPr>
              <w:lastRenderedPageBreak/>
              <w:t>Peringkat</w:t>
            </w:r>
            <w:r w:rsidRPr="00306115">
              <w:rPr>
                <w:rFonts w:eastAsia="Bookman Old Style" w:cs="Bookman Old Style"/>
                <w:color w:val="000000" w:themeColor="text1"/>
                <w:szCs w:val="24"/>
              </w:rPr>
              <w:t xml:space="preserve"> </w:t>
            </w:r>
            <w:r w:rsidR="00776660" w:rsidRPr="00306115">
              <w:rPr>
                <w:rFonts w:eastAsia="Bookman Old Style" w:cs="Bookman Old Style"/>
                <w:color w:val="000000" w:themeColor="text1"/>
                <w:szCs w:val="24"/>
              </w:rPr>
              <w:t>4: &gt;=20% s.d. &lt;40%</w:t>
            </w:r>
          </w:p>
          <w:p w14:paraId="6F1F9F0F" w14:textId="6B7E93BF" w:rsidR="00776660" w:rsidRPr="00306115" w:rsidRDefault="002920CD">
            <w:pPr>
              <w:pStyle w:val="ListParagraph"/>
              <w:widowControl w:val="0"/>
              <w:numPr>
                <w:ilvl w:val="0"/>
                <w:numId w:val="506"/>
              </w:numPr>
              <w:pBdr>
                <w:top w:val="nil"/>
                <w:left w:val="nil"/>
                <w:bottom w:val="nil"/>
                <w:right w:val="nil"/>
                <w:between w:val="nil"/>
              </w:pBdr>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w:t>
            </w:r>
            <w:r w:rsidR="00776660" w:rsidRPr="00306115">
              <w:rPr>
                <w:rFonts w:eastAsia="Bookman Old Style" w:cs="Bookman Old Style"/>
                <w:color w:val="000000" w:themeColor="text1"/>
                <w:szCs w:val="24"/>
              </w:rPr>
              <w:t>5: &lt;20%</w:t>
            </w:r>
          </w:p>
        </w:tc>
      </w:tr>
      <w:tr w:rsidR="00776660" w:rsidRPr="00306115" w14:paraId="786064BE" w14:textId="77777777" w:rsidTr="00C13C09">
        <w:trPr>
          <w:trHeight w:val="322"/>
        </w:trPr>
        <w:tc>
          <w:tcPr>
            <w:tcW w:w="3402" w:type="dxa"/>
            <w:gridSpan w:val="2"/>
            <w:tcBorders>
              <w:top w:val="single" w:sz="8" w:space="0" w:color="000000"/>
              <w:left w:val="single" w:sz="8" w:space="0" w:color="000000"/>
              <w:bottom w:val="single" w:sz="8" w:space="0" w:color="000000"/>
              <w:right w:val="single" w:sz="8" w:space="0" w:color="000000"/>
            </w:tcBorders>
          </w:tcPr>
          <w:p w14:paraId="43669812" w14:textId="77777777" w:rsidR="00776660" w:rsidRPr="00306115" w:rsidRDefault="00776660" w:rsidP="003B4B65">
            <w:pPr>
              <w:widowControl w:val="0"/>
              <w:pBdr>
                <w:top w:val="nil"/>
                <w:left w:val="nil"/>
                <w:bottom w:val="nil"/>
                <w:right w:val="nil"/>
                <w:between w:val="nil"/>
              </w:pBdr>
              <w:spacing w:after="0" w:line="240" w:lineRule="auto"/>
              <w:rPr>
                <w:rFonts w:eastAsia="Bookman Old Style" w:cs="Bookman Old Style"/>
                <w:color w:val="000000" w:themeColor="text1"/>
                <w:szCs w:val="24"/>
              </w:rPr>
            </w:pPr>
            <w:bookmarkStart w:id="9" w:name="_Hlk218085222"/>
            <w:r w:rsidRPr="00306115">
              <w:rPr>
                <w:rFonts w:eastAsia="Bookman Old Style" w:cs="Bookman Old Style"/>
                <w:color w:val="000000" w:themeColor="text1"/>
                <w:szCs w:val="24"/>
              </w:rPr>
              <w:lastRenderedPageBreak/>
              <w:t xml:space="preserve">Persentase (%) realisasi dari </w:t>
            </w:r>
            <w:r w:rsidRPr="00306115">
              <w:rPr>
                <w:rFonts w:eastAsia="Bookman Old Style" w:cs="Bookman Old Style"/>
                <w:color w:val="000000" w:themeColor="text1"/>
                <w:szCs w:val="24"/>
                <w:lang w:val="en-GB"/>
              </w:rPr>
              <w:t>proyeksi keuangan</w:t>
            </w:r>
            <w:r w:rsidRPr="00306115">
              <w:rPr>
                <w:rFonts w:eastAsia="Bookman Old Style" w:cs="Bookman Old Style"/>
                <w:color w:val="000000" w:themeColor="text1"/>
                <w:szCs w:val="24"/>
              </w:rPr>
              <w:t xml:space="preserve"> dalam Rencana Bisnis MI</w:t>
            </w:r>
            <w:bookmarkEnd w:id="9"/>
          </w:p>
        </w:tc>
        <w:tc>
          <w:tcPr>
            <w:tcW w:w="11340" w:type="dxa"/>
            <w:tcBorders>
              <w:top w:val="single" w:sz="8" w:space="0" w:color="000000"/>
              <w:left w:val="single" w:sz="8" w:space="0" w:color="000000"/>
              <w:bottom w:val="single" w:sz="8" w:space="0" w:color="000000"/>
              <w:right w:val="single" w:sz="8" w:space="0" w:color="000000"/>
            </w:tcBorders>
          </w:tcPr>
          <w:p w14:paraId="51E4C02E" w14:textId="77777777" w:rsidR="00776660" w:rsidRPr="00306115" w:rsidRDefault="00776660">
            <w:pPr>
              <w:widowControl w:val="0"/>
              <w:numPr>
                <w:ilvl w:val="0"/>
                <w:numId w:val="507"/>
              </w:numPr>
              <w:pBdr>
                <w:top w:val="nil"/>
                <w:left w:val="nil"/>
                <w:bottom w:val="nil"/>
                <w:right w:val="nil"/>
                <w:between w:val="nil"/>
              </w:pBdr>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 xml:space="preserve">Parameter atau indikator ini mengukur realisasi </w:t>
            </w:r>
            <w:r w:rsidRPr="00306115">
              <w:rPr>
                <w:rFonts w:eastAsia="Bookman Old Style" w:cs="Bookman Old Style"/>
                <w:color w:val="000000" w:themeColor="text1"/>
                <w:szCs w:val="24"/>
                <w:lang w:val="en-GB"/>
              </w:rPr>
              <w:t>proyeksi keuangan</w:t>
            </w:r>
            <w:r w:rsidRPr="00306115">
              <w:rPr>
                <w:rFonts w:eastAsia="Bookman Old Style" w:cs="Bookman Old Style"/>
                <w:color w:val="000000" w:themeColor="text1"/>
                <w:szCs w:val="24"/>
              </w:rPr>
              <w:t xml:space="preserve"> yang dimasukkan dalam Rencana Bisnis yang disampaikan kepada OJK.</w:t>
            </w:r>
          </w:p>
          <w:p w14:paraId="4FAD9627" w14:textId="42109F24" w:rsidR="00776660" w:rsidRPr="00306115" w:rsidRDefault="00776660">
            <w:pPr>
              <w:widowControl w:val="0"/>
              <w:numPr>
                <w:ilvl w:val="0"/>
                <w:numId w:val="507"/>
              </w:numPr>
              <w:pBdr>
                <w:top w:val="nil"/>
                <w:left w:val="nil"/>
                <w:bottom w:val="nil"/>
                <w:right w:val="nil"/>
                <w:between w:val="nil"/>
              </w:pBdr>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Capaian realisasi dari strategi pengembangan bisnis dimaksud diukur dalam bentuk persentase (%)</w:t>
            </w:r>
            <w:r w:rsidR="002920CD" w:rsidRPr="00306115">
              <w:rPr>
                <w:rFonts w:eastAsia="Bookman Old Style" w:cs="Bookman Old Style"/>
                <w:color w:val="000000" w:themeColor="text1"/>
                <w:szCs w:val="24"/>
              </w:rPr>
              <w:t>.</w:t>
            </w:r>
          </w:p>
          <w:p w14:paraId="68D3C44E" w14:textId="494914C6" w:rsidR="002920CD" w:rsidRPr="00306115" w:rsidRDefault="002920CD">
            <w:pPr>
              <w:widowControl w:val="0"/>
              <w:numPr>
                <w:ilvl w:val="0"/>
                <w:numId w:val="507"/>
              </w:numPr>
              <w:pBdr>
                <w:top w:val="nil"/>
                <w:left w:val="nil"/>
                <w:bottom w:val="nil"/>
                <w:right w:val="nil"/>
                <w:between w:val="nil"/>
              </w:pBdr>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Adapun klasifikasi penilaian indikator ini terbagi menjadi 5 (lima) peringkat sebagai berikut:</w:t>
            </w:r>
          </w:p>
          <w:p w14:paraId="28A54AA2" w14:textId="71F6FB32" w:rsidR="002920CD" w:rsidRPr="00306115" w:rsidRDefault="002920CD">
            <w:pPr>
              <w:pStyle w:val="ListParagraph"/>
              <w:widowControl w:val="0"/>
              <w:numPr>
                <w:ilvl w:val="0"/>
                <w:numId w:val="506"/>
              </w:numPr>
              <w:pBdr>
                <w:top w:val="nil"/>
                <w:left w:val="nil"/>
                <w:bottom w:val="nil"/>
                <w:right w:val="nil"/>
                <w:between w:val="nil"/>
              </w:pBdr>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w:t>
            </w:r>
            <w:r w:rsidR="00776660" w:rsidRPr="00306115">
              <w:rPr>
                <w:rFonts w:eastAsia="Bookman Old Style" w:cs="Bookman Old Style"/>
                <w:color w:val="000000" w:themeColor="text1"/>
                <w:szCs w:val="24"/>
              </w:rPr>
              <w:t>1:  &gt;=80%</w:t>
            </w:r>
          </w:p>
          <w:p w14:paraId="435C5796" w14:textId="2B0FB443" w:rsidR="002920CD" w:rsidRPr="00306115" w:rsidRDefault="002920CD">
            <w:pPr>
              <w:pStyle w:val="ListParagraph"/>
              <w:widowControl w:val="0"/>
              <w:numPr>
                <w:ilvl w:val="0"/>
                <w:numId w:val="506"/>
              </w:numPr>
              <w:pBdr>
                <w:top w:val="nil"/>
                <w:left w:val="nil"/>
                <w:bottom w:val="nil"/>
                <w:right w:val="nil"/>
                <w:between w:val="nil"/>
              </w:pBdr>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w:t>
            </w:r>
            <w:r w:rsidR="00776660" w:rsidRPr="00306115">
              <w:rPr>
                <w:rFonts w:eastAsia="Bookman Old Style" w:cs="Bookman Old Style"/>
                <w:color w:val="000000" w:themeColor="text1"/>
                <w:szCs w:val="24"/>
              </w:rPr>
              <w:t xml:space="preserve">2: &gt;=60% s.d.&lt;80% </w:t>
            </w:r>
          </w:p>
          <w:p w14:paraId="57A26ED3" w14:textId="14833500" w:rsidR="002920CD" w:rsidRPr="00306115" w:rsidRDefault="002920CD">
            <w:pPr>
              <w:pStyle w:val="ListParagraph"/>
              <w:widowControl w:val="0"/>
              <w:numPr>
                <w:ilvl w:val="0"/>
                <w:numId w:val="506"/>
              </w:numPr>
              <w:pBdr>
                <w:top w:val="nil"/>
                <w:left w:val="nil"/>
                <w:bottom w:val="nil"/>
                <w:right w:val="nil"/>
                <w:between w:val="nil"/>
              </w:pBdr>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w:t>
            </w:r>
            <w:r w:rsidR="00776660" w:rsidRPr="00306115">
              <w:rPr>
                <w:rFonts w:eastAsia="Bookman Old Style" w:cs="Bookman Old Style"/>
                <w:color w:val="000000" w:themeColor="text1"/>
                <w:szCs w:val="24"/>
              </w:rPr>
              <w:t>3: &gt;=40% s.d.&lt;60%</w:t>
            </w:r>
          </w:p>
          <w:p w14:paraId="0EFC093A" w14:textId="0894FF7E" w:rsidR="002920CD" w:rsidRPr="00306115" w:rsidRDefault="002920CD">
            <w:pPr>
              <w:pStyle w:val="ListParagraph"/>
              <w:widowControl w:val="0"/>
              <w:numPr>
                <w:ilvl w:val="0"/>
                <w:numId w:val="506"/>
              </w:numPr>
              <w:pBdr>
                <w:top w:val="nil"/>
                <w:left w:val="nil"/>
                <w:bottom w:val="nil"/>
                <w:right w:val="nil"/>
                <w:between w:val="nil"/>
              </w:pBdr>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w:t>
            </w:r>
            <w:r w:rsidR="00776660" w:rsidRPr="00306115">
              <w:rPr>
                <w:rFonts w:eastAsia="Bookman Old Style" w:cs="Bookman Old Style"/>
                <w:color w:val="000000" w:themeColor="text1"/>
                <w:szCs w:val="24"/>
              </w:rPr>
              <w:t>4: &gt;=20% s.d. &lt;40%</w:t>
            </w:r>
          </w:p>
          <w:p w14:paraId="7093FD11" w14:textId="571A4AFB" w:rsidR="00776660" w:rsidRPr="00306115" w:rsidRDefault="002920CD">
            <w:pPr>
              <w:pStyle w:val="ListParagraph"/>
              <w:widowControl w:val="0"/>
              <w:numPr>
                <w:ilvl w:val="0"/>
                <w:numId w:val="506"/>
              </w:numPr>
              <w:pBdr>
                <w:top w:val="nil"/>
                <w:left w:val="nil"/>
                <w:bottom w:val="nil"/>
                <w:right w:val="nil"/>
                <w:between w:val="nil"/>
              </w:pBdr>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w:t>
            </w:r>
            <w:r w:rsidR="00776660" w:rsidRPr="00306115">
              <w:rPr>
                <w:rFonts w:eastAsia="Bookman Old Style" w:cs="Bookman Old Style"/>
                <w:color w:val="000000" w:themeColor="text1"/>
                <w:szCs w:val="24"/>
              </w:rPr>
              <w:t>5: &lt;20%</w:t>
            </w:r>
          </w:p>
        </w:tc>
      </w:tr>
      <w:tr w:rsidR="00776660" w:rsidRPr="00306115" w14:paraId="32A57E38" w14:textId="77777777" w:rsidTr="00C13C09">
        <w:trPr>
          <w:trHeight w:val="1280"/>
        </w:trPr>
        <w:tc>
          <w:tcPr>
            <w:tcW w:w="3402" w:type="dxa"/>
            <w:gridSpan w:val="2"/>
            <w:tcBorders>
              <w:top w:val="single" w:sz="8" w:space="0" w:color="000000"/>
              <w:left w:val="single" w:sz="8" w:space="0" w:color="000000"/>
              <w:bottom w:val="single" w:sz="8" w:space="0" w:color="000000"/>
              <w:right w:val="single" w:sz="8" w:space="0" w:color="000000"/>
            </w:tcBorders>
          </w:tcPr>
          <w:p w14:paraId="2505B8B3" w14:textId="77777777" w:rsidR="00776660" w:rsidRPr="00306115" w:rsidRDefault="00776660" w:rsidP="003B4B65">
            <w:pPr>
              <w:widowControl w:val="0"/>
              <w:pBdr>
                <w:top w:val="nil"/>
                <w:left w:val="nil"/>
                <w:bottom w:val="nil"/>
                <w:right w:val="nil"/>
                <w:between w:val="nil"/>
              </w:pBdr>
              <w:spacing w:after="0" w:line="240" w:lineRule="auto"/>
              <w:rPr>
                <w:rFonts w:eastAsia="Bookman Old Style" w:cs="Bookman Old Style"/>
                <w:color w:val="000000" w:themeColor="text1"/>
                <w:szCs w:val="24"/>
                <w:lang w:val="en-GB"/>
              </w:rPr>
            </w:pPr>
            <w:bookmarkStart w:id="10" w:name="_Hlk218085236"/>
            <w:r w:rsidRPr="00306115">
              <w:rPr>
                <w:rFonts w:eastAsia="Bookman Old Style" w:cs="Bookman Old Style"/>
                <w:color w:val="000000" w:themeColor="text1"/>
                <w:szCs w:val="24"/>
              </w:rPr>
              <w:t xml:space="preserve">Persentase (%) realisasi dari </w:t>
            </w:r>
            <w:r w:rsidRPr="00306115">
              <w:rPr>
                <w:rFonts w:eastAsia="Bookman Old Style" w:cs="Bookman Old Style"/>
                <w:color w:val="000000" w:themeColor="text1"/>
                <w:szCs w:val="24"/>
                <w:lang w:val="en-GB"/>
              </w:rPr>
              <w:t xml:space="preserve">Rencana Aksi Keuangan Berkelanjutan </w:t>
            </w:r>
            <w:bookmarkEnd w:id="10"/>
          </w:p>
        </w:tc>
        <w:tc>
          <w:tcPr>
            <w:tcW w:w="11340" w:type="dxa"/>
            <w:tcBorders>
              <w:top w:val="single" w:sz="8" w:space="0" w:color="000000"/>
              <w:left w:val="single" w:sz="8" w:space="0" w:color="000000"/>
              <w:bottom w:val="single" w:sz="8" w:space="0" w:color="000000"/>
              <w:right w:val="single" w:sz="8" w:space="0" w:color="000000"/>
            </w:tcBorders>
          </w:tcPr>
          <w:p w14:paraId="678B5F40" w14:textId="77777777" w:rsidR="00776660" w:rsidRPr="00306115" w:rsidRDefault="00776660">
            <w:pPr>
              <w:widowControl w:val="0"/>
              <w:numPr>
                <w:ilvl w:val="0"/>
                <w:numId w:val="508"/>
              </w:numPr>
              <w:pBdr>
                <w:top w:val="nil"/>
                <w:left w:val="nil"/>
                <w:bottom w:val="nil"/>
                <w:right w:val="nil"/>
                <w:between w:val="nil"/>
              </w:pBdr>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 xml:space="preserve">Parameter atau indikator ini mengukur realisasi </w:t>
            </w:r>
            <w:r w:rsidRPr="00306115">
              <w:rPr>
                <w:rFonts w:eastAsia="Bookman Old Style" w:cs="Bookman Old Style"/>
                <w:color w:val="000000" w:themeColor="text1"/>
                <w:szCs w:val="24"/>
                <w:lang w:val="en-GB"/>
              </w:rPr>
              <w:t xml:space="preserve">dari Rencana Aksi </w:t>
            </w:r>
            <w:r w:rsidRPr="00306115">
              <w:rPr>
                <w:rFonts w:eastAsia="Bookman Old Style" w:cs="Bookman Old Style"/>
                <w:color w:val="000000" w:themeColor="text1"/>
                <w:szCs w:val="24"/>
              </w:rPr>
              <w:t>Keuangan</w:t>
            </w:r>
            <w:r w:rsidRPr="00306115">
              <w:rPr>
                <w:rFonts w:eastAsia="Bookman Old Style" w:cs="Bookman Old Style"/>
                <w:color w:val="000000" w:themeColor="text1"/>
                <w:szCs w:val="24"/>
                <w:lang w:val="en-GB"/>
              </w:rPr>
              <w:t xml:space="preserve"> Berkelanjutan </w:t>
            </w:r>
            <w:r w:rsidRPr="00306115">
              <w:rPr>
                <w:rFonts w:eastAsia="Bookman Old Style" w:cs="Bookman Old Style"/>
                <w:color w:val="000000" w:themeColor="text1"/>
                <w:szCs w:val="24"/>
              </w:rPr>
              <w:t>yang disampaikan kepada OJK.</w:t>
            </w:r>
          </w:p>
          <w:p w14:paraId="68D20B3D" w14:textId="62D2EBCF" w:rsidR="00776660" w:rsidRPr="00306115" w:rsidRDefault="00776660">
            <w:pPr>
              <w:widowControl w:val="0"/>
              <w:numPr>
                <w:ilvl w:val="0"/>
                <w:numId w:val="508"/>
              </w:numPr>
              <w:pBdr>
                <w:top w:val="nil"/>
                <w:left w:val="nil"/>
                <w:bottom w:val="nil"/>
                <w:right w:val="nil"/>
                <w:between w:val="nil"/>
              </w:pBdr>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Capaian realisasi dari strategi pengembangan bisnis dimaksud diukur dalam bentuk persentase (%)</w:t>
            </w:r>
            <w:r w:rsidR="002920CD" w:rsidRPr="00306115">
              <w:rPr>
                <w:rFonts w:eastAsia="Bookman Old Style" w:cs="Bookman Old Style"/>
                <w:color w:val="000000" w:themeColor="text1"/>
                <w:szCs w:val="24"/>
              </w:rPr>
              <w:t>.</w:t>
            </w:r>
          </w:p>
          <w:p w14:paraId="233A1FE6" w14:textId="2C670A54" w:rsidR="002920CD" w:rsidRPr="00306115" w:rsidRDefault="002920CD">
            <w:pPr>
              <w:widowControl w:val="0"/>
              <w:numPr>
                <w:ilvl w:val="0"/>
                <w:numId w:val="508"/>
              </w:numPr>
              <w:pBdr>
                <w:top w:val="nil"/>
                <w:left w:val="nil"/>
                <w:bottom w:val="nil"/>
                <w:right w:val="nil"/>
                <w:between w:val="nil"/>
              </w:pBdr>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Adapun klasifikasi penilaian indikator ini terbagi menjadi 5 (lima) peringkat sebagai berikut:</w:t>
            </w:r>
          </w:p>
          <w:p w14:paraId="1388E7A2" w14:textId="26BB6098" w:rsidR="002920CD" w:rsidRPr="00306115" w:rsidRDefault="002920CD">
            <w:pPr>
              <w:pStyle w:val="ListParagraph"/>
              <w:widowControl w:val="0"/>
              <w:numPr>
                <w:ilvl w:val="0"/>
                <w:numId w:val="506"/>
              </w:numPr>
              <w:pBdr>
                <w:top w:val="nil"/>
                <w:left w:val="nil"/>
                <w:bottom w:val="nil"/>
                <w:right w:val="nil"/>
                <w:between w:val="nil"/>
              </w:pBdr>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00776660" w:rsidRPr="00306115">
              <w:rPr>
                <w:rFonts w:eastAsia="Bookman Old Style" w:cs="Bookman Old Style"/>
                <w:color w:val="000000" w:themeColor="text1"/>
                <w:szCs w:val="24"/>
              </w:rPr>
              <w:t xml:space="preserve"> 1:  &gt;=80%</w:t>
            </w:r>
          </w:p>
          <w:p w14:paraId="6E1A3DC1" w14:textId="7D755FC9" w:rsidR="002920CD" w:rsidRPr="00306115" w:rsidRDefault="002920CD">
            <w:pPr>
              <w:pStyle w:val="ListParagraph"/>
              <w:widowControl w:val="0"/>
              <w:numPr>
                <w:ilvl w:val="0"/>
                <w:numId w:val="506"/>
              </w:numPr>
              <w:pBdr>
                <w:top w:val="nil"/>
                <w:left w:val="nil"/>
                <w:bottom w:val="nil"/>
                <w:right w:val="nil"/>
                <w:between w:val="nil"/>
              </w:pBdr>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w:t>
            </w:r>
            <w:r w:rsidR="00776660" w:rsidRPr="00306115">
              <w:rPr>
                <w:rFonts w:eastAsia="Bookman Old Style" w:cs="Bookman Old Style"/>
                <w:color w:val="000000" w:themeColor="text1"/>
                <w:szCs w:val="24"/>
              </w:rPr>
              <w:t xml:space="preserve">2: &gt;=60% s.d.&lt;80% </w:t>
            </w:r>
          </w:p>
          <w:p w14:paraId="4AD8F668" w14:textId="6A704D58" w:rsidR="002920CD" w:rsidRPr="00306115" w:rsidRDefault="002920CD">
            <w:pPr>
              <w:pStyle w:val="ListParagraph"/>
              <w:widowControl w:val="0"/>
              <w:numPr>
                <w:ilvl w:val="0"/>
                <w:numId w:val="506"/>
              </w:numPr>
              <w:pBdr>
                <w:top w:val="nil"/>
                <w:left w:val="nil"/>
                <w:bottom w:val="nil"/>
                <w:right w:val="nil"/>
                <w:between w:val="nil"/>
              </w:pBdr>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w:t>
            </w:r>
            <w:r w:rsidR="00776660" w:rsidRPr="00306115">
              <w:rPr>
                <w:rFonts w:eastAsia="Bookman Old Style" w:cs="Bookman Old Style"/>
                <w:color w:val="000000" w:themeColor="text1"/>
                <w:szCs w:val="24"/>
              </w:rPr>
              <w:t>3: &gt;=40% s.d.&lt;60%</w:t>
            </w:r>
          </w:p>
          <w:p w14:paraId="0FB5925E" w14:textId="1AE8A78B" w:rsidR="002920CD" w:rsidRPr="00306115" w:rsidRDefault="002920CD">
            <w:pPr>
              <w:pStyle w:val="ListParagraph"/>
              <w:widowControl w:val="0"/>
              <w:numPr>
                <w:ilvl w:val="0"/>
                <w:numId w:val="506"/>
              </w:numPr>
              <w:pBdr>
                <w:top w:val="nil"/>
                <w:left w:val="nil"/>
                <w:bottom w:val="nil"/>
                <w:right w:val="nil"/>
                <w:between w:val="nil"/>
              </w:pBdr>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w:t>
            </w:r>
            <w:r w:rsidR="00776660" w:rsidRPr="00306115">
              <w:rPr>
                <w:rFonts w:eastAsia="Bookman Old Style" w:cs="Bookman Old Style"/>
                <w:color w:val="000000" w:themeColor="text1"/>
                <w:szCs w:val="24"/>
              </w:rPr>
              <w:t>4: &gt;=20% s.d. &lt;40%</w:t>
            </w:r>
          </w:p>
          <w:p w14:paraId="390C9463" w14:textId="71541E9A" w:rsidR="00776660" w:rsidRPr="00306115" w:rsidRDefault="002920CD">
            <w:pPr>
              <w:pStyle w:val="ListParagraph"/>
              <w:widowControl w:val="0"/>
              <w:numPr>
                <w:ilvl w:val="0"/>
                <w:numId w:val="506"/>
              </w:numPr>
              <w:pBdr>
                <w:top w:val="nil"/>
                <w:left w:val="nil"/>
                <w:bottom w:val="nil"/>
                <w:right w:val="nil"/>
                <w:between w:val="nil"/>
              </w:pBdr>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w:t>
            </w:r>
            <w:r w:rsidR="00776660" w:rsidRPr="00306115">
              <w:rPr>
                <w:rFonts w:eastAsia="Bookman Old Style" w:cs="Bookman Old Style"/>
                <w:color w:val="000000" w:themeColor="text1"/>
                <w:szCs w:val="24"/>
              </w:rPr>
              <w:t>5: &lt;20%</w:t>
            </w:r>
          </w:p>
        </w:tc>
      </w:tr>
      <w:tr w:rsidR="00776660" w:rsidRPr="00306115" w14:paraId="0D290E6C" w14:textId="77777777" w:rsidTr="004D60F2">
        <w:trPr>
          <w:trHeight w:val="379"/>
        </w:trPr>
        <w:tc>
          <w:tcPr>
            <w:tcW w:w="14742" w:type="dxa"/>
            <w:gridSpan w:val="3"/>
            <w:tcBorders>
              <w:top w:val="single" w:sz="8" w:space="0" w:color="000000"/>
              <w:left w:val="single" w:sz="8" w:space="0" w:color="000000"/>
              <w:bottom w:val="single" w:sz="8" w:space="0" w:color="000000"/>
              <w:right w:val="single" w:sz="8" w:space="0" w:color="000000"/>
            </w:tcBorders>
            <w:shd w:val="clear" w:color="auto" w:fill="D0CECE"/>
          </w:tcPr>
          <w:p w14:paraId="11E80589" w14:textId="77777777" w:rsidR="00776660" w:rsidRPr="00306115" w:rsidRDefault="00776660">
            <w:pPr>
              <w:pStyle w:val="ListParagraph"/>
              <w:widowControl w:val="0"/>
              <w:numPr>
                <w:ilvl w:val="0"/>
                <w:numId w:val="313"/>
              </w:numPr>
              <w:pBdr>
                <w:top w:val="nil"/>
                <w:left w:val="nil"/>
                <w:bottom w:val="nil"/>
                <w:right w:val="nil"/>
                <w:between w:val="nil"/>
              </w:pBdr>
              <w:spacing w:before="60" w:after="60" w:line="240" w:lineRule="auto"/>
              <w:ind w:left="567" w:hanging="567"/>
              <w:contextualSpacing w:val="0"/>
              <w:rPr>
                <w:rFonts w:eastAsia="Bookman Old Style" w:cs="Bookman Old Style"/>
                <w:b/>
                <w:bCs/>
                <w:color w:val="000000" w:themeColor="text1"/>
                <w:szCs w:val="24"/>
              </w:rPr>
            </w:pPr>
            <w:r w:rsidRPr="00306115">
              <w:rPr>
                <w:rFonts w:eastAsia="Bookman Old Style" w:cs="Bookman Old Style"/>
                <w:b/>
                <w:bCs/>
                <w:color w:val="000000" w:themeColor="text1"/>
                <w:szCs w:val="24"/>
              </w:rPr>
              <w:t>Kualitas Penerapan Manajemen Risiko</w:t>
            </w:r>
          </w:p>
        </w:tc>
      </w:tr>
      <w:tr w:rsidR="00776660" w:rsidRPr="00306115" w14:paraId="151DC6DD" w14:textId="77777777" w:rsidTr="004D60F2">
        <w:trPr>
          <w:trHeight w:val="379"/>
        </w:trPr>
        <w:tc>
          <w:tcPr>
            <w:tcW w:w="1276" w:type="dxa"/>
            <w:tcBorders>
              <w:top w:val="single" w:sz="8" w:space="0" w:color="000000"/>
              <w:left w:val="single" w:sz="8" w:space="0" w:color="000000"/>
              <w:bottom w:val="single" w:sz="8" w:space="0" w:color="000000"/>
              <w:right w:val="single" w:sz="8" w:space="0" w:color="000000"/>
            </w:tcBorders>
          </w:tcPr>
          <w:p w14:paraId="7B1AFACE" w14:textId="77777777" w:rsidR="00776660" w:rsidRPr="00306115" w:rsidRDefault="00776660">
            <w:pPr>
              <w:widowControl w:val="0"/>
              <w:numPr>
                <w:ilvl w:val="2"/>
                <w:numId w:val="312"/>
              </w:numPr>
              <w:pBdr>
                <w:top w:val="nil"/>
                <w:left w:val="nil"/>
                <w:bottom w:val="nil"/>
                <w:right w:val="nil"/>
                <w:between w:val="nil"/>
              </w:pBdr>
              <w:spacing w:before="97" w:after="0" w:line="295" w:lineRule="auto"/>
              <w:ind w:left="847" w:right="80" w:hanging="511"/>
              <w:jc w:val="left"/>
              <w:rPr>
                <w:rFonts w:eastAsia="Bookman Old Style" w:cs="Bookman Old Style"/>
                <w:b/>
                <w:bCs/>
                <w:color w:val="000000" w:themeColor="text1"/>
                <w:szCs w:val="24"/>
              </w:rPr>
            </w:pPr>
          </w:p>
        </w:tc>
        <w:tc>
          <w:tcPr>
            <w:tcW w:w="13466" w:type="dxa"/>
            <w:gridSpan w:val="2"/>
            <w:tcBorders>
              <w:top w:val="single" w:sz="8" w:space="0" w:color="000000"/>
              <w:left w:val="single" w:sz="8" w:space="0" w:color="000000"/>
              <w:bottom w:val="single" w:sz="8" w:space="0" w:color="000000"/>
              <w:right w:val="single" w:sz="8" w:space="0" w:color="000000"/>
            </w:tcBorders>
          </w:tcPr>
          <w:p w14:paraId="5514AC2B" w14:textId="77777777" w:rsidR="00776660" w:rsidRPr="00306115" w:rsidRDefault="00776660" w:rsidP="003B4B65">
            <w:pPr>
              <w:widowControl w:val="0"/>
              <w:pBdr>
                <w:top w:val="nil"/>
                <w:left w:val="nil"/>
                <w:bottom w:val="nil"/>
                <w:right w:val="nil"/>
                <w:between w:val="nil"/>
              </w:pBdr>
              <w:spacing w:before="60" w:after="6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Tata kelola risiko (</w:t>
            </w:r>
            <w:r w:rsidRPr="00306115">
              <w:rPr>
                <w:rFonts w:eastAsia="Bookman Old Style" w:cs="Bookman Old Style"/>
                <w:i/>
                <w:iCs/>
                <w:color w:val="000000" w:themeColor="text1"/>
                <w:szCs w:val="24"/>
              </w:rPr>
              <w:t>risk governance</w:t>
            </w:r>
            <w:r w:rsidRPr="00306115">
              <w:rPr>
                <w:rFonts w:eastAsia="Bookman Old Style" w:cs="Bookman Old Style"/>
                <w:color w:val="000000" w:themeColor="text1"/>
                <w:szCs w:val="24"/>
              </w:rPr>
              <w:t>) mencakup evaluasi terhadap: (i) perumusan tingkat risiko yang akan diambil (</w:t>
            </w:r>
            <w:r w:rsidRPr="00306115">
              <w:rPr>
                <w:rFonts w:eastAsia="Bookman Old Style" w:cs="Bookman Old Style"/>
                <w:i/>
                <w:iCs/>
                <w:color w:val="000000" w:themeColor="text1"/>
                <w:szCs w:val="24"/>
              </w:rPr>
              <w:t>risk appetite</w:t>
            </w:r>
            <w:r w:rsidRPr="00306115">
              <w:rPr>
                <w:rFonts w:eastAsia="Bookman Old Style" w:cs="Bookman Old Style"/>
                <w:color w:val="000000" w:themeColor="text1"/>
                <w:szCs w:val="24"/>
              </w:rPr>
              <w:t>) dan toleransi risiko (</w:t>
            </w:r>
            <w:r w:rsidRPr="00306115">
              <w:rPr>
                <w:rFonts w:eastAsia="Bookman Old Style" w:cs="Bookman Old Style"/>
                <w:i/>
                <w:iCs/>
                <w:color w:val="000000" w:themeColor="text1"/>
                <w:szCs w:val="24"/>
              </w:rPr>
              <w:t>risk tolerance</w:t>
            </w:r>
            <w:r w:rsidRPr="00306115">
              <w:rPr>
                <w:rFonts w:eastAsia="Bookman Old Style" w:cs="Bookman Old Style"/>
                <w:color w:val="000000" w:themeColor="text1"/>
                <w:szCs w:val="24"/>
              </w:rPr>
              <w:t>) dan (ii) kecukupan pengawasan aktif oleh Direksi dan Dewan Komisaris termasuk pelaksanaan kewenangan dan tanggung jawab Direksi dan Dewan Komisaris.</w:t>
            </w:r>
          </w:p>
        </w:tc>
      </w:tr>
      <w:tr w:rsidR="00776660" w:rsidRPr="00306115" w14:paraId="5775CF48" w14:textId="77777777" w:rsidTr="004D60F2">
        <w:trPr>
          <w:trHeight w:val="379"/>
        </w:trPr>
        <w:tc>
          <w:tcPr>
            <w:tcW w:w="1276" w:type="dxa"/>
            <w:tcBorders>
              <w:top w:val="single" w:sz="8" w:space="0" w:color="000000"/>
              <w:left w:val="single" w:sz="8" w:space="0" w:color="000000"/>
              <w:bottom w:val="single" w:sz="8" w:space="0" w:color="000000"/>
              <w:right w:val="single" w:sz="8" w:space="0" w:color="000000"/>
            </w:tcBorders>
          </w:tcPr>
          <w:p w14:paraId="3262CC93" w14:textId="77777777" w:rsidR="00776660" w:rsidRPr="00306115" w:rsidRDefault="00776660">
            <w:pPr>
              <w:widowControl w:val="0"/>
              <w:numPr>
                <w:ilvl w:val="2"/>
                <w:numId w:val="312"/>
              </w:numPr>
              <w:pBdr>
                <w:top w:val="nil"/>
                <w:left w:val="nil"/>
                <w:bottom w:val="nil"/>
                <w:right w:val="nil"/>
                <w:between w:val="nil"/>
              </w:pBdr>
              <w:spacing w:before="97" w:after="0" w:line="295" w:lineRule="auto"/>
              <w:ind w:left="847" w:right="80" w:hanging="511"/>
              <w:jc w:val="left"/>
              <w:rPr>
                <w:rFonts w:eastAsia="Bookman Old Style" w:cs="Bookman Old Style"/>
                <w:b/>
                <w:bCs/>
                <w:color w:val="000000" w:themeColor="text1"/>
                <w:szCs w:val="24"/>
              </w:rPr>
            </w:pPr>
          </w:p>
        </w:tc>
        <w:tc>
          <w:tcPr>
            <w:tcW w:w="13466" w:type="dxa"/>
            <w:gridSpan w:val="2"/>
            <w:tcBorders>
              <w:top w:val="single" w:sz="8" w:space="0" w:color="000000"/>
              <w:left w:val="single" w:sz="8" w:space="0" w:color="000000"/>
              <w:bottom w:val="single" w:sz="8" w:space="0" w:color="000000"/>
              <w:right w:val="single" w:sz="8" w:space="0" w:color="000000"/>
            </w:tcBorders>
          </w:tcPr>
          <w:p w14:paraId="134EF766" w14:textId="77777777" w:rsidR="00776660" w:rsidRPr="00306115" w:rsidRDefault="00776660" w:rsidP="003B4B65">
            <w:pPr>
              <w:widowControl w:val="0"/>
              <w:pBdr>
                <w:top w:val="nil"/>
                <w:left w:val="nil"/>
                <w:bottom w:val="nil"/>
                <w:right w:val="nil"/>
                <w:between w:val="nil"/>
              </w:pBdr>
              <w:spacing w:before="60" w:after="6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 xml:space="preserve">Kerangka Manajemen Risiko mencakup evaluasi terhadap: (i) strategi Manajemen Risiko yang searah dengan </w:t>
            </w:r>
            <w:r w:rsidRPr="00306115">
              <w:rPr>
                <w:rFonts w:eastAsia="Bookman Old Style" w:cs="Bookman Old Style"/>
                <w:color w:val="000000" w:themeColor="text1"/>
                <w:szCs w:val="24"/>
              </w:rPr>
              <w:lastRenderedPageBreak/>
              <w:t>tingkat risiko yang akan diambil dan toleransi risiko; (ii) kecukupan perangkat organisasi dalam mendukung terlaksananya Manajemen Risiko secara efektif termasuk kejelasan wewenang dan tanggung jawab; dan (iii) kecukupan kebijakan dan prosedur Manajemen Risiko serta penetapan limit risiko.</w:t>
            </w:r>
          </w:p>
        </w:tc>
      </w:tr>
      <w:tr w:rsidR="00776660" w:rsidRPr="00306115" w14:paraId="3D736189" w14:textId="77777777" w:rsidTr="004D60F2">
        <w:trPr>
          <w:trHeight w:val="379"/>
        </w:trPr>
        <w:tc>
          <w:tcPr>
            <w:tcW w:w="1276" w:type="dxa"/>
            <w:tcBorders>
              <w:top w:val="single" w:sz="8" w:space="0" w:color="000000"/>
              <w:left w:val="single" w:sz="8" w:space="0" w:color="000000"/>
              <w:bottom w:val="single" w:sz="8" w:space="0" w:color="000000"/>
              <w:right w:val="single" w:sz="8" w:space="0" w:color="000000"/>
            </w:tcBorders>
          </w:tcPr>
          <w:p w14:paraId="5D9DE515" w14:textId="77777777" w:rsidR="00776660" w:rsidRPr="00306115" w:rsidRDefault="00776660">
            <w:pPr>
              <w:widowControl w:val="0"/>
              <w:numPr>
                <w:ilvl w:val="2"/>
                <w:numId w:val="312"/>
              </w:numPr>
              <w:pBdr>
                <w:top w:val="nil"/>
                <w:left w:val="nil"/>
                <w:bottom w:val="nil"/>
                <w:right w:val="nil"/>
                <w:between w:val="nil"/>
              </w:pBdr>
              <w:spacing w:before="97" w:after="0" w:line="295" w:lineRule="auto"/>
              <w:ind w:left="847" w:right="80" w:hanging="511"/>
              <w:jc w:val="left"/>
              <w:rPr>
                <w:rFonts w:eastAsia="Bookman Old Style" w:cs="Bookman Old Style"/>
                <w:b/>
                <w:bCs/>
                <w:color w:val="000000" w:themeColor="text1"/>
                <w:szCs w:val="24"/>
              </w:rPr>
            </w:pPr>
          </w:p>
        </w:tc>
        <w:tc>
          <w:tcPr>
            <w:tcW w:w="13466" w:type="dxa"/>
            <w:gridSpan w:val="2"/>
            <w:tcBorders>
              <w:top w:val="single" w:sz="8" w:space="0" w:color="000000"/>
              <w:left w:val="single" w:sz="8" w:space="0" w:color="000000"/>
              <w:bottom w:val="single" w:sz="8" w:space="0" w:color="000000"/>
              <w:right w:val="single" w:sz="8" w:space="0" w:color="000000"/>
            </w:tcBorders>
          </w:tcPr>
          <w:p w14:paraId="0D6A2E00" w14:textId="77777777" w:rsidR="00776660" w:rsidRPr="00306115" w:rsidRDefault="00776660" w:rsidP="003B4B65">
            <w:pPr>
              <w:widowControl w:val="0"/>
              <w:pBdr>
                <w:top w:val="nil"/>
                <w:left w:val="nil"/>
                <w:bottom w:val="nil"/>
                <w:right w:val="nil"/>
                <w:between w:val="nil"/>
              </w:pBdr>
              <w:spacing w:before="60" w:after="6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Proses Manajemen Risiko, sistem informasi, dan sumber daya manusia mencakup evaluasi terhadap: (i) proses identifikasi, pengukuran, pemantauan, dan pengendalian risiko; (ii) kecukupan sistem informasi Manajemen Risiko; dan (iii) kecukupan kuantitas dan kualitas sumber daya manusia dalam mendukung efektivitas proses Manajemen Risiko.</w:t>
            </w:r>
          </w:p>
        </w:tc>
      </w:tr>
      <w:tr w:rsidR="00776660" w:rsidRPr="00306115" w14:paraId="7DCA657C" w14:textId="77777777" w:rsidTr="004D60F2">
        <w:trPr>
          <w:trHeight w:val="379"/>
        </w:trPr>
        <w:tc>
          <w:tcPr>
            <w:tcW w:w="1276" w:type="dxa"/>
            <w:tcBorders>
              <w:top w:val="single" w:sz="8" w:space="0" w:color="000000"/>
              <w:left w:val="single" w:sz="8" w:space="0" w:color="000000"/>
              <w:bottom w:val="single" w:sz="8" w:space="0" w:color="000000"/>
              <w:right w:val="single" w:sz="8" w:space="0" w:color="000000"/>
            </w:tcBorders>
          </w:tcPr>
          <w:p w14:paraId="0E718CB4" w14:textId="77777777" w:rsidR="00776660" w:rsidRPr="00306115" w:rsidRDefault="00776660">
            <w:pPr>
              <w:widowControl w:val="0"/>
              <w:numPr>
                <w:ilvl w:val="2"/>
                <w:numId w:val="312"/>
              </w:numPr>
              <w:pBdr>
                <w:top w:val="nil"/>
                <w:left w:val="nil"/>
                <w:bottom w:val="nil"/>
                <w:right w:val="nil"/>
                <w:between w:val="nil"/>
              </w:pBdr>
              <w:spacing w:before="97" w:after="0" w:line="295" w:lineRule="auto"/>
              <w:ind w:left="847" w:right="80" w:hanging="511"/>
              <w:jc w:val="left"/>
              <w:rPr>
                <w:rFonts w:eastAsia="Bookman Old Style" w:cs="Bookman Old Style"/>
                <w:b/>
                <w:bCs/>
                <w:color w:val="000000" w:themeColor="text1"/>
                <w:szCs w:val="24"/>
              </w:rPr>
            </w:pPr>
          </w:p>
        </w:tc>
        <w:tc>
          <w:tcPr>
            <w:tcW w:w="13466" w:type="dxa"/>
            <w:gridSpan w:val="2"/>
            <w:tcBorders>
              <w:top w:val="single" w:sz="8" w:space="0" w:color="000000"/>
              <w:left w:val="single" w:sz="8" w:space="0" w:color="000000"/>
              <w:bottom w:val="single" w:sz="8" w:space="0" w:color="000000"/>
              <w:right w:val="single" w:sz="8" w:space="0" w:color="000000"/>
            </w:tcBorders>
          </w:tcPr>
          <w:p w14:paraId="352F9741" w14:textId="60FFDD9C" w:rsidR="00776660" w:rsidRPr="00306115" w:rsidRDefault="00776660" w:rsidP="003B4B65">
            <w:pPr>
              <w:widowControl w:val="0"/>
              <w:pBdr>
                <w:top w:val="nil"/>
                <w:left w:val="nil"/>
                <w:bottom w:val="nil"/>
                <w:right w:val="nil"/>
                <w:between w:val="nil"/>
              </w:pBdr>
              <w:spacing w:before="60" w:after="6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 xml:space="preserve">Sistem </w:t>
            </w:r>
            <w:r w:rsidR="003B4B65" w:rsidRPr="00306115">
              <w:rPr>
                <w:rFonts w:eastAsia="Bookman Old Style" w:cs="Bookman Old Style"/>
                <w:color w:val="000000" w:themeColor="text1"/>
                <w:szCs w:val="24"/>
              </w:rPr>
              <w:t>p</w:t>
            </w:r>
            <w:r w:rsidRPr="00306115">
              <w:rPr>
                <w:rFonts w:eastAsia="Bookman Old Style" w:cs="Bookman Old Style"/>
                <w:color w:val="000000" w:themeColor="text1"/>
                <w:szCs w:val="24"/>
              </w:rPr>
              <w:t xml:space="preserve">engendalian </w:t>
            </w:r>
            <w:r w:rsidR="003B4B65" w:rsidRPr="00306115">
              <w:rPr>
                <w:rFonts w:eastAsia="Bookman Old Style" w:cs="Bookman Old Style"/>
                <w:color w:val="000000" w:themeColor="text1"/>
                <w:szCs w:val="24"/>
              </w:rPr>
              <w:t>r</w:t>
            </w:r>
            <w:r w:rsidRPr="00306115">
              <w:rPr>
                <w:rFonts w:eastAsia="Bookman Old Style" w:cs="Bookman Old Style"/>
                <w:color w:val="000000" w:themeColor="text1"/>
                <w:szCs w:val="24"/>
              </w:rPr>
              <w:t xml:space="preserve">isiko mencakup evaluasi terhadap: (i) kecukupan sistem pengendalian internal dan (ii) kecukupan kaji ulang oleh pihak independen dalam Manajer Investasi baik oleh fungsi </w:t>
            </w:r>
            <w:r w:rsidR="001008B5" w:rsidRPr="00306115">
              <w:rPr>
                <w:color w:val="000000" w:themeColor="text1"/>
              </w:rPr>
              <w:t>Manajemen Risiko</w:t>
            </w:r>
            <w:r w:rsidR="001008B5" w:rsidRPr="00306115">
              <w:rPr>
                <w:rFonts w:eastAsia="Bookman Old Style" w:cs="Bookman Old Style"/>
                <w:color w:val="000000" w:themeColor="text1"/>
                <w:szCs w:val="24"/>
              </w:rPr>
              <w:t xml:space="preserve"> </w:t>
            </w:r>
            <w:r w:rsidRPr="00306115">
              <w:rPr>
                <w:rFonts w:eastAsia="Bookman Old Style" w:cs="Bookman Old Style"/>
                <w:color w:val="000000" w:themeColor="text1"/>
                <w:szCs w:val="24"/>
              </w:rPr>
              <w:t>maupun fungsi audit internal.</w:t>
            </w:r>
          </w:p>
        </w:tc>
      </w:tr>
    </w:tbl>
    <w:p w14:paraId="2060020A" w14:textId="4B85D488" w:rsidR="005A3758" w:rsidRPr="00306115" w:rsidRDefault="00F90E73" w:rsidP="00F90E73">
      <w:pPr>
        <w:pStyle w:val="HeadingAwalDaftarIsiLampiran"/>
        <w:numPr>
          <w:ilvl w:val="0"/>
          <w:numId w:val="0"/>
        </w:numPr>
        <w:tabs>
          <w:tab w:val="left" w:pos="1418"/>
          <w:tab w:val="left" w:pos="1560"/>
        </w:tabs>
        <w:ind w:left="1134"/>
        <w:rPr>
          <w:rFonts w:eastAsia="Bookman Old Style" w:cs="Bookman Old Style"/>
        </w:rPr>
      </w:pPr>
      <w:r w:rsidRPr="00306115">
        <w:rPr>
          <w:rFonts w:eastAsia="Bookman Old Style" w:cs="Bookman Old Style"/>
        </w:rPr>
        <w:t xml:space="preserve">*) Merupakan parameter atau indikator minimal dan Manajer Investasi dapat menambah parameter atau indikator lain sesuai dengan karakteristik, kompleksitas usaha, dan kemampuan Manajer Investasi. Penilaian dilakukan dengan posisi akhir per 31 Desember posisi dan tren selama yang mencakup penilaian selama 12 (dua belas) bulan terakhir untuk parameter atau indikator pada Lampiran </w:t>
      </w:r>
      <w:r w:rsidR="002920CD" w:rsidRPr="00306115">
        <w:rPr>
          <w:rFonts w:eastAsia="Bookman Old Style" w:cs="Bookman Old Style"/>
        </w:rPr>
        <w:t xml:space="preserve">IV </w:t>
      </w:r>
      <w:r w:rsidR="002920CD" w:rsidRPr="00306115">
        <w:t>yang merupakan bagian tidak terpisahkan dari Peraturan Anggota Dewan Komisioner Otoritas Jasa Keuangan ini</w:t>
      </w:r>
      <w:r w:rsidRPr="00306115">
        <w:rPr>
          <w:rFonts w:eastAsia="Bookman Old Style" w:cs="Bookman Old Style"/>
        </w:rPr>
        <w:t>.</w:t>
      </w:r>
    </w:p>
    <w:p w14:paraId="01A29EC9" w14:textId="77777777" w:rsidR="007D48B8" w:rsidRPr="00306115" w:rsidRDefault="007D48B8" w:rsidP="00F90E73">
      <w:pPr>
        <w:pStyle w:val="HeadingAwalDaftarIsiLampiran"/>
        <w:numPr>
          <w:ilvl w:val="0"/>
          <w:numId w:val="0"/>
        </w:numPr>
        <w:tabs>
          <w:tab w:val="left" w:pos="1418"/>
          <w:tab w:val="left" w:pos="1560"/>
        </w:tabs>
        <w:ind w:left="1134"/>
        <w:rPr>
          <w:sz w:val="28"/>
          <w:szCs w:val="28"/>
        </w:rPr>
      </w:pPr>
    </w:p>
    <w:p w14:paraId="11449896" w14:textId="644D923B" w:rsidR="005A3758" w:rsidRPr="00306115" w:rsidRDefault="005A3758">
      <w:pPr>
        <w:pStyle w:val="HeadingAwalDaftarIsiLampiran"/>
        <w:numPr>
          <w:ilvl w:val="0"/>
          <w:numId w:val="310"/>
        </w:numPr>
        <w:tabs>
          <w:tab w:val="left" w:pos="1134"/>
        </w:tabs>
        <w:ind w:left="1134" w:hanging="567"/>
      </w:pPr>
      <w:r w:rsidRPr="00306115">
        <w:rPr>
          <w:rFonts w:eastAsia="Bookman Old Style" w:cs="Bookman Old Style"/>
        </w:rPr>
        <w:t>Penilaian Risiko Strategis</w:t>
      </w:r>
    </w:p>
    <w:p w14:paraId="1BCD3891" w14:textId="398F786F" w:rsidR="00F90E73" w:rsidRPr="00306115" w:rsidRDefault="00155CAC">
      <w:pPr>
        <w:pStyle w:val="HeadingAwalDaftarIsiLampiran"/>
        <w:numPr>
          <w:ilvl w:val="6"/>
          <w:numId w:val="301"/>
        </w:numPr>
        <w:tabs>
          <w:tab w:val="left" w:pos="1134"/>
        </w:tabs>
        <w:ind w:left="1701" w:hanging="567"/>
        <w:rPr>
          <w:sz w:val="28"/>
          <w:szCs w:val="28"/>
        </w:rPr>
      </w:pPr>
      <w:r w:rsidRPr="00306115">
        <w:rPr>
          <w:rFonts w:eastAsia="Bookman Old Style" w:cs="Bookman Old Style"/>
        </w:rPr>
        <w:t>Penilaian risiko strategis dilakukan berdasarkan hasil penilaian masing-masing parameter atau indikator risiko strategis menggunakan analisis yang komprehensif dan terstruktur sehingga memberikan gambaran secara menyeluruh terkait Risiko Strategis Manajer Investasi.</w:t>
      </w:r>
    </w:p>
    <w:p w14:paraId="455B3392" w14:textId="7063857D" w:rsidR="002920CD" w:rsidRPr="00306115" w:rsidRDefault="00DA7BCD">
      <w:pPr>
        <w:pStyle w:val="HeadingAwalDaftarIsiLampiran"/>
        <w:numPr>
          <w:ilvl w:val="6"/>
          <w:numId w:val="301"/>
        </w:numPr>
        <w:tabs>
          <w:tab w:val="left" w:pos="1134"/>
        </w:tabs>
        <w:ind w:left="1701" w:hanging="567"/>
        <w:rPr>
          <w:sz w:val="28"/>
          <w:szCs w:val="28"/>
        </w:rPr>
      </w:pPr>
      <w:r w:rsidRPr="00306115">
        <w:rPr>
          <w:lang w:val="id"/>
        </w:rPr>
        <w:t xml:space="preserve">Dalam menentukan tingkat atau nilai Risiko, perlu dipertimbangkan secara umum seluruh indikator Risiko </w:t>
      </w:r>
      <w:r w:rsidRPr="00306115">
        <w:rPr>
          <w:lang w:val="en-GB"/>
        </w:rPr>
        <w:t>Strategis</w:t>
      </w:r>
      <w:r w:rsidRPr="00306115">
        <w:rPr>
          <w:lang w:val="id"/>
        </w:rPr>
        <w:t>. Untuk memastikan akuntabilitas dan kedalaman analisis, setiap penilaian tersebut diwajibkan untuk memuat keterangan secara komprehensif.</w:t>
      </w:r>
    </w:p>
    <w:p w14:paraId="78017CDC" w14:textId="6BA0476C" w:rsidR="00155CAC" w:rsidRPr="00306115" w:rsidRDefault="004B5A54">
      <w:pPr>
        <w:pStyle w:val="HeadingAwalDaftarIsiLampiran"/>
        <w:numPr>
          <w:ilvl w:val="6"/>
          <w:numId w:val="301"/>
        </w:numPr>
        <w:tabs>
          <w:tab w:val="left" w:pos="1134"/>
        </w:tabs>
        <w:ind w:left="1701" w:hanging="567"/>
        <w:rPr>
          <w:sz w:val="28"/>
          <w:szCs w:val="28"/>
        </w:rPr>
      </w:pPr>
      <w:r w:rsidRPr="00306115">
        <w:rPr>
          <w:rFonts w:eastAsia="Bookman Old Style" w:cs="Bookman Old Style"/>
        </w:rPr>
        <w:t>Penilaian parameter atau indikator strategis dapat menggunakan tabel berikut:</w:t>
      </w:r>
    </w:p>
    <w:tbl>
      <w:tblPr>
        <w:tblW w:w="14175" w:type="dxa"/>
        <w:tblInd w:w="16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946"/>
        <w:gridCol w:w="3827"/>
        <w:gridCol w:w="3402"/>
      </w:tblGrid>
      <w:tr w:rsidR="009D3820" w:rsidRPr="00306115" w14:paraId="510800C7" w14:textId="77777777" w:rsidTr="004D60F2">
        <w:trPr>
          <w:trHeight w:val="557"/>
        </w:trPr>
        <w:tc>
          <w:tcPr>
            <w:tcW w:w="14175" w:type="dxa"/>
            <w:gridSpan w:val="3"/>
            <w:tcBorders>
              <w:top w:val="single" w:sz="8" w:space="0" w:color="000000"/>
              <w:left w:val="single" w:sz="8" w:space="0" w:color="000000"/>
              <w:bottom w:val="single" w:sz="8" w:space="0" w:color="000000"/>
              <w:right w:val="single" w:sz="8" w:space="0" w:color="000000"/>
            </w:tcBorders>
            <w:shd w:val="clear" w:color="auto" w:fill="BEBEBE"/>
          </w:tcPr>
          <w:p w14:paraId="51A5645C" w14:textId="28ECD7CC" w:rsidR="009D3820" w:rsidRPr="00306115" w:rsidRDefault="00DA7BCD" w:rsidP="009D3820">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PT MANAJER INVESTASI ABC</w:t>
            </w:r>
          </w:p>
        </w:tc>
      </w:tr>
      <w:tr w:rsidR="009D3820" w:rsidRPr="00306115" w14:paraId="17FBF943" w14:textId="77777777" w:rsidTr="00C13C09">
        <w:trPr>
          <w:trHeight w:val="572"/>
        </w:trPr>
        <w:tc>
          <w:tcPr>
            <w:tcW w:w="6946" w:type="dxa"/>
            <w:tcBorders>
              <w:top w:val="single" w:sz="8" w:space="0" w:color="000000"/>
              <w:left w:val="single" w:sz="8" w:space="0" w:color="000000"/>
              <w:bottom w:val="single" w:sz="8" w:space="0" w:color="000000"/>
              <w:right w:val="single" w:sz="8" w:space="0" w:color="000000"/>
            </w:tcBorders>
            <w:shd w:val="clear" w:color="auto" w:fill="BEBEBE"/>
          </w:tcPr>
          <w:p w14:paraId="3B12A697" w14:textId="77777777" w:rsidR="009D3820" w:rsidRPr="00306115" w:rsidRDefault="009D3820" w:rsidP="009D3820">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Indikator</w:t>
            </w:r>
          </w:p>
        </w:tc>
        <w:tc>
          <w:tcPr>
            <w:tcW w:w="3827" w:type="dxa"/>
            <w:tcBorders>
              <w:top w:val="single" w:sz="8" w:space="0" w:color="000000"/>
              <w:left w:val="single" w:sz="8" w:space="0" w:color="000000"/>
              <w:bottom w:val="single" w:sz="8" w:space="0" w:color="000000"/>
              <w:right w:val="single" w:sz="8" w:space="0" w:color="000000"/>
            </w:tcBorders>
            <w:shd w:val="clear" w:color="auto" w:fill="BEBEBE"/>
          </w:tcPr>
          <w:p w14:paraId="558DAF98" w14:textId="211F65C2" w:rsidR="009D3820" w:rsidRPr="00306115" w:rsidRDefault="00DA7BCD" w:rsidP="009D3820">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Peringkat</w:t>
            </w:r>
          </w:p>
        </w:tc>
        <w:tc>
          <w:tcPr>
            <w:tcW w:w="3402" w:type="dxa"/>
            <w:tcBorders>
              <w:top w:val="single" w:sz="8" w:space="0" w:color="000000"/>
              <w:left w:val="single" w:sz="8" w:space="0" w:color="000000"/>
              <w:bottom w:val="single" w:sz="8" w:space="0" w:color="000000"/>
              <w:right w:val="single" w:sz="8" w:space="0" w:color="000000"/>
            </w:tcBorders>
            <w:shd w:val="clear" w:color="auto" w:fill="BEBEBE"/>
          </w:tcPr>
          <w:p w14:paraId="379631A9" w14:textId="77777777" w:rsidR="009D3820" w:rsidRPr="00306115" w:rsidRDefault="009D3820" w:rsidP="009D3820">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Keterangan</w:t>
            </w:r>
          </w:p>
        </w:tc>
      </w:tr>
      <w:tr w:rsidR="009D3820" w:rsidRPr="00306115" w14:paraId="460ECDF6" w14:textId="77777777" w:rsidTr="00C13C09">
        <w:trPr>
          <w:trHeight w:val="369"/>
        </w:trPr>
        <w:tc>
          <w:tcPr>
            <w:tcW w:w="6946" w:type="dxa"/>
            <w:tcBorders>
              <w:top w:val="single" w:sz="8" w:space="0" w:color="000000"/>
              <w:left w:val="single" w:sz="8" w:space="0" w:color="000000"/>
              <w:bottom w:val="single" w:sz="8" w:space="0" w:color="000000"/>
              <w:right w:val="single" w:sz="8" w:space="0" w:color="000000"/>
            </w:tcBorders>
          </w:tcPr>
          <w:p w14:paraId="38964327" w14:textId="78A3447B" w:rsidR="009D3820" w:rsidRPr="00306115" w:rsidRDefault="009D3820" w:rsidP="009D3820">
            <w:pPr>
              <w:widowControl w:val="0"/>
              <w:pBdr>
                <w:top w:val="nil"/>
                <w:left w:val="nil"/>
                <w:bottom w:val="nil"/>
                <w:right w:val="nil"/>
                <w:between w:val="nil"/>
              </w:pBdr>
              <w:spacing w:after="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Persentase (%) realisasi dari strategi pengembangan bisnis dalam Rencana Bisnis Manajer Investasi</w:t>
            </w:r>
          </w:p>
        </w:tc>
        <w:tc>
          <w:tcPr>
            <w:tcW w:w="3827" w:type="dxa"/>
            <w:tcBorders>
              <w:top w:val="single" w:sz="8" w:space="0" w:color="000000"/>
              <w:left w:val="single" w:sz="8" w:space="0" w:color="000000"/>
              <w:bottom w:val="single" w:sz="8" w:space="0" w:color="000000"/>
              <w:right w:val="single" w:sz="8" w:space="0" w:color="000000"/>
            </w:tcBorders>
          </w:tcPr>
          <w:p w14:paraId="779AF167" w14:textId="77777777" w:rsidR="009D3820" w:rsidRPr="00306115" w:rsidRDefault="009D3820" w:rsidP="009D3820">
            <w:pPr>
              <w:widowControl w:val="0"/>
              <w:pBdr>
                <w:top w:val="nil"/>
                <w:left w:val="nil"/>
                <w:bottom w:val="nil"/>
                <w:right w:val="nil"/>
                <w:between w:val="nil"/>
              </w:pBdr>
              <w:spacing w:after="0" w:line="240" w:lineRule="auto"/>
              <w:rPr>
                <w:rFonts w:eastAsia="Bookman Old Style" w:cs="Bookman Old Style"/>
                <w:color w:val="000000" w:themeColor="text1"/>
                <w:szCs w:val="24"/>
              </w:rPr>
            </w:pPr>
          </w:p>
        </w:tc>
        <w:tc>
          <w:tcPr>
            <w:tcW w:w="3402" w:type="dxa"/>
            <w:tcBorders>
              <w:top w:val="single" w:sz="8" w:space="0" w:color="000000"/>
              <w:left w:val="single" w:sz="8" w:space="0" w:color="000000"/>
              <w:bottom w:val="single" w:sz="8" w:space="0" w:color="000000"/>
              <w:right w:val="single" w:sz="8" w:space="0" w:color="000000"/>
            </w:tcBorders>
          </w:tcPr>
          <w:p w14:paraId="0E2BEC24" w14:textId="77777777" w:rsidR="009D3820" w:rsidRPr="00306115" w:rsidRDefault="009D3820" w:rsidP="009D3820">
            <w:pPr>
              <w:widowControl w:val="0"/>
              <w:pBdr>
                <w:top w:val="nil"/>
                <w:left w:val="nil"/>
                <w:bottom w:val="nil"/>
                <w:right w:val="nil"/>
                <w:between w:val="nil"/>
              </w:pBdr>
              <w:spacing w:after="0" w:line="240" w:lineRule="auto"/>
              <w:rPr>
                <w:rFonts w:eastAsia="Bookman Old Style" w:cs="Bookman Old Style"/>
                <w:color w:val="000000" w:themeColor="text1"/>
                <w:szCs w:val="24"/>
              </w:rPr>
            </w:pPr>
          </w:p>
        </w:tc>
      </w:tr>
      <w:tr w:rsidR="009D3820" w:rsidRPr="00306115" w14:paraId="2B6AF028" w14:textId="77777777" w:rsidTr="00C13C09">
        <w:trPr>
          <w:trHeight w:val="335"/>
        </w:trPr>
        <w:tc>
          <w:tcPr>
            <w:tcW w:w="6946" w:type="dxa"/>
            <w:tcBorders>
              <w:top w:val="single" w:sz="8" w:space="0" w:color="000000"/>
              <w:left w:val="single" w:sz="8" w:space="0" w:color="000000"/>
              <w:bottom w:val="single" w:sz="8" w:space="0" w:color="000000"/>
              <w:right w:val="single" w:sz="8" w:space="0" w:color="000000"/>
            </w:tcBorders>
          </w:tcPr>
          <w:p w14:paraId="410028A4" w14:textId="1B2526E7" w:rsidR="009D3820" w:rsidRPr="00306115" w:rsidRDefault="009D3820" w:rsidP="009D3820">
            <w:pPr>
              <w:widowControl w:val="0"/>
              <w:pBdr>
                <w:top w:val="nil"/>
                <w:left w:val="nil"/>
                <w:bottom w:val="nil"/>
                <w:right w:val="nil"/>
                <w:between w:val="nil"/>
              </w:pBdr>
              <w:spacing w:after="0" w:line="240" w:lineRule="auto"/>
              <w:rPr>
                <w:rFonts w:eastAsia="Bookman Old Style" w:cs="Bookman Old Style"/>
                <w:color w:val="000000" w:themeColor="text1"/>
                <w:szCs w:val="24"/>
              </w:rPr>
            </w:pPr>
            <w:r w:rsidRPr="00306115">
              <w:rPr>
                <w:rFonts w:eastAsia="Bookman Old Style" w:cs="Bookman Old Style"/>
                <w:color w:val="000000" w:themeColor="text1"/>
                <w:szCs w:val="24"/>
              </w:rPr>
              <w:lastRenderedPageBreak/>
              <w:t xml:space="preserve">Persentase (%) realisasi dari </w:t>
            </w:r>
            <w:r w:rsidRPr="00306115">
              <w:rPr>
                <w:rFonts w:eastAsia="Bookman Old Style" w:cs="Bookman Old Style"/>
                <w:color w:val="000000" w:themeColor="text1"/>
                <w:szCs w:val="24"/>
                <w:lang w:val="en-GB"/>
              </w:rPr>
              <w:t>proyeksi keuangan</w:t>
            </w:r>
            <w:r w:rsidRPr="00306115">
              <w:rPr>
                <w:rFonts w:eastAsia="Bookman Old Style" w:cs="Bookman Old Style"/>
                <w:color w:val="000000" w:themeColor="text1"/>
                <w:szCs w:val="24"/>
              </w:rPr>
              <w:t xml:space="preserve"> dalam Rencana Bisnis Manajer Investasi</w:t>
            </w:r>
          </w:p>
        </w:tc>
        <w:tc>
          <w:tcPr>
            <w:tcW w:w="3827" w:type="dxa"/>
            <w:tcBorders>
              <w:top w:val="single" w:sz="8" w:space="0" w:color="000000"/>
              <w:left w:val="single" w:sz="8" w:space="0" w:color="000000"/>
              <w:bottom w:val="single" w:sz="8" w:space="0" w:color="000000"/>
              <w:right w:val="single" w:sz="8" w:space="0" w:color="000000"/>
            </w:tcBorders>
          </w:tcPr>
          <w:p w14:paraId="3E23DFFD" w14:textId="77777777" w:rsidR="009D3820" w:rsidRPr="00306115" w:rsidRDefault="009D3820" w:rsidP="009D3820">
            <w:pPr>
              <w:widowControl w:val="0"/>
              <w:pBdr>
                <w:top w:val="nil"/>
                <w:left w:val="nil"/>
                <w:bottom w:val="nil"/>
                <w:right w:val="nil"/>
                <w:between w:val="nil"/>
              </w:pBdr>
              <w:spacing w:after="0" w:line="240" w:lineRule="auto"/>
              <w:rPr>
                <w:rFonts w:eastAsia="Bookman Old Style" w:cs="Bookman Old Style"/>
                <w:color w:val="000000" w:themeColor="text1"/>
                <w:szCs w:val="24"/>
              </w:rPr>
            </w:pPr>
          </w:p>
        </w:tc>
        <w:tc>
          <w:tcPr>
            <w:tcW w:w="3402" w:type="dxa"/>
            <w:tcBorders>
              <w:top w:val="single" w:sz="8" w:space="0" w:color="000000"/>
              <w:left w:val="single" w:sz="8" w:space="0" w:color="000000"/>
              <w:bottom w:val="single" w:sz="8" w:space="0" w:color="000000"/>
              <w:right w:val="single" w:sz="8" w:space="0" w:color="000000"/>
            </w:tcBorders>
          </w:tcPr>
          <w:p w14:paraId="0154C089" w14:textId="77777777" w:rsidR="009D3820" w:rsidRPr="00306115" w:rsidRDefault="009D3820" w:rsidP="009D3820">
            <w:pPr>
              <w:widowControl w:val="0"/>
              <w:pBdr>
                <w:top w:val="nil"/>
                <w:left w:val="nil"/>
                <w:bottom w:val="nil"/>
                <w:right w:val="nil"/>
                <w:between w:val="nil"/>
              </w:pBdr>
              <w:spacing w:after="0" w:line="240" w:lineRule="auto"/>
              <w:rPr>
                <w:rFonts w:eastAsia="Bookman Old Style" w:cs="Bookman Old Style"/>
                <w:color w:val="000000" w:themeColor="text1"/>
                <w:szCs w:val="24"/>
              </w:rPr>
            </w:pPr>
          </w:p>
        </w:tc>
      </w:tr>
      <w:tr w:rsidR="009D3820" w:rsidRPr="00306115" w14:paraId="575F31AC" w14:textId="77777777" w:rsidTr="00C13C09">
        <w:trPr>
          <w:trHeight w:val="142"/>
        </w:trPr>
        <w:tc>
          <w:tcPr>
            <w:tcW w:w="6946" w:type="dxa"/>
            <w:tcBorders>
              <w:top w:val="single" w:sz="8" w:space="0" w:color="000000"/>
              <w:left w:val="single" w:sz="8" w:space="0" w:color="000000"/>
              <w:bottom w:val="single" w:sz="8" w:space="0" w:color="000000"/>
              <w:right w:val="single" w:sz="8" w:space="0" w:color="000000"/>
            </w:tcBorders>
          </w:tcPr>
          <w:p w14:paraId="408C04B3" w14:textId="77777777" w:rsidR="009D3820" w:rsidRPr="00306115" w:rsidRDefault="009D3820" w:rsidP="009D3820">
            <w:pPr>
              <w:widowControl w:val="0"/>
              <w:pBdr>
                <w:top w:val="nil"/>
                <w:left w:val="nil"/>
                <w:bottom w:val="nil"/>
                <w:right w:val="nil"/>
                <w:between w:val="nil"/>
              </w:pBdr>
              <w:spacing w:after="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 xml:space="preserve">Persentase (%) realisasi dari </w:t>
            </w:r>
            <w:r w:rsidRPr="00306115">
              <w:rPr>
                <w:rFonts w:eastAsia="Bookman Old Style" w:cs="Bookman Old Style"/>
                <w:color w:val="000000" w:themeColor="text1"/>
                <w:szCs w:val="24"/>
                <w:lang w:val="en-GB"/>
              </w:rPr>
              <w:t>Rencana Aksi Keuangan Berkelanjutan</w:t>
            </w:r>
          </w:p>
        </w:tc>
        <w:tc>
          <w:tcPr>
            <w:tcW w:w="3827" w:type="dxa"/>
            <w:tcBorders>
              <w:top w:val="single" w:sz="8" w:space="0" w:color="000000"/>
              <w:left w:val="single" w:sz="8" w:space="0" w:color="000000"/>
              <w:bottom w:val="single" w:sz="8" w:space="0" w:color="000000"/>
              <w:right w:val="single" w:sz="8" w:space="0" w:color="000000"/>
            </w:tcBorders>
          </w:tcPr>
          <w:p w14:paraId="569D2805" w14:textId="77777777" w:rsidR="009D3820" w:rsidRPr="00306115" w:rsidRDefault="009D3820" w:rsidP="009D3820">
            <w:pPr>
              <w:widowControl w:val="0"/>
              <w:pBdr>
                <w:top w:val="nil"/>
                <w:left w:val="nil"/>
                <w:bottom w:val="nil"/>
                <w:right w:val="nil"/>
                <w:between w:val="nil"/>
              </w:pBdr>
              <w:spacing w:after="0" w:line="240" w:lineRule="auto"/>
              <w:rPr>
                <w:rFonts w:eastAsia="Bookman Old Style" w:cs="Bookman Old Style"/>
                <w:color w:val="000000" w:themeColor="text1"/>
                <w:szCs w:val="24"/>
              </w:rPr>
            </w:pPr>
          </w:p>
        </w:tc>
        <w:tc>
          <w:tcPr>
            <w:tcW w:w="3402" w:type="dxa"/>
            <w:tcBorders>
              <w:top w:val="single" w:sz="8" w:space="0" w:color="000000"/>
              <w:left w:val="single" w:sz="8" w:space="0" w:color="000000"/>
              <w:bottom w:val="single" w:sz="8" w:space="0" w:color="000000"/>
              <w:right w:val="single" w:sz="8" w:space="0" w:color="000000"/>
            </w:tcBorders>
          </w:tcPr>
          <w:p w14:paraId="66153A01" w14:textId="77777777" w:rsidR="009D3820" w:rsidRPr="00306115" w:rsidRDefault="009D3820" w:rsidP="009D3820">
            <w:pPr>
              <w:widowControl w:val="0"/>
              <w:pBdr>
                <w:top w:val="nil"/>
                <w:left w:val="nil"/>
                <w:bottom w:val="nil"/>
                <w:right w:val="nil"/>
                <w:between w:val="nil"/>
              </w:pBdr>
              <w:spacing w:after="0" w:line="240" w:lineRule="auto"/>
              <w:rPr>
                <w:rFonts w:eastAsia="Bookman Old Style" w:cs="Bookman Old Style"/>
                <w:color w:val="000000" w:themeColor="text1"/>
                <w:szCs w:val="24"/>
              </w:rPr>
            </w:pPr>
          </w:p>
        </w:tc>
      </w:tr>
      <w:tr w:rsidR="009D3820" w:rsidRPr="00306115" w14:paraId="55A94E00" w14:textId="77777777" w:rsidTr="00C13C09">
        <w:trPr>
          <w:trHeight w:val="259"/>
        </w:trPr>
        <w:tc>
          <w:tcPr>
            <w:tcW w:w="6946" w:type="dxa"/>
            <w:tcBorders>
              <w:top w:val="single" w:sz="8" w:space="0" w:color="000000"/>
              <w:left w:val="single" w:sz="8" w:space="0" w:color="000000"/>
              <w:bottom w:val="single" w:sz="8" w:space="0" w:color="000000"/>
              <w:right w:val="single" w:sz="8" w:space="0" w:color="000000"/>
            </w:tcBorders>
          </w:tcPr>
          <w:p w14:paraId="7A01703E" w14:textId="2DD1762C" w:rsidR="009D3820" w:rsidRPr="00306115" w:rsidRDefault="00DA7BCD" w:rsidP="009D3820">
            <w:pPr>
              <w:widowControl w:val="0"/>
              <w:pBdr>
                <w:top w:val="nil"/>
                <w:left w:val="nil"/>
                <w:bottom w:val="nil"/>
                <w:right w:val="nil"/>
                <w:between w:val="nil"/>
              </w:pBdr>
              <w:spacing w:after="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 xml:space="preserve">Peringkat </w:t>
            </w:r>
            <w:r w:rsidR="009D3820" w:rsidRPr="00306115">
              <w:rPr>
                <w:rFonts w:eastAsia="Bookman Old Style" w:cs="Bookman Old Style"/>
                <w:b/>
                <w:bCs/>
                <w:color w:val="000000" w:themeColor="text1"/>
                <w:szCs w:val="24"/>
              </w:rPr>
              <w:t>Risiko Strategis</w:t>
            </w:r>
          </w:p>
        </w:tc>
        <w:tc>
          <w:tcPr>
            <w:tcW w:w="3827" w:type="dxa"/>
            <w:tcBorders>
              <w:top w:val="single" w:sz="8" w:space="0" w:color="000000"/>
              <w:left w:val="single" w:sz="8" w:space="0" w:color="000000"/>
              <w:bottom w:val="single" w:sz="8" w:space="0" w:color="000000"/>
              <w:right w:val="single" w:sz="8" w:space="0" w:color="000000"/>
            </w:tcBorders>
          </w:tcPr>
          <w:p w14:paraId="243BF5C8" w14:textId="77777777" w:rsidR="009D3820" w:rsidRPr="00306115" w:rsidRDefault="009D3820" w:rsidP="009D3820">
            <w:pPr>
              <w:widowControl w:val="0"/>
              <w:pBdr>
                <w:top w:val="nil"/>
                <w:left w:val="nil"/>
                <w:bottom w:val="nil"/>
                <w:right w:val="nil"/>
                <w:between w:val="nil"/>
              </w:pBdr>
              <w:spacing w:after="0" w:line="240" w:lineRule="auto"/>
              <w:rPr>
                <w:rFonts w:eastAsia="Bookman Old Style" w:cs="Bookman Old Style"/>
                <w:color w:val="000000" w:themeColor="text1"/>
                <w:szCs w:val="24"/>
              </w:rPr>
            </w:pPr>
          </w:p>
        </w:tc>
        <w:tc>
          <w:tcPr>
            <w:tcW w:w="3402" w:type="dxa"/>
            <w:tcBorders>
              <w:top w:val="single" w:sz="8" w:space="0" w:color="000000"/>
              <w:left w:val="single" w:sz="8" w:space="0" w:color="000000"/>
              <w:bottom w:val="single" w:sz="8" w:space="0" w:color="000000"/>
              <w:right w:val="single" w:sz="8" w:space="0" w:color="000000"/>
            </w:tcBorders>
          </w:tcPr>
          <w:p w14:paraId="2B50CBDB" w14:textId="77777777" w:rsidR="009D3820" w:rsidRPr="00306115" w:rsidRDefault="009D3820" w:rsidP="009D3820">
            <w:pPr>
              <w:widowControl w:val="0"/>
              <w:pBdr>
                <w:top w:val="nil"/>
                <w:left w:val="nil"/>
                <w:bottom w:val="nil"/>
                <w:right w:val="nil"/>
                <w:between w:val="nil"/>
              </w:pBdr>
              <w:spacing w:after="0" w:line="240" w:lineRule="auto"/>
              <w:rPr>
                <w:rFonts w:eastAsia="Bookman Old Style" w:cs="Bookman Old Style"/>
                <w:color w:val="000000" w:themeColor="text1"/>
                <w:szCs w:val="24"/>
              </w:rPr>
            </w:pPr>
          </w:p>
        </w:tc>
      </w:tr>
    </w:tbl>
    <w:p w14:paraId="15D5CFFC" w14:textId="77777777" w:rsidR="004B5A54" w:rsidRPr="00306115" w:rsidRDefault="004B5A54" w:rsidP="004B5A54">
      <w:pPr>
        <w:pStyle w:val="HeadingAwalDaftarIsiLampiran"/>
        <w:numPr>
          <w:ilvl w:val="0"/>
          <w:numId w:val="0"/>
        </w:numPr>
        <w:tabs>
          <w:tab w:val="left" w:pos="1134"/>
        </w:tabs>
        <w:ind w:left="1701"/>
        <w:rPr>
          <w:sz w:val="28"/>
          <w:szCs w:val="28"/>
        </w:rPr>
      </w:pPr>
    </w:p>
    <w:p w14:paraId="666C3D6C" w14:textId="5DB95464" w:rsidR="00C624C5" w:rsidRPr="00306115" w:rsidRDefault="00C624C5">
      <w:pPr>
        <w:pStyle w:val="HeadingAwalDaftarIsiLampiran"/>
        <w:numPr>
          <w:ilvl w:val="0"/>
          <w:numId w:val="255"/>
        </w:numPr>
        <w:tabs>
          <w:tab w:val="left" w:pos="1134"/>
        </w:tabs>
        <w:ind w:left="567" w:hanging="567"/>
      </w:pPr>
      <w:r w:rsidRPr="00306115">
        <w:t>PENILAIAN RISIKO UNTUK RISIKO INVESTASI</w:t>
      </w:r>
    </w:p>
    <w:p w14:paraId="4DD911E6" w14:textId="030B4FEC" w:rsidR="001D6FB3" w:rsidRPr="00306115" w:rsidRDefault="00B729B3">
      <w:pPr>
        <w:pStyle w:val="HeadingAwalDaftarIsiLampiran"/>
        <w:numPr>
          <w:ilvl w:val="0"/>
          <w:numId w:val="314"/>
        </w:numPr>
        <w:tabs>
          <w:tab w:val="left" w:pos="1843"/>
        </w:tabs>
        <w:ind w:left="1134" w:hanging="567"/>
        <w:rPr>
          <w:sz w:val="28"/>
          <w:szCs w:val="28"/>
        </w:rPr>
      </w:pPr>
      <w:r w:rsidRPr="00306115">
        <w:rPr>
          <w:rFonts w:eastAsia="Bookman Old Style" w:cs="Bookman Old Style"/>
        </w:rPr>
        <w:t>Parameter atau Indikator Penilaian Risiko Investasi</w:t>
      </w:r>
    </w:p>
    <w:tbl>
      <w:tblPr>
        <w:tblW w:w="14742" w:type="dxa"/>
        <w:tblInd w:w="1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276"/>
        <w:gridCol w:w="2126"/>
        <w:gridCol w:w="11340"/>
      </w:tblGrid>
      <w:tr w:rsidR="0017667A" w:rsidRPr="00306115" w14:paraId="17D422F4" w14:textId="77777777" w:rsidTr="004D60F2">
        <w:trPr>
          <w:trHeight w:val="556"/>
        </w:trPr>
        <w:tc>
          <w:tcPr>
            <w:tcW w:w="14742" w:type="dxa"/>
            <w:gridSpan w:val="3"/>
            <w:tcBorders>
              <w:top w:val="single" w:sz="8" w:space="0" w:color="000000"/>
              <w:left w:val="single" w:sz="8" w:space="0" w:color="000000"/>
              <w:bottom w:val="single" w:sz="8" w:space="0" w:color="000000"/>
              <w:right w:val="single" w:sz="8" w:space="0" w:color="000000"/>
            </w:tcBorders>
            <w:shd w:val="clear" w:color="auto" w:fill="BEBEBE"/>
          </w:tcPr>
          <w:p w14:paraId="4CCAB6D0" w14:textId="47E14B2C" w:rsidR="0017667A" w:rsidRPr="00306115" w:rsidRDefault="0017667A">
            <w:pPr>
              <w:pStyle w:val="ListParagraph"/>
              <w:widowControl w:val="0"/>
              <w:numPr>
                <w:ilvl w:val="0"/>
                <w:numId w:val="317"/>
              </w:numPr>
              <w:pBdr>
                <w:top w:val="nil"/>
                <w:left w:val="nil"/>
                <w:bottom w:val="nil"/>
                <w:right w:val="nil"/>
                <w:between w:val="nil"/>
              </w:pBdr>
              <w:spacing w:before="60" w:after="60" w:line="240" w:lineRule="auto"/>
              <w:ind w:left="567" w:hanging="567"/>
              <w:contextualSpacing w:val="0"/>
              <w:rPr>
                <w:rFonts w:eastAsia="Bookman Old Style" w:cs="Bookman Old Style"/>
                <w:b/>
                <w:bCs/>
                <w:color w:val="000000" w:themeColor="text1"/>
                <w:szCs w:val="24"/>
              </w:rPr>
            </w:pPr>
            <w:r w:rsidRPr="00306115">
              <w:rPr>
                <w:rFonts w:eastAsia="Bookman Old Style" w:cs="Bookman Old Style"/>
                <w:b/>
                <w:bCs/>
                <w:color w:val="000000" w:themeColor="text1"/>
                <w:szCs w:val="24"/>
              </w:rPr>
              <w:t>Risiko Inheren*)</w:t>
            </w:r>
          </w:p>
        </w:tc>
      </w:tr>
      <w:tr w:rsidR="0017667A" w:rsidRPr="00306115" w14:paraId="096AFCF3" w14:textId="77777777" w:rsidTr="005A6ECF">
        <w:trPr>
          <w:trHeight w:val="556"/>
        </w:trPr>
        <w:tc>
          <w:tcPr>
            <w:tcW w:w="3402" w:type="dxa"/>
            <w:gridSpan w:val="2"/>
            <w:tcBorders>
              <w:top w:val="single" w:sz="8" w:space="0" w:color="000000"/>
              <w:left w:val="single" w:sz="8" w:space="0" w:color="000000"/>
              <w:bottom w:val="single" w:sz="8" w:space="0" w:color="000000"/>
              <w:right w:val="single" w:sz="8" w:space="0" w:color="000000"/>
            </w:tcBorders>
            <w:shd w:val="clear" w:color="auto" w:fill="BEBEBE"/>
          </w:tcPr>
          <w:p w14:paraId="130570A5" w14:textId="77777777" w:rsidR="0017667A" w:rsidRPr="00306115" w:rsidRDefault="0017667A" w:rsidP="0017667A">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Indiakator</w:t>
            </w:r>
          </w:p>
        </w:tc>
        <w:tc>
          <w:tcPr>
            <w:tcW w:w="11340" w:type="dxa"/>
            <w:tcBorders>
              <w:top w:val="single" w:sz="8" w:space="0" w:color="000000"/>
              <w:left w:val="single" w:sz="8" w:space="0" w:color="000000"/>
              <w:bottom w:val="single" w:sz="8" w:space="0" w:color="000000"/>
              <w:right w:val="single" w:sz="8" w:space="0" w:color="000000"/>
            </w:tcBorders>
            <w:shd w:val="clear" w:color="auto" w:fill="BEBEBE"/>
          </w:tcPr>
          <w:p w14:paraId="52BF213D" w14:textId="77777777" w:rsidR="0017667A" w:rsidRPr="00306115" w:rsidRDefault="0017667A" w:rsidP="0017667A">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Informasi</w:t>
            </w:r>
          </w:p>
        </w:tc>
      </w:tr>
      <w:tr w:rsidR="0017667A" w:rsidRPr="00306115" w14:paraId="7EE88FE9" w14:textId="77777777" w:rsidTr="005A6ECF">
        <w:trPr>
          <w:trHeight w:val="792"/>
        </w:trPr>
        <w:tc>
          <w:tcPr>
            <w:tcW w:w="3402" w:type="dxa"/>
            <w:gridSpan w:val="2"/>
            <w:tcBorders>
              <w:top w:val="single" w:sz="8" w:space="0" w:color="000000"/>
              <w:left w:val="single" w:sz="8" w:space="0" w:color="000000"/>
              <w:bottom w:val="single" w:sz="8" w:space="0" w:color="000000"/>
              <w:right w:val="single" w:sz="8" w:space="0" w:color="000000"/>
            </w:tcBorders>
          </w:tcPr>
          <w:p w14:paraId="501C47DF" w14:textId="77777777" w:rsidR="0017667A" w:rsidRPr="00306115" w:rsidRDefault="0017667A" w:rsidP="0017667A">
            <w:pPr>
              <w:widowControl w:val="0"/>
              <w:pBdr>
                <w:top w:val="nil"/>
                <w:left w:val="nil"/>
                <w:bottom w:val="nil"/>
                <w:right w:val="nil"/>
                <w:between w:val="nil"/>
              </w:pBdr>
              <w:tabs>
                <w:tab w:val="left" w:pos="2450"/>
                <w:tab w:val="left" w:pos="3234"/>
              </w:tabs>
              <w:spacing w:after="0" w:line="240" w:lineRule="auto"/>
              <w:rPr>
                <w:rFonts w:eastAsia="Bookman Old Style" w:cs="Bookman Old Style"/>
                <w:color w:val="000000" w:themeColor="text1"/>
                <w:szCs w:val="24"/>
                <w:lang w:val="en-GB"/>
              </w:rPr>
            </w:pPr>
            <w:bookmarkStart w:id="11" w:name="_Hlk218085278"/>
            <w:r w:rsidRPr="00306115">
              <w:rPr>
                <w:rFonts w:eastAsia="Bookman Old Style" w:cs="Bookman Old Style"/>
                <w:color w:val="000000" w:themeColor="text1"/>
                <w:szCs w:val="24"/>
                <w:lang w:val="en-GB"/>
              </w:rPr>
              <w:t xml:space="preserve">Persentase </w:t>
            </w:r>
            <w:r w:rsidRPr="00306115">
              <w:rPr>
                <w:rFonts w:eastAsia="Bookman Old Style" w:cs="Bookman Old Style"/>
                <w:color w:val="000000" w:themeColor="text1"/>
                <w:szCs w:val="24"/>
              </w:rPr>
              <w:t>(%) portofolio Efek yang diinvestasikan pada instrumen berisiko tinggi terhadap total portofolio</w:t>
            </w:r>
            <w:r w:rsidRPr="00306115">
              <w:rPr>
                <w:rFonts w:eastAsia="Bookman Old Style" w:cs="Bookman Old Style"/>
                <w:color w:val="000000" w:themeColor="text1"/>
                <w:szCs w:val="24"/>
                <w:lang w:val="en-GB"/>
              </w:rPr>
              <w:t xml:space="preserve"> </w:t>
            </w:r>
            <w:r w:rsidRPr="00306115">
              <w:rPr>
                <w:rFonts w:eastAsia="Bookman Old Style" w:cs="Bookman Old Style"/>
                <w:color w:val="000000" w:themeColor="text1"/>
                <w:szCs w:val="24"/>
              </w:rPr>
              <w:t xml:space="preserve">milik Manajer Investasi </w:t>
            </w:r>
            <w:bookmarkEnd w:id="11"/>
          </w:p>
        </w:tc>
        <w:tc>
          <w:tcPr>
            <w:tcW w:w="11340" w:type="dxa"/>
            <w:tcBorders>
              <w:top w:val="single" w:sz="8" w:space="0" w:color="000000"/>
              <w:left w:val="single" w:sz="8" w:space="0" w:color="000000"/>
              <w:bottom w:val="single" w:sz="8" w:space="0" w:color="000000"/>
              <w:right w:val="single" w:sz="8" w:space="0" w:color="000000"/>
            </w:tcBorders>
          </w:tcPr>
          <w:p w14:paraId="67FE194A" w14:textId="77777777" w:rsidR="0017667A" w:rsidRPr="00306115" w:rsidRDefault="0017667A">
            <w:pPr>
              <w:widowControl w:val="0"/>
              <w:numPr>
                <w:ilvl w:val="0"/>
                <w:numId w:val="315"/>
              </w:numPr>
              <w:pBdr>
                <w:top w:val="nil"/>
                <w:left w:val="nil"/>
                <w:bottom w:val="nil"/>
                <w:right w:val="nil"/>
                <w:between w:val="nil"/>
              </w:pBdr>
              <w:tabs>
                <w:tab w:val="left" w:pos="747"/>
              </w:tabs>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 xml:space="preserve">Parameter atau indikator ini mengukur tingkat eksposur investasi </w:t>
            </w:r>
            <w:r w:rsidRPr="00306115">
              <w:rPr>
                <w:rFonts w:eastAsia="Bookman Old Style" w:cs="Bookman Old Style"/>
                <w:color w:val="000000" w:themeColor="text1"/>
                <w:szCs w:val="24"/>
                <w:lang w:val="en-GB"/>
              </w:rPr>
              <w:t xml:space="preserve">portofolio efek yang diinvestasikan pada instrumen berisiko tinggi </w:t>
            </w:r>
            <w:r w:rsidRPr="00306115">
              <w:rPr>
                <w:rFonts w:eastAsia="Bookman Old Style" w:cs="Bookman Old Style"/>
                <w:color w:val="000000" w:themeColor="text1"/>
                <w:szCs w:val="24"/>
              </w:rPr>
              <w:t xml:space="preserve">milik Manajer Investasi sendiri terhadap total </w:t>
            </w:r>
            <w:r w:rsidRPr="00306115">
              <w:rPr>
                <w:rFonts w:eastAsia="Bookman Old Style" w:cs="Bookman Old Style"/>
                <w:color w:val="000000" w:themeColor="text1"/>
                <w:szCs w:val="24"/>
                <w:lang w:val="en-GB"/>
              </w:rPr>
              <w:t>portofolionya.</w:t>
            </w:r>
          </w:p>
          <w:p w14:paraId="1A1D1F93" w14:textId="77777777" w:rsidR="0017667A" w:rsidRPr="00306115" w:rsidRDefault="0017667A">
            <w:pPr>
              <w:widowControl w:val="0"/>
              <w:numPr>
                <w:ilvl w:val="0"/>
                <w:numId w:val="315"/>
              </w:numPr>
              <w:pBdr>
                <w:top w:val="nil"/>
                <w:left w:val="nil"/>
                <w:bottom w:val="nil"/>
                <w:right w:val="nil"/>
                <w:between w:val="nil"/>
              </w:pBdr>
              <w:tabs>
                <w:tab w:val="left" w:pos="747"/>
              </w:tabs>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lang w:val="en-GB"/>
              </w:rPr>
              <w:t xml:space="preserve">Yang </w:t>
            </w:r>
            <w:r w:rsidRPr="00306115">
              <w:rPr>
                <w:rFonts w:eastAsia="Bookman Old Style" w:cs="Bookman Old Style"/>
                <w:color w:val="000000" w:themeColor="text1"/>
                <w:szCs w:val="24"/>
              </w:rPr>
              <w:t>dimaksud</w:t>
            </w:r>
            <w:r w:rsidRPr="00306115">
              <w:rPr>
                <w:rFonts w:eastAsia="Bookman Old Style" w:cs="Bookman Old Style"/>
                <w:color w:val="000000" w:themeColor="text1"/>
                <w:szCs w:val="24"/>
                <w:lang w:val="en-GB"/>
              </w:rPr>
              <w:t xml:space="preserve"> sebagai instrumen investasi berisiko tinggi antara lain yaitu saham, derivatif, kontrak berjangka, dan efek atau instrumen lain yang berisiko tinggi.  </w:t>
            </w:r>
            <w:r w:rsidRPr="00306115">
              <w:rPr>
                <w:rFonts w:eastAsia="Bookman Old Style" w:cs="Bookman Old Style"/>
                <w:color w:val="000000" w:themeColor="text1"/>
                <w:szCs w:val="24"/>
              </w:rPr>
              <w:t xml:space="preserve"> </w:t>
            </w:r>
          </w:p>
          <w:p w14:paraId="6A510F42" w14:textId="77777777" w:rsidR="0017667A" w:rsidRPr="00306115" w:rsidRDefault="0017667A">
            <w:pPr>
              <w:widowControl w:val="0"/>
              <w:numPr>
                <w:ilvl w:val="0"/>
                <w:numId w:val="315"/>
              </w:numPr>
              <w:pBdr>
                <w:top w:val="nil"/>
                <w:left w:val="nil"/>
                <w:bottom w:val="nil"/>
                <w:right w:val="nil"/>
                <w:between w:val="nil"/>
              </w:pBdr>
              <w:tabs>
                <w:tab w:val="left" w:pos="747"/>
              </w:tabs>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 xml:space="preserve">Perhitungan dilakukan dengan menghitung total </w:t>
            </w:r>
            <w:r w:rsidRPr="00306115">
              <w:rPr>
                <w:rFonts w:eastAsia="Bookman Old Style" w:cs="Bookman Old Style"/>
                <w:color w:val="000000" w:themeColor="text1"/>
                <w:szCs w:val="24"/>
                <w:lang w:val="en-GB"/>
              </w:rPr>
              <w:t xml:space="preserve">portofolio </w:t>
            </w:r>
            <w:r w:rsidRPr="00306115">
              <w:rPr>
                <w:rFonts w:eastAsia="Bookman Old Style" w:cs="Bookman Old Style"/>
                <w:color w:val="000000" w:themeColor="text1"/>
                <w:szCs w:val="24"/>
              </w:rPr>
              <w:t>efek</w:t>
            </w:r>
            <w:r w:rsidRPr="00306115">
              <w:rPr>
                <w:rFonts w:eastAsia="Bookman Old Style" w:cs="Bookman Old Style"/>
                <w:color w:val="000000" w:themeColor="text1"/>
                <w:szCs w:val="24"/>
                <w:lang w:val="en-GB"/>
              </w:rPr>
              <w:t xml:space="preserve"> yang diinvestasikan pada instrumen berisiko tinggi</w:t>
            </w:r>
            <w:r w:rsidRPr="00306115">
              <w:rPr>
                <w:rFonts w:eastAsia="Bookman Old Style" w:cs="Bookman Old Style"/>
                <w:color w:val="000000" w:themeColor="text1"/>
                <w:szCs w:val="24"/>
              </w:rPr>
              <w:t xml:space="preserve"> Manajer Investasi yang dilakukan untuk kepentingan Manajer Investasi sendiri, kemudian dibagi dengan total </w:t>
            </w:r>
            <w:r w:rsidRPr="00306115">
              <w:rPr>
                <w:rFonts w:eastAsia="Bookman Old Style" w:cs="Bookman Old Style"/>
                <w:color w:val="000000" w:themeColor="text1"/>
                <w:szCs w:val="24"/>
                <w:lang w:val="en-GB"/>
              </w:rPr>
              <w:t xml:space="preserve">portofolio </w:t>
            </w:r>
            <w:r w:rsidRPr="00306115">
              <w:rPr>
                <w:rFonts w:eastAsia="Bookman Old Style" w:cs="Bookman Old Style"/>
                <w:color w:val="000000" w:themeColor="text1"/>
                <w:szCs w:val="24"/>
              </w:rPr>
              <w:t>Manajer Investasi</w:t>
            </w:r>
            <w:r w:rsidRPr="00306115">
              <w:rPr>
                <w:rFonts w:eastAsia="Bookman Old Style" w:cs="Bookman Old Style"/>
                <w:color w:val="000000" w:themeColor="text1"/>
                <w:szCs w:val="24"/>
                <w:lang w:val="en-GB"/>
              </w:rPr>
              <w:t xml:space="preserve"> untuk kepentingan sendiri</w:t>
            </w:r>
            <w:r w:rsidRPr="00306115">
              <w:rPr>
                <w:rFonts w:eastAsia="Bookman Old Style" w:cs="Bookman Old Style"/>
                <w:color w:val="000000" w:themeColor="text1"/>
                <w:szCs w:val="24"/>
              </w:rPr>
              <w:t xml:space="preserve">. </w:t>
            </w:r>
          </w:p>
          <w:p w14:paraId="42C35468" w14:textId="77777777" w:rsidR="0017667A" w:rsidRPr="00306115" w:rsidRDefault="0017667A">
            <w:pPr>
              <w:widowControl w:val="0"/>
              <w:numPr>
                <w:ilvl w:val="0"/>
                <w:numId w:val="315"/>
              </w:numPr>
              <w:pBdr>
                <w:top w:val="nil"/>
                <w:left w:val="nil"/>
                <w:bottom w:val="nil"/>
                <w:right w:val="nil"/>
                <w:between w:val="nil"/>
              </w:pBdr>
              <w:tabs>
                <w:tab w:val="left" w:pos="747"/>
              </w:tabs>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 xml:space="preserve">Adapun penilaian untuk parameter atau indikator ini adalah sebagai berikut: </w:t>
            </w:r>
          </w:p>
          <w:p w14:paraId="06EF2F7F" w14:textId="0A11AFC7" w:rsidR="00DA7BCD" w:rsidRPr="00306115" w:rsidRDefault="00DA7BCD">
            <w:pPr>
              <w:pStyle w:val="ListParagraph"/>
              <w:widowControl w:val="0"/>
              <w:numPr>
                <w:ilvl w:val="0"/>
                <w:numId w:val="506"/>
              </w:numPr>
              <w:pBdr>
                <w:top w:val="nil"/>
                <w:left w:val="nil"/>
                <w:bottom w:val="nil"/>
                <w:right w:val="nil"/>
                <w:between w:val="nil"/>
              </w:pBdr>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w:t>
            </w:r>
            <w:r w:rsidR="0017667A" w:rsidRPr="00306115">
              <w:rPr>
                <w:rFonts w:eastAsia="Bookman Old Style" w:cs="Bookman Old Style"/>
                <w:color w:val="000000" w:themeColor="text1"/>
                <w:szCs w:val="24"/>
              </w:rPr>
              <w:t>1: &lt;20%</w:t>
            </w:r>
          </w:p>
          <w:p w14:paraId="218F77FA" w14:textId="63912880" w:rsidR="00DA7BCD" w:rsidRPr="00306115" w:rsidRDefault="00DA7BCD">
            <w:pPr>
              <w:pStyle w:val="ListParagraph"/>
              <w:widowControl w:val="0"/>
              <w:numPr>
                <w:ilvl w:val="0"/>
                <w:numId w:val="506"/>
              </w:numPr>
              <w:pBdr>
                <w:top w:val="nil"/>
                <w:left w:val="nil"/>
                <w:bottom w:val="nil"/>
                <w:right w:val="nil"/>
                <w:between w:val="nil"/>
              </w:pBdr>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w:t>
            </w:r>
            <w:r w:rsidR="0017667A" w:rsidRPr="00306115">
              <w:rPr>
                <w:rFonts w:eastAsia="Bookman Old Style" w:cs="Bookman Old Style"/>
                <w:color w:val="000000" w:themeColor="text1"/>
                <w:szCs w:val="24"/>
              </w:rPr>
              <w:t>2: &gt;20% s.d. 30%</w:t>
            </w:r>
          </w:p>
          <w:p w14:paraId="75A58EC7" w14:textId="52CBB414" w:rsidR="00DA7BCD" w:rsidRPr="00306115" w:rsidRDefault="00DA7BCD">
            <w:pPr>
              <w:pStyle w:val="ListParagraph"/>
              <w:widowControl w:val="0"/>
              <w:numPr>
                <w:ilvl w:val="0"/>
                <w:numId w:val="506"/>
              </w:numPr>
              <w:pBdr>
                <w:top w:val="nil"/>
                <w:left w:val="nil"/>
                <w:bottom w:val="nil"/>
                <w:right w:val="nil"/>
                <w:between w:val="nil"/>
              </w:pBdr>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w:t>
            </w:r>
            <w:r w:rsidR="0017667A" w:rsidRPr="00306115">
              <w:rPr>
                <w:rFonts w:eastAsia="Bookman Old Style" w:cs="Bookman Old Style"/>
                <w:color w:val="000000" w:themeColor="text1"/>
                <w:szCs w:val="24"/>
              </w:rPr>
              <w:t>3: &gt;30% s.d. 40%</w:t>
            </w:r>
          </w:p>
          <w:p w14:paraId="50DFB037" w14:textId="6BC84D96" w:rsidR="00DA7BCD" w:rsidRPr="00306115" w:rsidRDefault="00DA7BCD">
            <w:pPr>
              <w:pStyle w:val="ListParagraph"/>
              <w:widowControl w:val="0"/>
              <w:numPr>
                <w:ilvl w:val="0"/>
                <w:numId w:val="506"/>
              </w:numPr>
              <w:pBdr>
                <w:top w:val="nil"/>
                <w:left w:val="nil"/>
                <w:bottom w:val="nil"/>
                <w:right w:val="nil"/>
                <w:between w:val="nil"/>
              </w:pBdr>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w:t>
            </w:r>
            <w:r w:rsidR="0017667A" w:rsidRPr="00306115">
              <w:rPr>
                <w:rFonts w:eastAsia="Bookman Old Style" w:cs="Bookman Old Style"/>
                <w:color w:val="000000" w:themeColor="text1"/>
                <w:szCs w:val="24"/>
              </w:rPr>
              <w:t xml:space="preserve">4: &gt;40% s.d. 50% </w:t>
            </w:r>
          </w:p>
          <w:p w14:paraId="18B8A6ED" w14:textId="7E556A06" w:rsidR="0017667A" w:rsidRPr="00306115" w:rsidRDefault="00DA7BCD">
            <w:pPr>
              <w:pStyle w:val="ListParagraph"/>
              <w:widowControl w:val="0"/>
              <w:numPr>
                <w:ilvl w:val="0"/>
                <w:numId w:val="506"/>
              </w:numPr>
              <w:pBdr>
                <w:top w:val="nil"/>
                <w:left w:val="nil"/>
                <w:bottom w:val="nil"/>
                <w:right w:val="nil"/>
                <w:between w:val="nil"/>
              </w:pBdr>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Bookman Old Style" w:cs="Bookman Old Style"/>
                <w:color w:val="000000" w:themeColor="text1"/>
                <w:szCs w:val="24"/>
              </w:rPr>
              <w:t xml:space="preserve"> </w:t>
            </w:r>
            <w:r w:rsidR="0017667A" w:rsidRPr="00306115">
              <w:rPr>
                <w:rFonts w:eastAsia="Bookman Old Style" w:cs="Bookman Old Style"/>
                <w:color w:val="000000" w:themeColor="text1"/>
                <w:szCs w:val="24"/>
              </w:rPr>
              <w:t>5: &gt;50%</w:t>
            </w:r>
          </w:p>
        </w:tc>
      </w:tr>
      <w:tr w:rsidR="0017667A" w:rsidRPr="00306115" w14:paraId="1EA50935" w14:textId="77777777" w:rsidTr="004D60F2">
        <w:trPr>
          <w:trHeight w:val="379"/>
        </w:trPr>
        <w:tc>
          <w:tcPr>
            <w:tcW w:w="14742" w:type="dxa"/>
            <w:gridSpan w:val="3"/>
            <w:tcBorders>
              <w:top w:val="single" w:sz="8" w:space="0" w:color="000000"/>
              <w:left w:val="single" w:sz="8" w:space="0" w:color="000000"/>
              <w:bottom w:val="single" w:sz="8" w:space="0" w:color="000000"/>
              <w:right w:val="single" w:sz="8" w:space="0" w:color="000000"/>
            </w:tcBorders>
            <w:shd w:val="clear" w:color="auto" w:fill="D0CECE"/>
          </w:tcPr>
          <w:p w14:paraId="3AE5D83A" w14:textId="77777777" w:rsidR="0017667A" w:rsidRPr="00306115" w:rsidRDefault="0017667A">
            <w:pPr>
              <w:pStyle w:val="ListParagraph"/>
              <w:widowControl w:val="0"/>
              <w:numPr>
                <w:ilvl w:val="0"/>
                <w:numId w:val="317"/>
              </w:numPr>
              <w:pBdr>
                <w:top w:val="nil"/>
                <w:left w:val="nil"/>
                <w:bottom w:val="nil"/>
                <w:right w:val="nil"/>
                <w:between w:val="nil"/>
              </w:pBdr>
              <w:spacing w:before="60" w:after="60" w:line="240" w:lineRule="auto"/>
              <w:ind w:left="567" w:hanging="567"/>
              <w:contextualSpacing w:val="0"/>
              <w:rPr>
                <w:rFonts w:eastAsia="Bookman Old Style" w:cs="Bookman Old Style"/>
                <w:b/>
                <w:bCs/>
                <w:color w:val="000000" w:themeColor="text1"/>
                <w:szCs w:val="24"/>
              </w:rPr>
            </w:pPr>
            <w:r w:rsidRPr="00306115">
              <w:rPr>
                <w:rFonts w:eastAsia="Bookman Old Style" w:cs="Bookman Old Style"/>
                <w:b/>
                <w:bCs/>
                <w:color w:val="000000" w:themeColor="text1"/>
                <w:szCs w:val="24"/>
              </w:rPr>
              <w:t>Kualitas Penerapan Manajemen Risiko</w:t>
            </w:r>
          </w:p>
        </w:tc>
      </w:tr>
      <w:tr w:rsidR="0017667A" w:rsidRPr="00306115" w14:paraId="40C1A32F" w14:textId="77777777" w:rsidTr="004D60F2">
        <w:trPr>
          <w:trHeight w:val="379"/>
        </w:trPr>
        <w:tc>
          <w:tcPr>
            <w:tcW w:w="1276" w:type="dxa"/>
            <w:tcBorders>
              <w:top w:val="single" w:sz="8" w:space="0" w:color="000000"/>
              <w:left w:val="single" w:sz="8" w:space="0" w:color="000000"/>
              <w:bottom w:val="single" w:sz="8" w:space="0" w:color="000000"/>
              <w:right w:val="single" w:sz="8" w:space="0" w:color="000000"/>
            </w:tcBorders>
          </w:tcPr>
          <w:p w14:paraId="3C5EEB74" w14:textId="77777777" w:rsidR="0017667A" w:rsidRPr="00306115" w:rsidRDefault="0017667A">
            <w:pPr>
              <w:widowControl w:val="0"/>
              <w:numPr>
                <w:ilvl w:val="2"/>
                <w:numId w:val="316"/>
              </w:numPr>
              <w:pBdr>
                <w:top w:val="nil"/>
                <w:left w:val="nil"/>
                <w:bottom w:val="nil"/>
                <w:right w:val="nil"/>
                <w:between w:val="nil"/>
              </w:pBdr>
              <w:spacing w:before="97" w:after="0" w:line="295" w:lineRule="auto"/>
              <w:ind w:left="847" w:right="80" w:hanging="511"/>
              <w:jc w:val="left"/>
              <w:rPr>
                <w:rFonts w:eastAsia="Bookman Old Style" w:cs="Bookman Old Style"/>
                <w:b/>
                <w:bCs/>
                <w:color w:val="000000" w:themeColor="text1"/>
                <w:szCs w:val="24"/>
              </w:rPr>
            </w:pPr>
          </w:p>
        </w:tc>
        <w:tc>
          <w:tcPr>
            <w:tcW w:w="13466" w:type="dxa"/>
            <w:gridSpan w:val="2"/>
            <w:tcBorders>
              <w:top w:val="single" w:sz="8" w:space="0" w:color="000000"/>
              <w:left w:val="single" w:sz="8" w:space="0" w:color="000000"/>
              <w:bottom w:val="single" w:sz="8" w:space="0" w:color="000000"/>
              <w:right w:val="single" w:sz="8" w:space="0" w:color="000000"/>
            </w:tcBorders>
          </w:tcPr>
          <w:p w14:paraId="207B99A2" w14:textId="77777777" w:rsidR="0017667A" w:rsidRPr="00306115" w:rsidRDefault="0017667A" w:rsidP="0017667A">
            <w:pPr>
              <w:widowControl w:val="0"/>
              <w:pBdr>
                <w:top w:val="nil"/>
                <w:left w:val="nil"/>
                <w:bottom w:val="nil"/>
                <w:right w:val="nil"/>
                <w:between w:val="nil"/>
              </w:pBdr>
              <w:spacing w:before="60" w:after="6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Tata kelola risiko (</w:t>
            </w:r>
            <w:r w:rsidRPr="00306115">
              <w:rPr>
                <w:rFonts w:eastAsia="Bookman Old Style" w:cs="Bookman Old Style"/>
                <w:i/>
                <w:iCs/>
                <w:color w:val="000000" w:themeColor="text1"/>
                <w:szCs w:val="24"/>
              </w:rPr>
              <w:t>risk governance</w:t>
            </w:r>
            <w:r w:rsidRPr="00306115">
              <w:rPr>
                <w:rFonts w:eastAsia="Bookman Old Style" w:cs="Bookman Old Style"/>
                <w:color w:val="000000" w:themeColor="text1"/>
                <w:szCs w:val="24"/>
              </w:rPr>
              <w:t>) mencakup evaluasi terhadap: (i) perumusan tingkat risiko yang akan diambil (</w:t>
            </w:r>
            <w:r w:rsidRPr="00306115">
              <w:rPr>
                <w:rFonts w:eastAsia="Bookman Old Style" w:cs="Bookman Old Style"/>
                <w:i/>
                <w:iCs/>
                <w:color w:val="000000" w:themeColor="text1"/>
                <w:szCs w:val="24"/>
              </w:rPr>
              <w:t>risk appetite</w:t>
            </w:r>
            <w:r w:rsidRPr="00306115">
              <w:rPr>
                <w:rFonts w:eastAsia="Bookman Old Style" w:cs="Bookman Old Style"/>
                <w:color w:val="000000" w:themeColor="text1"/>
                <w:szCs w:val="24"/>
              </w:rPr>
              <w:t>) dan toleransi risiko (</w:t>
            </w:r>
            <w:r w:rsidRPr="00306115">
              <w:rPr>
                <w:rFonts w:eastAsia="Bookman Old Style" w:cs="Bookman Old Style"/>
                <w:i/>
                <w:iCs/>
                <w:color w:val="000000" w:themeColor="text1"/>
                <w:szCs w:val="24"/>
              </w:rPr>
              <w:t>risk tolerance</w:t>
            </w:r>
            <w:r w:rsidRPr="00306115">
              <w:rPr>
                <w:rFonts w:eastAsia="Bookman Old Style" w:cs="Bookman Old Style"/>
                <w:color w:val="000000" w:themeColor="text1"/>
                <w:szCs w:val="24"/>
              </w:rPr>
              <w:t xml:space="preserve">) dan (ii) kecukupan pengawasan aktif oleh Direksi dan Dewan </w:t>
            </w:r>
            <w:r w:rsidRPr="00306115">
              <w:rPr>
                <w:rFonts w:eastAsia="Bookman Old Style" w:cs="Bookman Old Style"/>
                <w:color w:val="000000" w:themeColor="text1"/>
                <w:szCs w:val="24"/>
              </w:rPr>
              <w:lastRenderedPageBreak/>
              <w:t>Komisaris termasuk pelaksanaan kewenangan dan tanggung jawab Direksi dan Dewan Komisaris.</w:t>
            </w:r>
          </w:p>
        </w:tc>
      </w:tr>
      <w:tr w:rsidR="0017667A" w:rsidRPr="00306115" w14:paraId="4E29ADF9" w14:textId="77777777" w:rsidTr="004D60F2">
        <w:trPr>
          <w:trHeight w:val="379"/>
        </w:trPr>
        <w:tc>
          <w:tcPr>
            <w:tcW w:w="1276" w:type="dxa"/>
            <w:tcBorders>
              <w:top w:val="single" w:sz="8" w:space="0" w:color="000000"/>
              <w:left w:val="single" w:sz="8" w:space="0" w:color="000000"/>
              <w:bottom w:val="single" w:sz="8" w:space="0" w:color="000000"/>
              <w:right w:val="single" w:sz="8" w:space="0" w:color="000000"/>
            </w:tcBorders>
          </w:tcPr>
          <w:p w14:paraId="5F9E18EA" w14:textId="77777777" w:rsidR="0017667A" w:rsidRPr="00306115" w:rsidRDefault="0017667A">
            <w:pPr>
              <w:widowControl w:val="0"/>
              <w:numPr>
                <w:ilvl w:val="2"/>
                <w:numId w:val="316"/>
              </w:numPr>
              <w:pBdr>
                <w:top w:val="nil"/>
                <w:left w:val="nil"/>
                <w:bottom w:val="nil"/>
                <w:right w:val="nil"/>
                <w:between w:val="nil"/>
              </w:pBdr>
              <w:spacing w:before="97" w:after="0" w:line="295" w:lineRule="auto"/>
              <w:ind w:left="847" w:right="80" w:hanging="511"/>
              <w:jc w:val="left"/>
              <w:rPr>
                <w:rFonts w:eastAsia="Bookman Old Style" w:cs="Bookman Old Style"/>
                <w:b/>
                <w:bCs/>
                <w:color w:val="000000" w:themeColor="text1"/>
                <w:szCs w:val="24"/>
              </w:rPr>
            </w:pPr>
          </w:p>
        </w:tc>
        <w:tc>
          <w:tcPr>
            <w:tcW w:w="13466" w:type="dxa"/>
            <w:gridSpan w:val="2"/>
            <w:tcBorders>
              <w:top w:val="single" w:sz="8" w:space="0" w:color="000000"/>
              <w:left w:val="single" w:sz="8" w:space="0" w:color="000000"/>
              <w:bottom w:val="single" w:sz="8" w:space="0" w:color="000000"/>
              <w:right w:val="single" w:sz="8" w:space="0" w:color="000000"/>
            </w:tcBorders>
          </w:tcPr>
          <w:p w14:paraId="4F2EB6DA" w14:textId="77777777" w:rsidR="0017667A" w:rsidRPr="00306115" w:rsidRDefault="0017667A" w:rsidP="0017667A">
            <w:pPr>
              <w:widowControl w:val="0"/>
              <w:pBdr>
                <w:top w:val="nil"/>
                <w:left w:val="nil"/>
                <w:bottom w:val="nil"/>
                <w:right w:val="nil"/>
                <w:between w:val="nil"/>
              </w:pBdr>
              <w:spacing w:before="60" w:after="6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Kerangka Manajemen Risiko mencakup evaluasi terhadap: (i) strategi Manajemen Risiko yang searah dengan tingkat risiko yang akan diambil dan toleransi risiko; (ii) kecukupan perangkat organisasi dalam mendukung terlaksananya Manajemen Risiko secara efektif termasuk kejelasan wewenang dan tanggung jawab; dan (iii) kecukupan kebijakan dan prosedur Manajemen Risiko serta penetapan limit risiko.</w:t>
            </w:r>
          </w:p>
        </w:tc>
      </w:tr>
      <w:tr w:rsidR="0017667A" w:rsidRPr="00306115" w14:paraId="124D3062" w14:textId="77777777" w:rsidTr="004D60F2">
        <w:trPr>
          <w:trHeight w:val="379"/>
        </w:trPr>
        <w:tc>
          <w:tcPr>
            <w:tcW w:w="1276" w:type="dxa"/>
            <w:tcBorders>
              <w:top w:val="single" w:sz="8" w:space="0" w:color="000000"/>
              <w:left w:val="single" w:sz="8" w:space="0" w:color="000000"/>
              <w:bottom w:val="single" w:sz="8" w:space="0" w:color="000000"/>
              <w:right w:val="single" w:sz="8" w:space="0" w:color="000000"/>
            </w:tcBorders>
          </w:tcPr>
          <w:p w14:paraId="30040F10" w14:textId="77777777" w:rsidR="0017667A" w:rsidRPr="00306115" w:rsidRDefault="0017667A">
            <w:pPr>
              <w:widowControl w:val="0"/>
              <w:numPr>
                <w:ilvl w:val="2"/>
                <w:numId w:val="316"/>
              </w:numPr>
              <w:pBdr>
                <w:top w:val="nil"/>
                <w:left w:val="nil"/>
                <w:bottom w:val="nil"/>
                <w:right w:val="nil"/>
                <w:between w:val="nil"/>
              </w:pBdr>
              <w:spacing w:before="97" w:after="0" w:line="295" w:lineRule="auto"/>
              <w:ind w:left="847" w:right="80" w:hanging="511"/>
              <w:jc w:val="left"/>
              <w:rPr>
                <w:rFonts w:eastAsia="Bookman Old Style" w:cs="Bookman Old Style"/>
                <w:b/>
                <w:bCs/>
                <w:color w:val="000000" w:themeColor="text1"/>
                <w:szCs w:val="24"/>
              </w:rPr>
            </w:pPr>
          </w:p>
        </w:tc>
        <w:tc>
          <w:tcPr>
            <w:tcW w:w="13466" w:type="dxa"/>
            <w:gridSpan w:val="2"/>
            <w:tcBorders>
              <w:top w:val="single" w:sz="8" w:space="0" w:color="000000"/>
              <w:left w:val="single" w:sz="8" w:space="0" w:color="000000"/>
              <w:bottom w:val="single" w:sz="8" w:space="0" w:color="000000"/>
              <w:right w:val="single" w:sz="8" w:space="0" w:color="000000"/>
            </w:tcBorders>
          </w:tcPr>
          <w:p w14:paraId="26C297FB" w14:textId="77777777" w:rsidR="0017667A" w:rsidRPr="00306115" w:rsidRDefault="0017667A" w:rsidP="0017667A">
            <w:pPr>
              <w:widowControl w:val="0"/>
              <w:pBdr>
                <w:top w:val="nil"/>
                <w:left w:val="nil"/>
                <w:bottom w:val="nil"/>
                <w:right w:val="nil"/>
                <w:between w:val="nil"/>
              </w:pBdr>
              <w:spacing w:before="60" w:after="6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Proses Manajemen Risiko, sistem informasi, dan sumber daya manusia mencakup evaluasi terhadap: (i) proses identifikasi, pengukuran, pemantauan, dan pengendalian risiko; (ii) kecukupan sistem informasi Manajemen Risiko; dan (iii) kecukupan kuantitas dan kualitas sumber daya manusia dalam mendukung efektivitas proses Manajemen Risiko.</w:t>
            </w:r>
          </w:p>
        </w:tc>
      </w:tr>
      <w:tr w:rsidR="0017667A" w:rsidRPr="00306115" w14:paraId="33DDDAAD" w14:textId="77777777" w:rsidTr="004D60F2">
        <w:trPr>
          <w:trHeight w:val="379"/>
        </w:trPr>
        <w:tc>
          <w:tcPr>
            <w:tcW w:w="1276" w:type="dxa"/>
            <w:tcBorders>
              <w:top w:val="single" w:sz="8" w:space="0" w:color="000000"/>
              <w:left w:val="single" w:sz="8" w:space="0" w:color="000000"/>
              <w:bottom w:val="single" w:sz="8" w:space="0" w:color="000000"/>
              <w:right w:val="single" w:sz="8" w:space="0" w:color="000000"/>
            </w:tcBorders>
          </w:tcPr>
          <w:p w14:paraId="3645DBEB" w14:textId="77777777" w:rsidR="0017667A" w:rsidRPr="00306115" w:rsidRDefault="0017667A">
            <w:pPr>
              <w:widowControl w:val="0"/>
              <w:numPr>
                <w:ilvl w:val="2"/>
                <w:numId w:val="316"/>
              </w:numPr>
              <w:pBdr>
                <w:top w:val="nil"/>
                <w:left w:val="nil"/>
                <w:bottom w:val="nil"/>
                <w:right w:val="nil"/>
                <w:between w:val="nil"/>
              </w:pBdr>
              <w:spacing w:before="97" w:after="0" w:line="295" w:lineRule="auto"/>
              <w:ind w:left="847" w:right="80" w:hanging="511"/>
              <w:jc w:val="left"/>
              <w:rPr>
                <w:rFonts w:eastAsia="Bookman Old Style" w:cs="Bookman Old Style"/>
                <w:b/>
                <w:bCs/>
                <w:color w:val="000000" w:themeColor="text1"/>
                <w:szCs w:val="24"/>
              </w:rPr>
            </w:pPr>
          </w:p>
        </w:tc>
        <w:tc>
          <w:tcPr>
            <w:tcW w:w="13466" w:type="dxa"/>
            <w:gridSpan w:val="2"/>
            <w:tcBorders>
              <w:top w:val="single" w:sz="8" w:space="0" w:color="000000"/>
              <w:left w:val="single" w:sz="8" w:space="0" w:color="000000"/>
              <w:bottom w:val="single" w:sz="8" w:space="0" w:color="000000"/>
              <w:right w:val="single" w:sz="8" w:space="0" w:color="000000"/>
            </w:tcBorders>
          </w:tcPr>
          <w:p w14:paraId="3112A8AE" w14:textId="1153F7B6" w:rsidR="0017667A" w:rsidRPr="00306115" w:rsidRDefault="0017667A" w:rsidP="0017667A">
            <w:pPr>
              <w:widowControl w:val="0"/>
              <w:pBdr>
                <w:top w:val="nil"/>
                <w:left w:val="nil"/>
                <w:bottom w:val="nil"/>
                <w:right w:val="nil"/>
                <w:between w:val="nil"/>
              </w:pBdr>
              <w:spacing w:before="60" w:after="6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 xml:space="preserve">Sistem pengendalian risiko mencakup evaluasi terhadap: (i) kecukupan sistem pengendalian internal dan (ii) kecukupan kaji ulang oleh pihak independen dalam Manajer Investasi baik oleh fungsi </w:t>
            </w:r>
            <w:r w:rsidR="001008B5" w:rsidRPr="00306115">
              <w:rPr>
                <w:color w:val="000000" w:themeColor="text1"/>
              </w:rPr>
              <w:t>Manajemen Risiko</w:t>
            </w:r>
            <w:r w:rsidR="001008B5" w:rsidRPr="00306115">
              <w:rPr>
                <w:rFonts w:eastAsia="Bookman Old Style" w:cs="Bookman Old Style"/>
                <w:color w:val="000000" w:themeColor="text1"/>
                <w:szCs w:val="24"/>
              </w:rPr>
              <w:t xml:space="preserve"> </w:t>
            </w:r>
            <w:r w:rsidRPr="00306115">
              <w:rPr>
                <w:rFonts w:eastAsia="Bookman Old Style" w:cs="Bookman Old Style"/>
                <w:color w:val="000000" w:themeColor="text1"/>
                <w:szCs w:val="24"/>
              </w:rPr>
              <w:t>maupun fungsi audit internal.</w:t>
            </w:r>
          </w:p>
        </w:tc>
      </w:tr>
    </w:tbl>
    <w:p w14:paraId="22284F1C" w14:textId="57AF318D" w:rsidR="00B729B3" w:rsidRPr="00306115" w:rsidRDefault="00BD6A89" w:rsidP="00B729B3">
      <w:pPr>
        <w:pStyle w:val="HeadingAwalDaftarIsiLampiran"/>
        <w:numPr>
          <w:ilvl w:val="0"/>
          <w:numId w:val="0"/>
        </w:numPr>
        <w:tabs>
          <w:tab w:val="left" w:pos="1843"/>
        </w:tabs>
        <w:ind w:left="1134"/>
        <w:rPr>
          <w:rFonts w:eastAsia="Bookman Old Style" w:cs="Bookman Old Style"/>
        </w:rPr>
      </w:pPr>
      <w:r w:rsidRPr="00306115">
        <w:rPr>
          <w:rFonts w:eastAsia="Bookman Old Style" w:cs="Bookman Old Style"/>
        </w:rPr>
        <w:t xml:space="preserve">*) Merupakan parameter atau indikator minimal dan Manajer Investasi dapat menambah parameter atau indikator lain sesuai dengan karakteristik, kompleksitas usaha, dan kemampuan Manajer Investasi. Penilaian dilakukan dengan posisi akhir per 31 Desember posisi dan tren selama yang mencakup penilaian selama 12 (dua belas) bulan terakhir untuk parameter atau indikator pada Lampiran </w:t>
      </w:r>
      <w:r w:rsidR="00DA7BCD" w:rsidRPr="00306115">
        <w:rPr>
          <w:rFonts w:eastAsia="Bookman Old Style" w:cs="Bookman Old Style"/>
        </w:rPr>
        <w:t xml:space="preserve">IV </w:t>
      </w:r>
      <w:r w:rsidR="00DA7BCD" w:rsidRPr="00306115">
        <w:t>yang merupakan bagian tidak terpisahkan dari Peraturan Anggota Dewan Komisioner Otoritas Jasa Keuangan ini</w:t>
      </w:r>
      <w:r w:rsidRPr="00306115">
        <w:rPr>
          <w:rFonts w:eastAsia="Bookman Old Style" w:cs="Bookman Old Style"/>
        </w:rPr>
        <w:t>.</w:t>
      </w:r>
    </w:p>
    <w:p w14:paraId="0D81B993" w14:textId="77777777" w:rsidR="007D48B8" w:rsidRPr="00306115" w:rsidRDefault="007D48B8" w:rsidP="007B1BBA">
      <w:pPr>
        <w:pStyle w:val="HeadingAwalDaftarIsiLampiran"/>
        <w:numPr>
          <w:ilvl w:val="0"/>
          <w:numId w:val="0"/>
        </w:numPr>
        <w:tabs>
          <w:tab w:val="left" w:pos="1843"/>
        </w:tabs>
        <w:rPr>
          <w:sz w:val="32"/>
          <w:szCs w:val="32"/>
        </w:rPr>
      </w:pPr>
    </w:p>
    <w:p w14:paraId="49A47B8E" w14:textId="44C2513E" w:rsidR="00B729B3" w:rsidRPr="00306115" w:rsidRDefault="00B729B3">
      <w:pPr>
        <w:pStyle w:val="HeadingAwalDaftarIsiLampiran"/>
        <w:numPr>
          <w:ilvl w:val="0"/>
          <w:numId w:val="314"/>
        </w:numPr>
        <w:tabs>
          <w:tab w:val="left" w:pos="1843"/>
        </w:tabs>
        <w:ind w:left="1134" w:hanging="567"/>
        <w:rPr>
          <w:sz w:val="28"/>
          <w:szCs w:val="28"/>
        </w:rPr>
      </w:pPr>
      <w:r w:rsidRPr="00306115">
        <w:rPr>
          <w:rFonts w:eastAsia="Bookman Old Style" w:cs="Bookman Old Style"/>
        </w:rPr>
        <w:t>Penilaian Risiko Investasi</w:t>
      </w:r>
    </w:p>
    <w:p w14:paraId="75AE4ACB" w14:textId="770CD792" w:rsidR="00BD6A89" w:rsidRPr="00306115" w:rsidRDefault="007015EC">
      <w:pPr>
        <w:pStyle w:val="HeadingAwalDaftarIsiLampiran"/>
        <w:numPr>
          <w:ilvl w:val="6"/>
          <w:numId w:val="297"/>
        </w:numPr>
        <w:tabs>
          <w:tab w:val="left" w:pos="1843"/>
        </w:tabs>
        <w:ind w:left="1701" w:hanging="567"/>
      </w:pPr>
      <w:r w:rsidRPr="00306115">
        <w:rPr>
          <w:rFonts w:eastAsia="Bookman Old Style" w:cs="Bookman Old Style"/>
        </w:rPr>
        <w:t>Penilaian Risiko Investasi dilakukan berdasarkan hasil penilaian masing-masing parameter atau indikator Risiko Investasi menggunakan analisis yang komprehensif dan terstruktur sehingga memberikan gambaran secara menyeluruh terkait Risiko Investasi.</w:t>
      </w:r>
    </w:p>
    <w:p w14:paraId="12774771" w14:textId="5FDA0214" w:rsidR="007B7F06" w:rsidRPr="00306115" w:rsidRDefault="007B7F06">
      <w:pPr>
        <w:pStyle w:val="HeadingAwalDaftarIsiLampiran"/>
        <w:numPr>
          <w:ilvl w:val="6"/>
          <w:numId w:val="297"/>
        </w:numPr>
        <w:tabs>
          <w:tab w:val="left" w:pos="1843"/>
        </w:tabs>
        <w:ind w:left="1701" w:hanging="567"/>
      </w:pPr>
      <w:r w:rsidRPr="00306115">
        <w:rPr>
          <w:lang w:val="id"/>
        </w:rPr>
        <w:t xml:space="preserve">Dalam menentukan tingkat atau nilai Risiko, perlu dipertimbangkan secara umum seluruh indikator Risiko </w:t>
      </w:r>
      <w:r w:rsidRPr="00306115">
        <w:rPr>
          <w:lang w:val="en-GB"/>
        </w:rPr>
        <w:t>Investasi</w:t>
      </w:r>
      <w:r w:rsidRPr="00306115">
        <w:rPr>
          <w:lang w:val="id"/>
        </w:rPr>
        <w:t>. Untuk memastikan akuntabilitas dan kedalaman analisis, setiap penilaian tersebut diwajibkan untuk memuat keterangan secara komprehensif.</w:t>
      </w:r>
    </w:p>
    <w:p w14:paraId="56830632" w14:textId="7D099F71" w:rsidR="007015EC" w:rsidRPr="00306115" w:rsidRDefault="00DE1D11">
      <w:pPr>
        <w:pStyle w:val="HeadingAwalDaftarIsiLampiran"/>
        <w:numPr>
          <w:ilvl w:val="6"/>
          <w:numId w:val="297"/>
        </w:numPr>
        <w:tabs>
          <w:tab w:val="left" w:pos="1843"/>
        </w:tabs>
        <w:ind w:left="1701" w:hanging="567"/>
      </w:pPr>
      <w:r w:rsidRPr="00306115">
        <w:rPr>
          <w:rFonts w:eastAsia="Bookman Old Style" w:cs="Bookman Old Style"/>
        </w:rPr>
        <w:t>Penilaian parameter atau indikator Risiko Investasi menggunakan tabel berikut:</w:t>
      </w:r>
    </w:p>
    <w:tbl>
      <w:tblPr>
        <w:tblW w:w="14175" w:type="dxa"/>
        <w:tblInd w:w="16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8499"/>
        <w:gridCol w:w="2839"/>
        <w:gridCol w:w="2837"/>
      </w:tblGrid>
      <w:tr w:rsidR="004D60F2" w:rsidRPr="00306115" w14:paraId="0AE14230" w14:textId="77777777" w:rsidTr="004D60F2">
        <w:trPr>
          <w:trHeight w:val="557"/>
        </w:trPr>
        <w:tc>
          <w:tcPr>
            <w:tcW w:w="14175" w:type="dxa"/>
            <w:gridSpan w:val="3"/>
            <w:tcBorders>
              <w:top w:val="single" w:sz="8" w:space="0" w:color="000000"/>
              <w:left w:val="single" w:sz="8" w:space="0" w:color="000000"/>
              <w:bottom w:val="single" w:sz="8" w:space="0" w:color="000000"/>
              <w:right w:val="single" w:sz="8" w:space="0" w:color="000000"/>
            </w:tcBorders>
            <w:shd w:val="clear" w:color="auto" w:fill="BEBEBE"/>
          </w:tcPr>
          <w:p w14:paraId="733D1F28" w14:textId="77777777" w:rsidR="004D60F2" w:rsidRPr="00306115" w:rsidRDefault="004D60F2" w:rsidP="00B05CB0">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 w:val="22"/>
              </w:rPr>
            </w:pPr>
            <w:r w:rsidRPr="00306115">
              <w:rPr>
                <w:rFonts w:eastAsia="Bookman Old Style" w:cs="Bookman Old Style"/>
                <w:b/>
                <w:bCs/>
                <w:color w:val="000000" w:themeColor="text1"/>
                <w:sz w:val="22"/>
              </w:rPr>
              <w:t>PT ABC Investment Management</w:t>
            </w:r>
          </w:p>
        </w:tc>
      </w:tr>
      <w:tr w:rsidR="004D60F2" w:rsidRPr="00306115" w14:paraId="043EF9AE" w14:textId="77777777" w:rsidTr="004D60F2">
        <w:trPr>
          <w:trHeight w:val="572"/>
        </w:trPr>
        <w:tc>
          <w:tcPr>
            <w:tcW w:w="8499" w:type="dxa"/>
            <w:tcBorders>
              <w:top w:val="single" w:sz="8" w:space="0" w:color="000000"/>
              <w:left w:val="single" w:sz="8" w:space="0" w:color="000000"/>
              <w:bottom w:val="single" w:sz="8" w:space="0" w:color="000000"/>
              <w:right w:val="single" w:sz="8" w:space="0" w:color="000000"/>
            </w:tcBorders>
            <w:shd w:val="clear" w:color="auto" w:fill="BEBEBE"/>
          </w:tcPr>
          <w:p w14:paraId="7EB4DA44" w14:textId="77777777" w:rsidR="004D60F2" w:rsidRPr="00306115" w:rsidRDefault="004D60F2" w:rsidP="00B05CB0">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 w:val="22"/>
              </w:rPr>
            </w:pPr>
            <w:r w:rsidRPr="00306115">
              <w:rPr>
                <w:rFonts w:eastAsia="Bookman Old Style" w:cs="Bookman Old Style"/>
                <w:b/>
                <w:bCs/>
                <w:color w:val="000000" w:themeColor="text1"/>
                <w:sz w:val="22"/>
              </w:rPr>
              <w:lastRenderedPageBreak/>
              <w:t>Indikator</w:t>
            </w:r>
          </w:p>
        </w:tc>
        <w:tc>
          <w:tcPr>
            <w:tcW w:w="2839" w:type="dxa"/>
            <w:tcBorders>
              <w:top w:val="single" w:sz="8" w:space="0" w:color="000000"/>
              <w:left w:val="single" w:sz="8" w:space="0" w:color="000000"/>
              <w:bottom w:val="single" w:sz="8" w:space="0" w:color="000000"/>
              <w:right w:val="single" w:sz="8" w:space="0" w:color="000000"/>
            </w:tcBorders>
            <w:shd w:val="clear" w:color="auto" w:fill="BEBEBE"/>
          </w:tcPr>
          <w:p w14:paraId="7B2650B2" w14:textId="42B6E4B7" w:rsidR="004D60F2" w:rsidRPr="00306115" w:rsidRDefault="007B7F06" w:rsidP="00B05CB0">
            <w:pPr>
              <w:widowControl w:val="0"/>
              <w:pBdr>
                <w:top w:val="nil"/>
                <w:left w:val="nil"/>
                <w:bottom w:val="nil"/>
                <w:right w:val="nil"/>
                <w:between w:val="nil"/>
              </w:pBdr>
              <w:spacing w:before="60" w:after="60" w:line="240" w:lineRule="auto"/>
              <w:jc w:val="center"/>
              <w:rPr>
                <w:rFonts w:eastAsia="Bookman Old Style" w:cs="Bookman Old Style"/>
                <w:b/>
                <w:bCs/>
                <w:strike/>
                <w:color w:val="000000" w:themeColor="text1"/>
                <w:sz w:val="22"/>
              </w:rPr>
            </w:pPr>
            <w:r w:rsidRPr="00306115">
              <w:rPr>
                <w:rFonts w:eastAsia="Bookman Old Style" w:cs="Bookman Old Style"/>
                <w:b/>
                <w:bCs/>
                <w:color w:val="000000" w:themeColor="text1"/>
                <w:sz w:val="22"/>
              </w:rPr>
              <w:t>Peringkat</w:t>
            </w:r>
          </w:p>
        </w:tc>
        <w:tc>
          <w:tcPr>
            <w:tcW w:w="2837" w:type="dxa"/>
            <w:tcBorders>
              <w:top w:val="single" w:sz="8" w:space="0" w:color="000000"/>
              <w:left w:val="single" w:sz="8" w:space="0" w:color="000000"/>
              <w:bottom w:val="single" w:sz="8" w:space="0" w:color="000000"/>
              <w:right w:val="single" w:sz="8" w:space="0" w:color="000000"/>
            </w:tcBorders>
            <w:shd w:val="clear" w:color="auto" w:fill="BEBEBE"/>
          </w:tcPr>
          <w:p w14:paraId="07F2AF62" w14:textId="77777777" w:rsidR="004D60F2" w:rsidRPr="00306115" w:rsidRDefault="004D60F2" w:rsidP="00B05CB0">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 w:val="22"/>
              </w:rPr>
            </w:pPr>
            <w:r w:rsidRPr="00306115">
              <w:rPr>
                <w:rFonts w:eastAsia="Bookman Old Style" w:cs="Bookman Old Style"/>
                <w:b/>
                <w:bCs/>
                <w:color w:val="000000" w:themeColor="text1"/>
                <w:sz w:val="22"/>
              </w:rPr>
              <w:t>Keterangan</w:t>
            </w:r>
          </w:p>
        </w:tc>
      </w:tr>
      <w:tr w:rsidR="004D60F2" w:rsidRPr="00306115" w14:paraId="5768829B" w14:textId="77777777" w:rsidTr="004D60F2">
        <w:trPr>
          <w:trHeight w:val="556"/>
        </w:trPr>
        <w:tc>
          <w:tcPr>
            <w:tcW w:w="8499" w:type="dxa"/>
            <w:tcBorders>
              <w:top w:val="single" w:sz="8" w:space="0" w:color="000000"/>
              <w:left w:val="single" w:sz="8" w:space="0" w:color="000000"/>
              <w:bottom w:val="single" w:sz="8" w:space="0" w:color="000000"/>
              <w:right w:val="single" w:sz="8" w:space="0" w:color="000000"/>
            </w:tcBorders>
          </w:tcPr>
          <w:p w14:paraId="7EFD28BA" w14:textId="77777777" w:rsidR="004D60F2" w:rsidRPr="00306115" w:rsidRDefault="004D60F2" w:rsidP="00B05CB0">
            <w:pPr>
              <w:widowControl w:val="0"/>
              <w:pBdr>
                <w:top w:val="nil"/>
                <w:left w:val="nil"/>
                <w:bottom w:val="nil"/>
                <w:right w:val="nil"/>
                <w:between w:val="nil"/>
              </w:pBdr>
              <w:spacing w:after="0" w:line="240" w:lineRule="auto"/>
              <w:rPr>
                <w:rFonts w:eastAsia="Bookman Old Style" w:cs="Bookman Old Style"/>
                <w:color w:val="000000" w:themeColor="text1"/>
                <w:sz w:val="22"/>
              </w:rPr>
            </w:pPr>
            <w:r w:rsidRPr="00306115">
              <w:rPr>
                <w:rFonts w:eastAsia="Bookman Old Style" w:cs="Bookman Old Style"/>
                <w:color w:val="000000" w:themeColor="text1"/>
                <w:sz w:val="22"/>
                <w:lang w:val="en-GB"/>
              </w:rPr>
              <w:t xml:space="preserve">Persentase </w:t>
            </w:r>
            <w:r w:rsidRPr="00306115">
              <w:rPr>
                <w:rFonts w:eastAsia="Bookman Old Style" w:cs="Bookman Old Style"/>
                <w:color w:val="000000" w:themeColor="text1"/>
                <w:sz w:val="22"/>
              </w:rPr>
              <w:t>(%) portofolio Efek yang diinvestasikan pada instrumen berisiko tinggi terhadap total portofolio</w:t>
            </w:r>
            <w:r w:rsidRPr="00306115">
              <w:rPr>
                <w:rFonts w:eastAsia="Bookman Old Style" w:cs="Bookman Old Style"/>
                <w:color w:val="000000" w:themeColor="text1"/>
                <w:sz w:val="22"/>
                <w:lang w:val="en-GB"/>
              </w:rPr>
              <w:t xml:space="preserve"> </w:t>
            </w:r>
            <w:r w:rsidRPr="00306115">
              <w:rPr>
                <w:rFonts w:eastAsia="Bookman Old Style" w:cs="Bookman Old Style"/>
                <w:color w:val="000000" w:themeColor="text1"/>
                <w:sz w:val="22"/>
              </w:rPr>
              <w:t>milik Manajer Investasi</w:t>
            </w:r>
          </w:p>
        </w:tc>
        <w:tc>
          <w:tcPr>
            <w:tcW w:w="2839" w:type="dxa"/>
            <w:tcBorders>
              <w:top w:val="single" w:sz="8" w:space="0" w:color="000000"/>
              <w:left w:val="single" w:sz="8" w:space="0" w:color="000000"/>
              <w:bottom w:val="single" w:sz="8" w:space="0" w:color="000000"/>
              <w:right w:val="single" w:sz="8" w:space="0" w:color="000000"/>
            </w:tcBorders>
          </w:tcPr>
          <w:p w14:paraId="51106154" w14:textId="77777777" w:rsidR="004D60F2" w:rsidRPr="00306115" w:rsidRDefault="004D60F2" w:rsidP="00B05CB0">
            <w:pPr>
              <w:widowControl w:val="0"/>
              <w:pBdr>
                <w:top w:val="nil"/>
                <w:left w:val="nil"/>
                <w:bottom w:val="nil"/>
                <w:right w:val="nil"/>
                <w:between w:val="nil"/>
              </w:pBdr>
              <w:spacing w:after="0" w:line="240" w:lineRule="auto"/>
              <w:rPr>
                <w:rFonts w:eastAsia="Bookman Old Style" w:cs="Bookman Old Style"/>
                <w:color w:val="000000" w:themeColor="text1"/>
                <w:sz w:val="22"/>
              </w:rPr>
            </w:pPr>
          </w:p>
        </w:tc>
        <w:tc>
          <w:tcPr>
            <w:tcW w:w="2837" w:type="dxa"/>
            <w:tcBorders>
              <w:top w:val="single" w:sz="8" w:space="0" w:color="000000"/>
              <w:left w:val="single" w:sz="8" w:space="0" w:color="000000"/>
              <w:bottom w:val="single" w:sz="8" w:space="0" w:color="000000"/>
              <w:right w:val="single" w:sz="8" w:space="0" w:color="000000"/>
            </w:tcBorders>
          </w:tcPr>
          <w:p w14:paraId="7C72B3CC" w14:textId="77777777" w:rsidR="004D60F2" w:rsidRPr="00306115" w:rsidRDefault="004D60F2" w:rsidP="00B05CB0">
            <w:pPr>
              <w:widowControl w:val="0"/>
              <w:pBdr>
                <w:top w:val="nil"/>
                <w:left w:val="nil"/>
                <w:bottom w:val="nil"/>
                <w:right w:val="nil"/>
                <w:between w:val="nil"/>
              </w:pBdr>
              <w:spacing w:after="0" w:line="240" w:lineRule="auto"/>
              <w:rPr>
                <w:rFonts w:eastAsia="Bookman Old Style" w:cs="Bookman Old Style"/>
                <w:color w:val="000000" w:themeColor="text1"/>
                <w:sz w:val="22"/>
              </w:rPr>
            </w:pPr>
          </w:p>
        </w:tc>
      </w:tr>
      <w:tr w:rsidR="004D60F2" w:rsidRPr="00306115" w14:paraId="0C09C035" w14:textId="77777777" w:rsidTr="00B05CB0">
        <w:trPr>
          <w:trHeight w:val="301"/>
        </w:trPr>
        <w:tc>
          <w:tcPr>
            <w:tcW w:w="8499" w:type="dxa"/>
            <w:tcBorders>
              <w:top w:val="single" w:sz="8" w:space="0" w:color="000000"/>
              <w:left w:val="single" w:sz="8" w:space="0" w:color="000000"/>
              <w:bottom w:val="single" w:sz="8" w:space="0" w:color="000000"/>
              <w:right w:val="single" w:sz="8" w:space="0" w:color="000000"/>
            </w:tcBorders>
          </w:tcPr>
          <w:p w14:paraId="5F676AEB" w14:textId="7D7110E0" w:rsidR="004D60F2" w:rsidRPr="00306115" w:rsidRDefault="007B7F06" w:rsidP="00B05CB0">
            <w:pPr>
              <w:widowControl w:val="0"/>
              <w:pBdr>
                <w:top w:val="nil"/>
                <w:left w:val="nil"/>
                <w:bottom w:val="nil"/>
                <w:right w:val="nil"/>
                <w:between w:val="nil"/>
              </w:pBdr>
              <w:spacing w:after="0" w:line="240" w:lineRule="auto"/>
              <w:jc w:val="center"/>
              <w:rPr>
                <w:rFonts w:eastAsia="Bookman Old Style" w:cs="Bookman Old Style"/>
                <w:b/>
                <w:bCs/>
                <w:color w:val="000000" w:themeColor="text1"/>
                <w:sz w:val="22"/>
              </w:rPr>
            </w:pPr>
            <w:r w:rsidRPr="00306115">
              <w:rPr>
                <w:rFonts w:eastAsia="Bookman Old Style" w:cs="Bookman Old Style"/>
                <w:b/>
                <w:bCs/>
                <w:color w:val="000000" w:themeColor="text1"/>
                <w:sz w:val="22"/>
              </w:rPr>
              <w:t xml:space="preserve">Peringkat </w:t>
            </w:r>
            <w:r w:rsidR="004D60F2" w:rsidRPr="00306115">
              <w:rPr>
                <w:rFonts w:eastAsia="Bookman Old Style" w:cs="Bookman Old Style"/>
                <w:b/>
                <w:bCs/>
                <w:color w:val="000000" w:themeColor="text1"/>
                <w:sz w:val="22"/>
              </w:rPr>
              <w:t>Risiko Investasi</w:t>
            </w:r>
          </w:p>
        </w:tc>
        <w:tc>
          <w:tcPr>
            <w:tcW w:w="2839" w:type="dxa"/>
            <w:tcBorders>
              <w:top w:val="single" w:sz="8" w:space="0" w:color="000000"/>
              <w:left w:val="single" w:sz="8" w:space="0" w:color="000000"/>
              <w:bottom w:val="single" w:sz="8" w:space="0" w:color="000000"/>
              <w:right w:val="single" w:sz="8" w:space="0" w:color="000000"/>
            </w:tcBorders>
          </w:tcPr>
          <w:p w14:paraId="1D7DA7D1" w14:textId="77777777" w:rsidR="004D60F2" w:rsidRPr="00306115" w:rsidRDefault="004D60F2" w:rsidP="00B05CB0">
            <w:pPr>
              <w:widowControl w:val="0"/>
              <w:pBdr>
                <w:top w:val="nil"/>
                <w:left w:val="nil"/>
                <w:bottom w:val="nil"/>
                <w:right w:val="nil"/>
                <w:between w:val="nil"/>
              </w:pBdr>
              <w:spacing w:after="0" w:line="240" w:lineRule="auto"/>
              <w:rPr>
                <w:rFonts w:eastAsia="Bookman Old Style" w:cs="Bookman Old Style"/>
                <w:color w:val="000000" w:themeColor="text1"/>
                <w:sz w:val="22"/>
              </w:rPr>
            </w:pPr>
          </w:p>
        </w:tc>
        <w:tc>
          <w:tcPr>
            <w:tcW w:w="2837" w:type="dxa"/>
            <w:tcBorders>
              <w:top w:val="single" w:sz="8" w:space="0" w:color="000000"/>
              <w:left w:val="single" w:sz="8" w:space="0" w:color="000000"/>
              <w:bottom w:val="single" w:sz="8" w:space="0" w:color="000000"/>
              <w:right w:val="single" w:sz="8" w:space="0" w:color="000000"/>
            </w:tcBorders>
          </w:tcPr>
          <w:p w14:paraId="789BCCB9" w14:textId="77777777" w:rsidR="004D60F2" w:rsidRPr="00306115" w:rsidRDefault="004D60F2" w:rsidP="00B05CB0">
            <w:pPr>
              <w:widowControl w:val="0"/>
              <w:pBdr>
                <w:top w:val="nil"/>
                <w:left w:val="nil"/>
                <w:bottom w:val="nil"/>
                <w:right w:val="nil"/>
                <w:between w:val="nil"/>
              </w:pBdr>
              <w:spacing w:after="0" w:line="240" w:lineRule="auto"/>
              <w:rPr>
                <w:rFonts w:eastAsia="Bookman Old Style" w:cs="Bookman Old Style"/>
                <w:color w:val="000000" w:themeColor="text1"/>
                <w:sz w:val="22"/>
              </w:rPr>
            </w:pPr>
          </w:p>
        </w:tc>
      </w:tr>
    </w:tbl>
    <w:p w14:paraId="4E97E25E" w14:textId="77777777" w:rsidR="00DE1D11" w:rsidRPr="00306115" w:rsidRDefault="00DE1D11" w:rsidP="00DE1D11">
      <w:pPr>
        <w:pStyle w:val="HeadingAwalDaftarIsiLampiran"/>
        <w:numPr>
          <w:ilvl w:val="0"/>
          <w:numId w:val="0"/>
        </w:numPr>
        <w:tabs>
          <w:tab w:val="left" w:pos="1843"/>
        </w:tabs>
        <w:ind w:left="1701"/>
        <w:rPr>
          <w:sz w:val="28"/>
          <w:szCs w:val="28"/>
        </w:rPr>
      </w:pPr>
    </w:p>
    <w:p w14:paraId="056F4ABC" w14:textId="385CD65E" w:rsidR="00AD33A4" w:rsidRPr="00306115" w:rsidRDefault="00390CAB">
      <w:pPr>
        <w:pStyle w:val="HeadingAwalDaftarIsiLampiran"/>
        <w:numPr>
          <w:ilvl w:val="0"/>
          <w:numId w:val="255"/>
        </w:numPr>
        <w:tabs>
          <w:tab w:val="left" w:pos="1134"/>
        </w:tabs>
        <w:ind w:left="567" w:hanging="567"/>
      </w:pPr>
      <w:r w:rsidRPr="00306115">
        <w:t>PENILAIAN TATA KELOLA</w:t>
      </w:r>
    </w:p>
    <w:p w14:paraId="06F4B72E" w14:textId="526D3764" w:rsidR="00652A04" w:rsidRPr="00306115" w:rsidRDefault="00652A04" w:rsidP="00652A04">
      <w:pPr>
        <w:pStyle w:val="HeadingAwalDaftarIsiLampiran"/>
        <w:numPr>
          <w:ilvl w:val="0"/>
          <w:numId w:val="0"/>
        </w:numPr>
        <w:tabs>
          <w:tab w:val="left" w:pos="1134"/>
        </w:tabs>
        <w:ind w:left="567"/>
      </w:pPr>
      <w:r w:rsidRPr="00306115">
        <w:t xml:space="preserve">Parameter atau </w:t>
      </w:r>
      <w:r w:rsidR="00FB01B6" w:rsidRPr="00306115">
        <w:t>I</w:t>
      </w:r>
      <w:r w:rsidRPr="00306115">
        <w:t>ndikator</w:t>
      </w:r>
      <w:r w:rsidR="00FB01B6" w:rsidRPr="00306115">
        <w:t xml:space="preserve"> Penilaian Tata Kelola</w:t>
      </w:r>
    </w:p>
    <w:tbl>
      <w:tblPr>
        <w:tblW w:w="15309" w:type="dxa"/>
        <w:tblInd w:w="5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237"/>
        <w:gridCol w:w="9072"/>
      </w:tblGrid>
      <w:tr w:rsidR="005D295E" w:rsidRPr="00306115" w14:paraId="590038F3" w14:textId="77777777" w:rsidTr="007B1BBA">
        <w:trPr>
          <w:trHeight w:val="556"/>
        </w:trPr>
        <w:tc>
          <w:tcPr>
            <w:tcW w:w="6237" w:type="dxa"/>
            <w:tcBorders>
              <w:top w:val="single" w:sz="8" w:space="0" w:color="000000"/>
              <w:left w:val="single" w:sz="8" w:space="0" w:color="000000"/>
              <w:bottom w:val="single" w:sz="8" w:space="0" w:color="000000"/>
              <w:right w:val="single" w:sz="8" w:space="0" w:color="000000"/>
            </w:tcBorders>
            <w:shd w:val="clear" w:color="auto" w:fill="BEBEBE"/>
          </w:tcPr>
          <w:p w14:paraId="3A330BAF" w14:textId="77777777" w:rsidR="005D295E" w:rsidRPr="00306115" w:rsidRDefault="005D295E" w:rsidP="005D295E">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Indikator</w:t>
            </w:r>
          </w:p>
        </w:tc>
        <w:tc>
          <w:tcPr>
            <w:tcW w:w="9072" w:type="dxa"/>
            <w:tcBorders>
              <w:top w:val="single" w:sz="8" w:space="0" w:color="000000"/>
              <w:left w:val="single" w:sz="8" w:space="0" w:color="000000"/>
              <w:bottom w:val="single" w:sz="8" w:space="0" w:color="000000"/>
              <w:right w:val="single" w:sz="8" w:space="0" w:color="000000"/>
            </w:tcBorders>
            <w:shd w:val="clear" w:color="auto" w:fill="BEBEBE"/>
          </w:tcPr>
          <w:p w14:paraId="535402E7" w14:textId="77777777" w:rsidR="005D295E" w:rsidRPr="00306115" w:rsidRDefault="005D295E" w:rsidP="005D295E">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Informasi</w:t>
            </w:r>
          </w:p>
        </w:tc>
      </w:tr>
      <w:tr w:rsidR="005D295E" w:rsidRPr="00306115" w14:paraId="23159F61" w14:textId="77777777" w:rsidTr="007B1BBA">
        <w:trPr>
          <w:trHeight w:val="792"/>
        </w:trPr>
        <w:tc>
          <w:tcPr>
            <w:tcW w:w="6237" w:type="dxa"/>
            <w:tcBorders>
              <w:top w:val="single" w:sz="8" w:space="0" w:color="000000"/>
              <w:left w:val="single" w:sz="8" w:space="0" w:color="000000"/>
              <w:bottom w:val="single" w:sz="8" w:space="0" w:color="000000"/>
              <w:right w:val="single" w:sz="8" w:space="0" w:color="000000"/>
            </w:tcBorders>
          </w:tcPr>
          <w:p w14:paraId="7895A4BB" w14:textId="734EED7E" w:rsidR="005D295E" w:rsidRPr="00306115" w:rsidRDefault="005D295E" w:rsidP="005D295E">
            <w:pPr>
              <w:widowControl w:val="0"/>
              <w:pBdr>
                <w:top w:val="nil"/>
                <w:left w:val="nil"/>
                <w:bottom w:val="nil"/>
                <w:right w:val="nil"/>
                <w:between w:val="nil"/>
              </w:pBdr>
              <w:tabs>
                <w:tab w:val="left" w:pos="2450"/>
                <w:tab w:val="left" w:pos="3234"/>
              </w:tabs>
              <w:spacing w:after="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Hasil pelaksanaan prinsip Tata Kelola oleh Manajer Investasi.</w:t>
            </w:r>
          </w:p>
        </w:tc>
        <w:tc>
          <w:tcPr>
            <w:tcW w:w="9072" w:type="dxa"/>
            <w:tcBorders>
              <w:top w:val="single" w:sz="8" w:space="0" w:color="000000"/>
              <w:left w:val="single" w:sz="8" w:space="0" w:color="000000"/>
              <w:bottom w:val="single" w:sz="8" w:space="0" w:color="000000"/>
              <w:right w:val="single" w:sz="8" w:space="0" w:color="000000"/>
            </w:tcBorders>
          </w:tcPr>
          <w:p w14:paraId="1FDD8DB3" w14:textId="77777777" w:rsidR="005D295E" w:rsidRPr="00306115" w:rsidRDefault="005D295E">
            <w:pPr>
              <w:widowControl w:val="0"/>
              <w:numPr>
                <w:ilvl w:val="0"/>
                <w:numId w:val="318"/>
              </w:numPr>
              <w:pBdr>
                <w:top w:val="nil"/>
                <w:left w:val="nil"/>
                <w:bottom w:val="nil"/>
                <w:right w:val="nil"/>
                <w:between w:val="nil"/>
              </w:pBdr>
              <w:tabs>
                <w:tab w:val="left" w:pos="2450"/>
                <w:tab w:val="left" w:pos="3234"/>
              </w:tabs>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Parameter atau indikator ini mencerminkan sejauh mana Manajer Investasi melaksanakan prinsip-prinsip Tata Kelola dalam aktivitas kegiatan usahanya.</w:t>
            </w:r>
          </w:p>
          <w:p w14:paraId="1191D7EF" w14:textId="1E9DD0C3" w:rsidR="005D295E" w:rsidRPr="00306115" w:rsidRDefault="005D295E">
            <w:pPr>
              <w:widowControl w:val="0"/>
              <w:numPr>
                <w:ilvl w:val="0"/>
                <w:numId w:val="318"/>
              </w:numPr>
              <w:pBdr>
                <w:top w:val="nil"/>
                <w:left w:val="nil"/>
                <w:bottom w:val="nil"/>
                <w:right w:val="nil"/>
                <w:between w:val="nil"/>
              </w:pBdr>
              <w:tabs>
                <w:tab w:val="left" w:pos="2450"/>
                <w:tab w:val="left" w:pos="3234"/>
              </w:tabs>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 xml:space="preserve">Parameter atau indikator ini mengacu kepada hasil penilaian Tata Kelola sebagaimana diatur dalam Peraturan Otoritas  Jasa  Keuangan mengenai </w:t>
            </w:r>
            <w:r w:rsidR="00F9265E" w:rsidRPr="00306115">
              <w:rPr>
                <w:rFonts w:eastAsia="Bookman Old Style" w:cs="Bookman Old Style"/>
                <w:color w:val="000000" w:themeColor="text1"/>
                <w:szCs w:val="24"/>
              </w:rPr>
              <w:t>p</w:t>
            </w:r>
            <w:r w:rsidRPr="00306115">
              <w:rPr>
                <w:rFonts w:eastAsia="Bookman Old Style" w:cs="Bookman Old Style"/>
                <w:color w:val="000000" w:themeColor="text1"/>
                <w:szCs w:val="24"/>
              </w:rPr>
              <w:t xml:space="preserve">enerapan </w:t>
            </w:r>
            <w:r w:rsidR="00F9265E" w:rsidRPr="00306115">
              <w:rPr>
                <w:rFonts w:eastAsia="Bookman Old Style" w:cs="Bookman Old Style"/>
                <w:color w:val="000000" w:themeColor="text1"/>
                <w:szCs w:val="24"/>
              </w:rPr>
              <w:t>t</w:t>
            </w:r>
            <w:r w:rsidRPr="00306115">
              <w:rPr>
                <w:rFonts w:eastAsia="Bookman Old Style" w:cs="Bookman Old Style"/>
                <w:color w:val="000000" w:themeColor="text1"/>
                <w:szCs w:val="24"/>
              </w:rPr>
              <w:t xml:space="preserve">ata </w:t>
            </w:r>
            <w:r w:rsidR="00F9265E" w:rsidRPr="00306115">
              <w:rPr>
                <w:rFonts w:eastAsia="Bookman Old Style" w:cs="Bookman Old Style"/>
                <w:color w:val="000000" w:themeColor="text1"/>
                <w:szCs w:val="24"/>
              </w:rPr>
              <w:t>k</w:t>
            </w:r>
            <w:r w:rsidRPr="00306115">
              <w:rPr>
                <w:rFonts w:eastAsia="Bookman Old Style" w:cs="Bookman Old Style"/>
                <w:color w:val="000000" w:themeColor="text1"/>
                <w:szCs w:val="24"/>
              </w:rPr>
              <w:t>elola bagi Manajer Investasi.</w:t>
            </w:r>
          </w:p>
        </w:tc>
      </w:tr>
    </w:tbl>
    <w:p w14:paraId="7B4BCDE4" w14:textId="77777777" w:rsidR="00FB01B6" w:rsidRPr="00306115" w:rsidRDefault="00FB01B6" w:rsidP="00652A04">
      <w:pPr>
        <w:pStyle w:val="HeadingAwalDaftarIsiLampiran"/>
        <w:numPr>
          <w:ilvl w:val="0"/>
          <w:numId w:val="0"/>
        </w:numPr>
        <w:tabs>
          <w:tab w:val="left" w:pos="1134"/>
        </w:tabs>
        <w:ind w:left="567"/>
      </w:pPr>
    </w:p>
    <w:p w14:paraId="6FB65345" w14:textId="71AFD328" w:rsidR="005B5630" w:rsidRPr="00306115" w:rsidRDefault="005B5630">
      <w:pPr>
        <w:pStyle w:val="HeadingAwalDaftarIsiLampiran"/>
        <w:numPr>
          <w:ilvl w:val="0"/>
          <w:numId w:val="255"/>
        </w:numPr>
        <w:tabs>
          <w:tab w:val="left" w:pos="1134"/>
        </w:tabs>
        <w:ind w:left="567" w:hanging="567"/>
      </w:pPr>
      <w:r w:rsidRPr="00306115">
        <w:t>PENILAIAN RENTABILITAS</w:t>
      </w:r>
    </w:p>
    <w:p w14:paraId="49E4408A" w14:textId="4A36C875" w:rsidR="00F63444" w:rsidRPr="00306115" w:rsidRDefault="00F63444" w:rsidP="00F63444">
      <w:pPr>
        <w:pStyle w:val="HeadingAwalDaftarIsiLampiran"/>
        <w:numPr>
          <w:ilvl w:val="0"/>
          <w:numId w:val="0"/>
        </w:numPr>
        <w:tabs>
          <w:tab w:val="left" w:pos="1134"/>
        </w:tabs>
        <w:ind w:left="567"/>
      </w:pPr>
      <w:r w:rsidRPr="00306115">
        <w:t xml:space="preserve">Parameter atau Indikator Penilaian </w:t>
      </w:r>
      <w:r w:rsidR="00534990" w:rsidRPr="00306115">
        <w:t>Rentabilitas</w:t>
      </w:r>
    </w:p>
    <w:tbl>
      <w:tblPr>
        <w:tblW w:w="15309" w:type="dxa"/>
        <w:tblInd w:w="5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237"/>
        <w:gridCol w:w="9072"/>
      </w:tblGrid>
      <w:tr w:rsidR="00F63444" w:rsidRPr="00306115" w14:paraId="1C6C7AC8" w14:textId="77777777" w:rsidTr="007B1BBA">
        <w:trPr>
          <w:trHeight w:val="556"/>
        </w:trPr>
        <w:tc>
          <w:tcPr>
            <w:tcW w:w="62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EBEBE"/>
          </w:tcPr>
          <w:p w14:paraId="40CEF924" w14:textId="77777777" w:rsidR="00F63444" w:rsidRPr="00306115" w:rsidRDefault="00F63444" w:rsidP="00053DF2">
            <w:pPr>
              <w:widowControl w:val="0"/>
              <w:pBdr>
                <w:top w:val="nil"/>
                <w:left w:val="nil"/>
                <w:bottom w:val="nil"/>
                <w:right w:val="nil"/>
                <w:between w:val="nil"/>
              </w:pBdr>
              <w:spacing w:before="93"/>
              <w:ind w:left="1383" w:right="1363"/>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Indikator</w:t>
            </w:r>
          </w:p>
        </w:tc>
        <w:tc>
          <w:tcPr>
            <w:tcW w:w="907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EBEBE"/>
          </w:tcPr>
          <w:p w14:paraId="5F38ADB2" w14:textId="77777777" w:rsidR="00F63444" w:rsidRPr="00306115" w:rsidRDefault="00F63444" w:rsidP="00053DF2">
            <w:pPr>
              <w:widowControl w:val="0"/>
              <w:pBdr>
                <w:top w:val="nil"/>
                <w:left w:val="nil"/>
                <w:bottom w:val="nil"/>
                <w:right w:val="nil"/>
                <w:between w:val="nil"/>
              </w:pBdr>
              <w:spacing w:before="93"/>
              <w:ind w:left="2658" w:right="2659"/>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Informasi</w:t>
            </w:r>
          </w:p>
        </w:tc>
      </w:tr>
      <w:tr w:rsidR="00F63444" w:rsidRPr="00306115" w14:paraId="5FE83D60" w14:textId="77777777" w:rsidTr="007B1BBA">
        <w:trPr>
          <w:trHeight w:val="792"/>
        </w:trPr>
        <w:tc>
          <w:tcPr>
            <w:tcW w:w="6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AEFA77" w14:textId="77777777" w:rsidR="00F63444" w:rsidRPr="00306115" w:rsidRDefault="00F63444" w:rsidP="00534990">
            <w:pPr>
              <w:widowControl w:val="0"/>
              <w:pBdr>
                <w:top w:val="nil"/>
                <w:left w:val="nil"/>
                <w:bottom w:val="nil"/>
                <w:right w:val="nil"/>
                <w:between w:val="nil"/>
              </w:pBdr>
              <w:tabs>
                <w:tab w:val="left" w:pos="2450"/>
                <w:tab w:val="left" w:pos="3234"/>
              </w:tabs>
              <w:spacing w:after="0" w:line="240" w:lineRule="auto"/>
              <w:rPr>
                <w:rFonts w:eastAsia="Bookman Old Style" w:cs="Bookman Old Style"/>
                <w:i/>
                <w:iCs/>
                <w:color w:val="000000" w:themeColor="text1"/>
                <w:szCs w:val="24"/>
              </w:rPr>
            </w:pPr>
            <w:r w:rsidRPr="00306115">
              <w:rPr>
                <w:rFonts w:eastAsia="Bookman Old Style" w:cs="Bookman Old Style"/>
                <w:i/>
                <w:iCs/>
                <w:color w:val="000000" w:themeColor="text1"/>
                <w:szCs w:val="24"/>
              </w:rPr>
              <w:t>Return on Assets</w:t>
            </w:r>
          </w:p>
        </w:tc>
        <w:tc>
          <w:tcPr>
            <w:tcW w:w="9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CB565C" w14:textId="77777777" w:rsidR="00F63444" w:rsidRPr="00306115" w:rsidRDefault="00F63444">
            <w:pPr>
              <w:widowControl w:val="0"/>
              <w:numPr>
                <w:ilvl w:val="0"/>
                <w:numId w:val="319"/>
              </w:numPr>
              <w:pBdr>
                <w:top w:val="nil"/>
                <w:left w:val="nil"/>
                <w:bottom w:val="nil"/>
                <w:right w:val="nil"/>
                <w:between w:val="nil"/>
              </w:pBdr>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Parameter atau indikator ini mengukur kemampuan Manajer Investasi dalam menggunakan asetnya untuk menghasilkan keuntungan, yang dihitung berdasarkan perbandingan antara laba atau rugi bersih dengan total aktiva. Dalam hal ini laba atau rugi yang dihasilkan adalah laba atau rugi bersih setelah pajak.</w:t>
            </w:r>
          </w:p>
          <w:p w14:paraId="02BCEAEE" w14:textId="77777777" w:rsidR="00F63444" w:rsidRPr="00306115" w:rsidRDefault="00F63444">
            <w:pPr>
              <w:widowControl w:val="0"/>
              <w:numPr>
                <w:ilvl w:val="0"/>
                <w:numId w:val="319"/>
              </w:numPr>
              <w:pBdr>
                <w:top w:val="nil"/>
                <w:left w:val="nil"/>
                <w:bottom w:val="nil"/>
                <w:right w:val="nil"/>
                <w:between w:val="nil"/>
              </w:pBdr>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Parameter atau indikator ini dihitung dengan rumus sebagai berikut:</w:t>
            </w:r>
          </w:p>
          <w:p w14:paraId="5E140E5A" w14:textId="77777777" w:rsidR="00F63444" w:rsidRPr="00306115" w:rsidRDefault="00DD3739" w:rsidP="00534990">
            <w:pPr>
              <w:spacing w:after="0" w:line="240" w:lineRule="auto"/>
              <w:jc w:val="center"/>
              <w:rPr>
                <w:rFonts w:eastAsia="Cambria Math" w:cs="Cambria Math"/>
                <w:color w:val="000000" w:themeColor="text1"/>
                <w:szCs w:val="24"/>
              </w:rPr>
            </w:pPr>
            <m:oMathPara>
              <m:oMath>
                <m:f>
                  <m:fPr>
                    <m:ctrlPr>
                      <w:rPr>
                        <w:rFonts w:ascii="Cambria Math" w:eastAsia="Cambria Math" w:hAnsi="Cambria Math" w:cs="Cambria Math"/>
                        <w:color w:val="000000" w:themeColor="text1"/>
                        <w:szCs w:val="24"/>
                      </w:rPr>
                    </m:ctrlPr>
                  </m:fPr>
                  <m:num>
                    <m:r>
                      <w:rPr>
                        <w:rFonts w:ascii="Cambria Math" w:eastAsia="Cambria Math" w:hAnsi="Cambria Math" w:cs="Cambria Math"/>
                        <w:color w:val="000000" w:themeColor="text1"/>
                        <w:szCs w:val="24"/>
                      </w:rPr>
                      <m:t>Laba</m:t>
                    </m:r>
                    <m:r>
                      <w:rPr>
                        <w:rFonts w:ascii="Cambria Math" w:eastAsia="Cambria Math" w:hAnsi="Cambria Math" w:cs="Cambria Math"/>
                        <w:color w:val="000000" w:themeColor="text1"/>
                        <w:szCs w:val="24"/>
                      </w:rPr>
                      <m:t xml:space="preserve"> </m:t>
                    </m:r>
                    <m:r>
                      <w:rPr>
                        <w:rFonts w:ascii="Cambria Math" w:eastAsia="Cambria Math" w:hAnsi="Cambria Math" w:cs="Cambria Math"/>
                        <w:color w:val="000000" w:themeColor="text1"/>
                        <w:szCs w:val="24"/>
                      </w:rPr>
                      <m:t>atau</m:t>
                    </m:r>
                    <m:r>
                      <w:rPr>
                        <w:rFonts w:ascii="Cambria Math" w:eastAsia="Cambria Math" w:hAnsi="Cambria Math" w:cs="Cambria Math"/>
                        <w:color w:val="000000" w:themeColor="text1"/>
                        <w:szCs w:val="24"/>
                      </w:rPr>
                      <m:t xml:space="preserve"> </m:t>
                    </m:r>
                    <m:r>
                      <w:rPr>
                        <w:rFonts w:ascii="Cambria Math" w:eastAsia="Cambria Math" w:hAnsi="Cambria Math" w:cs="Cambria Math"/>
                        <w:color w:val="000000" w:themeColor="text1"/>
                        <w:szCs w:val="24"/>
                      </w:rPr>
                      <m:t>Rugi</m:t>
                    </m:r>
                    <m:r>
                      <w:rPr>
                        <w:rFonts w:ascii="Cambria Math" w:eastAsia="Cambria Math" w:hAnsi="Cambria Math" w:cs="Cambria Math"/>
                        <w:color w:val="000000" w:themeColor="text1"/>
                        <w:szCs w:val="24"/>
                      </w:rPr>
                      <m:t xml:space="preserve"> </m:t>
                    </m:r>
                    <m:r>
                      <w:rPr>
                        <w:rFonts w:ascii="Cambria Math" w:eastAsia="Cambria Math" w:hAnsi="Cambria Math" w:cs="Cambria Math"/>
                        <w:color w:val="000000" w:themeColor="text1"/>
                        <w:szCs w:val="24"/>
                      </w:rPr>
                      <m:t>bersi</m:t>
                    </m:r>
                    <m:r>
                      <w:rPr>
                        <w:rFonts w:ascii="Cambria Math" w:eastAsia="Cambria Math" w:hAnsi="Cambria Math" w:cs="Cambria Math"/>
                        <w:color w:val="000000" w:themeColor="text1"/>
                        <w:szCs w:val="24"/>
                      </w:rPr>
                      <m:t>h</m:t>
                    </m:r>
                    <m:r>
                      <w:rPr>
                        <w:rFonts w:ascii="Cambria Math" w:eastAsia="Cambria Math" w:hAnsi="Cambria Math" w:cs="Cambria Math"/>
                        <w:color w:val="000000" w:themeColor="text1"/>
                        <w:szCs w:val="24"/>
                      </w:rPr>
                      <m:t xml:space="preserve"> </m:t>
                    </m:r>
                    <m:r>
                      <w:rPr>
                        <w:rFonts w:ascii="Cambria Math" w:eastAsia="Cambria Math" w:hAnsi="Cambria Math" w:cs="Cambria Math"/>
                        <w:color w:val="000000" w:themeColor="text1"/>
                        <w:szCs w:val="24"/>
                      </w:rPr>
                      <m:t>setela</m:t>
                    </m:r>
                    <m:r>
                      <w:rPr>
                        <w:rFonts w:ascii="Cambria Math" w:eastAsia="Cambria Math" w:hAnsi="Cambria Math" w:cs="Cambria Math"/>
                        <w:color w:val="000000" w:themeColor="text1"/>
                        <w:szCs w:val="24"/>
                      </w:rPr>
                      <m:t>h</m:t>
                    </m:r>
                    <m:r>
                      <w:rPr>
                        <w:rFonts w:ascii="Cambria Math" w:eastAsia="Cambria Math" w:hAnsi="Cambria Math" w:cs="Cambria Math"/>
                        <w:color w:val="000000" w:themeColor="text1"/>
                        <w:szCs w:val="24"/>
                      </w:rPr>
                      <m:t xml:space="preserve"> </m:t>
                    </m:r>
                    <m:r>
                      <w:rPr>
                        <w:rFonts w:ascii="Cambria Math" w:eastAsia="Cambria Math" w:hAnsi="Cambria Math" w:cs="Cambria Math"/>
                        <w:color w:val="000000" w:themeColor="text1"/>
                        <w:szCs w:val="24"/>
                      </w:rPr>
                      <m:t>pajak</m:t>
                    </m:r>
                    <m:r>
                      <w:rPr>
                        <w:rFonts w:ascii="Cambria Math" w:eastAsia="Cambria Math" w:hAnsi="Cambria Math" w:cs="Cambria Math"/>
                        <w:color w:val="000000" w:themeColor="text1"/>
                        <w:szCs w:val="24"/>
                      </w:rPr>
                      <m:t xml:space="preserve"> </m:t>
                    </m:r>
                  </m:num>
                  <m:den>
                    <m:r>
                      <w:rPr>
                        <w:rFonts w:ascii="Cambria Math" w:eastAsia="Cambria Math" w:hAnsi="Cambria Math" w:cs="Cambria Math"/>
                        <w:color w:val="000000" w:themeColor="text1"/>
                        <w:szCs w:val="24"/>
                      </w:rPr>
                      <m:t>Rata</m:t>
                    </m:r>
                    <m:r>
                      <w:rPr>
                        <w:rFonts w:ascii="Cambria Math" w:eastAsia="Cambria Math" w:hAnsi="Cambria Math" w:cs="Cambria Math"/>
                        <w:color w:val="000000" w:themeColor="text1"/>
                        <w:szCs w:val="24"/>
                      </w:rPr>
                      <m:t>-</m:t>
                    </m:r>
                    <m:r>
                      <w:rPr>
                        <w:rFonts w:ascii="Cambria Math" w:eastAsia="Cambria Math" w:hAnsi="Cambria Math" w:cs="Cambria Math"/>
                        <w:color w:val="000000" w:themeColor="text1"/>
                        <w:szCs w:val="24"/>
                      </w:rPr>
                      <m:t>Rata</m:t>
                    </m:r>
                    <m:r>
                      <w:rPr>
                        <w:rFonts w:ascii="Cambria Math" w:eastAsia="Cambria Math" w:hAnsi="Cambria Math" w:cs="Cambria Math"/>
                        <w:color w:val="000000" w:themeColor="text1"/>
                        <w:szCs w:val="24"/>
                      </w:rPr>
                      <m:t xml:space="preserve"> </m:t>
                    </m:r>
                    <m:r>
                      <w:rPr>
                        <w:rFonts w:ascii="Cambria Math" w:eastAsia="Cambria Math" w:hAnsi="Cambria Math" w:cs="Cambria Math"/>
                        <w:color w:val="000000" w:themeColor="text1"/>
                        <w:szCs w:val="24"/>
                      </w:rPr>
                      <m:t>Total</m:t>
                    </m:r>
                    <m:r>
                      <w:rPr>
                        <w:rFonts w:ascii="Cambria Math" w:eastAsia="Cambria Math" w:hAnsi="Cambria Math" w:cs="Cambria Math"/>
                        <w:color w:val="000000" w:themeColor="text1"/>
                        <w:szCs w:val="24"/>
                      </w:rPr>
                      <m:t xml:space="preserve"> </m:t>
                    </m:r>
                    <m:r>
                      <w:rPr>
                        <w:rFonts w:ascii="Cambria Math" w:eastAsia="Cambria Math" w:hAnsi="Cambria Math" w:cs="Cambria Math"/>
                        <w:color w:val="000000" w:themeColor="text1"/>
                        <w:szCs w:val="24"/>
                      </w:rPr>
                      <m:t>Aset</m:t>
                    </m:r>
                  </m:den>
                </m:f>
              </m:oMath>
            </m:oMathPara>
          </w:p>
          <w:p w14:paraId="7524ABEE" w14:textId="77777777" w:rsidR="007B7F06" w:rsidRPr="00306115" w:rsidRDefault="00337491">
            <w:pPr>
              <w:widowControl w:val="0"/>
              <w:numPr>
                <w:ilvl w:val="0"/>
                <w:numId w:val="319"/>
              </w:numPr>
              <w:spacing w:before="120" w:after="0" w:line="240" w:lineRule="auto"/>
              <w:ind w:left="567" w:hanging="567"/>
              <w:rPr>
                <w:rFonts w:eastAsia="Cambria Math" w:cs="Cambria Math"/>
                <w:color w:val="000000" w:themeColor="text1"/>
                <w:szCs w:val="24"/>
              </w:rPr>
            </w:pPr>
            <w:r w:rsidRPr="00306115">
              <w:rPr>
                <w:rFonts w:eastAsia="Bookman Old Style" w:cs="Bookman Old Style"/>
                <w:color w:val="000000" w:themeColor="text1"/>
                <w:szCs w:val="24"/>
              </w:rPr>
              <w:t xml:space="preserve">Adapun klasifikasi penilaian indikator ini terbagi menjadi 5 (lima) </w:t>
            </w:r>
            <w:r w:rsidRPr="00306115">
              <w:rPr>
                <w:rFonts w:eastAsia="Bookman Old Style" w:cs="Bookman Old Style"/>
                <w:color w:val="000000" w:themeColor="text1"/>
                <w:szCs w:val="24"/>
              </w:rPr>
              <w:lastRenderedPageBreak/>
              <w:t>peringkat sebagai berikut:</w:t>
            </w:r>
          </w:p>
          <w:p w14:paraId="1AE4CB2A" w14:textId="77777777" w:rsidR="00352613" w:rsidRPr="00306115" w:rsidRDefault="00352613">
            <w:pPr>
              <w:pStyle w:val="ListParagraph"/>
              <w:widowControl w:val="0"/>
              <w:numPr>
                <w:ilvl w:val="0"/>
                <w:numId w:val="506"/>
              </w:numPr>
              <w:spacing w:after="0" w:line="240" w:lineRule="auto"/>
              <w:ind w:left="851" w:hanging="284"/>
              <w:rPr>
                <w:rFonts w:eastAsia="Cambria Math" w:cs="Cambria Math"/>
                <w:color w:val="000000" w:themeColor="text1"/>
                <w:szCs w:val="24"/>
              </w:rPr>
            </w:pPr>
            <w:r w:rsidRPr="00306115">
              <w:rPr>
                <w:rFonts w:eastAsia="Bookman Old Style" w:cs="Bookman Old Style"/>
                <w:color w:val="000000" w:themeColor="text1"/>
                <w:szCs w:val="24"/>
                <w:lang w:val="en-GB"/>
              </w:rPr>
              <w:t>Peringkat</w:t>
            </w:r>
            <w:r w:rsidRPr="00306115">
              <w:rPr>
                <w:rFonts w:eastAsia="Cambria Math" w:cs="Cambria Math"/>
                <w:color w:val="000000" w:themeColor="text1"/>
                <w:szCs w:val="24"/>
              </w:rPr>
              <w:t xml:space="preserve"> 1: ≥ 20%</w:t>
            </w:r>
          </w:p>
          <w:p w14:paraId="5652CDEB" w14:textId="77777777" w:rsidR="00352613" w:rsidRPr="00306115" w:rsidRDefault="00352613">
            <w:pPr>
              <w:pStyle w:val="ListParagraph"/>
              <w:widowControl w:val="0"/>
              <w:numPr>
                <w:ilvl w:val="0"/>
                <w:numId w:val="506"/>
              </w:numPr>
              <w:spacing w:after="0" w:line="240" w:lineRule="auto"/>
              <w:ind w:left="851" w:hanging="284"/>
              <w:rPr>
                <w:rFonts w:eastAsia="Cambria Math" w:cs="Cambria Math"/>
                <w:color w:val="000000" w:themeColor="text1"/>
                <w:szCs w:val="24"/>
              </w:rPr>
            </w:pPr>
            <w:r w:rsidRPr="00306115">
              <w:rPr>
                <w:rFonts w:eastAsia="Bookman Old Style" w:cs="Bookman Old Style"/>
                <w:color w:val="000000" w:themeColor="text1"/>
                <w:szCs w:val="24"/>
                <w:lang w:val="en-GB"/>
              </w:rPr>
              <w:t>Peringkat</w:t>
            </w:r>
            <w:r w:rsidRPr="00306115">
              <w:rPr>
                <w:rFonts w:eastAsia="Cambria Math" w:cs="Cambria Math"/>
                <w:color w:val="000000" w:themeColor="text1"/>
                <w:szCs w:val="24"/>
              </w:rPr>
              <w:t xml:space="preserve"> 2: &gt;10% - &lt;20%</w:t>
            </w:r>
          </w:p>
          <w:p w14:paraId="41B28B09" w14:textId="77777777" w:rsidR="00352613" w:rsidRPr="00306115" w:rsidRDefault="00352613">
            <w:pPr>
              <w:pStyle w:val="ListParagraph"/>
              <w:widowControl w:val="0"/>
              <w:numPr>
                <w:ilvl w:val="0"/>
                <w:numId w:val="506"/>
              </w:numPr>
              <w:spacing w:after="0" w:line="240" w:lineRule="auto"/>
              <w:ind w:left="851" w:hanging="284"/>
              <w:rPr>
                <w:rFonts w:eastAsia="Cambria Math" w:cs="Cambria Math"/>
                <w:color w:val="000000" w:themeColor="text1"/>
                <w:szCs w:val="24"/>
              </w:rPr>
            </w:pPr>
            <w:r w:rsidRPr="00306115">
              <w:rPr>
                <w:rFonts w:eastAsia="Bookman Old Style" w:cs="Bookman Old Style"/>
                <w:color w:val="000000" w:themeColor="text1"/>
                <w:szCs w:val="24"/>
                <w:lang w:val="en-GB"/>
              </w:rPr>
              <w:t>Peringkat</w:t>
            </w:r>
            <w:r w:rsidRPr="00306115">
              <w:rPr>
                <w:rFonts w:eastAsia="Cambria Math" w:cs="Cambria Math"/>
                <w:color w:val="000000" w:themeColor="text1"/>
                <w:szCs w:val="24"/>
              </w:rPr>
              <w:t xml:space="preserve"> 3: &gt;5% - ≤10%</w:t>
            </w:r>
          </w:p>
          <w:p w14:paraId="798CA9DD" w14:textId="77777777" w:rsidR="00352613" w:rsidRPr="00306115" w:rsidRDefault="00352613">
            <w:pPr>
              <w:pStyle w:val="ListParagraph"/>
              <w:widowControl w:val="0"/>
              <w:numPr>
                <w:ilvl w:val="0"/>
                <w:numId w:val="506"/>
              </w:numPr>
              <w:spacing w:after="0" w:line="240" w:lineRule="auto"/>
              <w:ind w:left="851" w:hanging="284"/>
              <w:rPr>
                <w:rFonts w:eastAsia="Cambria Math" w:cs="Cambria Math"/>
                <w:color w:val="000000" w:themeColor="text1"/>
                <w:szCs w:val="24"/>
              </w:rPr>
            </w:pPr>
            <w:r w:rsidRPr="00306115">
              <w:rPr>
                <w:rFonts w:eastAsia="Bookman Old Style" w:cs="Bookman Old Style"/>
                <w:color w:val="000000" w:themeColor="text1"/>
                <w:szCs w:val="24"/>
                <w:lang w:val="en-GB"/>
              </w:rPr>
              <w:t>Peringkat</w:t>
            </w:r>
            <w:r w:rsidRPr="00306115">
              <w:rPr>
                <w:rFonts w:eastAsia="Cambria Math" w:cs="Cambria Math"/>
                <w:color w:val="000000" w:themeColor="text1"/>
                <w:szCs w:val="24"/>
              </w:rPr>
              <w:t xml:space="preserve"> 4: &gt;0% - ≤ 5%</w:t>
            </w:r>
          </w:p>
          <w:p w14:paraId="248D6855" w14:textId="6A796997" w:rsidR="00352613" w:rsidRPr="00306115" w:rsidRDefault="00352613">
            <w:pPr>
              <w:pStyle w:val="ListParagraph"/>
              <w:widowControl w:val="0"/>
              <w:numPr>
                <w:ilvl w:val="0"/>
                <w:numId w:val="506"/>
              </w:numPr>
              <w:spacing w:after="0" w:line="240" w:lineRule="auto"/>
              <w:ind w:left="851" w:hanging="284"/>
              <w:rPr>
                <w:rFonts w:eastAsia="Cambria Math" w:cs="Cambria Math"/>
                <w:color w:val="000000" w:themeColor="text1"/>
                <w:sz w:val="22"/>
              </w:rPr>
            </w:pPr>
            <w:r w:rsidRPr="00306115">
              <w:rPr>
                <w:rFonts w:eastAsia="Bookman Old Style" w:cs="Bookman Old Style"/>
                <w:color w:val="000000" w:themeColor="text1"/>
                <w:szCs w:val="24"/>
                <w:lang w:val="en-GB"/>
              </w:rPr>
              <w:t>Peringkat</w:t>
            </w:r>
            <w:r w:rsidRPr="00306115">
              <w:rPr>
                <w:rFonts w:eastAsia="Cambria Math" w:cs="Cambria Math"/>
                <w:color w:val="000000" w:themeColor="text1"/>
                <w:szCs w:val="24"/>
              </w:rPr>
              <w:t xml:space="preserve"> 5: ≤ 0%</w:t>
            </w:r>
          </w:p>
        </w:tc>
      </w:tr>
      <w:tr w:rsidR="00F63444" w:rsidRPr="00306115" w14:paraId="0EF40FB5" w14:textId="77777777" w:rsidTr="007B1BBA">
        <w:trPr>
          <w:trHeight w:val="792"/>
        </w:trPr>
        <w:tc>
          <w:tcPr>
            <w:tcW w:w="6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877B11" w14:textId="77777777" w:rsidR="00F63444" w:rsidRPr="00306115" w:rsidRDefault="00F63444" w:rsidP="00534990">
            <w:pPr>
              <w:widowControl w:val="0"/>
              <w:pBdr>
                <w:top w:val="nil"/>
                <w:left w:val="nil"/>
                <w:bottom w:val="nil"/>
                <w:right w:val="nil"/>
                <w:between w:val="nil"/>
              </w:pBdr>
              <w:tabs>
                <w:tab w:val="left" w:pos="2450"/>
                <w:tab w:val="left" w:pos="3234"/>
              </w:tabs>
              <w:spacing w:after="0" w:line="240" w:lineRule="auto"/>
              <w:rPr>
                <w:rFonts w:eastAsia="Bookman Old Style" w:cs="Bookman Old Style"/>
                <w:i/>
                <w:iCs/>
                <w:color w:val="000000" w:themeColor="text1"/>
                <w:szCs w:val="24"/>
              </w:rPr>
            </w:pPr>
            <w:r w:rsidRPr="00306115">
              <w:rPr>
                <w:rFonts w:eastAsia="Cambria" w:cs="Cambria"/>
                <w:i/>
                <w:iCs/>
                <w:color w:val="000000" w:themeColor="text1"/>
                <w:szCs w:val="24"/>
              </w:rPr>
              <w:lastRenderedPageBreak/>
              <w:t>Return on Equity</w:t>
            </w:r>
          </w:p>
        </w:tc>
        <w:tc>
          <w:tcPr>
            <w:tcW w:w="9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892A4B" w14:textId="77777777" w:rsidR="00F63444" w:rsidRPr="00306115" w:rsidRDefault="00F63444">
            <w:pPr>
              <w:widowControl w:val="0"/>
              <w:numPr>
                <w:ilvl w:val="0"/>
                <w:numId w:val="509"/>
              </w:numPr>
              <w:pBdr>
                <w:top w:val="nil"/>
                <w:left w:val="nil"/>
                <w:bottom w:val="nil"/>
                <w:right w:val="nil"/>
                <w:between w:val="nil"/>
              </w:pBdr>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Parameter atau indikator ini mengukur kemampuan Manajer Investasi dalam menggunakan modal yang disetor oleh pemegang saham untuk menghasilkan keuntungan, yang dihitung berdasarkan perbandingan antara laba atau rugi bersih dengan modal yang disetor oleh pemegang saham.</w:t>
            </w:r>
          </w:p>
          <w:p w14:paraId="74286778" w14:textId="77777777" w:rsidR="00F63444" w:rsidRPr="00306115" w:rsidRDefault="00F63444">
            <w:pPr>
              <w:widowControl w:val="0"/>
              <w:numPr>
                <w:ilvl w:val="0"/>
                <w:numId w:val="509"/>
              </w:numPr>
              <w:pBdr>
                <w:top w:val="nil"/>
                <w:left w:val="nil"/>
                <w:bottom w:val="nil"/>
                <w:right w:val="nil"/>
                <w:between w:val="nil"/>
              </w:pBdr>
              <w:spacing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Parameter atau indikator ini dihitung dengan rumus sebagai berikut:</w:t>
            </w:r>
          </w:p>
          <w:p w14:paraId="4D1659D5" w14:textId="77777777" w:rsidR="00F63444" w:rsidRPr="00306115" w:rsidRDefault="00F63444" w:rsidP="00534990">
            <w:pPr>
              <w:widowControl w:val="0"/>
              <w:pBdr>
                <w:top w:val="nil"/>
                <w:left w:val="nil"/>
                <w:bottom w:val="nil"/>
                <w:right w:val="nil"/>
                <w:between w:val="nil"/>
              </w:pBdr>
              <w:spacing w:after="0" w:line="240" w:lineRule="auto"/>
              <w:rPr>
                <w:rFonts w:eastAsia="Bookman Old Style" w:cs="Bookman Old Style"/>
                <w:color w:val="000000" w:themeColor="text1"/>
                <w:szCs w:val="24"/>
              </w:rPr>
            </w:pPr>
          </w:p>
          <w:p w14:paraId="5E8C6A15" w14:textId="77777777" w:rsidR="00F63444" w:rsidRPr="00306115" w:rsidRDefault="00DD3739" w:rsidP="00534990">
            <w:pPr>
              <w:spacing w:after="0" w:line="240" w:lineRule="auto"/>
              <w:jc w:val="center"/>
              <w:rPr>
                <w:rFonts w:eastAsia="Bookman Old Style" w:cs="Bookman Old Style"/>
                <w:color w:val="000000" w:themeColor="text1"/>
                <w:szCs w:val="24"/>
              </w:rPr>
            </w:pPr>
            <m:oMathPara>
              <m:oMath>
                <m:f>
                  <m:fPr>
                    <m:ctrlPr>
                      <w:rPr>
                        <w:rFonts w:ascii="Cambria Math" w:eastAsia="Cambria Math" w:hAnsi="Cambria Math" w:cs="Cambria Math"/>
                        <w:color w:val="000000" w:themeColor="text1"/>
                        <w:szCs w:val="24"/>
                      </w:rPr>
                    </m:ctrlPr>
                  </m:fPr>
                  <m:num>
                    <m:r>
                      <w:rPr>
                        <w:rFonts w:ascii="Cambria Math" w:eastAsia="Cambria Math" w:hAnsi="Cambria Math" w:cs="Cambria Math"/>
                        <w:color w:val="000000" w:themeColor="text1"/>
                        <w:szCs w:val="24"/>
                      </w:rPr>
                      <m:t>Laba</m:t>
                    </m:r>
                    <m:r>
                      <m:rPr>
                        <m:sty m:val="p"/>
                      </m:rPr>
                      <w:rPr>
                        <w:rFonts w:ascii="Cambria Math" w:eastAsia="Cambria Math" w:hAnsi="Cambria Math" w:cs="Cambria Math"/>
                        <w:color w:val="000000" w:themeColor="text1"/>
                        <w:szCs w:val="24"/>
                      </w:rPr>
                      <m:t xml:space="preserve"> </m:t>
                    </m:r>
                    <m:r>
                      <w:rPr>
                        <w:rFonts w:ascii="Cambria Math" w:eastAsia="Cambria Math" w:hAnsi="Cambria Math" w:cs="Cambria Math"/>
                        <w:color w:val="000000" w:themeColor="text1"/>
                        <w:szCs w:val="24"/>
                      </w:rPr>
                      <m:t>atau</m:t>
                    </m:r>
                    <m:r>
                      <m:rPr>
                        <m:sty m:val="p"/>
                      </m:rPr>
                      <w:rPr>
                        <w:rFonts w:ascii="Cambria Math" w:eastAsia="Cambria Math" w:hAnsi="Cambria Math" w:cs="Cambria Math"/>
                        <w:color w:val="000000" w:themeColor="text1"/>
                        <w:szCs w:val="24"/>
                      </w:rPr>
                      <m:t xml:space="preserve"> </m:t>
                    </m:r>
                    <m:r>
                      <w:rPr>
                        <w:rFonts w:ascii="Cambria Math" w:eastAsia="Cambria Math" w:hAnsi="Cambria Math" w:cs="Cambria Math"/>
                        <w:color w:val="000000" w:themeColor="text1"/>
                        <w:szCs w:val="24"/>
                      </w:rPr>
                      <m:t>rugi</m:t>
                    </m:r>
                    <m:r>
                      <m:rPr>
                        <m:sty m:val="p"/>
                      </m:rPr>
                      <w:rPr>
                        <w:rFonts w:ascii="Cambria Math" w:eastAsia="Cambria Math" w:hAnsi="Cambria Math" w:cs="Cambria Math"/>
                        <w:color w:val="000000" w:themeColor="text1"/>
                        <w:szCs w:val="24"/>
                      </w:rPr>
                      <m:t xml:space="preserve"> </m:t>
                    </m:r>
                    <m:r>
                      <w:rPr>
                        <w:rFonts w:ascii="Cambria Math" w:eastAsia="Cambria Math" w:hAnsi="Cambria Math" w:cs="Cambria Math"/>
                        <w:color w:val="000000" w:themeColor="text1"/>
                        <w:szCs w:val="24"/>
                      </w:rPr>
                      <m:t>bersi</m:t>
                    </m:r>
                    <m:r>
                      <w:rPr>
                        <w:rFonts w:ascii="Cambria Math" w:eastAsia="Cambria Math" w:hAnsi="Cambria Math" w:cs="Cambria Math"/>
                        <w:color w:val="000000" w:themeColor="text1"/>
                        <w:szCs w:val="24"/>
                      </w:rPr>
                      <m:t>h</m:t>
                    </m:r>
                    <m:r>
                      <m:rPr>
                        <m:sty m:val="p"/>
                      </m:rPr>
                      <w:rPr>
                        <w:rFonts w:ascii="Cambria Math" w:eastAsia="Cambria Math" w:hAnsi="Cambria Math" w:cs="Cambria Math"/>
                        <w:color w:val="000000" w:themeColor="text1"/>
                        <w:szCs w:val="24"/>
                      </w:rPr>
                      <m:t xml:space="preserve">  </m:t>
                    </m:r>
                    <m:r>
                      <w:rPr>
                        <w:rFonts w:ascii="Cambria Math" w:eastAsia="Cambria Math" w:hAnsi="Cambria Math" w:cs="Cambria Math"/>
                        <w:color w:val="000000" w:themeColor="text1"/>
                        <w:szCs w:val="24"/>
                      </w:rPr>
                      <m:t>setela</m:t>
                    </m:r>
                    <m:r>
                      <w:rPr>
                        <w:rFonts w:ascii="Cambria Math" w:eastAsia="Cambria Math" w:hAnsi="Cambria Math" w:cs="Cambria Math"/>
                        <w:color w:val="000000" w:themeColor="text1"/>
                        <w:szCs w:val="24"/>
                      </w:rPr>
                      <m:t>h</m:t>
                    </m:r>
                    <m:r>
                      <m:rPr>
                        <m:sty m:val="p"/>
                      </m:rPr>
                      <w:rPr>
                        <w:rFonts w:ascii="Cambria Math" w:eastAsia="Cambria Math" w:hAnsi="Cambria Math" w:cs="Cambria Math"/>
                        <w:color w:val="000000" w:themeColor="text1"/>
                        <w:szCs w:val="24"/>
                      </w:rPr>
                      <m:t xml:space="preserve"> </m:t>
                    </m:r>
                    <m:r>
                      <w:rPr>
                        <w:rFonts w:ascii="Cambria Math" w:eastAsia="Cambria Math" w:hAnsi="Cambria Math" w:cs="Cambria Math"/>
                        <w:color w:val="000000" w:themeColor="text1"/>
                        <w:szCs w:val="24"/>
                      </w:rPr>
                      <m:t>pajak</m:t>
                    </m:r>
                  </m:num>
                  <m:den>
                    <m:r>
                      <m:rPr>
                        <m:sty m:val="p"/>
                      </m:rPr>
                      <w:rPr>
                        <w:rFonts w:ascii="Cambria Math" w:eastAsia="Cambria Math" w:hAnsi="Cambria Math" w:cs="Cambria Math"/>
                        <w:color w:val="000000" w:themeColor="text1"/>
                        <w:szCs w:val="24"/>
                      </w:rPr>
                      <m:t xml:space="preserve"> </m:t>
                    </m:r>
                    <m:r>
                      <w:rPr>
                        <w:rFonts w:ascii="Cambria Math" w:eastAsia="Cambria Math" w:hAnsi="Cambria Math" w:cs="Cambria Math"/>
                        <w:color w:val="000000" w:themeColor="text1"/>
                        <w:szCs w:val="24"/>
                      </w:rPr>
                      <m:t>Modal</m:t>
                    </m:r>
                    <m:r>
                      <m:rPr>
                        <m:sty m:val="p"/>
                      </m:rPr>
                      <w:rPr>
                        <w:rFonts w:ascii="Cambria Math" w:eastAsia="Cambria Math" w:hAnsi="Cambria Math" w:cs="Cambria Math"/>
                        <w:color w:val="000000" w:themeColor="text1"/>
                        <w:szCs w:val="24"/>
                      </w:rPr>
                      <m:t xml:space="preserve"> </m:t>
                    </m:r>
                    <m:r>
                      <w:rPr>
                        <w:rFonts w:ascii="Cambria Math" w:eastAsia="Cambria Math" w:hAnsi="Cambria Math" w:cs="Cambria Math"/>
                        <w:color w:val="000000" w:themeColor="text1"/>
                        <w:szCs w:val="24"/>
                      </w:rPr>
                      <m:t>yang</m:t>
                    </m:r>
                    <m:r>
                      <m:rPr>
                        <m:sty m:val="p"/>
                      </m:rPr>
                      <w:rPr>
                        <w:rFonts w:ascii="Cambria Math" w:eastAsia="Cambria Math" w:hAnsi="Cambria Math" w:cs="Cambria Math"/>
                        <w:color w:val="000000" w:themeColor="text1"/>
                        <w:szCs w:val="24"/>
                      </w:rPr>
                      <m:t xml:space="preserve"> </m:t>
                    </m:r>
                    <m:r>
                      <w:rPr>
                        <w:rFonts w:ascii="Cambria Math" w:eastAsia="Cambria Math" w:hAnsi="Cambria Math" w:cs="Cambria Math"/>
                        <w:color w:val="000000" w:themeColor="text1"/>
                        <w:szCs w:val="24"/>
                      </w:rPr>
                      <m:t>disetor</m:t>
                    </m:r>
                    <m:r>
                      <m:rPr>
                        <m:sty m:val="p"/>
                      </m:rPr>
                      <w:rPr>
                        <w:rFonts w:ascii="Cambria Math" w:eastAsia="Cambria Math" w:hAnsi="Cambria Math" w:cs="Cambria Math"/>
                        <w:color w:val="000000" w:themeColor="text1"/>
                        <w:szCs w:val="24"/>
                      </w:rPr>
                      <m:t xml:space="preserve"> </m:t>
                    </m:r>
                    <m:r>
                      <w:rPr>
                        <w:rFonts w:ascii="Cambria Math" w:eastAsia="Cambria Math" w:hAnsi="Cambria Math" w:cs="Cambria Math"/>
                        <w:color w:val="000000" w:themeColor="text1"/>
                        <w:szCs w:val="24"/>
                      </w:rPr>
                      <m:t>ole</m:t>
                    </m:r>
                    <m:r>
                      <w:rPr>
                        <w:rFonts w:ascii="Cambria Math" w:eastAsia="Cambria Math" w:hAnsi="Cambria Math" w:cs="Cambria Math"/>
                        <w:color w:val="000000" w:themeColor="text1"/>
                        <w:szCs w:val="24"/>
                      </w:rPr>
                      <m:t>h</m:t>
                    </m:r>
                    <m:r>
                      <m:rPr>
                        <m:sty m:val="p"/>
                      </m:rPr>
                      <w:rPr>
                        <w:rFonts w:ascii="Cambria Math" w:eastAsia="Cambria Math" w:hAnsi="Cambria Math" w:cs="Cambria Math"/>
                        <w:color w:val="000000" w:themeColor="text1"/>
                        <w:szCs w:val="24"/>
                      </w:rPr>
                      <m:t xml:space="preserve"> </m:t>
                    </m:r>
                    <m:r>
                      <w:rPr>
                        <w:rFonts w:ascii="Cambria Math" w:eastAsia="Cambria Math" w:hAnsi="Cambria Math" w:cs="Cambria Math"/>
                        <w:color w:val="000000" w:themeColor="text1"/>
                        <w:szCs w:val="24"/>
                      </w:rPr>
                      <m:t>pemegang</m:t>
                    </m:r>
                    <m:r>
                      <m:rPr>
                        <m:sty m:val="p"/>
                      </m:rPr>
                      <w:rPr>
                        <w:rFonts w:ascii="Cambria Math" w:eastAsia="Cambria Math" w:hAnsi="Cambria Math" w:cs="Cambria Math"/>
                        <w:color w:val="000000" w:themeColor="text1"/>
                        <w:szCs w:val="24"/>
                      </w:rPr>
                      <m:t xml:space="preserve"> </m:t>
                    </m:r>
                    <m:r>
                      <w:rPr>
                        <w:rFonts w:ascii="Cambria Math" w:eastAsia="Cambria Math" w:hAnsi="Cambria Math" w:cs="Cambria Math"/>
                        <w:color w:val="000000" w:themeColor="text1"/>
                        <w:szCs w:val="24"/>
                      </w:rPr>
                      <m:t>sa</m:t>
                    </m:r>
                    <m:r>
                      <w:rPr>
                        <w:rFonts w:ascii="Cambria Math" w:eastAsia="Cambria Math" w:hAnsi="Cambria Math" w:cs="Cambria Math"/>
                        <w:color w:val="000000" w:themeColor="text1"/>
                        <w:szCs w:val="24"/>
                      </w:rPr>
                      <m:t>h</m:t>
                    </m:r>
                    <m:r>
                      <w:rPr>
                        <w:rFonts w:ascii="Cambria Math" w:eastAsia="Cambria Math" w:hAnsi="Cambria Math" w:cs="Cambria Math"/>
                        <w:color w:val="000000" w:themeColor="text1"/>
                        <w:szCs w:val="24"/>
                      </w:rPr>
                      <m:t>am</m:t>
                    </m:r>
                  </m:den>
                </m:f>
              </m:oMath>
            </m:oMathPara>
          </w:p>
          <w:p w14:paraId="61BECF27" w14:textId="77777777" w:rsidR="00352613" w:rsidRPr="00306115" w:rsidRDefault="00352613">
            <w:pPr>
              <w:widowControl w:val="0"/>
              <w:numPr>
                <w:ilvl w:val="0"/>
                <w:numId w:val="509"/>
              </w:numPr>
              <w:spacing w:before="120" w:after="0" w:line="240" w:lineRule="auto"/>
              <w:ind w:left="567" w:hanging="567"/>
              <w:rPr>
                <w:rFonts w:eastAsia="Bookman Old Style" w:cs="Bookman Old Style"/>
                <w:color w:val="000000" w:themeColor="text1"/>
                <w:szCs w:val="24"/>
              </w:rPr>
            </w:pPr>
            <w:r w:rsidRPr="00306115">
              <w:rPr>
                <w:rFonts w:eastAsia="Bookman Old Style" w:cs="Bookman Old Style"/>
                <w:color w:val="000000" w:themeColor="text1"/>
                <w:szCs w:val="24"/>
              </w:rPr>
              <w:t>Adapun klasifikasi penilaian indikator ini terbagi menjadi 5 (lima) peringkat sebagai berikut:</w:t>
            </w:r>
          </w:p>
          <w:p w14:paraId="701DF869" w14:textId="259C8D35" w:rsidR="00237406" w:rsidRPr="00306115" w:rsidRDefault="00237406">
            <w:pPr>
              <w:pStyle w:val="ListParagraph"/>
              <w:widowControl w:val="0"/>
              <w:numPr>
                <w:ilvl w:val="0"/>
                <w:numId w:val="506"/>
              </w:numPr>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Cambria Math" w:cs="Cambria Math"/>
                <w:color w:val="000000" w:themeColor="text1"/>
                <w:szCs w:val="24"/>
              </w:rPr>
              <w:t xml:space="preserve"> 1: ≥ 20%</w:t>
            </w:r>
          </w:p>
          <w:p w14:paraId="48CFCDE7" w14:textId="77777777" w:rsidR="00237406" w:rsidRPr="00306115" w:rsidRDefault="00237406">
            <w:pPr>
              <w:pStyle w:val="ListParagraph"/>
              <w:widowControl w:val="0"/>
              <w:numPr>
                <w:ilvl w:val="0"/>
                <w:numId w:val="506"/>
              </w:numPr>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Cambria Math" w:cs="Cambria Math"/>
                <w:color w:val="000000" w:themeColor="text1"/>
                <w:szCs w:val="24"/>
              </w:rPr>
              <w:t xml:space="preserve"> 2: &gt;10% - &lt;20%</w:t>
            </w:r>
          </w:p>
          <w:p w14:paraId="671AF733" w14:textId="77777777" w:rsidR="00237406" w:rsidRPr="00306115" w:rsidRDefault="00237406">
            <w:pPr>
              <w:pStyle w:val="ListParagraph"/>
              <w:widowControl w:val="0"/>
              <w:numPr>
                <w:ilvl w:val="0"/>
                <w:numId w:val="506"/>
              </w:numPr>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Cambria Math" w:cs="Cambria Math"/>
                <w:color w:val="000000" w:themeColor="text1"/>
                <w:szCs w:val="24"/>
              </w:rPr>
              <w:t xml:space="preserve"> 3: &gt;5% - ≤10%</w:t>
            </w:r>
          </w:p>
          <w:p w14:paraId="108A4908" w14:textId="77777777" w:rsidR="00237406" w:rsidRPr="00306115" w:rsidRDefault="00237406">
            <w:pPr>
              <w:pStyle w:val="ListParagraph"/>
              <w:widowControl w:val="0"/>
              <w:numPr>
                <w:ilvl w:val="0"/>
                <w:numId w:val="506"/>
              </w:numPr>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Cambria Math" w:cs="Cambria Math"/>
                <w:color w:val="000000" w:themeColor="text1"/>
                <w:szCs w:val="24"/>
              </w:rPr>
              <w:t xml:space="preserve"> 4: &gt;0% - ≤ 5%</w:t>
            </w:r>
          </w:p>
          <w:p w14:paraId="6D81284D" w14:textId="242061CB" w:rsidR="00237406" w:rsidRPr="00306115" w:rsidRDefault="00237406">
            <w:pPr>
              <w:pStyle w:val="ListParagraph"/>
              <w:widowControl w:val="0"/>
              <w:numPr>
                <w:ilvl w:val="0"/>
                <w:numId w:val="506"/>
              </w:numPr>
              <w:spacing w:after="0" w:line="240" w:lineRule="auto"/>
              <w:ind w:left="851" w:hanging="284"/>
              <w:rPr>
                <w:rFonts w:eastAsia="Bookman Old Style" w:cs="Bookman Old Style"/>
                <w:color w:val="000000" w:themeColor="text1"/>
                <w:szCs w:val="24"/>
              </w:rPr>
            </w:pPr>
            <w:r w:rsidRPr="00306115">
              <w:rPr>
                <w:rFonts w:eastAsia="Bookman Old Style" w:cs="Bookman Old Style"/>
                <w:color w:val="000000" w:themeColor="text1"/>
                <w:szCs w:val="24"/>
                <w:lang w:val="en-GB"/>
              </w:rPr>
              <w:t>Peringkat</w:t>
            </w:r>
            <w:r w:rsidRPr="00306115">
              <w:rPr>
                <w:rFonts w:eastAsia="Cambria Math" w:cs="Cambria Math"/>
                <w:color w:val="000000" w:themeColor="text1"/>
                <w:szCs w:val="24"/>
              </w:rPr>
              <w:t xml:space="preserve"> 5: ≤ 0%</w:t>
            </w:r>
          </w:p>
        </w:tc>
      </w:tr>
      <w:tr w:rsidR="00F63444" w:rsidRPr="00306115" w14:paraId="0C731944" w14:textId="77777777" w:rsidTr="007B1BBA">
        <w:trPr>
          <w:trHeight w:val="792"/>
        </w:trPr>
        <w:tc>
          <w:tcPr>
            <w:tcW w:w="6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821438" w14:textId="4FF2C021" w:rsidR="00F63444" w:rsidRPr="00306115" w:rsidRDefault="00F63444" w:rsidP="00534990">
            <w:pPr>
              <w:widowControl w:val="0"/>
              <w:pBdr>
                <w:top w:val="nil"/>
                <w:left w:val="nil"/>
                <w:bottom w:val="nil"/>
                <w:right w:val="nil"/>
                <w:between w:val="nil"/>
              </w:pBdr>
              <w:tabs>
                <w:tab w:val="left" w:pos="2450"/>
                <w:tab w:val="left" w:pos="3234"/>
              </w:tabs>
              <w:spacing w:after="0" w:line="240" w:lineRule="auto"/>
              <w:rPr>
                <w:rFonts w:eastAsia="Cambria" w:cs="Cambria"/>
                <w:color w:val="000000" w:themeColor="text1"/>
                <w:szCs w:val="24"/>
              </w:rPr>
            </w:pPr>
            <w:r w:rsidRPr="00306115">
              <w:rPr>
                <w:rFonts w:eastAsia="Cambria" w:cs="Cambria"/>
                <w:color w:val="000000" w:themeColor="text1"/>
                <w:szCs w:val="24"/>
              </w:rPr>
              <w:t>Tren laba/rugi dalam 3 (tiga) tahun terakhir</w:t>
            </w:r>
          </w:p>
        </w:tc>
        <w:tc>
          <w:tcPr>
            <w:tcW w:w="9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4E9C7D" w14:textId="77777777" w:rsidR="00F63444" w:rsidRPr="00306115" w:rsidRDefault="00F63444" w:rsidP="00534990">
            <w:pPr>
              <w:widowControl w:val="0"/>
              <w:pBdr>
                <w:top w:val="nil"/>
                <w:left w:val="nil"/>
                <w:bottom w:val="nil"/>
                <w:right w:val="nil"/>
                <w:between w:val="nil"/>
              </w:pBdr>
              <w:spacing w:after="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Parameter atau indikator ini menilai stabilitas kemampuan Manajer Investasi dalam menciptakan laba 3 (tiga) tahun terakhir, antara lain:</w:t>
            </w:r>
          </w:p>
          <w:p w14:paraId="7464A264" w14:textId="75A15DC1" w:rsidR="007B7F16" w:rsidRPr="00306115" w:rsidRDefault="007B7F16">
            <w:pPr>
              <w:widowControl w:val="0"/>
              <w:numPr>
                <w:ilvl w:val="0"/>
                <w:numId w:val="320"/>
              </w:numPr>
              <w:pBdr>
                <w:top w:val="nil"/>
                <w:left w:val="nil"/>
                <w:bottom w:val="nil"/>
                <w:right w:val="nil"/>
                <w:between w:val="nil"/>
              </w:pBdr>
              <w:spacing w:after="0" w:line="240" w:lineRule="auto"/>
              <w:ind w:left="284" w:hanging="284"/>
              <w:rPr>
                <w:rFonts w:eastAsia="Bookman Old Style" w:cs="Bookman Old Style"/>
                <w:color w:val="000000" w:themeColor="text1"/>
                <w:szCs w:val="24"/>
              </w:rPr>
            </w:pPr>
            <w:r w:rsidRPr="00306115">
              <w:rPr>
                <w:rFonts w:eastAsia="Bookman Old Style" w:cs="Bookman Old Style"/>
                <w:color w:val="000000" w:themeColor="text1"/>
                <w:szCs w:val="24"/>
              </w:rPr>
              <w:t>Peringkat</w:t>
            </w:r>
            <w:r w:rsidR="00F63444" w:rsidRPr="00306115">
              <w:rPr>
                <w:rFonts w:eastAsia="Bookman Old Style" w:cs="Bookman Old Style"/>
                <w:color w:val="000000" w:themeColor="text1"/>
                <w:szCs w:val="24"/>
              </w:rPr>
              <w:t xml:space="preserve"> 1: Mengalami laba selama 3 (tiga) tahun berturut-turut;</w:t>
            </w:r>
          </w:p>
          <w:p w14:paraId="5992CC02" w14:textId="4A96A308" w:rsidR="007B7F16" w:rsidRPr="00306115" w:rsidRDefault="007B7F16">
            <w:pPr>
              <w:widowControl w:val="0"/>
              <w:numPr>
                <w:ilvl w:val="0"/>
                <w:numId w:val="320"/>
              </w:numPr>
              <w:pBdr>
                <w:top w:val="nil"/>
                <w:left w:val="nil"/>
                <w:bottom w:val="nil"/>
                <w:right w:val="nil"/>
                <w:between w:val="nil"/>
              </w:pBdr>
              <w:spacing w:after="0" w:line="240" w:lineRule="auto"/>
              <w:ind w:left="284" w:hanging="284"/>
              <w:rPr>
                <w:rFonts w:eastAsia="Bookman Old Style" w:cs="Bookman Old Style"/>
                <w:color w:val="000000" w:themeColor="text1"/>
                <w:szCs w:val="24"/>
              </w:rPr>
            </w:pPr>
            <w:r w:rsidRPr="00306115">
              <w:rPr>
                <w:rFonts w:eastAsia="Bookman Old Style" w:cs="Bookman Old Style"/>
                <w:color w:val="000000" w:themeColor="text1"/>
                <w:szCs w:val="24"/>
              </w:rPr>
              <w:t xml:space="preserve">Peringkat </w:t>
            </w:r>
            <w:r w:rsidR="00F63444" w:rsidRPr="00306115">
              <w:rPr>
                <w:rFonts w:eastAsia="Bookman Old Style" w:cs="Bookman Old Style"/>
                <w:color w:val="000000" w:themeColor="text1"/>
                <w:szCs w:val="24"/>
              </w:rPr>
              <w:t>2: Mengalami laba selama 2 (dua) tahun dari 3 (tiga) tahun terakhir;</w:t>
            </w:r>
          </w:p>
          <w:p w14:paraId="0FC1FCDD" w14:textId="0FF955BB" w:rsidR="007B7F16" w:rsidRPr="00306115" w:rsidRDefault="007B7F16">
            <w:pPr>
              <w:widowControl w:val="0"/>
              <w:numPr>
                <w:ilvl w:val="0"/>
                <w:numId w:val="320"/>
              </w:numPr>
              <w:pBdr>
                <w:top w:val="nil"/>
                <w:left w:val="nil"/>
                <w:bottom w:val="nil"/>
                <w:right w:val="nil"/>
                <w:between w:val="nil"/>
              </w:pBdr>
              <w:spacing w:after="0" w:line="240" w:lineRule="auto"/>
              <w:ind w:left="284" w:hanging="284"/>
              <w:rPr>
                <w:rFonts w:eastAsia="Bookman Old Style" w:cs="Bookman Old Style"/>
                <w:color w:val="000000" w:themeColor="text1"/>
                <w:szCs w:val="24"/>
              </w:rPr>
            </w:pPr>
            <w:r w:rsidRPr="00306115">
              <w:rPr>
                <w:rFonts w:eastAsia="Bookman Old Style" w:cs="Bookman Old Style"/>
                <w:color w:val="000000" w:themeColor="text1"/>
                <w:szCs w:val="24"/>
              </w:rPr>
              <w:t xml:space="preserve">Peringkat </w:t>
            </w:r>
            <w:r w:rsidR="00F63444" w:rsidRPr="00306115">
              <w:rPr>
                <w:rFonts w:eastAsia="Bookman Old Style" w:cs="Bookman Old Style"/>
                <w:color w:val="000000" w:themeColor="text1"/>
                <w:szCs w:val="24"/>
              </w:rPr>
              <w:t>3: Mengalami laba selama 1 (satu) tahun dari 3 (tiga) tahun terakhir;</w:t>
            </w:r>
          </w:p>
          <w:p w14:paraId="758CD929" w14:textId="6B5AA905" w:rsidR="007B7F16" w:rsidRPr="00306115" w:rsidRDefault="007B7F16">
            <w:pPr>
              <w:widowControl w:val="0"/>
              <w:numPr>
                <w:ilvl w:val="0"/>
                <w:numId w:val="320"/>
              </w:numPr>
              <w:pBdr>
                <w:top w:val="nil"/>
                <w:left w:val="nil"/>
                <w:bottom w:val="nil"/>
                <w:right w:val="nil"/>
                <w:between w:val="nil"/>
              </w:pBdr>
              <w:spacing w:after="0" w:line="240" w:lineRule="auto"/>
              <w:ind w:left="284" w:hanging="284"/>
              <w:rPr>
                <w:rFonts w:eastAsia="Bookman Old Style" w:cs="Bookman Old Style"/>
                <w:color w:val="000000" w:themeColor="text1"/>
                <w:szCs w:val="24"/>
              </w:rPr>
            </w:pPr>
            <w:r w:rsidRPr="00306115">
              <w:rPr>
                <w:rFonts w:eastAsia="Bookman Old Style" w:cs="Bookman Old Style"/>
                <w:color w:val="000000" w:themeColor="text1"/>
                <w:szCs w:val="24"/>
              </w:rPr>
              <w:t xml:space="preserve">Peringkat </w:t>
            </w:r>
            <w:r w:rsidR="00F63444" w:rsidRPr="00306115">
              <w:rPr>
                <w:rFonts w:eastAsia="Bookman Old Style" w:cs="Bookman Old Style"/>
                <w:color w:val="000000" w:themeColor="text1"/>
                <w:szCs w:val="24"/>
              </w:rPr>
              <w:t xml:space="preserve">4: Mengalami rugi selama 1 (satu) tahun dari 3 (tiga) tahun </w:t>
            </w:r>
            <w:r w:rsidR="00F63444" w:rsidRPr="00306115">
              <w:rPr>
                <w:rFonts w:eastAsia="Bookman Old Style" w:cs="Bookman Old Style"/>
                <w:color w:val="000000" w:themeColor="text1"/>
                <w:szCs w:val="24"/>
              </w:rPr>
              <w:lastRenderedPageBreak/>
              <w:t>terakhir;</w:t>
            </w:r>
          </w:p>
          <w:p w14:paraId="227F65DA" w14:textId="1013069A" w:rsidR="00F63444" w:rsidRPr="00306115" w:rsidRDefault="007B7F16">
            <w:pPr>
              <w:widowControl w:val="0"/>
              <w:numPr>
                <w:ilvl w:val="0"/>
                <w:numId w:val="320"/>
              </w:numPr>
              <w:pBdr>
                <w:top w:val="nil"/>
                <w:left w:val="nil"/>
                <w:bottom w:val="nil"/>
                <w:right w:val="nil"/>
                <w:between w:val="nil"/>
              </w:pBdr>
              <w:spacing w:after="0" w:line="240" w:lineRule="auto"/>
              <w:ind w:left="284" w:hanging="284"/>
              <w:rPr>
                <w:rFonts w:eastAsia="Bookman Old Style" w:cs="Bookman Old Style"/>
                <w:color w:val="000000" w:themeColor="text1"/>
                <w:szCs w:val="24"/>
              </w:rPr>
            </w:pPr>
            <w:r w:rsidRPr="00306115">
              <w:rPr>
                <w:rFonts w:eastAsia="Bookman Old Style" w:cs="Bookman Old Style"/>
                <w:color w:val="000000" w:themeColor="text1"/>
                <w:szCs w:val="24"/>
              </w:rPr>
              <w:t xml:space="preserve">Peringkat </w:t>
            </w:r>
            <w:r w:rsidR="00F63444" w:rsidRPr="00306115">
              <w:rPr>
                <w:rFonts w:eastAsia="Bookman Old Style" w:cs="Bookman Old Style"/>
                <w:color w:val="000000" w:themeColor="text1"/>
                <w:szCs w:val="24"/>
              </w:rPr>
              <w:t>5: Mengalami rugi selama 2 (dua) tahun berturut-turut.</w:t>
            </w:r>
          </w:p>
        </w:tc>
      </w:tr>
    </w:tbl>
    <w:p w14:paraId="69333593" w14:textId="77777777" w:rsidR="00F63444" w:rsidRPr="00306115" w:rsidRDefault="00F63444" w:rsidP="00F63444">
      <w:pPr>
        <w:pStyle w:val="HeadingAwalDaftarIsiLampiran"/>
        <w:numPr>
          <w:ilvl w:val="0"/>
          <w:numId w:val="0"/>
        </w:numPr>
        <w:tabs>
          <w:tab w:val="left" w:pos="1134"/>
        </w:tabs>
        <w:ind w:left="567"/>
      </w:pPr>
    </w:p>
    <w:p w14:paraId="427CE4B3" w14:textId="74570468" w:rsidR="005B5630" w:rsidRPr="00306115" w:rsidRDefault="005B5630">
      <w:pPr>
        <w:pStyle w:val="HeadingAwalDaftarIsiLampiran"/>
        <w:numPr>
          <w:ilvl w:val="0"/>
          <w:numId w:val="255"/>
        </w:numPr>
        <w:tabs>
          <w:tab w:val="left" w:pos="1134"/>
        </w:tabs>
        <w:ind w:left="567" w:hanging="567"/>
      </w:pPr>
      <w:r w:rsidRPr="00306115">
        <w:t>PENILAIAN PERMODALAN</w:t>
      </w:r>
    </w:p>
    <w:p w14:paraId="6F32EA42" w14:textId="18A8BCC7" w:rsidR="00534990" w:rsidRPr="00306115" w:rsidRDefault="00534990" w:rsidP="00534990">
      <w:pPr>
        <w:pStyle w:val="HeadingAwalDaftarIsiLampiran"/>
        <w:numPr>
          <w:ilvl w:val="0"/>
          <w:numId w:val="0"/>
        </w:numPr>
        <w:tabs>
          <w:tab w:val="left" w:pos="1134"/>
        </w:tabs>
        <w:ind w:left="567"/>
      </w:pPr>
      <w:r w:rsidRPr="00306115">
        <w:t>Parameter atau Indikator Penilaian Permodalan</w:t>
      </w:r>
    </w:p>
    <w:tbl>
      <w:tblPr>
        <w:tblW w:w="15309" w:type="dxa"/>
        <w:tblInd w:w="5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237"/>
        <w:gridCol w:w="9072"/>
      </w:tblGrid>
      <w:tr w:rsidR="00935EC5" w:rsidRPr="00306115" w14:paraId="4A17CF16" w14:textId="77777777" w:rsidTr="007B1BBA">
        <w:trPr>
          <w:trHeight w:val="556"/>
        </w:trPr>
        <w:tc>
          <w:tcPr>
            <w:tcW w:w="62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EBEBE"/>
          </w:tcPr>
          <w:p w14:paraId="66887D6B" w14:textId="77777777" w:rsidR="00935EC5" w:rsidRPr="00306115" w:rsidRDefault="00935EC5" w:rsidP="00935EC5">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Indikator</w:t>
            </w:r>
          </w:p>
        </w:tc>
        <w:tc>
          <w:tcPr>
            <w:tcW w:w="907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EBEBE"/>
          </w:tcPr>
          <w:p w14:paraId="1D4062B7" w14:textId="77777777" w:rsidR="00935EC5" w:rsidRPr="00306115" w:rsidRDefault="00935EC5" w:rsidP="00935EC5">
            <w:pPr>
              <w:widowControl w:val="0"/>
              <w:pBdr>
                <w:top w:val="nil"/>
                <w:left w:val="nil"/>
                <w:bottom w:val="nil"/>
                <w:right w:val="nil"/>
                <w:between w:val="nil"/>
              </w:pBdr>
              <w:spacing w:before="60" w:after="60" w:line="240" w:lineRule="auto"/>
              <w:jc w:val="center"/>
              <w:rPr>
                <w:rFonts w:eastAsia="Bookman Old Style" w:cs="Bookman Old Style"/>
                <w:b/>
                <w:bCs/>
                <w:color w:val="000000" w:themeColor="text1"/>
                <w:szCs w:val="24"/>
              </w:rPr>
            </w:pPr>
            <w:r w:rsidRPr="00306115">
              <w:rPr>
                <w:rFonts w:eastAsia="Bookman Old Style" w:cs="Bookman Old Style"/>
                <w:b/>
                <w:bCs/>
                <w:color w:val="000000" w:themeColor="text1"/>
                <w:szCs w:val="24"/>
              </w:rPr>
              <w:t>Informasi</w:t>
            </w:r>
          </w:p>
        </w:tc>
      </w:tr>
      <w:tr w:rsidR="00935EC5" w:rsidRPr="00306115" w14:paraId="627D4D7E" w14:textId="77777777" w:rsidTr="007B1BBA">
        <w:trPr>
          <w:trHeight w:val="792"/>
        </w:trPr>
        <w:tc>
          <w:tcPr>
            <w:tcW w:w="6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83D75E" w14:textId="13CFF7BF" w:rsidR="00935EC5" w:rsidRPr="00306115" w:rsidRDefault="00935EC5" w:rsidP="00935EC5">
            <w:pPr>
              <w:widowControl w:val="0"/>
              <w:pBdr>
                <w:top w:val="nil"/>
                <w:left w:val="nil"/>
                <w:bottom w:val="nil"/>
                <w:right w:val="nil"/>
                <w:between w:val="nil"/>
              </w:pBdr>
              <w:tabs>
                <w:tab w:val="left" w:pos="2450"/>
                <w:tab w:val="left" w:pos="3234"/>
              </w:tabs>
              <w:spacing w:after="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Kecukupan Modal Kerja Bersih Disesuaikan (MKBD)</w:t>
            </w:r>
          </w:p>
          <w:p w14:paraId="00EA2B10" w14:textId="77777777" w:rsidR="00935EC5" w:rsidRPr="00306115" w:rsidRDefault="00935EC5" w:rsidP="00935EC5">
            <w:pPr>
              <w:widowControl w:val="0"/>
              <w:pBdr>
                <w:top w:val="nil"/>
                <w:left w:val="nil"/>
                <w:bottom w:val="nil"/>
                <w:right w:val="nil"/>
                <w:between w:val="nil"/>
              </w:pBdr>
              <w:tabs>
                <w:tab w:val="left" w:pos="2450"/>
                <w:tab w:val="left" w:pos="3234"/>
              </w:tabs>
              <w:spacing w:after="0" w:line="240" w:lineRule="auto"/>
              <w:rPr>
                <w:rFonts w:eastAsia="Bookman Old Style" w:cs="Bookman Old Style"/>
                <w:color w:val="000000" w:themeColor="text1"/>
                <w:szCs w:val="24"/>
              </w:rPr>
            </w:pPr>
          </w:p>
          <w:p w14:paraId="3282A64E" w14:textId="77777777" w:rsidR="00935EC5" w:rsidRPr="00306115" w:rsidRDefault="00935EC5" w:rsidP="00935EC5">
            <w:pPr>
              <w:widowControl w:val="0"/>
              <w:pBdr>
                <w:top w:val="nil"/>
                <w:left w:val="nil"/>
                <w:bottom w:val="nil"/>
                <w:right w:val="nil"/>
                <w:between w:val="nil"/>
              </w:pBdr>
              <w:tabs>
                <w:tab w:val="left" w:pos="2450"/>
                <w:tab w:val="left" w:pos="3234"/>
              </w:tabs>
              <w:spacing w:after="0" w:line="240" w:lineRule="auto"/>
              <w:rPr>
                <w:rFonts w:eastAsia="Bookman Old Style" w:cs="Bookman Old Style"/>
                <w:color w:val="000000" w:themeColor="text1"/>
                <w:szCs w:val="24"/>
              </w:rPr>
            </w:pPr>
          </w:p>
        </w:tc>
        <w:tc>
          <w:tcPr>
            <w:tcW w:w="9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32DF98" w14:textId="77777777" w:rsidR="00935EC5" w:rsidRPr="00306115" w:rsidRDefault="00935EC5" w:rsidP="00935EC5">
            <w:pPr>
              <w:widowControl w:val="0"/>
              <w:pBdr>
                <w:top w:val="nil"/>
                <w:left w:val="nil"/>
                <w:bottom w:val="nil"/>
                <w:right w:val="nil"/>
                <w:between w:val="nil"/>
              </w:pBdr>
              <w:spacing w:after="0" w:line="240" w:lineRule="auto"/>
              <w:rPr>
                <w:rFonts w:eastAsia="Bookman Old Style" w:cs="Bookman Old Style"/>
                <w:color w:val="000000" w:themeColor="text1"/>
                <w:szCs w:val="24"/>
              </w:rPr>
            </w:pPr>
            <w:r w:rsidRPr="00306115">
              <w:rPr>
                <w:rFonts w:eastAsia="Bookman Old Style" w:cs="Bookman Old Style"/>
                <w:color w:val="000000" w:themeColor="text1"/>
                <w:szCs w:val="24"/>
              </w:rPr>
              <w:t>Parameter atau indikator ini menilai adanya penurunan modal yang signifikan akibat rugi usaha maupun penurunan nilai aset sehingga tidak sesuai dengan ketentuan permodalan yang berlaku. Adapun pedoman dalam menentukan nilai/ faktor permodalan adalah sebagai berikut:</w:t>
            </w:r>
          </w:p>
          <w:p w14:paraId="73F527FA" w14:textId="0D1937C6" w:rsidR="004F67FC" w:rsidRPr="00306115" w:rsidRDefault="004F67FC">
            <w:pPr>
              <w:widowControl w:val="0"/>
              <w:numPr>
                <w:ilvl w:val="0"/>
                <w:numId w:val="321"/>
              </w:numPr>
              <w:pBdr>
                <w:top w:val="nil"/>
                <w:left w:val="nil"/>
                <w:bottom w:val="nil"/>
                <w:right w:val="nil"/>
                <w:between w:val="nil"/>
              </w:pBdr>
              <w:spacing w:after="0" w:line="240" w:lineRule="auto"/>
              <w:ind w:left="284" w:hanging="284"/>
              <w:rPr>
                <w:rFonts w:eastAsia="Bookman Old Style" w:cs="Bookman Old Style"/>
                <w:strike/>
                <w:color w:val="000000" w:themeColor="text1"/>
                <w:szCs w:val="24"/>
              </w:rPr>
            </w:pPr>
            <w:r w:rsidRPr="00306115">
              <w:rPr>
                <w:rFonts w:eastAsia="Bookman Old Style" w:cs="Bookman Old Style"/>
                <w:color w:val="000000" w:themeColor="text1"/>
                <w:sz w:val="22"/>
              </w:rPr>
              <w:t>Peringkat 1: Manajer Investasi memiliki kualitas dan kecukupan permodalan yang sangat memadai,</w:t>
            </w:r>
            <w:r w:rsidRPr="00306115">
              <w:rPr>
                <w:color w:val="000000" w:themeColor="text1"/>
              </w:rPr>
              <w:t xml:space="preserve"> </w:t>
            </w:r>
            <w:r w:rsidRPr="00306115">
              <w:rPr>
                <w:rFonts w:eastAsia="Bookman Old Style" w:cs="Bookman Old Style"/>
                <w:color w:val="000000" w:themeColor="text1"/>
                <w:sz w:val="22"/>
              </w:rPr>
              <w:t>dengan MKBD yang sangat mencukupi dan tidak terdapat ketidakcukupan MKBD dalam setahun.</w:t>
            </w:r>
          </w:p>
          <w:p w14:paraId="1F0B8674" w14:textId="77777777" w:rsidR="004F67FC" w:rsidRPr="00306115" w:rsidRDefault="004F67FC">
            <w:pPr>
              <w:widowControl w:val="0"/>
              <w:numPr>
                <w:ilvl w:val="0"/>
                <w:numId w:val="321"/>
              </w:numPr>
              <w:spacing w:after="0" w:line="240" w:lineRule="auto"/>
              <w:ind w:left="284" w:hanging="284"/>
              <w:rPr>
                <w:rFonts w:eastAsia="Bookman Old Style" w:cs="Bookman Old Style"/>
                <w:color w:val="000000" w:themeColor="text1"/>
                <w:sz w:val="22"/>
              </w:rPr>
            </w:pPr>
            <w:r w:rsidRPr="00306115">
              <w:rPr>
                <w:rFonts w:eastAsia="Bookman Old Style" w:cs="Bookman Old Style"/>
                <w:color w:val="000000" w:themeColor="text1"/>
                <w:sz w:val="22"/>
              </w:rPr>
              <w:t>Peringkat 2: Manajer Investasi memiliki kualitas dan kecukupan permodalan yang memadai, dengan ketidakcukupan MKBD selama 1 (satu) sampai dengan 10 (sepuluh) hari kerja dalam setahun, dan tidak terdapat indikasi penurunan modal yang signifikan</w:t>
            </w:r>
          </w:p>
          <w:p w14:paraId="1831C185" w14:textId="77777777" w:rsidR="004F67FC" w:rsidRPr="00306115" w:rsidRDefault="004F67FC">
            <w:pPr>
              <w:widowControl w:val="0"/>
              <w:numPr>
                <w:ilvl w:val="0"/>
                <w:numId w:val="321"/>
              </w:numPr>
              <w:spacing w:after="0" w:line="240" w:lineRule="auto"/>
              <w:ind w:left="284" w:hanging="284"/>
              <w:rPr>
                <w:rFonts w:eastAsia="Bookman Old Style" w:cs="Bookman Old Style"/>
                <w:color w:val="000000" w:themeColor="text1"/>
                <w:sz w:val="22"/>
              </w:rPr>
            </w:pPr>
            <w:r w:rsidRPr="00306115">
              <w:rPr>
                <w:rFonts w:eastAsia="Bookman Old Style" w:cs="Bookman Old Style"/>
                <w:color w:val="000000" w:themeColor="text1"/>
                <w:sz w:val="22"/>
              </w:rPr>
              <w:t>Peringkat 3: Manajer Investasi memiliki kualitas dan kecukupan permodalan yang cukup memadai, dengan ketidakcukupan MKBD selama 11 (sebelas) sampai dengan 20 (dua puluh) hari kerja dalam setahun, dan terdapat penurunan modal secara signifikan.</w:t>
            </w:r>
          </w:p>
          <w:p w14:paraId="47D9D9B1" w14:textId="77777777" w:rsidR="004F67FC" w:rsidRPr="00306115" w:rsidRDefault="004F67FC">
            <w:pPr>
              <w:widowControl w:val="0"/>
              <w:numPr>
                <w:ilvl w:val="0"/>
                <w:numId w:val="321"/>
              </w:numPr>
              <w:spacing w:after="0" w:line="240" w:lineRule="auto"/>
              <w:ind w:left="284" w:hanging="284"/>
              <w:rPr>
                <w:rFonts w:eastAsia="Bookman Old Style" w:cs="Bookman Old Style"/>
                <w:color w:val="000000" w:themeColor="text1"/>
                <w:sz w:val="22"/>
              </w:rPr>
            </w:pPr>
            <w:r w:rsidRPr="00306115">
              <w:rPr>
                <w:rFonts w:eastAsia="Bookman Old Style" w:cs="Bookman Old Style"/>
                <w:color w:val="000000" w:themeColor="text1"/>
                <w:sz w:val="22"/>
              </w:rPr>
              <w:t>Peringkat 4: Manajer Investasi memiliki kualitas dan kecukupan permodalan yang kurang memadai, dengan ketidakcukupan MKBD selama 21 (dua puluh satu) sampai dengan 30 (tiga puluh) hari kerja dalam setahun, yang menunjukkan adanya tekanan terhadap kondisi permodalan.</w:t>
            </w:r>
          </w:p>
          <w:p w14:paraId="5E684DCB" w14:textId="04D004FF" w:rsidR="000E498B" w:rsidRPr="00306115" w:rsidRDefault="004F67FC">
            <w:pPr>
              <w:widowControl w:val="0"/>
              <w:numPr>
                <w:ilvl w:val="0"/>
                <w:numId w:val="321"/>
              </w:numPr>
              <w:pBdr>
                <w:top w:val="nil"/>
                <w:left w:val="nil"/>
                <w:bottom w:val="nil"/>
                <w:right w:val="nil"/>
                <w:between w:val="nil"/>
              </w:pBdr>
              <w:spacing w:after="0" w:line="240" w:lineRule="auto"/>
              <w:ind w:left="284" w:hanging="284"/>
              <w:rPr>
                <w:rFonts w:eastAsia="Bookman Old Style" w:cs="Bookman Old Style"/>
                <w:color w:val="000000" w:themeColor="text1"/>
                <w:szCs w:val="24"/>
              </w:rPr>
            </w:pPr>
            <w:r w:rsidRPr="00306115">
              <w:rPr>
                <w:rFonts w:eastAsia="Bookman Old Style" w:cs="Bookman Old Style"/>
                <w:color w:val="000000" w:themeColor="text1"/>
                <w:sz w:val="22"/>
              </w:rPr>
              <w:t>Peringkat 5: Manajer Investasi memiliki kualitas dan kecukupan permodalan yang tidak memadai, dengan ketidakcukupan MKBD selama lebih dari 30 (tiga puluh) hari kerja dalam setahun, yang menunjukkan adanya tekanan permodalan yang material.</w:t>
            </w:r>
          </w:p>
        </w:tc>
      </w:tr>
      <w:tr w:rsidR="00935EC5" w:rsidRPr="00306115" w14:paraId="6CB9F01F" w14:textId="77777777" w:rsidTr="007B1BBA">
        <w:trPr>
          <w:trHeight w:val="792"/>
        </w:trPr>
        <w:tc>
          <w:tcPr>
            <w:tcW w:w="6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12D86D" w14:textId="77777777" w:rsidR="00935EC5" w:rsidRPr="00306115" w:rsidRDefault="00935EC5" w:rsidP="00935EC5">
            <w:pPr>
              <w:widowControl w:val="0"/>
              <w:pBdr>
                <w:top w:val="nil"/>
                <w:left w:val="nil"/>
                <w:bottom w:val="nil"/>
                <w:right w:val="nil"/>
                <w:between w:val="nil"/>
              </w:pBdr>
              <w:tabs>
                <w:tab w:val="left" w:pos="2450"/>
                <w:tab w:val="left" w:pos="3234"/>
              </w:tabs>
              <w:spacing w:after="0" w:line="240" w:lineRule="auto"/>
              <w:rPr>
                <w:rFonts w:eastAsia="Bookman Old Style" w:cs="Bookman Old Style"/>
                <w:color w:val="000000" w:themeColor="text1"/>
                <w:szCs w:val="24"/>
              </w:rPr>
            </w:pPr>
            <w:r w:rsidRPr="00306115">
              <w:rPr>
                <w:rFonts w:eastAsia="Bookman Old Style" w:cs="Bookman Old Style"/>
                <w:color w:val="000000" w:themeColor="text1"/>
                <w:szCs w:val="24"/>
              </w:rPr>
              <w:lastRenderedPageBreak/>
              <w:t>Rasio kecukupan permodalan Manajer Investasi dalam 1 (satu) tahun terakhir</w:t>
            </w:r>
          </w:p>
        </w:tc>
        <w:tc>
          <w:tcPr>
            <w:tcW w:w="9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05BEE3" w14:textId="0A0CDC5B" w:rsidR="00935EC5" w:rsidRPr="00306115" w:rsidRDefault="00935EC5">
            <w:pPr>
              <w:pStyle w:val="ListParagraph"/>
              <w:widowControl w:val="0"/>
              <w:numPr>
                <w:ilvl w:val="0"/>
                <w:numId w:val="510"/>
              </w:numPr>
              <w:pBdr>
                <w:top w:val="nil"/>
                <w:left w:val="nil"/>
                <w:bottom w:val="nil"/>
                <w:right w:val="nil"/>
                <w:between w:val="nil"/>
              </w:pBdr>
              <w:spacing w:after="0" w:line="240" w:lineRule="auto"/>
              <w:ind w:left="567" w:hanging="567"/>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Parameter atau indikator ini dihitung dengan rumus sebagai berikut:</w:t>
            </w:r>
          </w:p>
          <w:p w14:paraId="4978FCE1" w14:textId="77777777" w:rsidR="00935EC5" w:rsidRPr="00306115" w:rsidRDefault="00DD3739" w:rsidP="00935EC5">
            <w:pPr>
              <w:spacing w:after="0" w:line="240" w:lineRule="auto"/>
              <w:jc w:val="center"/>
              <w:rPr>
                <w:rFonts w:eastAsia="Cambria Math" w:cs="Cambria Math"/>
                <w:color w:val="000000" w:themeColor="text1"/>
                <w:szCs w:val="24"/>
              </w:rPr>
            </w:pPr>
            <m:oMathPara>
              <m:oMath>
                <m:f>
                  <m:fPr>
                    <m:ctrlPr>
                      <w:rPr>
                        <w:rFonts w:ascii="Cambria Math" w:eastAsia="Cambria Math" w:hAnsi="Cambria Math" w:cs="Cambria Math"/>
                        <w:color w:val="000000" w:themeColor="text1"/>
                        <w:szCs w:val="24"/>
                      </w:rPr>
                    </m:ctrlPr>
                  </m:fPr>
                  <m:num>
                    <m:r>
                      <w:rPr>
                        <w:rFonts w:ascii="Cambria Math" w:eastAsia="Cambria Math" w:hAnsi="Cambria Math" w:cs="Cambria Math"/>
                        <w:color w:val="000000" w:themeColor="text1"/>
                        <w:szCs w:val="24"/>
                      </w:rPr>
                      <m:t>MKBD</m:t>
                    </m:r>
                    <m:r>
                      <w:rPr>
                        <w:rFonts w:ascii="Cambria Math" w:eastAsia="Cambria Math" w:hAnsi="Cambria Math" w:cs="Cambria Math"/>
                        <w:color w:val="000000" w:themeColor="text1"/>
                        <w:szCs w:val="24"/>
                      </w:rPr>
                      <m:t xml:space="preserve"> </m:t>
                    </m:r>
                    <m:r>
                      <w:rPr>
                        <w:rFonts w:ascii="Cambria Math" w:eastAsia="Cambria Math" w:hAnsi="Cambria Math" w:cs="Cambria Math"/>
                        <w:color w:val="000000" w:themeColor="text1"/>
                        <w:szCs w:val="24"/>
                      </w:rPr>
                      <m:t>Aktual</m:t>
                    </m:r>
                  </m:num>
                  <m:den>
                    <m:r>
                      <w:rPr>
                        <w:rFonts w:ascii="Cambria Math" w:eastAsia="Cambria Math" w:hAnsi="Cambria Math" w:cs="Cambria Math"/>
                        <w:color w:val="000000" w:themeColor="text1"/>
                        <w:szCs w:val="24"/>
                      </w:rPr>
                      <m:t>MKBD</m:t>
                    </m:r>
                    <m:r>
                      <w:rPr>
                        <w:rFonts w:ascii="Cambria Math" w:eastAsia="Cambria Math" w:hAnsi="Cambria Math" w:cs="Cambria Math"/>
                        <w:color w:val="000000" w:themeColor="text1"/>
                        <w:szCs w:val="24"/>
                      </w:rPr>
                      <m:t xml:space="preserve"> </m:t>
                    </m:r>
                    <m:r>
                      <w:rPr>
                        <w:rFonts w:ascii="Cambria Math" w:eastAsia="Cambria Math" w:hAnsi="Cambria Math" w:cs="Cambria Math"/>
                        <w:color w:val="000000" w:themeColor="text1"/>
                        <w:szCs w:val="24"/>
                      </w:rPr>
                      <m:t>Dipersyaratkan</m:t>
                    </m:r>
                  </m:den>
                </m:f>
              </m:oMath>
            </m:oMathPara>
          </w:p>
          <w:p w14:paraId="0C5A47E2" w14:textId="77777777" w:rsidR="00935EC5" w:rsidRPr="00306115" w:rsidRDefault="00935EC5" w:rsidP="00935EC5">
            <w:pPr>
              <w:widowControl w:val="0"/>
              <w:pBdr>
                <w:top w:val="nil"/>
                <w:left w:val="nil"/>
                <w:bottom w:val="nil"/>
                <w:right w:val="nil"/>
                <w:between w:val="nil"/>
              </w:pBdr>
              <w:spacing w:after="0" w:line="240" w:lineRule="auto"/>
              <w:rPr>
                <w:rFonts w:eastAsia="Bookman Old Style" w:cs="Bookman Old Style"/>
                <w:color w:val="000000" w:themeColor="text1"/>
                <w:szCs w:val="24"/>
              </w:rPr>
            </w:pPr>
          </w:p>
          <w:p w14:paraId="273C254F" w14:textId="77777777" w:rsidR="004517FC" w:rsidRPr="00306115" w:rsidRDefault="00982B98">
            <w:pPr>
              <w:pStyle w:val="ListParagraph"/>
              <w:widowControl w:val="0"/>
              <w:numPr>
                <w:ilvl w:val="0"/>
                <w:numId w:val="510"/>
              </w:numPr>
              <w:pBdr>
                <w:top w:val="nil"/>
                <w:left w:val="nil"/>
                <w:bottom w:val="nil"/>
                <w:right w:val="nil"/>
                <w:between w:val="nil"/>
              </w:pBdr>
              <w:spacing w:after="0" w:line="240" w:lineRule="auto"/>
              <w:ind w:left="567" w:hanging="567"/>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Adapun klasifikasi penilaian indikator ini terbagi menjadi 5 (lima) peringkat sebagai berikut:</w:t>
            </w:r>
          </w:p>
          <w:p w14:paraId="714EFA5D" w14:textId="31C996A8" w:rsidR="004517FC" w:rsidRPr="00306115" w:rsidRDefault="004517FC">
            <w:pPr>
              <w:pStyle w:val="ListParagraph"/>
              <w:widowControl w:val="0"/>
              <w:numPr>
                <w:ilvl w:val="0"/>
                <w:numId w:val="511"/>
              </w:numPr>
              <w:pBdr>
                <w:top w:val="nil"/>
                <w:left w:val="nil"/>
                <w:bottom w:val="nil"/>
                <w:right w:val="nil"/>
                <w:between w:val="nil"/>
              </w:pBdr>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 xml:space="preserve">Peringkat 1: Manajer Investasi memiliki </w:t>
            </w:r>
            <w:r w:rsidRPr="00306115">
              <w:rPr>
                <w:rFonts w:eastAsia="Bookman Old Style" w:cs="Bookman Old Style"/>
                <w:i/>
                <w:iCs/>
                <w:color w:val="000000" w:themeColor="text1"/>
                <w:szCs w:val="24"/>
              </w:rPr>
              <w:t>buffer</w:t>
            </w:r>
            <w:r w:rsidRPr="00306115">
              <w:rPr>
                <w:rFonts w:eastAsia="Bookman Old Style" w:cs="Bookman Old Style"/>
                <w:color w:val="000000" w:themeColor="text1"/>
                <w:szCs w:val="24"/>
              </w:rPr>
              <w:t xml:space="preserve"> permodalan yang sangat memadai, dengan rasio kecukupan permodalan selama 1 (satu) tahun terakhir sebesar ≥10,0x dari persyaratan minimum sebagaimana diatur dalam POJK 5 Tahun 2026, sehingga tidak terdapat indikasi risiko pelanggaran terhadap batas minimum kecukupan permodalan.</w:t>
            </w:r>
          </w:p>
          <w:p w14:paraId="7DE7C50E" w14:textId="6503EBBB" w:rsidR="004517FC" w:rsidRPr="00306115" w:rsidRDefault="004517FC">
            <w:pPr>
              <w:pStyle w:val="ListParagraph"/>
              <w:widowControl w:val="0"/>
              <w:numPr>
                <w:ilvl w:val="0"/>
                <w:numId w:val="511"/>
              </w:numPr>
              <w:pBdr>
                <w:top w:val="nil"/>
                <w:left w:val="nil"/>
                <w:bottom w:val="nil"/>
                <w:right w:val="nil"/>
                <w:between w:val="nil"/>
              </w:pBdr>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 xml:space="preserve">Peringkat 2: Manajer Investasi memiliki </w:t>
            </w:r>
            <w:r w:rsidRPr="00306115">
              <w:rPr>
                <w:rFonts w:eastAsia="Bookman Old Style" w:cs="Bookman Old Style"/>
                <w:i/>
                <w:iCs/>
                <w:color w:val="000000" w:themeColor="text1"/>
                <w:szCs w:val="24"/>
              </w:rPr>
              <w:t>buffer</w:t>
            </w:r>
            <w:r w:rsidRPr="00306115">
              <w:rPr>
                <w:rFonts w:eastAsia="Bookman Old Style" w:cs="Bookman Old Style"/>
                <w:color w:val="000000" w:themeColor="text1"/>
                <w:szCs w:val="24"/>
              </w:rPr>
              <w:t xml:space="preserve"> permodalan yang memadai, dengan rasio kecukupan permodalan selama 1 (satu) tahun terakhir sebesar ≥3,0x - &lt;10,0x dari persyaratan minimum sebagaimana diatur dalam POJK 5 Tahun 2026, sehingga Manajer Investasi memiliki kapasitas yang memadai untuk menyerap peningkatan liabilitas atau penurunan dana kelolaan dalam jumlah yang cukup signifikan.</w:t>
            </w:r>
          </w:p>
          <w:p w14:paraId="3F7FB348" w14:textId="1661E491" w:rsidR="004517FC" w:rsidRPr="00306115" w:rsidRDefault="004517FC">
            <w:pPr>
              <w:pStyle w:val="ListParagraph"/>
              <w:widowControl w:val="0"/>
              <w:numPr>
                <w:ilvl w:val="0"/>
                <w:numId w:val="511"/>
              </w:numPr>
              <w:pBdr>
                <w:top w:val="nil"/>
                <w:left w:val="nil"/>
                <w:bottom w:val="nil"/>
                <w:right w:val="nil"/>
                <w:between w:val="nil"/>
              </w:pBdr>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 xml:space="preserve">Peringkat 3: Manajer Investasi memiliki </w:t>
            </w:r>
            <w:r w:rsidRPr="00306115">
              <w:rPr>
                <w:rFonts w:eastAsia="Bookman Old Style" w:cs="Bookman Old Style"/>
                <w:i/>
                <w:iCs/>
                <w:color w:val="000000" w:themeColor="text1"/>
                <w:szCs w:val="24"/>
              </w:rPr>
              <w:t>buffer</w:t>
            </w:r>
            <w:r w:rsidRPr="00306115">
              <w:rPr>
                <w:rFonts w:eastAsia="Bookman Old Style" w:cs="Bookman Old Style"/>
                <w:color w:val="000000" w:themeColor="text1"/>
                <w:szCs w:val="24"/>
              </w:rPr>
              <w:t xml:space="preserve"> permodalan yang cukup memadai, dengan rasio kecukupan permodalan selama 1 (satu) tahun terakhir sebesar ≥1,5x - &lt;3,0x dari persyaratan minimum sebagaimana diatur dalam POJK 5 Tahun 2026, sehingga Manajer Investasi masih memiliki kapasitas untuk mengakomodasi fluktuasi peningkatan liabilitas atau penurunan dana kelolaan, namun dalam kapasitas yang terbatas dan perlu dilakukan pemantauan terhadap tren pergerakannya.</w:t>
            </w:r>
          </w:p>
          <w:p w14:paraId="210D9B1D" w14:textId="08495623" w:rsidR="004517FC" w:rsidRPr="00306115" w:rsidRDefault="004517FC">
            <w:pPr>
              <w:pStyle w:val="ListParagraph"/>
              <w:widowControl w:val="0"/>
              <w:numPr>
                <w:ilvl w:val="0"/>
                <w:numId w:val="511"/>
              </w:numPr>
              <w:pBdr>
                <w:top w:val="nil"/>
                <w:left w:val="nil"/>
                <w:bottom w:val="nil"/>
                <w:right w:val="nil"/>
                <w:between w:val="nil"/>
              </w:pBdr>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 xml:space="preserve">Peringkat 4: Manajer Investasi memiliki </w:t>
            </w:r>
            <w:r w:rsidRPr="00306115">
              <w:rPr>
                <w:rFonts w:eastAsia="Bookman Old Style" w:cs="Bookman Old Style"/>
                <w:i/>
                <w:iCs/>
                <w:color w:val="000000" w:themeColor="text1"/>
                <w:szCs w:val="24"/>
              </w:rPr>
              <w:t>buffer</w:t>
            </w:r>
            <w:r w:rsidRPr="00306115">
              <w:rPr>
                <w:rFonts w:eastAsia="Bookman Old Style" w:cs="Bookman Old Style"/>
                <w:color w:val="000000" w:themeColor="text1"/>
                <w:szCs w:val="24"/>
              </w:rPr>
              <w:t xml:space="preserve"> permodalan yang kurang memadai, dengan rasio kecukupan permodalan selama 1 (satu) tahun terakhir sebesar ≥1,0x - &lt;1,5x dari persyaratan minimum sebagaimana diatur dalam POJK 5 Tahun 2026, sehingga </w:t>
            </w:r>
            <w:r w:rsidRPr="00306115">
              <w:rPr>
                <w:rFonts w:eastAsia="Bookman Old Style" w:cs="Bookman Old Style"/>
                <w:color w:val="000000" w:themeColor="text1"/>
                <w:szCs w:val="24"/>
              </w:rPr>
              <w:lastRenderedPageBreak/>
              <w:t>Manajer Investasi memiliki ruang yang terbatas untuk menyerap peningkatan liabilitas atau penurunan dana kelolaan dan terdapat risiko tidak terpenuhinya batas minimum kecukupan permodalan apabila terjadi tekanan lebih lanjut terhadap kondisi keuangan.</w:t>
            </w:r>
          </w:p>
          <w:p w14:paraId="418A2BAA" w14:textId="684D33DA" w:rsidR="00982B98" w:rsidRPr="00306115" w:rsidRDefault="004517FC">
            <w:pPr>
              <w:pStyle w:val="ListParagraph"/>
              <w:widowControl w:val="0"/>
              <w:numPr>
                <w:ilvl w:val="0"/>
                <w:numId w:val="511"/>
              </w:numPr>
              <w:pBdr>
                <w:top w:val="nil"/>
                <w:left w:val="nil"/>
                <w:bottom w:val="nil"/>
                <w:right w:val="nil"/>
                <w:between w:val="nil"/>
              </w:pBdr>
              <w:spacing w:after="0" w:line="240" w:lineRule="auto"/>
              <w:ind w:left="851" w:hanging="284"/>
              <w:contextualSpacing w:val="0"/>
              <w:rPr>
                <w:rFonts w:eastAsia="Bookman Old Style" w:cs="Bookman Old Style"/>
                <w:color w:val="000000" w:themeColor="text1"/>
                <w:szCs w:val="24"/>
              </w:rPr>
            </w:pPr>
            <w:r w:rsidRPr="00306115">
              <w:rPr>
                <w:rFonts w:eastAsia="Bookman Old Style" w:cs="Bookman Old Style"/>
                <w:color w:val="000000" w:themeColor="text1"/>
                <w:szCs w:val="24"/>
              </w:rPr>
              <w:t xml:space="preserve">Peringkat 5: Manajer Investasi memiliki </w:t>
            </w:r>
            <w:r w:rsidRPr="00306115">
              <w:rPr>
                <w:rFonts w:eastAsia="Bookman Old Style" w:cs="Bookman Old Style"/>
                <w:i/>
                <w:iCs/>
                <w:color w:val="000000" w:themeColor="text1"/>
                <w:szCs w:val="24"/>
              </w:rPr>
              <w:t>buffer</w:t>
            </w:r>
            <w:r w:rsidRPr="00306115">
              <w:rPr>
                <w:rFonts w:eastAsia="Bookman Old Style" w:cs="Bookman Old Style"/>
                <w:color w:val="000000" w:themeColor="text1"/>
                <w:szCs w:val="24"/>
              </w:rPr>
              <w:t xml:space="preserve"> permodalan yang tidak memadai, dengan rasio kecukupan permodalan selama 1 (satu) tahun terakhir sebesar &lt;1,0x dari persyaratan minimum sebagaimana diatur dalam POJK 5 Tahun 2026, sehingga Manajer Investasi tidak memenuhi batas minimum kecukupan permodalan dan memerlukan tindakan perbaikan sesuai dengan ketentuan peraturan perundang-undangan.</w:t>
            </w:r>
          </w:p>
        </w:tc>
      </w:tr>
    </w:tbl>
    <w:p w14:paraId="002E9B60" w14:textId="77777777" w:rsidR="00534990" w:rsidRPr="00306115" w:rsidRDefault="00534990" w:rsidP="00534990">
      <w:pPr>
        <w:pStyle w:val="HeadingAwalDaftarIsiLampiran"/>
        <w:numPr>
          <w:ilvl w:val="0"/>
          <w:numId w:val="0"/>
        </w:numPr>
        <w:tabs>
          <w:tab w:val="left" w:pos="1134"/>
        </w:tabs>
        <w:ind w:left="567"/>
      </w:pPr>
    </w:p>
    <w:p w14:paraId="32ACE8E2" w14:textId="77777777" w:rsidR="00E038E4" w:rsidRPr="00306115" w:rsidRDefault="00E038E4" w:rsidP="00E038E4">
      <w:pPr>
        <w:pStyle w:val="HeadingAwalDaftarIsiLampiran"/>
        <w:numPr>
          <w:ilvl w:val="0"/>
          <w:numId w:val="0"/>
        </w:numPr>
        <w:tabs>
          <w:tab w:val="left" w:pos="1134"/>
        </w:tabs>
        <w:ind w:left="567"/>
      </w:pPr>
    </w:p>
    <w:p w14:paraId="69E874B5" w14:textId="77777777" w:rsidR="00E038E4" w:rsidRPr="00306115" w:rsidRDefault="00E038E4" w:rsidP="00E038E4">
      <w:pPr>
        <w:tabs>
          <w:tab w:val="left" w:pos="8910"/>
        </w:tabs>
        <w:spacing w:after="0" w:line="240" w:lineRule="auto"/>
        <w:ind w:left="11340"/>
        <w:rPr>
          <w:noProof/>
          <w:color w:val="000000" w:themeColor="text1"/>
          <w:szCs w:val="24"/>
        </w:rPr>
      </w:pPr>
      <w:r w:rsidRPr="00306115">
        <w:rPr>
          <w:noProof/>
          <w:color w:val="000000" w:themeColor="text1"/>
          <w:szCs w:val="24"/>
        </w:rPr>
        <w:t>Ditetapkan di Jakarta</w:t>
      </w:r>
    </w:p>
    <w:p w14:paraId="70F6F35C" w14:textId="77777777" w:rsidR="00E038E4" w:rsidRPr="00306115" w:rsidRDefault="00E038E4" w:rsidP="00E038E4">
      <w:pPr>
        <w:tabs>
          <w:tab w:val="left" w:pos="8910"/>
        </w:tabs>
        <w:spacing w:after="0" w:line="240" w:lineRule="auto"/>
        <w:ind w:left="11340"/>
        <w:rPr>
          <w:noProof/>
          <w:color w:val="000000" w:themeColor="text1"/>
          <w:szCs w:val="24"/>
        </w:rPr>
      </w:pPr>
      <w:r w:rsidRPr="00306115">
        <w:rPr>
          <w:noProof/>
          <w:color w:val="000000" w:themeColor="text1"/>
          <w:szCs w:val="24"/>
        </w:rPr>
        <w:t>pada tanggal …</w:t>
      </w:r>
    </w:p>
    <w:p w14:paraId="75261A23" w14:textId="77777777" w:rsidR="00E038E4" w:rsidRPr="00306115" w:rsidRDefault="00E038E4" w:rsidP="00E038E4">
      <w:pPr>
        <w:tabs>
          <w:tab w:val="left" w:pos="8910"/>
        </w:tabs>
        <w:spacing w:after="0" w:line="240" w:lineRule="auto"/>
        <w:ind w:left="11340"/>
        <w:rPr>
          <w:noProof/>
          <w:color w:val="000000" w:themeColor="text1"/>
          <w:szCs w:val="24"/>
        </w:rPr>
      </w:pPr>
      <w:r w:rsidRPr="00306115">
        <w:rPr>
          <w:noProof/>
          <w:color w:val="000000" w:themeColor="text1"/>
          <w:szCs w:val="24"/>
        </w:rPr>
        <w:t>KEPALA</w:t>
      </w:r>
      <w:r w:rsidRPr="00306115">
        <w:rPr>
          <w:noProof/>
          <w:color w:val="000000" w:themeColor="text1"/>
          <w:szCs w:val="24"/>
          <w:lang w:val="en-US"/>
        </w:rPr>
        <w:t xml:space="preserve"> </w:t>
      </w:r>
      <w:r w:rsidRPr="00306115">
        <w:rPr>
          <w:noProof/>
          <w:color w:val="000000" w:themeColor="text1"/>
          <w:szCs w:val="24"/>
        </w:rPr>
        <w:t>EKSEKUTIF PENGAWAS PASAR MODAL, KEUANGAN DERIVATIF, DAN BURSA KARBON</w:t>
      </w:r>
    </w:p>
    <w:p w14:paraId="451CF57D" w14:textId="77777777" w:rsidR="00E038E4" w:rsidRPr="00306115" w:rsidRDefault="00E038E4" w:rsidP="00E038E4">
      <w:pPr>
        <w:tabs>
          <w:tab w:val="left" w:pos="8910"/>
        </w:tabs>
        <w:spacing w:after="0" w:line="240" w:lineRule="auto"/>
        <w:ind w:left="11340"/>
        <w:rPr>
          <w:noProof/>
          <w:color w:val="000000" w:themeColor="text1"/>
          <w:szCs w:val="24"/>
        </w:rPr>
      </w:pPr>
      <w:r w:rsidRPr="00306115">
        <w:rPr>
          <w:noProof/>
          <w:color w:val="000000" w:themeColor="text1"/>
          <w:szCs w:val="24"/>
        </w:rPr>
        <w:t>OTORITAS JASA KEUANGAN</w:t>
      </w:r>
    </w:p>
    <w:p w14:paraId="3FFD1A4C" w14:textId="40DBA385" w:rsidR="00E038E4" w:rsidRPr="00306115" w:rsidRDefault="00E038E4" w:rsidP="00E038E4">
      <w:pPr>
        <w:tabs>
          <w:tab w:val="left" w:pos="8910"/>
        </w:tabs>
        <w:spacing w:after="0" w:line="240" w:lineRule="auto"/>
        <w:ind w:left="11340"/>
        <w:rPr>
          <w:noProof/>
          <w:color w:val="000000" w:themeColor="text1"/>
          <w:szCs w:val="24"/>
        </w:rPr>
      </w:pPr>
      <w:r w:rsidRPr="00306115">
        <w:rPr>
          <w:noProof/>
          <w:color w:val="000000" w:themeColor="text1"/>
          <w:szCs w:val="24"/>
          <w:lang w:val="en-US"/>
        </w:rPr>
        <w:t>REPUBLIK INDONESIA</w:t>
      </w:r>
      <w:r w:rsidRPr="00306115">
        <w:rPr>
          <w:noProof/>
          <w:color w:val="000000" w:themeColor="text1"/>
          <w:szCs w:val="24"/>
        </w:rPr>
        <w:t>,</w:t>
      </w:r>
    </w:p>
    <w:p w14:paraId="6BE6A448" w14:textId="77777777" w:rsidR="00E038E4" w:rsidRPr="00306115" w:rsidRDefault="00E038E4" w:rsidP="00E038E4">
      <w:pPr>
        <w:spacing w:after="0" w:line="240" w:lineRule="auto"/>
        <w:ind w:left="5245" w:right="26"/>
        <w:rPr>
          <w:noProof/>
          <w:color w:val="000000" w:themeColor="text1"/>
          <w:szCs w:val="24"/>
        </w:rPr>
      </w:pPr>
    </w:p>
    <w:p w14:paraId="0A3953B9" w14:textId="77777777" w:rsidR="00E038E4" w:rsidRPr="00306115" w:rsidRDefault="00E038E4" w:rsidP="00E038E4">
      <w:pPr>
        <w:spacing w:after="0" w:line="240" w:lineRule="auto"/>
        <w:ind w:left="5245" w:right="26"/>
        <w:rPr>
          <w:noProof/>
          <w:color w:val="000000" w:themeColor="text1"/>
          <w:szCs w:val="24"/>
        </w:rPr>
      </w:pPr>
    </w:p>
    <w:p w14:paraId="521435A5" w14:textId="77777777" w:rsidR="005A6ECF" w:rsidRPr="00306115" w:rsidRDefault="005A6ECF" w:rsidP="00E038E4">
      <w:pPr>
        <w:spacing w:after="0" w:line="240" w:lineRule="auto"/>
        <w:ind w:left="5245" w:right="26"/>
        <w:rPr>
          <w:noProof/>
          <w:color w:val="000000" w:themeColor="text1"/>
          <w:szCs w:val="24"/>
        </w:rPr>
      </w:pPr>
    </w:p>
    <w:p w14:paraId="732ED380" w14:textId="77777777" w:rsidR="005A6ECF" w:rsidRPr="00306115" w:rsidRDefault="005A6ECF" w:rsidP="00E038E4">
      <w:pPr>
        <w:spacing w:after="0" w:line="240" w:lineRule="auto"/>
        <w:ind w:left="5245" w:right="26"/>
        <w:rPr>
          <w:noProof/>
          <w:color w:val="000000" w:themeColor="text1"/>
          <w:szCs w:val="24"/>
        </w:rPr>
      </w:pPr>
    </w:p>
    <w:p w14:paraId="544D9388" w14:textId="77777777" w:rsidR="00E038E4" w:rsidRPr="00306115" w:rsidRDefault="00E038E4" w:rsidP="00E038E4">
      <w:pPr>
        <w:spacing w:after="0" w:line="240" w:lineRule="auto"/>
        <w:ind w:left="5245" w:right="26"/>
        <w:rPr>
          <w:noProof/>
          <w:color w:val="000000" w:themeColor="text1"/>
          <w:szCs w:val="24"/>
        </w:rPr>
      </w:pPr>
    </w:p>
    <w:p w14:paraId="3F21B281" w14:textId="41B04E67" w:rsidR="00E038E4" w:rsidRPr="00306115" w:rsidRDefault="00E038E4" w:rsidP="00E038E4">
      <w:pPr>
        <w:tabs>
          <w:tab w:val="left" w:pos="8910"/>
        </w:tabs>
        <w:spacing w:after="0" w:line="240" w:lineRule="auto"/>
        <w:ind w:left="4536"/>
        <w:jc w:val="center"/>
        <w:rPr>
          <w:noProof/>
          <w:color w:val="000000" w:themeColor="text1"/>
          <w:szCs w:val="24"/>
        </w:rPr>
      </w:pPr>
      <w:r w:rsidRPr="00306115">
        <w:rPr>
          <w:noProof/>
          <w:color w:val="000000" w:themeColor="text1"/>
          <w:szCs w:val="24"/>
        </w:rPr>
        <w:tab/>
      </w:r>
      <w:r w:rsidRPr="00306115">
        <w:rPr>
          <w:noProof/>
          <w:color w:val="000000" w:themeColor="text1"/>
          <w:szCs w:val="24"/>
        </w:rPr>
        <w:tab/>
      </w:r>
      <w:r w:rsidRPr="00306115">
        <w:rPr>
          <w:noProof/>
          <w:color w:val="000000" w:themeColor="text1"/>
          <w:szCs w:val="24"/>
        </w:rPr>
        <w:tab/>
      </w:r>
      <w:r w:rsidRPr="00306115">
        <w:rPr>
          <w:noProof/>
          <w:color w:val="000000" w:themeColor="text1"/>
          <w:szCs w:val="24"/>
        </w:rPr>
        <w:tab/>
      </w:r>
      <w:r w:rsidRPr="00306115">
        <w:rPr>
          <w:noProof/>
          <w:color w:val="000000" w:themeColor="text1"/>
          <w:szCs w:val="24"/>
        </w:rPr>
        <w:tab/>
        <w:t>HASAN FAWZI</w:t>
      </w:r>
    </w:p>
    <w:p w14:paraId="740A0A76" w14:textId="77777777" w:rsidR="00E038E4" w:rsidRPr="00306115" w:rsidRDefault="00E038E4" w:rsidP="00E038E4">
      <w:pPr>
        <w:pStyle w:val="HeadingAwalDaftarIsiLampiran"/>
        <w:numPr>
          <w:ilvl w:val="0"/>
          <w:numId w:val="0"/>
        </w:numPr>
        <w:tabs>
          <w:tab w:val="left" w:pos="1134"/>
        </w:tabs>
        <w:ind w:left="567"/>
      </w:pPr>
    </w:p>
    <w:p w14:paraId="3F3C5E68" w14:textId="77777777" w:rsidR="00084DCD" w:rsidRPr="00306115" w:rsidRDefault="00084DCD" w:rsidP="00E038E4">
      <w:pPr>
        <w:pStyle w:val="HeadingAwalDaftarIsiLampiran"/>
        <w:numPr>
          <w:ilvl w:val="0"/>
          <w:numId w:val="0"/>
        </w:numPr>
        <w:tabs>
          <w:tab w:val="left" w:pos="1134"/>
        </w:tabs>
        <w:ind w:left="567"/>
        <w:sectPr w:rsidR="00084DCD" w:rsidRPr="00306115" w:rsidSect="00AD33A4">
          <w:pgSz w:w="18711" w:h="11907" w:orient="landscape" w:code="41"/>
          <w:pgMar w:top="1418" w:right="1418" w:bottom="1418" w:left="1418" w:header="709" w:footer="709" w:gutter="0"/>
          <w:pgNumType w:fmt="numberInDash" w:start="3"/>
          <w:cols w:space="708"/>
          <w:titlePg/>
          <w:docGrid w:linePitch="360"/>
        </w:sectPr>
      </w:pPr>
    </w:p>
    <w:p w14:paraId="7BD24F8B" w14:textId="04E7CD60" w:rsidR="00E038E4" w:rsidRPr="00306115" w:rsidRDefault="008A6242" w:rsidP="00E038E4">
      <w:pPr>
        <w:pStyle w:val="HeadingAwalDaftarIsiLampiran"/>
        <w:numPr>
          <w:ilvl w:val="0"/>
          <w:numId w:val="0"/>
        </w:numPr>
        <w:tabs>
          <w:tab w:val="left" w:pos="1134"/>
        </w:tabs>
        <w:ind w:left="567"/>
      </w:pPr>
      <w:r w:rsidRPr="00306115">
        <w:rPr>
          <w:rFonts w:eastAsia="MS Mincho" w:cs="Arial"/>
          <w:b/>
          <w:lang w:eastAsia="id-ID"/>
        </w:rPr>
        <w:lastRenderedPageBreak/>
        <w:drawing>
          <wp:anchor distT="0" distB="0" distL="114300" distR="114300" simplePos="0" relativeHeight="251665410" behindDoc="1" locked="0" layoutInCell="1" allowOverlap="1" wp14:anchorId="4BBEA228" wp14:editId="0ADA40DF">
            <wp:simplePos x="0" y="0"/>
            <wp:positionH relativeFrom="margin">
              <wp:align>left</wp:align>
            </wp:positionH>
            <wp:positionV relativeFrom="paragraph">
              <wp:posOffset>0</wp:posOffset>
            </wp:positionV>
            <wp:extent cx="2333625" cy="1009650"/>
            <wp:effectExtent l="0" t="0" r="9525" b="0"/>
            <wp:wrapSquare wrapText="bothSides"/>
            <wp:docPr id="1845568108" name="Picture 1845568108" descr="A logo with a red and white letter x&#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A logo with a red and white letter x&#10;&#10;AI-generated content may be incorrect."/>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33625"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D3551D" w14:textId="77777777" w:rsidR="00AD33A4" w:rsidRPr="00306115" w:rsidRDefault="00AD33A4" w:rsidP="003B64B4">
      <w:pPr>
        <w:pStyle w:val="HeadingAwalDaftarIsiLampiran"/>
        <w:numPr>
          <w:ilvl w:val="0"/>
          <w:numId w:val="0"/>
        </w:numPr>
        <w:ind w:left="720" w:hanging="360"/>
      </w:pPr>
    </w:p>
    <w:p w14:paraId="16842653" w14:textId="77777777" w:rsidR="00AD33A4" w:rsidRPr="00306115" w:rsidRDefault="00AD33A4" w:rsidP="003B64B4">
      <w:pPr>
        <w:pStyle w:val="HeadingAwalDaftarIsiLampiran"/>
        <w:numPr>
          <w:ilvl w:val="0"/>
          <w:numId w:val="0"/>
        </w:numPr>
        <w:ind w:left="720" w:hanging="360"/>
      </w:pPr>
    </w:p>
    <w:p w14:paraId="49C956CF" w14:textId="77777777" w:rsidR="008A6242" w:rsidRPr="00306115" w:rsidRDefault="008A6242" w:rsidP="003B64B4">
      <w:pPr>
        <w:pStyle w:val="HeadingAwalDaftarIsiLampiran"/>
        <w:numPr>
          <w:ilvl w:val="0"/>
          <w:numId w:val="0"/>
        </w:numPr>
        <w:ind w:left="720" w:hanging="360"/>
      </w:pPr>
    </w:p>
    <w:p w14:paraId="3D627B02" w14:textId="77777777" w:rsidR="008A6242" w:rsidRPr="00306115" w:rsidRDefault="008A6242" w:rsidP="003B64B4">
      <w:pPr>
        <w:pStyle w:val="HeadingAwalDaftarIsiLampiran"/>
        <w:numPr>
          <w:ilvl w:val="0"/>
          <w:numId w:val="0"/>
        </w:numPr>
        <w:ind w:left="720" w:hanging="360"/>
      </w:pPr>
    </w:p>
    <w:p w14:paraId="0EA36DDE" w14:textId="77777777" w:rsidR="008A6242" w:rsidRPr="00306115" w:rsidRDefault="008A6242" w:rsidP="003B64B4">
      <w:pPr>
        <w:pStyle w:val="HeadingAwalDaftarIsiLampiran"/>
        <w:numPr>
          <w:ilvl w:val="0"/>
          <w:numId w:val="0"/>
        </w:numPr>
        <w:ind w:left="720" w:hanging="360"/>
      </w:pPr>
    </w:p>
    <w:p w14:paraId="48C56E9F" w14:textId="77777777" w:rsidR="008A6242" w:rsidRPr="00306115" w:rsidRDefault="008A6242" w:rsidP="003B64B4">
      <w:pPr>
        <w:pStyle w:val="HeadingAwalDaftarIsiLampiran"/>
        <w:numPr>
          <w:ilvl w:val="0"/>
          <w:numId w:val="0"/>
        </w:numPr>
        <w:ind w:left="720" w:hanging="360"/>
      </w:pPr>
    </w:p>
    <w:p w14:paraId="6BE3BD9B" w14:textId="77777777" w:rsidR="008A6242" w:rsidRPr="00306115" w:rsidRDefault="008A6242" w:rsidP="003B64B4">
      <w:pPr>
        <w:pStyle w:val="HeadingAwalDaftarIsiLampiran"/>
        <w:numPr>
          <w:ilvl w:val="0"/>
          <w:numId w:val="0"/>
        </w:numPr>
        <w:ind w:left="720" w:hanging="360"/>
      </w:pPr>
    </w:p>
    <w:p w14:paraId="1AEDD56D" w14:textId="3F4F36AB" w:rsidR="008A6242" w:rsidRPr="00306115" w:rsidRDefault="008A6242" w:rsidP="008A6242">
      <w:pPr>
        <w:tabs>
          <w:tab w:val="left" w:pos="8910"/>
        </w:tabs>
        <w:spacing w:after="0" w:line="240" w:lineRule="auto"/>
        <w:ind w:right="26"/>
        <w:rPr>
          <w:noProof/>
          <w:color w:val="000000" w:themeColor="text1"/>
          <w:szCs w:val="24"/>
        </w:rPr>
      </w:pPr>
      <w:r w:rsidRPr="00306115">
        <w:rPr>
          <w:noProof/>
          <w:color w:val="000000" w:themeColor="text1"/>
          <w:szCs w:val="24"/>
        </w:rPr>
        <w:t xml:space="preserve">LAMPIRAN </w:t>
      </w:r>
      <w:r w:rsidR="00EA738C" w:rsidRPr="00306115">
        <w:rPr>
          <w:noProof/>
          <w:color w:val="000000" w:themeColor="text1"/>
          <w:szCs w:val="24"/>
        </w:rPr>
        <w:t>V</w:t>
      </w:r>
    </w:p>
    <w:p w14:paraId="312182A7" w14:textId="77777777" w:rsidR="008A6242" w:rsidRPr="00306115" w:rsidRDefault="008A6242" w:rsidP="008A6242">
      <w:pPr>
        <w:tabs>
          <w:tab w:val="left" w:pos="8910"/>
        </w:tabs>
        <w:spacing w:after="0" w:line="240" w:lineRule="auto"/>
        <w:ind w:right="26"/>
        <w:rPr>
          <w:noProof/>
          <w:color w:val="000000" w:themeColor="text1"/>
          <w:szCs w:val="24"/>
        </w:rPr>
      </w:pPr>
      <w:r w:rsidRPr="00306115">
        <w:rPr>
          <w:noProof/>
          <w:color w:val="000000" w:themeColor="text1"/>
          <w:szCs w:val="24"/>
        </w:rPr>
        <w:t>PERATURAN ANGGOTA DEWAN KOMISIONER OTORITAS JASA KEUANGAN</w:t>
      </w:r>
    </w:p>
    <w:p w14:paraId="6D9E0227" w14:textId="77777777" w:rsidR="008A6242" w:rsidRPr="00306115" w:rsidRDefault="008A6242" w:rsidP="008A6242">
      <w:pPr>
        <w:tabs>
          <w:tab w:val="left" w:pos="8910"/>
        </w:tabs>
        <w:spacing w:after="0" w:line="240" w:lineRule="auto"/>
        <w:ind w:right="26"/>
        <w:rPr>
          <w:noProof/>
          <w:color w:val="000000" w:themeColor="text1"/>
          <w:szCs w:val="24"/>
        </w:rPr>
      </w:pPr>
      <w:r w:rsidRPr="00306115">
        <w:rPr>
          <w:noProof/>
          <w:color w:val="000000" w:themeColor="text1"/>
          <w:szCs w:val="24"/>
        </w:rPr>
        <w:t>REPUBLIK INDONESIA</w:t>
      </w:r>
    </w:p>
    <w:p w14:paraId="61C588ED" w14:textId="77777777" w:rsidR="008A6242" w:rsidRPr="00306115" w:rsidRDefault="008A6242" w:rsidP="008A6242">
      <w:pPr>
        <w:tabs>
          <w:tab w:val="left" w:pos="8910"/>
        </w:tabs>
        <w:spacing w:after="0" w:line="240" w:lineRule="auto"/>
        <w:ind w:right="26"/>
        <w:rPr>
          <w:noProof/>
          <w:color w:val="000000" w:themeColor="text1"/>
          <w:szCs w:val="24"/>
        </w:rPr>
      </w:pPr>
      <w:r w:rsidRPr="00306115">
        <w:rPr>
          <w:noProof/>
          <w:color w:val="000000" w:themeColor="text1"/>
          <w:szCs w:val="24"/>
        </w:rPr>
        <w:t>NOMOR ...TAHUN ...</w:t>
      </w:r>
    </w:p>
    <w:p w14:paraId="7222E88D" w14:textId="77777777" w:rsidR="008A6242" w:rsidRPr="00306115" w:rsidRDefault="008A6242" w:rsidP="008A6242">
      <w:pPr>
        <w:tabs>
          <w:tab w:val="left" w:pos="8910"/>
        </w:tabs>
        <w:spacing w:after="0" w:line="240" w:lineRule="auto"/>
        <w:ind w:right="26"/>
        <w:rPr>
          <w:noProof/>
          <w:color w:val="000000" w:themeColor="text1"/>
          <w:szCs w:val="24"/>
        </w:rPr>
      </w:pPr>
      <w:r w:rsidRPr="00306115">
        <w:rPr>
          <w:noProof/>
          <w:color w:val="000000" w:themeColor="text1"/>
          <w:szCs w:val="24"/>
        </w:rPr>
        <w:t>TENTANG</w:t>
      </w:r>
    </w:p>
    <w:p w14:paraId="40405E1C" w14:textId="77777777" w:rsidR="008A6242" w:rsidRPr="00306115" w:rsidRDefault="008A6242" w:rsidP="008A6242">
      <w:pPr>
        <w:spacing w:after="0" w:line="240" w:lineRule="auto"/>
        <w:rPr>
          <w:noProof/>
          <w:color w:val="000000" w:themeColor="text1"/>
          <w:szCs w:val="24"/>
          <w:lang w:val="en-US"/>
        </w:rPr>
      </w:pPr>
      <w:r w:rsidRPr="00306115">
        <w:rPr>
          <w:noProof/>
          <w:color w:val="000000" w:themeColor="text1"/>
          <w:szCs w:val="24"/>
        </w:rPr>
        <w:t xml:space="preserve">PEDOMAN PENERAPAN MANAJEMEN RISIKO DAN PENILAIAN </w:t>
      </w:r>
      <w:r w:rsidRPr="00306115">
        <w:rPr>
          <w:noProof/>
          <w:color w:val="000000" w:themeColor="text1"/>
          <w:szCs w:val="24"/>
        </w:rPr>
        <w:br/>
        <w:t xml:space="preserve">TINGKAT KESEHATAN MANAJER </w:t>
      </w:r>
      <w:r w:rsidRPr="00306115">
        <w:rPr>
          <w:noProof/>
          <w:color w:val="000000" w:themeColor="text1"/>
          <w:szCs w:val="24"/>
          <w:lang w:val="en-US"/>
        </w:rPr>
        <w:t>INVESTASI</w:t>
      </w:r>
    </w:p>
    <w:p w14:paraId="731253E4" w14:textId="77777777" w:rsidR="00304D44" w:rsidRPr="00306115" w:rsidRDefault="00304D44" w:rsidP="003B64B4">
      <w:pPr>
        <w:pStyle w:val="HeadingAwalDaftarIsiLampiran"/>
        <w:numPr>
          <w:ilvl w:val="0"/>
          <w:numId w:val="0"/>
        </w:numPr>
        <w:ind w:left="720" w:hanging="360"/>
        <w:sectPr w:rsidR="00304D44" w:rsidRPr="00306115" w:rsidSect="00084DCD">
          <w:headerReference w:type="first" r:id="rId22"/>
          <w:pgSz w:w="11907" w:h="18711" w:code="41"/>
          <w:pgMar w:top="1418" w:right="1418" w:bottom="1418" w:left="1418" w:header="709" w:footer="709" w:gutter="0"/>
          <w:pgNumType w:fmt="numberInDash" w:start="3"/>
          <w:cols w:space="708"/>
          <w:titlePg/>
          <w:docGrid w:linePitch="360"/>
        </w:sectPr>
      </w:pPr>
    </w:p>
    <w:p w14:paraId="5E7F37D2" w14:textId="073E1705" w:rsidR="008A6242" w:rsidRPr="00306115" w:rsidRDefault="003910B7" w:rsidP="003910B7">
      <w:pPr>
        <w:pStyle w:val="HeadingAwalDaftarIsiLampiran"/>
        <w:numPr>
          <w:ilvl w:val="0"/>
          <w:numId w:val="0"/>
        </w:numPr>
        <w:ind w:left="720" w:hanging="360"/>
        <w:jc w:val="center"/>
      </w:pPr>
      <w:r w:rsidRPr="00306115">
        <w:lastRenderedPageBreak/>
        <w:t>PENILAIAN TINGKAT KESEHATAN MANAJER INVESTASI</w:t>
      </w:r>
    </w:p>
    <w:p w14:paraId="5B71289B" w14:textId="77777777" w:rsidR="00D54E4B" w:rsidRPr="00306115" w:rsidRDefault="00D54E4B" w:rsidP="003910B7">
      <w:pPr>
        <w:pStyle w:val="HeadingAwalDaftarIsiLampiran"/>
        <w:numPr>
          <w:ilvl w:val="0"/>
          <w:numId w:val="0"/>
        </w:numPr>
        <w:ind w:left="720" w:hanging="360"/>
        <w:jc w:val="center"/>
      </w:pPr>
    </w:p>
    <w:p w14:paraId="5662742C" w14:textId="13EADF22" w:rsidR="005710C7" w:rsidRPr="00306115" w:rsidRDefault="005710C7" w:rsidP="005710C7">
      <w:pPr>
        <w:pStyle w:val="HeadingAwalDaftarIsiLampiran"/>
        <w:numPr>
          <w:ilvl w:val="0"/>
          <w:numId w:val="0"/>
        </w:numPr>
        <w:spacing w:after="120"/>
        <w:ind w:firstLine="567"/>
      </w:pPr>
      <w:r w:rsidRPr="00306115">
        <w:t xml:space="preserve">Lampiran ini memuat pedoman penetapan </w:t>
      </w:r>
      <w:r w:rsidR="00231C27" w:rsidRPr="00306115">
        <w:t>p</w:t>
      </w:r>
      <w:r w:rsidRPr="00306115">
        <w:t xml:space="preserve">eringkat </w:t>
      </w:r>
      <w:r w:rsidR="00231C27" w:rsidRPr="00306115">
        <w:t>r</w:t>
      </w:r>
      <w:r w:rsidRPr="00306115">
        <w:t xml:space="preserve">isiko </w:t>
      </w:r>
      <w:r w:rsidR="00231C27" w:rsidRPr="00306115">
        <w:t>i</w:t>
      </w:r>
      <w:r w:rsidRPr="00306115">
        <w:t xml:space="preserve">nheren, </w:t>
      </w:r>
      <w:r w:rsidR="00C07BD6" w:rsidRPr="00306115">
        <w:t>p</w:t>
      </w:r>
      <w:r w:rsidRPr="00306115">
        <w:t xml:space="preserve">eringkat Kualitas Penerapan Manajemen Risiko (KPMR), serta </w:t>
      </w:r>
      <w:r w:rsidR="00C07BD6" w:rsidRPr="00306115">
        <w:t>p</w:t>
      </w:r>
      <w:r w:rsidRPr="00306115">
        <w:t xml:space="preserve">eringkat </w:t>
      </w:r>
      <w:r w:rsidR="00C07BD6" w:rsidRPr="00306115">
        <w:t>p</w:t>
      </w:r>
      <w:r w:rsidRPr="00306115">
        <w:t xml:space="preserve">rofil </w:t>
      </w:r>
      <w:r w:rsidR="00C07BD6" w:rsidRPr="00306115">
        <w:t>r</w:t>
      </w:r>
      <w:r w:rsidRPr="00306115">
        <w:t>isiko dan Peringkat Komposit Tingkat Kesehatan Manajer Investasi, berdasarkan hasil penilaian atas parameter atau indikator sebagaimana dimaksud dalam Lampiran II dan Lampiran IV</w:t>
      </w:r>
      <w:r w:rsidR="00C07BD6" w:rsidRPr="00306115">
        <w:t>, yang merupakan bagian tidak terpisahkan dari Peraturan Anggota Dewan Komisioner Otoritas Jasa Keuangan ini</w:t>
      </w:r>
      <w:r w:rsidRPr="00306115">
        <w:t>.</w:t>
      </w:r>
    </w:p>
    <w:p w14:paraId="1A0FB31F" w14:textId="1B12C42A" w:rsidR="005710C7" w:rsidRPr="00306115" w:rsidRDefault="005710C7" w:rsidP="005710C7">
      <w:pPr>
        <w:pStyle w:val="HeadingAwalDaftarIsiLampiran"/>
        <w:numPr>
          <w:ilvl w:val="0"/>
          <w:numId w:val="0"/>
        </w:numPr>
        <w:spacing w:after="120"/>
        <w:ind w:firstLine="567"/>
      </w:pPr>
      <w:r w:rsidRPr="00306115">
        <w:t xml:space="preserve">Penetapan </w:t>
      </w:r>
      <w:r w:rsidR="00C07BD6" w:rsidRPr="00306115">
        <w:t>t</w:t>
      </w:r>
      <w:r w:rsidRPr="00306115">
        <w:t>ingkat</w:t>
      </w:r>
      <w:r w:rsidR="00C07BD6" w:rsidRPr="00306115">
        <w:t xml:space="preserve"> r</w:t>
      </w:r>
      <w:r w:rsidRPr="00306115">
        <w:t xml:space="preserve">isiko </w:t>
      </w:r>
      <w:r w:rsidR="00C07BD6" w:rsidRPr="00306115">
        <w:t>i</w:t>
      </w:r>
      <w:r w:rsidRPr="00306115">
        <w:t xml:space="preserve">nheren untuk masing-masing jenis risiko sebagaimana dimaksud dalam matriks pada </w:t>
      </w:r>
      <w:r w:rsidR="00C07BD6" w:rsidRPr="00306115">
        <w:t>L</w:t>
      </w:r>
      <w:r w:rsidRPr="00306115">
        <w:t>ampiran ini didasarkan pada indikator yang paling signifikan memengaruhi eksposur risiko dimaksud, sesuai dengan penilaian Manajer Investasi sebagaimana diatur dalam Lampiran IV</w:t>
      </w:r>
      <w:r w:rsidR="00FE3FD0" w:rsidRPr="00306115">
        <w:t xml:space="preserve"> yang merupakan bagian tidak terpisahkan dari Peraturan Anggota Dewan Komisioner Otoritas Jasa Keuangan ini</w:t>
      </w:r>
      <w:r w:rsidRPr="00306115">
        <w:t xml:space="preserve">. </w:t>
      </w:r>
    </w:p>
    <w:p w14:paraId="4A6C0434" w14:textId="49DB472E" w:rsidR="00D77A2E" w:rsidRPr="00306115" w:rsidRDefault="005710C7" w:rsidP="005710C7">
      <w:pPr>
        <w:pStyle w:val="HeadingAwalDaftarIsiLampiran"/>
        <w:numPr>
          <w:ilvl w:val="0"/>
          <w:numId w:val="0"/>
        </w:numPr>
        <w:spacing w:after="120"/>
        <w:ind w:firstLine="567"/>
      </w:pPr>
      <w:r w:rsidRPr="00306115">
        <w:t>Dalam hal terdapat perbedaan hasil penilaian antar indikator pada suatu jenis risiko</w:t>
      </w:r>
      <w:r w:rsidR="00C07BD6" w:rsidRPr="00306115">
        <w:t xml:space="preserve"> </w:t>
      </w:r>
      <w:r w:rsidRPr="00306115">
        <w:t xml:space="preserve">misalnya salah satu indikator berada pada </w:t>
      </w:r>
      <w:r w:rsidR="00C07BD6" w:rsidRPr="00306115">
        <w:t>p</w:t>
      </w:r>
      <w:r w:rsidRPr="00306115">
        <w:t xml:space="preserve">eringkat tertentu, sedangkan indikator lainnya berada pada </w:t>
      </w:r>
      <w:r w:rsidR="00C07BD6" w:rsidRPr="00306115">
        <w:t>p</w:t>
      </w:r>
      <w:r w:rsidRPr="00306115">
        <w:t xml:space="preserve">eringkat yang berbeda, penetapan </w:t>
      </w:r>
      <w:r w:rsidR="00C07BD6" w:rsidRPr="00306115">
        <w:t>t</w:t>
      </w:r>
      <w:r w:rsidRPr="00306115">
        <w:t xml:space="preserve">ingkat </w:t>
      </w:r>
      <w:r w:rsidR="00C07BD6" w:rsidRPr="00306115">
        <w:t>r</w:t>
      </w:r>
      <w:r w:rsidRPr="00306115">
        <w:t xml:space="preserve">isiko </w:t>
      </w:r>
      <w:r w:rsidR="00C07BD6" w:rsidRPr="00306115">
        <w:t>i</w:t>
      </w:r>
      <w:r w:rsidRPr="00306115">
        <w:t>nheren tetap dilakukan berdasarkan penilaian Manajer Investasi atas indikator yang paling signifikan tersebut, bukan melalui penjumlahan, rata-rata, dan/atau perhitungan berbobot atas seluruh indikator</w:t>
      </w:r>
      <w:r w:rsidR="00FE3FD0" w:rsidRPr="00306115">
        <w:t>.</w:t>
      </w:r>
    </w:p>
    <w:p w14:paraId="2C05C3A3" w14:textId="77777777" w:rsidR="00D77A2E" w:rsidRPr="00306115" w:rsidRDefault="00D77A2E" w:rsidP="003910B7">
      <w:pPr>
        <w:pStyle w:val="HeadingAwalDaftarIsiLampiran"/>
        <w:numPr>
          <w:ilvl w:val="0"/>
          <w:numId w:val="0"/>
        </w:numPr>
        <w:ind w:left="720" w:hanging="360"/>
        <w:jc w:val="center"/>
      </w:pPr>
    </w:p>
    <w:p w14:paraId="00AE6DAC" w14:textId="45252E41" w:rsidR="00D54E4B" w:rsidRPr="00306115" w:rsidRDefault="00BB4BAF">
      <w:pPr>
        <w:pStyle w:val="HeadingAwalDaftarIsiLampiran"/>
        <w:numPr>
          <w:ilvl w:val="3"/>
          <w:numId w:val="295"/>
        </w:numPr>
        <w:ind w:left="567" w:hanging="567"/>
      </w:pPr>
      <w:r w:rsidRPr="00306115">
        <w:t>Risiko Pasar</w:t>
      </w:r>
    </w:p>
    <w:p w14:paraId="5E53F0BF" w14:textId="06E0D846" w:rsidR="00BB4BAF" w:rsidRPr="00306115" w:rsidRDefault="00BB4BAF">
      <w:pPr>
        <w:pStyle w:val="HeadingAwalDaftarIsiLampiran"/>
        <w:numPr>
          <w:ilvl w:val="4"/>
          <w:numId w:val="295"/>
        </w:numPr>
        <w:ind w:left="1134" w:hanging="567"/>
      </w:pPr>
      <w:r w:rsidRPr="00306115">
        <w:t>Matriks Penetapan Tingkat Risiko Inheren</w:t>
      </w:r>
    </w:p>
    <w:tbl>
      <w:tblPr>
        <w:tblW w:w="7938"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04"/>
        <w:gridCol w:w="6034"/>
      </w:tblGrid>
      <w:tr w:rsidR="009A1C06" w:rsidRPr="00306115" w14:paraId="2E2A18C9" w14:textId="77777777" w:rsidTr="005710C7">
        <w:trPr>
          <w:trHeight w:val="306"/>
          <w:tblHeader/>
        </w:trPr>
        <w:tc>
          <w:tcPr>
            <w:tcW w:w="1904" w:type="dxa"/>
            <w:shd w:val="clear" w:color="auto" w:fill="E7E6E6"/>
            <w:vAlign w:val="center"/>
          </w:tcPr>
          <w:p w14:paraId="7C995095" w14:textId="77777777" w:rsidR="009A1C06" w:rsidRPr="00306115" w:rsidRDefault="009A1C06" w:rsidP="00961D3C">
            <w:pPr>
              <w:pStyle w:val="TableParagraph"/>
              <w:spacing w:before="60" w:after="60"/>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Peringkat</w:t>
            </w:r>
          </w:p>
        </w:tc>
        <w:tc>
          <w:tcPr>
            <w:tcW w:w="6034" w:type="dxa"/>
            <w:shd w:val="clear" w:color="auto" w:fill="E7E6E6"/>
            <w:vAlign w:val="center"/>
          </w:tcPr>
          <w:p w14:paraId="13909ED5" w14:textId="2418E6B3" w:rsidR="009A1C06" w:rsidRPr="00306115" w:rsidRDefault="009A1C06" w:rsidP="00961D3C">
            <w:pPr>
              <w:pStyle w:val="TableParagraph"/>
              <w:ind w:left="142" w:right="142"/>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Definisi Peringkat</w:t>
            </w:r>
          </w:p>
        </w:tc>
      </w:tr>
      <w:tr w:rsidR="009A1C06" w:rsidRPr="00306115" w14:paraId="703A6060" w14:textId="77777777" w:rsidTr="00B667CD">
        <w:trPr>
          <w:trHeight w:val="1769"/>
        </w:trPr>
        <w:tc>
          <w:tcPr>
            <w:tcW w:w="1904" w:type="dxa"/>
          </w:tcPr>
          <w:p w14:paraId="2005B4D5" w14:textId="77777777" w:rsidR="009A1C06" w:rsidRPr="00306115" w:rsidRDefault="009A1C06" w:rsidP="00961D3C">
            <w:pPr>
              <w:pStyle w:val="TableParagraph"/>
              <w:spacing w:before="60" w:after="60"/>
              <w:jc w:val="center"/>
              <w:rPr>
                <w:rFonts w:ascii="Bookman Old Style" w:hAnsi="Bookman Old Style"/>
                <w:color w:val="000000" w:themeColor="text1"/>
                <w:sz w:val="24"/>
                <w:szCs w:val="24"/>
              </w:rPr>
            </w:pPr>
            <w:r w:rsidRPr="00306115">
              <w:rPr>
                <w:rFonts w:ascii="Bookman Old Style" w:hAnsi="Bookman Old Style"/>
                <w:i/>
                <w:color w:val="000000" w:themeColor="text1"/>
                <w:sz w:val="24"/>
                <w:szCs w:val="24"/>
              </w:rPr>
              <w:t xml:space="preserve">Low </w:t>
            </w:r>
            <w:r w:rsidRPr="00306115">
              <w:rPr>
                <w:rFonts w:ascii="Bookman Old Style" w:hAnsi="Bookman Old Style"/>
                <w:color w:val="000000" w:themeColor="text1"/>
                <w:sz w:val="24"/>
                <w:szCs w:val="24"/>
              </w:rPr>
              <w:t>(1)</w:t>
            </w:r>
          </w:p>
        </w:tc>
        <w:tc>
          <w:tcPr>
            <w:tcW w:w="6034" w:type="dxa"/>
          </w:tcPr>
          <w:p w14:paraId="15F712BE" w14:textId="77777777" w:rsidR="009A1C06" w:rsidRPr="00306115" w:rsidRDefault="009A1C06" w:rsidP="00961D3C">
            <w:pPr>
              <w:pStyle w:val="TableParagraph"/>
              <w:ind w:left="142" w:right="142"/>
              <w:jc w:val="both"/>
              <w:rPr>
                <w:rFonts w:ascii="Bookman Old Style" w:hAnsi="Bookman Old Style"/>
                <w:color w:val="000000" w:themeColor="text1"/>
                <w:sz w:val="24"/>
                <w:szCs w:val="24"/>
              </w:rPr>
            </w:pPr>
            <w:r w:rsidRPr="00306115">
              <w:rPr>
                <w:rFonts w:ascii="Bookman Old Style" w:hAnsi="Bookman Old Style"/>
                <w:color w:val="000000" w:themeColor="text1"/>
                <w:sz w:val="24"/>
                <w:szCs w:val="24"/>
              </w:rPr>
              <w:t>Dengan mempertimbangkan karakteristik Produk Investasi, kemungkinan timbulnya dampak paparan dari Risiko Pasar terhadap Produk Investasi tergolong sangat rendah selama periode waktu tertentu pada masa datang.</w:t>
            </w:r>
          </w:p>
          <w:p w14:paraId="4296C1D0" w14:textId="77777777" w:rsidR="009A1C06" w:rsidRPr="00306115" w:rsidRDefault="009A1C06" w:rsidP="00961D3C">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Contoh kondisi yang menunjukkan Risiko Pasar termasuk dalam peringkat </w:t>
            </w:r>
            <w:r w:rsidRPr="00306115">
              <w:rPr>
                <w:i/>
                <w:iCs/>
                <w:color w:val="000000" w:themeColor="text1"/>
                <w:szCs w:val="24"/>
              </w:rPr>
              <w:t>Low</w:t>
            </w:r>
            <w:r w:rsidRPr="00306115">
              <w:rPr>
                <w:color w:val="000000" w:themeColor="text1"/>
                <w:szCs w:val="24"/>
              </w:rPr>
              <w:t xml:space="preserve"> (1) antara lain sebagai berikut:</w:t>
            </w:r>
          </w:p>
          <w:p w14:paraId="31D0D9B7" w14:textId="3392A957" w:rsidR="00B55C6B" w:rsidRPr="00306115" w:rsidRDefault="00B55C6B">
            <w:pPr>
              <w:pStyle w:val="TableParagraph"/>
              <w:numPr>
                <w:ilvl w:val="3"/>
                <w:numId w:val="322"/>
              </w:numPr>
              <w:ind w:left="709" w:right="142" w:hanging="567"/>
              <w:jc w:val="both"/>
              <w:rPr>
                <w:rFonts w:ascii="Bookman Old Style" w:hAnsi="Bookman Old Style"/>
                <w:color w:val="000000" w:themeColor="text1"/>
                <w:sz w:val="24"/>
                <w:szCs w:val="24"/>
                <w:lang w:val="en-US"/>
              </w:rPr>
            </w:pPr>
            <w:r w:rsidRPr="00306115">
              <w:rPr>
                <w:rFonts w:ascii="Bookman Old Style" w:hAnsi="Bookman Old Style"/>
                <w:color w:val="000000" w:themeColor="text1"/>
                <w:sz w:val="24"/>
                <w:szCs w:val="24"/>
                <w:lang w:val="en-US"/>
              </w:rPr>
              <w:t xml:space="preserve">VEV: nilai VEV tergolong sangat rendah, yang menunjukkan potensi kerugian ekstrem dalam </w:t>
            </w:r>
            <w:r w:rsidRPr="00306115">
              <w:rPr>
                <w:rFonts w:ascii="Bookman Old Style" w:hAnsi="Bookman Old Style"/>
                <w:i/>
                <w:iCs/>
                <w:color w:val="000000" w:themeColor="text1"/>
                <w:sz w:val="24"/>
                <w:szCs w:val="24"/>
                <w:lang w:val="en-US"/>
              </w:rPr>
              <w:t>holding period</w:t>
            </w:r>
            <w:r w:rsidRPr="00306115">
              <w:rPr>
                <w:rFonts w:ascii="Bookman Old Style" w:hAnsi="Bookman Old Style"/>
                <w:color w:val="000000" w:themeColor="text1"/>
                <w:sz w:val="24"/>
                <w:szCs w:val="24"/>
                <w:lang w:val="en-US"/>
              </w:rPr>
              <w:t xml:space="preserve"> yang direkomendasikan relatif sangat rendah.</w:t>
            </w:r>
          </w:p>
          <w:p w14:paraId="2974FF90" w14:textId="734CC50F" w:rsidR="00A073E0" w:rsidRPr="00306115" w:rsidRDefault="00A073E0">
            <w:pPr>
              <w:pStyle w:val="TableParagraph"/>
              <w:numPr>
                <w:ilvl w:val="3"/>
                <w:numId w:val="322"/>
              </w:numPr>
              <w:ind w:left="709" w:right="142" w:hanging="567"/>
              <w:jc w:val="both"/>
              <w:rPr>
                <w:rFonts w:ascii="Bookman Old Style" w:hAnsi="Bookman Old Style"/>
                <w:color w:val="000000" w:themeColor="text1"/>
                <w:sz w:val="24"/>
                <w:szCs w:val="24"/>
                <w:lang w:val="en-US"/>
              </w:rPr>
            </w:pPr>
            <w:r w:rsidRPr="00306115">
              <w:rPr>
                <w:rFonts w:ascii="Bookman Old Style" w:hAnsi="Bookman Old Style"/>
                <w:i/>
                <w:iCs/>
                <w:color w:val="000000" w:themeColor="text1"/>
                <w:sz w:val="24"/>
                <w:szCs w:val="24"/>
                <w:lang w:val="en-US"/>
              </w:rPr>
              <w:t>Beta Coefficient</w:t>
            </w:r>
            <w:r w:rsidRPr="00306115">
              <w:rPr>
                <w:rFonts w:ascii="Bookman Old Style" w:hAnsi="Bookman Old Style"/>
                <w:color w:val="000000" w:themeColor="text1"/>
                <w:sz w:val="24"/>
                <w:szCs w:val="24"/>
                <w:lang w:val="en-US"/>
              </w:rPr>
              <w:t xml:space="preserve">: nilai beta portofolio tergolong sangat rendah, yang menunjukkan sensitivitas </w:t>
            </w:r>
            <w:r w:rsidRPr="00306115">
              <w:rPr>
                <w:rFonts w:ascii="Bookman Old Style" w:hAnsi="Bookman Old Style"/>
                <w:i/>
                <w:iCs/>
                <w:color w:val="000000" w:themeColor="text1"/>
                <w:sz w:val="24"/>
                <w:szCs w:val="24"/>
                <w:lang w:val="en-US"/>
              </w:rPr>
              <w:t>return</w:t>
            </w:r>
            <w:r w:rsidRPr="00306115">
              <w:rPr>
                <w:rFonts w:ascii="Bookman Old Style" w:hAnsi="Bookman Old Style"/>
                <w:color w:val="000000" w:themeColor="text1"/>
                <w:sz w:val="24"/>
                <w:szCs w:val="24"/>
                <w:lang w:val="en-US"/>
              </w:rPr>
              <w:t xml:space="preserve"> portofolio terhadap pergerakan pasar relatif sangat rendah</w:t>
            </w:r>
            <w:r w:rsidR="00B667CD" w:rsidRPr="00306115">
              <w:rPr>
                <w:rFonts w:ascii="Bookman Old Style" w:hAnsi="Bookman Old Style"/>
                <w:color w:val="000000" w:themeColor="text1"/>
                <w:sz w:val="24"/>
                <w:szCs w:val="24"/>
                <w:lang w:val="en-US"/>
              </w:rPr>
              <w:t>.</w:t>
            </w:r>
          </w:p>
          <w:p w14:paraId="19ABD5EB" w14:textId="62994E72" w:rsidR="009A1C06" w:rsidRPr="00306115" w:rsidRDefault="00B667CD" w:rsidP="006624D7">
            <w:pPr>
              <w:pStyle w:val="TableParagraph"/>
              <w:numPr>
                <w:ilvl w:val="3"/>
                <w:numId w:val="322"/>
              </w:numPr>
              <w:ind w:left="709" w:right="142" w:hanging="567"/>
              <w:jc w:val="both"/>
              <w:rPr>
                <w:rFonts w:ascii="Bookman Old Style" w:hAnsi="Bookman Old Style"/>
                <w:color w:val="000000" w:themeColor="text1"/>
                <w:sz w:val="24"/>
                <w:szCs w:val="24"/>
                <w:lang w:val="en-US"/>
              </w:rPr>
            </w:pPr>
            <w:r w:rsidRPr="00306115">
              <w:rPr>
                <w:rFonts w:ascii="Bookman Old Style" w:hAnsi="Bookman Old Style"/>
                <w:color w:val="000000" w:themeColor="text1"/>
                <w:sz w:val="24"/>
                <w:szCs w:val="24"/>
                <w:lang w:val="en-US"/>
              </w:rPr>
              <w:t>Durasi Surat Utang: rata-rata durasi portofolio tergolong sangat rendah, yang menunjukkan sensitivitas nilai portofolio terhadap perubahan suku bunga relatif sangat rendah</w:t>
            </w:r>
            <w:r w:rsidR="001449E6" w:rsidRPr="00306115">
              <w:rPr>
                <w:rFonts w:ascii="Bookman Old Style" w:hAnsi="Bookman Old Style"/>
                <w:color w:val="000000" w:themeColor="text1"/>
                <w:sz w:val="24"/>
                <w:szCs w:val="24"/>
                <w:lang w:val="en-US"/>
              </w:rPr>
              <w:t>.</w:t>
            </w:r>
          </w:p>
        </w:tc>
      </w:tr>
      <w:tr w:rsidR="009A1C06" w:rsidRPr="00306115" w14:paraId="10677224" w14:textId="77777777" w:rsidTr="005710C7">
        <w:trPr>
          <w:trHeight w:val="1016"/>
        </w:trPr>
        <w:tc>
          <w:tcPr>
            <w:tcW w:w="1904" w:type="dxa"/>
          </w:tcPr>
          <w:p w14:paraId="0A903212" w14:textId="77777777" w:rsidR="009A1C06" w:rsidRPr="00306115" w:rsidRDefault="009A1C06" w:rsidP="00961D3C">
            <w:pPr>
              <w:pStyle w:val="TableParagraph"/>
              <w:spacing w:before="60" w:after="60"/>
              <w:jc w:val="center"/>
              <w:rPr>
                <w:rFonts w:ascii="Bookman Old Style" w:hAnsi="Bookman Old Style"/>
                <w:color w:val="000000" w:themeColor="text1"/>
                <w:sz w:val="24"/>
                <w:szCs w:val="24"/>
              </w:rPr>
            </w:pPr>
            <w:r w:rsidRPr="00306115">
              <w:rPr>
                <w:rFonts w:ascii="Bookman Old Style" w:hAnsi="Bookman Old Style"/>
                <w:i/>
                <w:color w:val="000000" w:themeColor="text1"/>
                <w:sz w:val="24"/>
                <w:szCs w:val="24"/>
              </w:rPr>
              <w:t xml:space="preserve">Low to Moderate </w:t>
            </w:r>
            <w:r w:rsidRPr="00306115">
              <w:rPr>
                <w:rFonts w:ascii="Bookman Old Style" w:hAnsi="Bookman Old Style"/>
                <w:color w:val="000000" w:themeColor="text1"/>
                <w:sz w:val="24"/>
                <w:szCs w:val="24"/>
              </w:rPr>
              <w:t>(2)</w:t>
            </w:r>
          </w:p>
        </w:tc>
        <w:tc>
          <w:tcPr>
            <w:tcW w:w="6034" w:type="dxa"/>
          </w:tcPr>
          <w:p w14:paraId="58DDA54B" w14:textId="77777777" w:rsidR="009A1C06" w:rsidRPr="00306115" w:rsidRDefault="009A1C06" w:rsidP="00961D3C">
            <w:pPr>
              <w:pStyle w:val="TableParagraph"/>
              <w:ind w:left="142" w:right="142"/>
              <w:jc w:val="both"/>
              <w:rPr>
                <w:rFonts w:ascii="Bookman Old Style" w:hAnsi="Bookman Old Style"/>
                <w:color w:val="000000" w:themeColor="text1"/>
                <w:sz w:val="24"/>
                <w:szCs w:val="24"/>
              </w:rPr>
            </w:pPr>
            <w:r w:rsidRPr="00306115">
              <w:rPr>
                <w:rFonts w:ascii="Bookman Old Style" w:hAnsi="Bookman Old Style"/>
                <w:color w:val="000000" w:themeColor="text1"/>
                <w:sz w:val="24"/>
                <w:szCs w:val="24"/>
              </w:rPr>
              <w:t xml:space="preserve">Dengan mempertimbangkan karakteristik Produk Investasi, kemungkinan timbulnya dampak paparan dari Risiko Pasar terhadap Produk Investasi tergolong rendah selama periode waktu tertentu pada masa datang. </w:t>
            </w:r>
          </w:p>
          <w:p w14:paraId="4A1B1665" w14:textId="77777777" w:rsidR="009A1C06" w:rsidRPr="00306115" w:rsidRDefault="009A1C06" w:rsidP="00961D3C">
            <w:pPr>
              <w:pStyle w:val="ListParagraph"/>
              <w:spacing w:after="0" w:line="240" w:lineRule="auto"/>
              <w:ind w:left="142" w:right="142"/>
              <w:contextualSpacing w:val="0"/>
              <w:rPr>
                <w:color w:val="000000" w:themeColor="text1"/>
                <w:szCs w:val="24"/>
              </w:rPr>
            </w:pPr>
            <w:r w:rsidRPr="00306115">
              <w:rPr>
                <w:color w:val="000000" w:themeColor="text1"/>
                <w:szCs w:val="24"/>
              </w:rPr>
              <w:lastRenderedPageBreak/>
              <w:t xml:space="preserve">Contoh kondisi yang menunjukkan Risiko Pasar termasuk dalam peringkat </w:t>
            </w:r>
            <w:r w:rsidRPr="00306115">
              <w:rPr>
                <w:i/>
                <w:iCs/>
                <w:color w:val="000000" w:themeColor="text1"/>
                <w:szCs w:val="24"/>
              </w:rPr>
              <w:t>Low-</w:t>
            </w:r>
            <w:r w:rsidRPr="00306115">
              <w:rPr>
                <w:color w:val="000000" w:themeColor="text1"/>
                <w:szCs w:val="24"/>
              </w:rPr>
              <w:t>to-</w:t>
            </w:r>
            <w:r w:rsidRPr="00306115">
              <w:rPr>
                <w:i/>
                <w:iCs/>
                <w:color w:val="000000" w:themeColor="text1"/>
                <w:szCs w:val="24"/>
              </w:rPr>
              <w:t>Moderate</w:t>
            </w:r>
            <w:r w:rsidRPr="00306115">
              <w:rPr>
                <w:color w:val="000000" w:themeColor="text1"/>
                <w:szCs w:val="24"/>
              </w:rPr>
              <w:t xml:space="preserve"> (2) antara lain sebagai berikut:</w:t>
            </w:r>
          </w:p>
          <w:p w14:paraId="22132C36" w14:textId="77777777" w:rsidR="003021A3" w:rsidRPr="00306115" w:rsidRDefault="003021A3">
            <w:pPr>
              <w:pStyle w:val="TableParagraph"/>
              <w:numPr>
                <w:ilvl w:val="3"/>
                <w:numId w:val="323"/>
              </w:numPr>
              <w:ind w:left="709" w:right="142" w:hanging="567"/>
              <w:jc w:val="both"/>
              <w:rPr>
                <w:rFonts w:ascii="Bookman Old Style" w:hAnsi="Bookman Old Style"/>
                <w:strike/>
                <w:color w:val="000000" w:themeColor="text1"/>
                <w:sz w:val="24"/>
                <w:szCs w:val="24"/>
                <w:lang w:val="en-US"/>
              </w:rPr>
            </w:pPr>
            <w:r w:rsidRPr="00306115">
              <w:rPr>
                <w:rFonts w:ascii="Bookman Old Style" w:hAnsi="Bookman Old Style"/>
                <w:color w:val="000000" w:themeColor="text1"/>
                <w:sz w:val="24"/>
                <w:szCs w:val="24"/>
                <w:lang w:val="en-US"/>
              </w:rPr>
              <w:t xml:space="preserve">VEV: nilai VEV tergolong rendah, yang menunjukkan potensi kerugian ekstrem dalam </w:t>
            </w:r>
            <w:r w:rsidRPr="00306115">
              <w:rPr>
                <w:rFonts w:ascii="Bookman Old Style" w:hAnsi="Bookman Old Style"/>
                <w:i/>
                <w:iCs/>
                <w:color w:val="000000" w:themeColor="text1"/>
                <w:sz w:val="24"/>
                <w:szCs w:val="24"/>
                <w:lang w:val="en-US"/>
              </w:rPr>
              <w:t>holding period</w:t>
            </w:r>
            <w:r w:rsidRPr="00306115">
              <w:rPr>
                <w:rFonts w:ascii="Bookman Old Style" w:hAnsi="Bookman Old Style"/>
                <w:color w:val="000000" w:themeColor="text1"/>
                <w:sz w:val="24"/>
                <w:szCs w:val="24"/>
                <w:lang w:val="en-US"/>
              </w:rPr>
              <w:t xml:space="preserve"> yang direkomendasikan masih relatif rendah.</w:t>
            </w:r>
          </w:p>
          <w:p w14:paraId="0EC2A540" w14:textId="77777777" w:rsidR="003021A3" w:rsidRPr="00306115" w:rsidRDefault="003021A3">
            <w:pPr>
              <w:pStyle w:val="TableParagraph"/>
              <w:numPr>
                <w:ilvl w:val="3"/>
                <w:numId w:val="323"/>
              </w:numPr>
              <w:ind w:left="709" w:right="142" w:hanging="567"/>
              <w:jc w:val="both"/>
              <w:rPr>
                <w:rFonts w:ascii="Bookman Old Style" w:hAnsi="Bookman Old Style"/>
                <w:strike/>
                <w:color w:val="000000" w:themeColor="text1"/>
                <w:sz w:val="24"/>
                <w:szCs w:val="24"/>
                <w:lang w:val="en-US"/>
              </w:rPr>
            </w:pPr>
            <w:r w:rsidRPr="00306115">
              <w:rPr>
                <w:rFonts w:ascii="Bookman Old Style" w:hAnsi="Bookman Old Style"/>
                <w:i/>
                <w:iCs/>
                <w:color w:val="000000" w:themeColor="text1"/>
                <w:sz w:val="24"/>
                <w:szCs w:val="24"/>
                <w:lang w:val="en-US"/>
              </w:rPr>
              <w:t>Beta Coefficient</w:t>
            </w:r>
            <w:r w:rsidRPr="00306115">
              <w:rPr>
                <w:rFonts w:ascii="Bookman Old Style" w:hAnsi="Bookman Old Style"/>
                <w:color w:val="000000" w:themeColor="text1"/>
                <w:sz w:val="24"/>
                <w:szCs w:val="24"/>
                <w:lang w:val="en-US"/>
              </w:rPr>
              <w:t xml:space="preserve">: nilai absolut beta portofolio tergolong rendah, yang menunjukkan sensitivitas </w:t>
            </w:r>
            <w:r w:rsidRPr="00306115">
              <w:rPr>
                <w:rFonts w:ascii="Bookman Old Style" w:hAnsi="Bookman Old Style"/>
                <w:i/>
                <w:iCs/>
                <w:color w:val="000000" w:themeColor="text1"/>
                <w:sz w:val="24"/>
                <w:szCs w:val="24"/>
                <w:lang w:val="en-US"/>
              </w:rPr>
              <w:t>return</w:t>
            </w:r>
            <w:r w:rsidRPr="00306115">
              <w:rPr>
                <w:rFonts w:ascii="Bookman Old Style" w:hAnsi="Bookman Old Style"/>
                <w:color w:val="000000" w:themeColor="text1"/>
                <w:sz w:val="24"/>
                <w:szCs w:val="24"/>
                <w:lang w:val="en-US"/>
              </w:rPr>
              <w:t xml:space="preserve"> portofolio terhadap pergerakan pasar masih relatif rendah.</w:t>
            </w:r>
          </w:p>
          <w:p w14:paraId="0F176AC3" w14:textId="610944DA" w:rsidR="009A1C06" w:rsidRPr="00306115" w:rsidRDefault="003021A3" w:rsidP="006624D7">
            <w:pPr>
              <w:pStyle w:val="TableParagraph"/>
              <w:numPr>
                <w:ilvl w:val="3"/>
                <w:numId w:val="323"/>
              </w:numPr>
              <w:ind w:left="709" w:right="142" w:hanging="567"/>
              <w:jc w:val="both"/>
              <w:rPr>
                <w:rFonts w:ascii="Bookman Old Style" w:hAnsi="Bookman Old Style"/>
                <w:strike/>
                <w:color w:val="000000" w:themeColor="text1"/>
                <w:sz w:val="24"/>
                <w:szCs w:val="24"/>
                <w:lang w:val="en-US"/>
              </w:rPr>
            </w:pPr>
            <w:r w:rsidRPr="00306115">
              <w:rPr>
                <w:rFonts w:ascii="Bookman Old Style" w:hAnsi="Bookman Old Style"/>
                <w:color w:val="000000" w:themeColor="text1"/>
                <w:sz w:val="24"/>
                <w:szCs w:val="24"/>
                <w:lang w:val="en-US"/>
              </w:rPr>
              <w:t>Durasi Surat Utang: rata-rata durasi portofolio tergolong rendah, yang menunjukkan sensitivitas nilai portofolio terhadap perubahan suku bunga masih relatif rendah</w:t>
            </w:r>
            <w:r w:rsidR="001449E6" w:rsidRPr="00306115">
              <w:rPr>
                <w:rFonts w:ascii="Bookman Old Style" w:hAnsi="Bookman Old Style"/>
                <w:color w:val="000000" w:themeColor="text1"/>
                <w:sz w:val="24"/>
                <w:szCs w:val="24"/>
                <w:lang w:val="en-US"/>
              </w:rPr>
              <w:t>.</w:t>
            </w:r>
          </w:p>
        </w:tc>
      </w:tr>
      <w:tr w:rsidR="009A1C06" w:rsidRPr="00306115" w14:paraId="3668BC26" w14:textId="77777777" w:rsidTr="005710C7">
        <w:trPr>
          <w:trHeight w:val="75"/>
        </w:trPr>
        <w:tc>
          <w:tcPr>
            <w:tcW w:w="1904" w:type="dxa"/>
          </w:tcPr>
          <w:p w14:paraId="6B928480" w14:textId="77777777" w:rsidR="009A1C06" w:rsidRPr="00306115" w:rsidRDefault="009A1C06" w:rsidP="00961D3C">
            <w:pPr>
              <w:pStyle w:val="TableParagraph"/>
              <w:spacing w:before="60" w:after="60"/>
              <w:jc w:val="center"/>
              <w:rPr>
                <w:rFonts w:ascii="Bookman Old Style" w:hAnsi="Bookman Old Style"/>
                <w:i/>
                <w:color w:val="000000" w:themeColor="text1"/>
                <w:sz w:val="24"/>
                <w:szCs w:val="24"/>
              </w:rPr>
            </w:pPr>
            <w:r w:rsidRPr="00306115">
              <w:rPr>
                <w:rFonts w:ascii="Bookman Old Style" w:hAnsi="Bookman Old Style"/>
                <w:i/>
                <w:iCs/>
                <w:color w:val="000000" w:themeColor="text1"/>
                <w:sz w:val="24"/>
                <w:szCs w:val="24"/>
              </w:rPr>
              <w:lastRenderedPageBreak/>
              <w:t>Moderate</w:t>
            </w:r>
            <w:r w:rsidRPr="00306115">
              <w:rPr>
                <w:rFonts w:ascii="Bookman Old Style" w:hAnsi="Bookman Old Style"/>
                <w:i/>
                <w:color w:val="000000" w:themeColor="text1"/>
                <w:sz w:val="24"/>
                <w:szCs w:val="24"/>
              </w:rPr>
              <w:t xml:space="preserve"> </w:t>
            </w:r>
            <w:r w:rsidRPr="00306115">
              <w:rPr>
                <w:rFonts w:ascii="Bookman Old Style" w:hAnsi="Bookman Old Style"/>
                <w:color w:val="000000" w:themeColor="text1"/>
                <w:sz w:val="24"/>
                <w:szCs w:val="24"/>
              </w:rPr>
              <w:t>(3)</w:t>
            </w:r>
          </w:p>
        </w:tc>
        <w:tc>
          <w:tcPr>
            <w:tcW w:w="6034" w:type="dxa"/>
          </w:tcPr>
          <w:p w14:paraId="6EF20FE5" w14:textId="77777777" w:rsidR="009A1C06" w:rsidRPr="00306115" w:rsidRDefault="009A1C06" w:rsidP="00961D3C">
            <w:pPr>
              <w:pStyle w:val="TableParagraph"/>
              <w:ind w:left="142" w:right="142"/>
              <w:jc w:val="both"/>
              <w:rPr>
                <w:rFonts w:ascii="Bookman Old Style" w:hAnsi="Bookman Old Style"/>
                <w:color w:val="000000" w:themeColor="text1"/>
                <w:sz w:val="24"/>
                <w:szCs w:val="24"/>
              </w:rPr>
            </w:pPr>
            <w:r w:rsidRPr="00306115">
              <w:rPr>
                <w:rFonts w:ascii="Bookman Old Style" w:hAnsi="Bookman Old Style"/>
                <w:color w:val="000000" w:themeColor="text1"/>
                <w:sz w:val="24"/>
                <w:szCs w:val="24"/>
              </w:rPr>
              <w:t xml:space="preserve">Dengan mempertimbangkan karakteristik Produk Investasi, kemungkinan timbulnya dampak paparan dari Risiko Pasar terhadap Produk Investasi tergolong cukup tinggi selama periode waktu tertentu pada masa datang. </w:t>
            </w:r>
          </w:p>
          <w:p w14:paraId="5758A586" w14:textId="77777777" w:rsidR="009A1C06" w:rsidRPr="00306115" w:rsidRDefault="009A1C06" w:rsidP="00961D3C">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Contoh kondisi yang menunjukkan Risiko Pasar termasuk dalam peringkat </w:t>
            </w:r>
            <w:r w:rsidRPr="00306115">
              <w:rPr>
                <w:i/>
                <w:iCs/>
                <w:color w:val="000000" w:themeColor="text1"/>
                <w:szCs w:val="24"/>
              </w:rPr>
              <w:t xml:space="preserve">Moderate </w:t>
            </w:r>
            <w:r w:rsidRPr="00306115">
              <w:rPr>
                <w:color w:val="000000" w:themeColor="text1"/>
                <w:szCs w:val="24"/>
              </w:rPr>
              <w:t>(3) antara lain sebagai berikut:</w:t>
            </w:r>
          </w:p>
          <w:p w14:paraId="103269F5" w14:textId="7C57AD4F" w:rsidR="001449E6" w:rsidRPr="00306115" w:rsidRDefault="00E74D4A">
            <w:pPr>
              <w:pStyle w:val="TableParagraph"/>
              <w:numPr>
                <w:ilvl w:val="3"/>
                <w:numId w:val="324"/>
              </w:numPr>
              <w:ind w:left="709" w:right="142" w:hanging="567"/>
              <w:jc w:val="both"/>
              <w:rPr>
                <w:rFonts w:ascii="Bookman Old Style" w:hAnsi="Bookman Old Style"/>
                <w:strike/>
                <w:color w:val="000000" w:themeColor="text1"/>
                <w:sz w:val="24"/>
                <w:szCs w:val="24"/>
                <w:lang w:val="en-US"/>
              </w:rPr>
            </w:pPr>
            <w:r w:rsidRPr="00306115">
              <w:rPr>
                <w:rFonts w:ascii="Bookman Old Style" w:hAnsi="Bookman Old Style"/>
                <w:color w:val="000000" w:themeColor="text1"/>
                <w:sz w:val="24"/>
                <w:szCs w:val="24"/>
                <w:lang w:val="en-US"/>
              </w:rPr>
              <w:t xml:space="preserve">VEV: nilai VEV tergolong cukup tinggi, yang menunjukkan potensi kerugian ekstrem dalam </w:t>
            </w:r>
            <w:r w:rsidRPr="00306115">
              <w:rPr>
                <w:rFonts w:ascii="Bookman Old Style" w:hAnsi="Bookman Old Style"/>
                <w:i/>
                <w:iCs/>
                <w:color w:val="000000" w:themeColor="text1"/>
                <w:sz w:val="24"/>
                <w:szCs w:val="24"/>
                <w:lang w:val="en-US"/>
              </w:rPr>
              <w:t>holding period</w:t>
            </w:r>
            <w:r w:rsidRPr="00306115">
              <w:rPr>
                <w:rFonts w:ascii="Bookman Old Style" w:hAnsi="Bookman Old Style"/>
                <w:color w:val="000000" w:themeColor="text1"/>
                <w:sz w:val="24"/>
                <w:szCs w:val="24"/>
                <w:lang w:val="en-US"/>
              </w:rPr>
              <w:t xml:space="preserve"> yang direkomendasikan mulai meningkat.</w:t>
            </w:r>
          </w:p>
          <w:p w14:paraId="106F4F58" w14:textId="4B2C43C7" w:rsidR="00E74D4A" w:rsidRPr="00306115" w:rsidRDefault="00B61349">
            <w:pPr>
              <w:pStyle w:val="TableParagraph"/>
              <w:numPr>
                <w:ilvl w:val="3"/>
                <w:numId w:val="324"/>
              </w:numPr>
              <w:ind w:left="709" w:right="142" w:hanging="567"/>
              <w:jc w:val="both"/>
              <w:rPr>
                <w:rFonts w:ascii="Bookman Old Style" w:hAnsi="Bookman Old Style"/>
                <w:strike/>
                <w:color w:val="000000" w:themeColor="text1"/>
                <w:sz w:val="24"/>
                <w:szCs w:val="24"/>
                <w:lang w:val="en-US"/>
              </w:rPr>
            </w:pPr>
            <w:r w:rsidRPr="00306115">
              <w:rPr>
                <w:rFonts w:ascii="Bookman Old Style" w:hAnsi="Bookman Old Style"/>
                <w:i/>
                <w:iCs/>
                <w:color w:val="000000" w:themeColor="text1"/>
                <w:sz w:val="24"/>
                <w:szCs w:val="24"/>
                <w:lang w:val="en-US"/>
              </w:rPr>
              <w:t>Beta Coefficient</w:t>
            </w:r>
            <w:r w:rsidRPr="00306115">
              <w:rPr>
                <w:rFonts w:ascii="Bookman Old Style" w:hAnsi="Bookman Old Style"/>
                <w:color w:val="000000" w:themeColor="text1"/>
                <w:sz w:val="24"/>
                <w:szCs w:val="24"/>
                <w:lang w:val="en-US"/>
              </w:rPr>
              <w:t xml:space="preserve">: nilai absolut beta portofolio tergolong cukup tinggi, yang menunjukkan sensitivitas </w:t>
            </w:r>
            <w:r w:rsidRPr="00306115">
              <w:rPr>
                <w:rFonts w:ascii="Bookman Old Style" w:hAnsi="Bookman Old Style"/>
                <w:i/>
                <w:iCs/>
                <w:color w:val="000000" w:themeColor="text1"/>
                <w:sz w:val="24"/>
                <w:szCs w:val="24"/>
                <w:lang w:val="en-US"/>
              </w:rPr>
              <w:t>return</w:t>
            </w:r>
            <w:r w:rsidRPr="00306115">
              <w:rPr>
                <w:rFonts w:ascii="Bookman Old Style" w:hAnsi="Bookman Old Style"/>
                <w:color w:val="000000" w:themeColor="text1"/>
                <w:sz w:val="24"/>
                <w:szCs w:val="24"/>
                <w:lang w:val="en-US"/>
              </w:rPr>
              <w:t xml:space="preserve"> portofolio terhadap pergerakan pasar tergolong cukup tinggi.</w:t>
            </w:r>
          </w:p>
          <w:p w14:paraId="1F0C5013" w14:textId="255FAB34" w:rsidR="009A1C06" w:rsidRPr="00306115" w:rsidRDefault="000C5A21" w:rsidP="006624D7">
            <w:pPr>
              <w:pStyle w:val="TableParagraph"/>
              <w:numPr>
                <w:ilvl w:val="3"/>
                <w:numId w:val="324"/>
              </w:numPr>
              <w:ind w:left="709" w:right="142" w:hanging="567"/>
              <w:jc w:val="both"/>
              <w:rPr>
                <w:rFonts w:ascii="Bookman Old Style" w:hAnsi="Bookman Old Style"/>
                <w:strike/>
                <w:color w:val="000000" w:themeColor="text1"/>
                <w:sz w:val="24"/>
                <w:szCs w:val="24"/>
                <w:lang w:val="en-US"/>
              </w:rPr>
            </w:pPr>
            <w:r w:rsidRPr="00306115">
              <w:rPr>
                <w:rFonts w:ascii="Bookman Old Style" w:hAnsi="Bookman Old Style"/>
                <w:color w:val="000000" w:themeColor="text1"/>
                <w:sz w:val="24"/>
                <w:szCs w:val="24"/>
                <w:lang w:val="en-US"/>
              </w:rPr>
              <w:t>Durasi Surat Utang: rata-rata durasi portofolio tergolong cukup tinggi, yang menunjukkan sensitivitas nilai portofolio terhadap perubahan suku bunga tergolong cukup tinggi.</w:t>
            </w:r>
          </w:p>
        </w:tc>
      </w:tr>
      <w:tr w:rsidR="009A1C06" w:rsidRPr="00306115" w14:paraId="2E2A7F55" w14:textId="77777777" w:rsidTr="006624D7">
        <w:trPr>
          <w:trHeight w:val="997"/>
        </w:trPr>
        <w:tc>
          <w:tcPr>
            <w:tcW w:w="1904" w:type="dxa"/>
          </w:tcPr>
          <w:p w14:paraId="6B06D013" w14:textId="77777777" w:rsidR="009A1C06" w:rsidRPr="00306115" w:rsidRDefault="009A1C06" w:rsidP="00961D3C">
            <w:pPr>
              <w:pStyle w:val="TableParagraph"/>
              <w:spacing w:before="60" w:after="60"/>
              <w:jc w:val="center"/>
              <w:rPr>
                <w:rFonts w:ascii="Bookman Old Style" w:hAnsi="Bookman Old Style"/>
                <w:i/>
                <w:color w:val="000000" w:themeColor="text1"/>
                <w:sz w:val="24"/>
                <w:szCs w:val="24"/>
              </w:rPr>
            </w:pPr>
            <w:r w:rsidRPr="00306115">
              <w:rPr>
                <w:rFonts w:ascii="Bookman Old Style" w:hAnsi="Bookman Old Style"/>
                <w:i/>
                <w:color w:val="000000" w:themeColor="text1"/>
                <w:sz w:val="24"/>
                <w:szCs w:val="24"/>
              </w:rPr>
              <w:t xml:space="preserve">Moderate to High </w:t>
            </w:r>
            <w:r w:rsidRPr="00306115">
              <w:rPr>
                <w:rFonts w:ascii="Bookman Old Style" w:hAnsi="Bookman Old Style"/>
                <w:color w:val="000000" w:themeColor="text1"/>
                <w:sz w:val="24"/>
                <w:szCs w:val="24"/>
              </w:rPr>
              <w:t>(4)</w:t>
            </w:r>
          </w:p>
        </w:tc>
        <w:tc>
          <w:tcPr>
            <w:tcW w:w="6034" w:type="dxa"/>
          </w:tcPr>
          <w:p w14:paraId="7F6953AC" w14:textId="77777777" w:rsidR="009A1C06" w:rsidRPr="00306115" w:rsidRDefault="009A1C06" w:rsidP="00961D3C">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Dengan mempertimbangkan karakteristik Produk Investasi, kemungkinan timbulnya dampak paparan dari Risiko Pasar terhadap Produk Investasi tergolong tinggi selama periode waktu tertentu pada masa datang. </w:t>
            </w:r>
          </w:p>
          <w:p w14:paraId="06BBE78C" w14:textId="77777777" w:rsidR="009A1C06" w:rsidRPr="00306115" w:rsidRDefault="009A1C06" w:rsidP="00961D3C">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Contoh kondisi yang menunjukkan risiko pasar termasuk dalam peringkat </w:t>
            </w:r>
            <w:r w:rsidRPr="00306115">
              <w:rPr>
                <w:i/>
                <w:iCs/>
                <w:color w:val="000000" w:themeColor="text1"/>
                <w:szCs w:val="24"/>
              </w:rPr>
              <w:t>Moderate-to-High</w:t>
            </w:r>
            <w:r w:rsidRPr="00306115">
              <w:rPr>
                <w:color w:val="000000" w:themeColor="text1"/>
                <w:szCs w:val="24"/>
              </w:rPr>
              <w:t xml:space="preserve"> (4) antara lain sebagai berikut:</w:t>
            </w:r>
          </w:p>
          <w:p w14:paraId="0E47551F" w14:textId="391A1AC2" w:rsidR="000C5A21" w:rsidRPr="00306115" w:rsidRDefault="00044574">
            <w:pPr>
              <w:pStyle w:val="TableParagraph"/>
              <w:numPr>
                <w:ilvl w:val="3"/>
                <w:numId w:val="325"/>
              </w:numPr>
              <w:ind w:left="709" w:right="142" w:hanging="567"/>
              <w:jc w:val="both"/>
              <w:rPr>
                <w:rFonts w:ascii="Bookman Old Style" w:hAnsi="Bookman Old Style"/>
                <w:color w:val="000000" w:themeColor="text1"/>
                <w:sz w:val="24"/>
                <w:szCs w:val="24"/>
              </w:rPr>
            </w:pPr>
            <w:r w:rsidRPr="00306115">
              <w:rPr>
                <w:rFonts w:ascii="Bookman Old Style" w:hAnsi="Bookman Old Style"/>
                <w:color w:val="000000" w:themeColor="text1"/>
                <w:sz w:val="24"/>
                <w:szCs w:val="24"/>
              </w:rPr>
              <w:t xml:space="preserve">VEV: nilai VEV tergolong tinggi, yang menunjukkan potensi kerugian ekstrem dalam </w:t>
            </w:r>
            <w:r w:rsidRPr="00306115">
              <w:rPr>
                <w:rFonts w:ascii="Bookman Old Style" w:hAnsi="Bookman Old Style"/>
                <w:i/>
                <w:iCs/>
                <w:color w:val="000000" w:themeColor="text1"/>
                <w:sz w:val="24"/>
                <w:szCs w:val="24"/>
              </w:rPr>
              <w:t>holding period</w:t>
            </w:r>
            <w:r w:rsidRPr="00306115">
              <w:rPr>
                <w:rFonts w:ascii="Bookman Old Style" w:hAnsi="Bookman Old Style"/>
                <w:color w:val="000000" w:themeColor="text1"/>
                <w:sz w:val="24"/>
                <w:szCs w:val="24"/>
              </w:rPr>
              <w:t xml:space="preserve"> yang direkomendasikan tergolong tinggi.</w:t>
            </w:r>
          </w:p>
          <w:p w14:paraId="30D8C24F" w14:textId="5EC2A05B" w:rsidR="00044574" w:rsidRPr="00306115" w:rsidRDefault="009D0656">
            <w:pPr>
              <w:pStyle w:val="TableParagraph"/>
              <w:numPr>
                <w:ilvl w:val="3"/>
                <w:numId w:val="325"/>
              </w:numPr>
              <w:ind w:left="709" w:right="142" w:hanging="567"/>
              <w:jc w:val="both"/>
              <w:rPr>
                <w:rFonts w:ascii="Bookman Old Style" w:hAnsi="Bookman Old Style"/>
                <w:color w:val="000000" w:themeColor="text1"/>
                <w:sz w:val="24"/>
                <w:szCs w:val="24"/>
              </w:rPr>
            </w:pPr>
            <w:r w:rsidRPr="00306115">
              <w:rPr>
                <w:rFonts w:ascii="Bookman Old Style" w:hAnsi="Bookman Old Style"/>
                <w:i/>
                <w:iCs/>
                <w:color w:val="000000" w:themeColor="text1"/>
                <w:sz w:val="24"/>
                <w:szCs w:val="24"/>
              </w:rPr>
              <w:t>Beta Coefficient</w:t>
            </w:r>
            <w:r w:rsidRPr="00306115">
              <w:rPr>
                <w:rFonts w:ascii="Bookman Old Style" w:hAnsi="Bookman Old Style"/>
                <w:color w:val="000000" w:themeColor="text1"/>
                <w:sz w:val="24"/>
                <w:szCs w:val="24"/>
              </w:rPr>
              <w:t xml:space="preserve">: nilai absolut beta portofolio tergolong tinggi yang menunjukkan sensitivitas </w:t>
            </w:r>
            <w:r w:rsidRPr="00306115">
              <w:rPr>
                <w:rFonts w:ascii="Bookman Old Style" w:hAnsi="Bookman Old Style"/>
                <w:i/>
                <w:iCs/>
                <w:color w:val="000000" w:themeColor="text1"/>
                <w:sz w:val="24"/>
                <w:szCs w:val="24"/>
              </w:rPr>
              <w:t>return</w:t>
            </w:r>
            <w:r w:rsidRPr="00306115">
              <w:rPr>
                <w:rFonts w:ascii="Bookman Old Style" w:hAnsi="Bookman Old Style"/>
                <w:color w:val="000000" w:themeColor="text1"/>
                <w:sz w:val="24"/>
                <w:szCs w:val="24"/>
              </w:rPr>
              <w:t xml:space="preserve"> portofolio terhadap pergerakan pasar tergolong tinggi.</w:t>
            </w:r>
          </w:p>
          <w:p w14:paraId="516F194D" w14:textId="3293DCD7" w:rsidR="009A1C06" w:rsidRPr="00306115" w:rsidRDefault="004D318B" w:rsidP="006624D7">
            <w:pPr>
              <w:pStyle w:val="TableParagraph"/>
              <w:numPr>
                <w:ilvl w:val="3"/>
                <w:numId w:val="325"/>
              </w:numPr>
              <w:ind w:left="709" w:right="142" w:hanging="567"/>
              <w:jc w:val="both"/>
              <w:rPr>
                <w:rFonts w:ascii="Bookman Old Style" w:hAnsi="Bookman Old Style"/>
                <w:color w:val="000000" w:themeColor="text1"/>
                <w:sz w:val="24"/>
                <w:szCs w:val="24"/>
              </w:rPr>
            </w:pPr>
            <w:r w:rsidRPr="00306115">
              <w:rPr>
                <w:rFonts w:ascii="Bookman Old Style" w:hAnsi="Bookman Old Style"/>
                <w:color w:val="000000" w:themeColor="text1"/>
                <w:sz w:val="24"/>
                <w:szCs w:val="24"/>
              </w:rPr>
              <w:t xml:space="preserve">Durasi Surat Utang: rata-rata durasi </w:t>
            </w:r>
            <w:r w:rsidRPr="00306115">
              <w:rPr>
                <w:rFonts w:ascii="Bookman Old Style" w:hAnsi="Bookman Old Style"/>
                <w:color w:val="000000" w:themeColor="text1"/>
                <w:sz w:val="24"/>
                <w:szCs w:val="24"/>
              </w:rPr>
              <w:lastRenderedPageBreak/>
              <w:t>portofolio tergolong tinggi</w:t>
            </w:r>
            <w:r w:rsidRPr="00306115">
              <w:rPr>
                <w:rFonts w:ascii="Bookman Old Style" w:hAnsi="Bookman Old Style"/>
                <w:color w:val="000000" w:themeColor="text1"/>
                <w:sz w:val="24"/>
                <w:szCs w:val="24"/>
                <w:lang w:val="en-GB"/>
              </w:rPr>
              <w:t xml:space="preserve">, </w:t>
            </w:r>
            <w:r w:rsidRPr="00306115">
              <w:rPr>
                <w:rFonts w:ascii="Bookman Old Style" w:hAnsi="Bookman Old Style"/>
                <w:color w:val="000000" w:themeColor="text1"/>
                <w:sz w:val="24"/>
                <w:szCs w:val="24"/>
              </w:rPr>
              <w:t>yang menunjukkan sensitivitas nilai portofolio terhadap perubahan suku bunga tergolong tinggi.</w:t>
            </w:r>
          </w:p>
        </w:tc>
      </w:tr>
      <w:tr w:rsidR="009A1C06" w:rsidRPr="00306115" w14:paraId="79080AC6" w14:textId="77777777" w:rsidTr="005710C7">
        <w:trPr>
          <w:trHeight w:val="1832"/>
        </w:trPr>
        <w:tc>
          <w:tcPr>
            <w:tcW w:w="1904" w:type="dxa"/>
          </w:tcPr>
          <w:p w14:paraId="2F63A9FC" w14:textId="77777777" w:rsidR="009A1C06" w:rsidRPr="00306115" w:rsidRDefault="009A1C06" w:rsidP="00961D3C">
            <w:pPr>
              <w:pStyle w:val="TableParagraph"/>
              <w:spacing w:before="60" w:after="60"/>
              <w:jc w:val="center"/>
              <w:rPr>
                <w:rFonts w:ascii="Bookman Old Style" w:hAnsi="Bookman Old Style"/>
                <w:i/>
                <w:color w:val="000000" w:themeColor="text1"/>
                <w:sz w:val="24"/>
                <w:szCs w:val="24"/>
              </w:rPr>
            </w:pPr>
            <w:r w:rsidRPr="00306115">
              <w:rPr>
                <w:rFonts w:ascii="Bookman Old Style" w:hAnsi="Bookman Old Style"/>
                <w:i/>
                <w:color w:val="000000" w:themeColor="text1"/>
                <w:sz w:val="24"/>
                <w:szCs w:val="24"/>
              </w:rPr>
              <w:lastRenderedPageBreak/>
              <w:t xml:space="preserve">High </w:t>
            </w:r>
            <w:r w:rsidRPr="00306115">
              <w:rPr>
                <w:rFonts w:ascii="Bookman Old Style" w:hAnsi="Bookman Old Style"/>
                <w:color w:val="000000" w:themeColor="text1"/>
                <w:sz w:val="24"/>
                <w:szCs w:val="24"/>
              </w:rPr>
              <w:t>(5)</w:t>
            </w:r>
          </w:p>
        </w:tc>
        <w:tc>
          <w:tcPr>
            <w:tcW w:w="6034" w:type="dxa"/>
          </w:tcPr>
          <w:p w14:paraId="1D7CF4AD" w14:textId="77777777" w:rsidR="009A1C06" w:rsidRPr="00306115" w:rsidRDefault="009A1C06" w:rsidP="00961D3C">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Dengan mempertimbangkan karakteristik Produk Investasi, kemungkinan timbulnya dampak paparan dari Risiko Pasar terhadap Produk Investasi tergolong sangat tinggi selama periode waktu tertentu pada masa datang. </w:t>
            </w:r>
          </w:p>
          <w:p w14:paraId="5DC3594D" w14:textId="77777777" w:rsidR="009A1C06" w:rsidRPr="00306115" w:rsidRDefault="009A1C06" w:rsidP="00961D3C">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Contoh kondisi yang menunjukkan Risiko Pasar termasuk dalam peringkat </w:t>
            </w:r>
            <w:r w:rsidRPr="00306115">
              <w:rPr>
                <w:i/>
                <w:iCs/>
                <w:color w:val="000000" w:themeColor="text1"/>
                <w:szCs w:val="24"/>
              </w:rPr>
              <w:t>High</w:t>
            </w:r>
            <w:r w:rsidRPr="00306115">
              <w:rPr>
                <w:color w:val="000000" w:themeColor="text1"/>
                <w:szCs w:val="24"/>
              </w:rPr>
              <w:t xml:space="preserve"> (5) antara lain sebagai berikut:</w:t>
            </w:r>
          </w:p>
          <w:p w14:paraId="74742ECC" w14:textId="468FAE6E" w:rsidR="004D318B" w:rsidRPr="00306115" w:rsidRDefault="00754E52">
            <w:pPr>
              <w:pStyle w:val="TableParagraph"/>
              <w:numPr>
                <w:ilvl w:val="3"/>
                <w:numId w:val="326"/>
              </w:numPr>
              <w:ind w:left="709" w:right="142" w:hanging="567"/>
              <w:jc w:val="both"/>
              <w:rPr>
                <w:rFonts w:ascii="Bookman Old Style" w:hAnsi="Bookman Old Style"/>
                <w:color w:val="000000" w:themeColor="text1"/>
                <w:sz w:val="24"/>
                <w:szCs w:val="24"/>
              </w:rPr>
            </w:pPr>
            <w:r w:rsidRPr="00306115">
              <w:rPr>
                <w:rFonts w:ascii="Bookman Old Style" w:hAnsi="Bookman Old Style"/>
                <w:color w:val="000000" w:themeColor="text1"/>
                <w:sz w:val="24"/>
                <w:szCs w:val="24"/>
                <w:lang w:val="en-GB"/>
              </w:rPr>
              <w:t xml:space="preserve">VEV: nilai VEV tergolong sangat tinggi, yaitu lebih dari 35%, yang menunjukkan potensi kerugian ekstrem dalam </w:t>
            </w:r>
            <w:r w:rsidRPr="00306115">
              <w:rPr>
                <w:rFonts w:ascii="Bookman Old Style" w:hAnsi="Bookman Old Style"/>
                <w:i/>
                <w:iCs/>
                <w:color w:val="000000" w:themeColor="text1"/>
                <w:sz w:val="24"/>
                <w:szCs w:val="24"/>
                <w:lang w:val="en-GB"/>
              </w:rPr>
              <w:t>holding period</w:t>
            </w:r>
            <w:r w:rsidRPr="00306115">
              <w:rPr>
                <w:rFonts w:ascii="Bookman Old Style" w:hAnsi="Bookman Old Style"/>
                <w:color w:val="000000" w:themeColor="text1"/>
                <w:sz w:val="24"/>
                <w:szCs w:val="24"/>
                <w:lang w:val="en-GB"/>
              </w:rPr>
              <w:t xml:space="preserve"> yang direkomendasikan tergolong sangat tinggi.</w:t>
            </w:r>
          </w:p>
          <w:p w14:paraId="24F6B853" w14:textId="05FF83EA" w:rsidR="003A6529" w:rsidRPr="00306115" w:rsidRDefault="003A6529">
            <w:pPr>
              <w:pStyle w:val="TableParagraph"/>
              <w:numPr>
                <w:ilvl w:val="3"/>
                <w:numId w:val="326"/>
              </w:numPr>
              <w:ind w:left="709" w:right="142" w:hanging="567"/>
              <w:jc w:val="both"/>
              <w:rPr>
                <w:rFonts w:ascii="Bookman Old Style" w:hAnsi="Bookman Old Style"/>
                <w:color w:val="000000" w:themeColor="text1"/>
                <w:sz w:val="24"/>
                <w:szCs w:val="24"/>
              </w:rPr>
            </w:pPr>
            <w:r w:rsidRPr="00306115">
              <w:rPr>
                <w:rFonts w:ascii="Bookman Old Style" w:hAnsi="Bookman Old Style"/>
                <w:i/>
                <w:iCs/>
                <w:color w:val="000000" w:themeColor="text1"/>
                <w:sz w:val="24"/>
                <w:szCs w:val="24"/>
                <w:lang w:val="en-GB"/>
              </w:rPr>
              <w:t>Beta Coefficient</w:t>
            </w:r>
            <w:r w:rsidRPr="00306115">
              <w:rPr>
                <w:rFonts w:ascii="Bookman Old Style" w:hAnsi="Bookman Old Style"/>
                <w:color w:val="000000" w:themeColor="text1"/>
                <w:sz w:val="24"/>
                <w:szCs w:val="24"/>
                <w:lang w:val="en-GB"/>
              </w:rPr>
              <w:t xml:space="preserve">: nilai absolut beta portofolio tergolong sangat tinggi, yaitu lebih dari 1,25, yang menunjukkan sensitivitas </w:t>
            </w:r>
            <w:r w:rsidRPr="00306115">
              <w:rPr>
                <w:rFonts w:ascii="Bookman Old Style" w:hAnsi="Bookman Old Style"/>
                <w:i/>
                <w:iCs/>
                <w:color w:val="000000" w:themeColor="text1"/>
                <w:sz w:val="24"/>
                <w:szCs w:val="24"/>
                <w:lang w:val="en-GB"/>
              </w:rPr>
              <w:t>return</w:t>
            </w:r>
            <w:r w:rsidRPr="00306115">
              <w:rPr>
                <w:rFonts w:ascii="Bookman Old Style" w:hAnsi="Bookman Old Style"/>
                <w:color w:val="000000" w:themeColor="text1"/>
                <w:sz w:val="24"/>
                <w:szCs w:val="24"/>
                <w:lang w:val="en-GB"/>
              </w:rPr>
              <w:t xml:space="preserve"> portofolio terhadap pergerakan pasar tergolong sangat tinggi.</w:t>
            </w:r>
          </w:p>
          <w:p w14:paraId="083F2200" w14:textId="21ADF3F7" w:rsidR="009A1C06" w:rsidRPr="00306115" w:rsidRDefault="00442849" w:rsidP="006624D7">
            <w:pPr>
              <w:pStyle w:val="TableParagraph"/>
              <w:numPr>
                <w:ilvl w:val="3"/>
                <w:numId w:val="326"/>
              </w:numPr>
              <w:ind w:left="709" w:right="142" w:hanging="567"/>
              <w:jc w:val="both"/>
              <w:rPr>
                <w:rFonts w:ascii="Bookman Old Style" w:hAnsi="Bookman Old Style"/>
                <w:color w:val="000000" w:themeColor="text1"/>
                <w:sz w:val="24"/>
                <w:szCs w:val="24"/>
              </w:rPr>
            </w:pPr>
            <w:r w:rsidRPr="00306115">
              <w:rPr>
                <w:rFonts w:ascii="Bookman Old Style" w:hAnsi="Bookman Old Style"/>
                <w:color w:val="000000" w:themeColor="text1"/>
                <w:sz w:val="24"/>
                <w:szCs w:val="24"/>
                <w:lang w:val="en-GB"/>
              </w:rPr>
              <w:t>Durasi Surat Utang: rata-rata durasi portofolio tergolong sangat tinggi, yaitu lebih dari 8 tahun, yang menunjukkan sensitivitas nilai portofolio terhadap perubahan suku bunga tergolong sangat tinggi.</w:t>
            </w:r>
          </w:p>
        </w:tc>
      </w:tr>
    </w:tbl>
    <w:p w14:paraId="65EAD279" w14:textId="77777777" w:rsidR="009A1C06" w:rsidRPr="00306115" w:rsidRDefault="009A1C06" w:rsidP="009A1C06">
      <w:pPr>
        <w:pStyle w:val="HeadingAwalDaftarIsiLampiran"/>
        <w:numPr>
          <w:ilvl w:val="0"/>
          <w:numId w:val="0"/>
        </w:numPr>
        <w:ind w:left="1134"/>
      </w:pPr>
    </w:p>
    <w:p w14:paraId="569AEBD7" w14:textId="429035BB" w:rsidR="00F71BB9" w:rsidRPr="00306115" w:rsidRDefault="00F71BB9">
      <w:pPr>
        <w:pStyle w:val="HeadingAwalDaftarIsiLampiran"/>
        <w:numPr>
          <w:ilvl w:val="4"/>
          <w:numId w:val="295"/>
        </w:numPr>
        <w:ind w:left="1134" w:hanging="567"/>
      </w:pPr>
      <w:r w:rsidRPr="00306115">
        <w:t>Matriks Penetapan Kualitas Penerapan Manajemen Risiko</w:t>
      </w:r>
    </w:p>
    <w:tbl>
      <w:tblPr>
        <w:tblStyle w:val="TableGrid"/>
        <w:tblW w:w="7938" w:type="dxa"/>
        <w:tblInd w:w="1129" w:type="dxa"/>
        <w:tblLook w:val="04A0" w:firstRow="1" w:lastRow="0" w:firstColumn="1" w:lastColumn="0" w:noHBand="0" w:noVBand="1"/>
      </w:tblPr>
      <w:tblGrid>
        <w:gridCol w:w="1892"/>
        <w:gridCol w:w="6046"/>
      </w:tblGrid>
      <w:tr w:rsidR="00243FE1" w:rsidRPr="00306115" w14:paraId="1252EE49" w14:textId="77777777" w:rsidTr="00E95B19">
        <w:trPr>
          <w:tblHeader/>
        </w:trPr>
        <w:tc>
          <w:tcPr>
            <w:tcW w:w="1892" w:type="dxa"/>
            <w:shd w:val="clear" w:color="auto" w:fill="D9D9D9"/>
          </w:tcPr>
          <w:p w14:paraId="27CFDFB8" w14:textId="77777777" w:rsidR="00243FE1" w:rsidRPr="00306115" w:rsidRDefault="00243FE1" w:rsidP="00876C82">
            <w:pPr>
              <w:pStyle w:val="BodyText"/>
              <w:numPr>
                <w:ilvl w:val="0"/>
                <w:numId w:val="0"/>
              </w:numPr>
              <w:spacing w:before="60" w:after="60"/>
              <w:jc w:val="center"/>
              <w:rPr>
                <w:color w:val="000000" w:themeColor="text1"/>
              </w:rPr>
            </w:pPr>
            <w:r w:rsidRPr="00306115">
              <w:rPr>
                <w:color w:val="000000" w:themeColor="text1"/>
              </w:rPr>
              <w:t>Peringkat</w:t>
            </w:r>
          </w:p>
        </w:tc>
        <w:tc>
          <w:tcPr>
            <w:tcW w:w="6046" w:type="dxa"/>
            <w:shd w:val="clear" w:color="auto" w:fill="D9D9D9"/>
          </w:tcPr>
          <w:p w14:paraId="6CC66664" w14:textId="77777777" w:rsidR="00243FE1" w:rsidRPr="00306115" w:rsidRDefault="00243FE1" w:rsidP="00876C82">
            <w:pPr>
              <w:pStyle w:val="BodyText"/>
              <w:numPr>
                <w:ilvl w:val="0"/>
                <w:numId w:val="0"/>
              </w:numPr>
              <w:ind w:left="1361" w:right="142" w:hangingChars="567" w:hanging="1361"/>
              <w:jc w:val="center"/>
              <w:rPr>
                <w:color w:val="000000" w:themeColor="text1"/>
              </w:rPr>
            </w:pPr>
            <w:r w:rsidRPr="00306115">
              <w:rPr>
                <w:color w:val="000000" w:themeColor="text1"/>
              </w:rPr>
              <w:t>Definisi Peringkat</w:t>
            </w:r>
          </w:p>
        </w:tc>
      </w:tr>
      <w:tr w:rsidR="00243FE1" w:rsidRPr="00306115" w14:paraId="0CFE86A1" w14:textId="77777777" w:rsidTr="00E95B19">
        <w:tc>
          <w:tcPr>
            <w:tcW w:w="1892" w:type="dxa"/>
          </w:tcPr>
          <w:p w14:paraId="128C25FD" w14:textId="77777777" w:rsidR="00243FE1" w:rsidRPr="00306115" w:rsidRDefault="00243FE1" w:rsidP="00876C82">
            <w:pPr>
              <w:pStyle w:val="BodyText"/>
              <w:numPr>
                <w:ilvl w:val="0"/>
                <w:numId w:val="0"/>
              </w:numPr>
              <w:spacing w:before="60" w:after="60"/>
              <w:jc w:val="center"/>
              <w:rPr>
                <w:color w:val="000000" w:themeColor="text1"/>
              </w:rPr>
            </w:pPr>
            <w:r w:rsidRPr="00306115">
              <w:rPr>
                <w:i/>
                <w:iCs/>
                <w:color w:val="000000" w:themeColor="text1"/>
              </w:rPr>
              <w:t>Strong</w:t>
            </w:r>
            <w:r w:rsidRPr="00306115">
              <w:rPr>
                <w:color w:val="000000" w:themeColor="text1"/>
              </w:rPr>
              <w:t xml:space="preserve"> (1)</w:t>
            </w:r>
          </w:p>
        </w:tc>
        <w:tc>
          <w:tcPr>
            <w:tcW w:w="6046" w:type="dxa"/>
          </w:tcPr>
          <w:p w14:paraId="46AA8305" w14:textId="77777777" w:rsidR="00876C82" w:rsidRPr="00306115" w:rsidRDefault="00243FE1" w:rsidP="00876C82">
            <w:pPr>
              <w:ind w:left="142" w:right="142"/>
              <w:rPr>
                <w:color w:val="000000" w:themeColor="text1"/>
                <w:szCs w:val="24"/>
              </w:rPr>
            </w:pPr>
            <w:r w:rsidRPr="00306115">
              <w:rPr>
                <w:color w:val="000000" w:themeColor="text1"/>
                <w:szCs w:val="24"/>
              </w:rPr>
              <w:t>Kualitas penerapan Manajemen Risiko untuk Risiko Pasar sangat memadai. Meskipun terdapat kelemahan minor, tetapi kelemahan tersebut tidak signifikan sehingga dapat diabaikan.</w:t>
            </w:r>
          </w:p>
          <w:p w14:paraId="21496799" w14:textId="6DDE4791" w:rsidR="00243FE1" w:rsidRPr="00306115" w:rsidRDefault="00243FE1" w:rsidP="00876C82">
            <w:pPr>
              <w:ind w:left="142" w:right="142"/>
              <w:rPr>
                <w:color w:val="000000" w:themeColor="text1"/>
                <w:szCs w:val="24"/>
              </w:rPr>
            </w:pPr>
            <w:r w:rsidRPr="00306115">
              <w:rPr>
                <w:color w:val="000000" w:themeColor="text1"/>
                <w:szCs w:val="24"/>
              </w:rPr>
              <w:t xml:space="preserve">Contoh </w:t>
            </w:r>
            <w:r w:rsidR="00764ECF" w:rsidRPr="00306115">
              <w:rPr>
                <w:color w:val="000000" w:themeColor="text1"/>
                <w:szCs w:val="24"/>
              </w:rPr>
              <w:t>karakteristik/kondisi</w:t>
            </w:r>
            <w:r w:rsidRPr="00306115">
              <w:rPr>
                <w:color w:val="000000" w:themeColor="text1"/>
                <w:szCs w:val="24"/>
              </w:rPr>
              <w:t xml:space="preserve"> Manajer Investasi yang termasuk dalam peringkat </w:t>
            </w:r>
            <w:r w:rsidRPr="00306115">
              <w:rPr>
                <w:i/>
                <w:color w:val="000000" w:themeColor="text1"/>
                <w:szCs w:val="24"/>
              </w:rPr>
              <w:t xml:space="preserve">Strong </w:t>
            </w:r>
            <w:r w:rsidRPr="00306115">
              <w:rPr>
                <w:color w:val="000000" w:themeColor="text1"/>
                <w:szCs w:val="24"/>
              </w:rPr>
              <w:t>(1) antara lain sebagai berikut:</w:t>
            </w:r>
          </w:p>
          <w:p w14:paraId="18181607" w14:textId="77777777" w:rsidR="00243FE1" w:rsidRPr="00306115" w:rsidRDefault="00243FE1">
            <w:pPr>
              <w:pStyle w:val="ListParagraph"/>
              <w:numPr>
                <w:ilvl w:val="0"/>
                <w:numId w:val="327"/>
              </w:numPr>
              <w:ind w:left="709" w:right="142" w:hanging="567"/>
              <w:contextualSpacing w:val="0"/>
              <w:rPr>
                <w:color w:val="000000" w:themeColor="text1"/>
                <w:szCs w:val="24"/>
              </w:rPr>
            </w:pPr>
            <w:r w:rsidRPr="00306115">
              <w:rPr>
                <w:color w:val="000000" w:themeColor="text1"/>
                <w:szCs w:val="24"/>
              </w:rPr>
              <w:t>Perumusan tingkat risiko yang akan diambil (</w:t>
            </w:r>
            <w:r w:rsidRPr="00306115">
              <w:rPr>
                <w:i/>
                <w:color w:val="000000" w:themeColor="text1"/>
                <w:szCs w:val="24"/>
              </w:rPr>
              <w:t>risk appetite</w:t>
            </w:r>
            <w:r w:rsidRPr="00306115">
              <w:rPr>
                <w:color w:val="000000" w:themeColor="text1"/>
                <w:szCs w:val="24"/>
              </w:rPr>
              <w:t>) dan toleransi (</w:t>
            </w:r>
            <w:r w:rsidRPr="00306115">
              <w:rPr>
                <w:i/>
                <w:color w:val="000000" w:themeColor="text1"/>
                <w:szCs w:val="24"/>
              </w:rPr>
              <w:t>risk tolerance</w:t>
            </w:r>
            <w:r w:rsidRPr="00306115">
              <w:rPr>
                <w:color w:val="000000" w:themeColor="text1"/>
                <w:szCs w:val="24"/>
              </w:rPr>
              <w:t>) Risiko Pasar sangat memadai dan telah sejalan dengan strategi dan tujuan bisnis secara keseluruhan.</w:t>
            </w:r>
          </w:p>
          <w:p w14:paraId="6F11BBEB" w14:textId="77777777" w:rsidR="00243FE1" w:rsidRPr="00306115" w:rsidRDefault="00243FE1">
            <w:pPr>
              <w:pStyle w:val="ListParagraph"/>
              <w:numPr>
                <w:ilvl w:val="0"/>
                <w:numId w:val="327"/>
              </w:numPr>
              <w:ind w:left="709" w:right="142" w:hanging="567"/>
              <w:contextualSpacing w:val="0"/>
              <w:rPr>
                <w:strike/>
                <w:color w:val="000000" w:themeColor="text1"/>
                <w:szCs w:val="24"/>
              </w:rPr>
            </w:pPr>
            <w:r w:rsidRPr="00306115">
              <w:rPr>
                <w:color w:val="000000" w:themeColor="text1"/>
                <w:szCs w:val="24"/>
              </w:rPr>
              <w:t>Kesadaran (</w:t>
            </w:r>
            <w:r w:rsidRPr="00306115">
              <w:rPr>
                <w:i/>
                <w:color w:val="000000" w:themeColor="text1"/>
                <w:szCs w:val="24"/>
              </w:rPr>
              <w:t>awareness</w:t>
            </w:r>
            <w:r w:rsidRPr="00306115">
              <w:rPr>
                <w:color w:val="000000" w:themeColor="text1"/>
                <w:szCs w:val="24"/>
              </w:rPr>
              <w:t>) dan pemahaman Direksi dan Dewan Komisaris sangat tinggi atau sangat memadai mengenai pelaksanaan Manajemen Risiko, terutama terkait jenis dan tingkat risiko untuk Risiko Pasar.</w:t>
            </w:r>
          </w:p>
          <w:p w14:paraId="16631B1D" w14:textId="77777777" w:rsidR="00243FE1" w:rsidRPr="00306115" w:rsidRDefault="00243FE1">
            <w:pPr>
              <w:pStyle w:val="ListParagraph"/>
              <w:numPr>
                <w:ilvl w:val="0"/>
                <w:numId w:val="327"/>
              </w:numPr>
              <w:ind w:left="709" w:right="142" w:hanging="567"/>
              <w:contextualSpacing w:val="0"/>
              <w:rPr>
                <w:color w:val="000000" w:themeColor="text1"/>
                <w:szCs w:val="24"/>
              </w:rPr>
            </w:pPr>
            <w:r w:rsidRPr="00306115">
              <w:rPr>
                <w:color w:val="000000" w:themeColor="text1"/>
                <w:szCs w:val="24"/>
              </w:rPr>
              <w:t>Budaya Manajemen Risiko untuk Risiko Pasar sangat kuat dan telah diinternalisasikan dengan sangat baik pada seluruh level organisasi.</w:t>
            </w:r>
          </w:p>
          <w:p w14:paraId="7313DB02" w14:textId="77777777" w:rsidR="00243FE1" w:rsidRPr="00306115" w:rsidRDefault="00243FE1">
            <w:pPr>
              <w:pStyle w:val="ListParagraph"/>
              <w:numPr>
                <w:ilvl w:val="0"/>
                <w:numId w:val="327"/>
              </w:numPr>
              <w:ind w:left="709" w:right="142" w:hanging="567"/>
              <w:contextualSpacing w:val="0"/>
              <w:rPr>
                <w:color w:val="000000" w:themeColor="text1"/>
                <w:szCs w:val="24"/>
              </w:rPr>
            </w:pPr>
            <w:r w:rsidRPr="00306115">
              <w:rPr>
                <w:color w:val="000000" w:themeColor="text1"/>
                <w:szCs w:val="24"/>
              </w:rPr>
              <w:lastRenderedPageBreak/>
              <w:t>Pelaksanaan tugas Direksi dan Dewan Komisaris secara keseluruhan sangat memadai.</w:t>
            </w:r>
          </w:p>
          <w:p w14:paraId="5BC5D3C3" w14:textId="77777777" w:rsidR="00243FE1" w:rsidRPr="00306115" w:rsidRDefault="00243FE1">
            <w:pPr>
              <w:pStyle w:val="ListParagraph"/>
              <w:numPr>
                <w:ilvl w:val="0"/>
                <w:numId w:val="327"/>
              </w:numPr>
              <w:ind w:left="709" w:right="142" w:hanging="567"/>
              <w:contextualSpacing w:val="0"/>
              <w:rPr>
                <w:color w:val="000000" w:themeColor="text1"/>
                <w:szCs w:val="24"/>
              </w:rPr>
            </w:pPr>
            <w:r w:rsidRPr="00306115">
              <w:rPr>
                <w:color w:val="000000" w:themeColor="text1"/>
                <w:szCs w:val="24"/>
              </w:rPr>
              <w:t>Fungsi Manajemen Risiko untuk Risiko Pasar independen, memiliki tugas dan tanggung jawab yang jelas, dan telah berjalan dengan sangat baik.</w:t>
            </w:r>
          </w:p>
          <w:p w14:paraId="4F59B961" w14:textId="77777777" w:rsidR="00243FE1" w:rsidRPr="00306115" w:rsidRDefault="00243FE1">
            <w:pPr>
              <w:pStyle w:val="ListParagraph"/>
              <w:numPr>
                <w:ilvl w:val="0"/>
                <w:numId w:val="327"/>
              </w:numPr>
              <w:ind w:left="709" w:right="142" w:hanging="567"/>
              <w:contextualSpacing w:val="0"/>
              <w:rPr>
                <w:color w:val="000000" w:themeColor="text1"/>
                <w:szCs w:val="24"/>
              </w:rPr>
            </w:pPr>
            <w:r w:rsidRPr="00306115">
              <w:rPr>
                <w:color w:val="000000" w:themeColor="text1"/>
                <w:szCs w:val="24"/>
              </w:rPr>
              <w:t>Kerangka pedelegasian wewenang sangat memadai.</w:t>
            </w:r>
          </w:p>
          <w:p w14:paraId="40299A67" w14:textId="77777777" w:rsidR="00243FE1" w:rsidRPr="00306115" w:rsidRDefault="00243FE1">
            <w:pPr>
              <w:pStyle w:val="ListParagraph"/>
              <w:numPr>
                <w:ilvl w:val="0"/>
                <w:numId w:val="327"/>
              </w:numPr>
              <w:ind w:left="709" w:right="142" w:hanging="567"/>
              <w:contextualSpacing w:val="0"/>
              <w:rPr>
                <w:i/>
                <w:iCs/>
                <w:color w:val="000000" w:themeColor="text1"/>
                <w:szCs w:val="24"/>
              </w:rPr>
            </w:pPr>
            <w:r w:rsidRPr="00306115">
              <w:rPr>
                <w:color w:val="000000" w:themeColor="text1"/>
                <w:szCs w:val="24"/>
              </w:rPr>
              <w:t>Kebijakan dan prosedur Manajemen Risiko serta penetapan limit Risiko Pasar sangat memadai, diterapkan dengan sangat baik, dan dipahami dengan sangat baik oleh pegawai.</w:t>
            </w:r>
          </w:p>
          <w:p w14:paraId="171524EE" w14:textId="77777777" w:rsidR="00243FE1" w:rsidRPr="00306115" w:rsidRDefault="00243FE1">
            <w:pPr>
              <w:pStyle w:val="ListParagraph"/>
              <w:numPr>
                <w:ilvl w:val="0"/>
                <w:numId w:val="327"/>
              </w:numPr>
              <w:ind w:left="709" w:right="142" w:hanging="567"/>
              <w:contextualSpacing w:val="0"/>
              <w:rPr>
                <w:color w:val="000000" w:themeColor="text1"/>
                <w:szCs w:val="24"/>
              </w:rPr>
            </w:pPr>
            <w:r w:rsidRPr="00306115">
              <w:rPr>
                <w:color w:val="000000" w:themeColor="text1"/>
                <w:szCs w:val="24"/>
              </w:rPr>
              <w:t>Strategi Manajemen Risiko untuk Risiko Pasar sangat memadai dan sangat sejalan dengan tingkat risiko yang akan diambil dan toleransi Risiko Pasar.</w:t>
            </w:r>
          </w:p>
          <w:p w14:paraId="21368B31" w14:textId="77777777" w:rsidR="00243FE1" w:rsidRPr="00306115" w:rsidRDefault="00243FE1">
            <w:pPr>
              <w:pStyle w:val="ListParagraph"/>
              <w:numPr>
                <w:ilvl w:val="0"/>
                <w:numId w:val="327"/>
              </w:numPr>
              <w:ind w:left="709" w:right="142" w:hanging="567"/>
              <w:contextualSpacing w:val="0"/>
              <w:rPr>
                <w:color w:val="000000" w:themeColor="text1"/>
                <w:szCs w:val="24"/>
              </w:rPr>
            </w:pPr>
            <w:r w:rsidRPr="00306115">
              <w:rPr>
                <w:color w:val="000000" w:themeColor="text1"/>
                <w:szCs w:val="24"/>
              </w:rPr>
              <w:t>Proses Manajemen Risiko untuk Risiko Pasar sangat memadai dalam mengidentifikasi, mengukur, memantau, dan mengendalikan Risiko Pasar.</w:t>
            </w:r>
          </w:p>
          <w:p w14:paraId="44868A47" w14:textId="77777777" w:rsidR="00243FE1" w:rsidRPr="00306115" w:rsidRDefault="00243FE1">
            <w:pPr>
              <w:pStyle w:val="ListParagraph"/>
              <w:numPr>
                <w:ilvl w:val="0"/>
                <w:numId w:val="327"/>
              </w:numPr>
              <w:ind w:left="709" w:right="142" w:hanging="567"/>
              <w:contextualSpacing w:val="0"/>
              <w:rPr>
                <w:i/>
                <w:iCs/>
                <w:color w:val="000000" w:themeColor="text1"/>
                <w:szCs w:val="24"/>
              </w:rPr>
            </w:pPr>
            <w:r w:rsidRPr="00306115">
              <w:rPr>
                <w:color w:val="000000" w:themeColor="text1"/>
                <w:szCs w:val="24"/>
              </w:rPr>
              <w:t>Sistem Informasi Manajemen Risiko untuk Risiko Pasar sangat baik dalam menghasilkan informasi dan laporan Risiko Pasar yang komprehensif.</w:t>
            </w:r>
          </w:p>
          <w:p w14:paraId="78739776" w14:textId="1D871D04" w:rsidR="00243FE1" w:rsidRPr="00306115" w:rsidRDefault="00243FE1">
            <w:pPr>
              <w:pStyle w:val="ListParagraph"/>
              <w:numPr>
                <w:ilvl w:val="0"/>
                <w:numId w:val="327"/>
              </w:numPr>
              <w:ind w:left="709" w:right="142" w:hanging="567"/>
              <w:contextualSpacing w:val="0"/>
              <w:rPr>
                <w:color w:val="000000" w:themeColor="text1"/>
                <w:szCs w:val="24"/>
              </w:rPr>
            </w:pPr>
            <w:r w:rsidRPr="00306115">
              <w:rPr>
                <w:color w:val="000000" w:themeColor="text1"/>
                <w:szCs w:val="24"/>
              </w:rPr>
              <w:t xml:space="preserve">Secara umum sumber daya manusia sangat memadai baik dari sisi jumlah maupun kompetensi pada fungsi </w:t>
            </w:r>
            <w:r w:rsidR="001008B5" w:rsidRPr="00306115">
              <w:rPr>
                <w:color w:val="000000" w:themeColor="text1"/>
              </w:rPr>
              <w:t>Manajemen Risiko</w:t>
            </w:r>
            <w:r w:rsidR="001008B5" w:rsidRPr="00306115">
              <w:rPr>
                <w:color w:val="000000" w:themeColor="text1"/>
                <w:szCs w:val="24"/>
              </w:rPr>
              <w:t xml:space="preserve"> </w:t>
            </w:r>
            <w:r w:rsidRPr="00306115">
              <w:rPr>
                <w:color w:val="000000" w:themeColor="text1"/>
                <w:szCs w:val="24"/>
              </w:rPr>
              <w:t>untuk Risiko Pasar.</w:t>
            </w:r>
          </w:p>
          <w:p w14:paraId="058689A0" w14:textId="77777777" w:rsidR="00243FE1" w:rsidRPr="00306115" w:rsidRDefault="00243FE1">
            <w:pPr>
              <w:pStyle w:val="ListParagraph"/>
              <w:numPr>
                <w:ilvl w:val="0"/>
                <w:numId w:val="327"/>
              </w:numPr>
              <w:ind w:left="709" w:right="142" w:hanging="567"/>
              <w:contextualSpacing w:val="0"/>
              <w:rPr>
                <w:color w:val="000000" w:themeColor="text1"/>
                <w:szCs w:val="24"/>
              </w:rPr>
            </w:pPr>
            <w:r w:rsidRPr="00306115">
              <w:rPr>
                <w:color w:val="000000" w:themeColor="text1"/>
                <w:szCs w:val="24"/>
              </w:rPr>
              <w:t>Sistem pengendalian internal sangat efektif dalam mendukung pelaksanaan Manajemen Risiko untuk Risiko Pasar.</w:t>
            </w:r>
          </w:p>
          <w:p w14:paraId="155A6711" w14:textId="7341A5B1" w:rsidR="00243FE1" w:rsidRPr="00306115" w:rsidRDefault="00243FE1">
            <w:pPr>
              <w:pStyle w:val="ListParagraph"/>
              <w:numPr>
                <w:ilvl w:val="0"/>
                <w:numId w:val="327"/>
              </w:numPr>
              <w:ind w:left="709" w:right="142" w:hanging="567"/>
              <w:contextualSpacing w:val="0"/>
              <w:rPr>
                <w:color w:val="000000" w:themeColor="text1"/>
                <w:szCs w:val="24"/>
              </w:rPr>
            </w:pPr>
            <w:r w:rsidRPr="00306115">
              <w:rPr>
                <w:color w:val="000000" w:themeColor="text1"/>
                <w:szCs w:val="24"/>
              </w:rPr>
              <w:t xml:space="preserve">Pelaksanaan kaji ulang oleh fungsi </w:t>
            </w:r>
            <w:r w:rsidR="001008B5" w:rsidRPr="00306115">
              <w:rPr>
                <w:color w:val="000000" w:themeColor="text1"/>
              </w:rPr>
              <w:t>Manajemen Risiko</w:t>
            </w:r>
            <w:r w:rsidR="001008B5" w:rsidRPr="00306115">
              <w:rPr>
                <w:color w:val="000000" w:themeColor="text1"/>
                <w:szCs w:val="24"/>
              </w:rPr>
              <w:t xml:space="preserve"> </w:t>
            </w:r>
            <w:r w:rsidRPr="00306115">
              <w:rPr>
                <w:color w:val="000000" w:themeColor="text1"/>
                <w:szCs w:val="24"/>
              </w:rPr>
              <w:t>dan fungsi audit internal sangat memadai baik dari sisi metodologi, frekuensi, maupun pelaporan kepada Direksi dan Dewan Komisaris.</w:t>
            </w:r>
          </w:p>
          <w:p w14:paraId="4830A388" w14:textId="77777777" w:rsidR="00243FE1" w:rsidRPr="00306115" w:rsidRDefault="00243FE1">
            <w:pPr>
              <w:pStyle w:val="ListParagraph"/>
              <w:numPr>
                <w:ilvl w:val="0"/>
                <w:numId w:val="327"/>
              </w:numPr>
              <w:ind w:left="709" w:right="142" w:hanging="567"/>
              <w:contextualSpacing w:val="0"/>
              <w:rPr>
                <w:color w:val="000000" w:themeColor="text1"/>
                <w:szCs w:val="24"/>
              </w:rPr>
            </w:pPr>
            <w:r w:rsidRPr="00306115">
              <w:rPr>
                <w:color w:val="000000" w:themeColor="text1"/>
                <w:szCs w:val="24"/>
              </w:rPr>
              <w:t>Tindak lanjut atas kaji ulang telah dilaksanakan dengan sangat memadai.</w:t>
            </w:r>
          </w:p>
        </w:tc>
      </w:tr>
      <w:tr w:rsidR="00243FE1" w:rsidRPr="00306115" w14:paraId="66CE2640" w14:textId="77777777" w:rsidTr="00E95B19">
        <w:tc>
          <w:tcPr>
            <w:tcW w:w="1892" w:type="dxa"/>
          </w:tcPr>
          <w:p w14:paraId="1B7F8962" w14:textId="77777777" w:rsidR="00243FE1" w:rsidRPr="00306115" w:rsidRDefault="00243FE1" w:rsidP="00876C82">
            <w:pPr>
              <w:pStyle w:val="BodyText"/>
              <w:numPr>
                <w:ilvl w:val="0"/>
                <w:numId w:val="0"/>
              </w:numPr>
              <w:spacing w:before="60" w:after="60"/>
              <w:jc w:val="center"/>
              <w:rPr>
                <w:color w:val="000000" w:themeColor="text1"/>
              </w:rPr>
            </w:pPr>
            <w:r w:rsidRPr="00306115">
              <w:rPr>
                <w:i/>
                <w:iCs/>
                <w:color w:val="000000" w:themeColor="text1"/>
              </w:rPr>
              <w:lastRenderedPageBreak/>
              <w:t>Satisfactory</w:t>
            </w:r>
            <w:r w:rsidRPr="00306115">
              <w:rPr>
                <w:color w:val="000000" w:themeColor="text1"/>
              </w:rPr>
              <w:t xml:space="preserve"> (2)</w:t>
            </w:r>
          </w:p>
        </w:tc>
        <w:tc>
          <w:tcPr>
            <w:tcW w:w="6046" w:type="dxa"/>
          </w:tcPr>
          <w:p w14:paraId="5581AD30" w14:textId="77777777" w:rsidR="003E4CF2" w:rsidRPr="00306115" w:rsidRDefault="00243FE1" w:rsidP="003E4CF2">
            <w:pPr>
              <w:ind w:left="142" w:right="142"/>
              <w:rPr>
                <w:color w:val="000000" w:themeColor="text1"/>
                <w:szCs w:val="24"/>
              </w:rPr>
            </w:pPr>
            <w:r w:rsidRPr="00306115">
              <w:rPr>
                <w:color w:val="000000" w:themeColor="text1"/>
                <w:szCs w:val="24"/>
              </w:rPr>
              <w:t>Kualitas penerapan Manajemen Risiko untuk Risiko Pasar memadai. Terdapat beberapa kelemahan minor, tetapi kelemahan tersebut dapat diselesaikan pada aktivitas kegiatan usaha normal.</w:t>
            </w:r>
          </w:p>
          <w:p w14:paraId="7F68E5FB" w14:textId="705C93E7" w:rsidR="00243FE1" w:rsidRPr="00306115" w:rsidRDefault="00243FE1" w:rsidP="003E4CF2">
            <w:pPr>
              <w:ind w:left="142" w:right="142"/>
              <w:rPr>
                <w:color w:val="000000" w:themeColor="text1"/>
                <w:szCs w:val="24"/>
              </w:rPr>
            </w:pPr>
            <w:r w:rsidRPr="00306115">
              <w:rPr>
                <w:color w:val="000000" w:themeColor="text1"/>
                <w:szCs w:val="24"/>
              </w:rPr>
              <w:t xml:space="preserve">Contoh </w:t>
            </w:r>
            <w:r w:rsidR="00764ECF" w:rsidRPr="00306115">
              <w:rPr>
                <w:color w:val="000000" w:themeColor="text1"/>
                <w:szCs w:val="24"/>
              </w:rPr>
              <w:t>karakteristik/kondisi</w:t>
            </w:r>
            <w:r w:rsidRPr="00306115">
              <w:rPr>
                <w:color w:val="000000" w:themeColor="text1"/>
                <w:szCs w:val="24"/>
              </w:rPr>
              <w:t xml:space="preserve"> Manajer Investasi yang termasuk dalam peringkat </w:t>
            </w:r>
            <w:r w:rsidRPr="00306115">
              <w:rPr>
                <w:i/>
                <w:color w:val="000000" w:themeColor="text1"/>
                <w:szCs w:val="24"/>
              </w:rPr>
              <w:t xml:space="preserve">Satisfactory </w:t>
            </w:r>
            <w:r w:rsidRPr="00306115">
              <w:rPr>
                <w:color w:val="000000" w:themeColor="text1"/>
                <w:szCs w:val="24"/>
              </w:rPr>
              <w:t>(2) antara lain sebagai berikut:</w:t>
            </w:r>
          </w:p>
          <w:p w14:paraId="764BC17F" w14:textId="77777777" w:rsidR="00243FE1" w:rsidRPr="00306115" w:rsidRDefault="00243FE1">
            <w:pPr>
              <w:pStyle w:val="ListParagraph"/>
              <w:numPr>
                <w:ilvl w:val="0"/>
                <w:numId w:val="328"/>
              </w:numPr>
              <w:ind w:left="709" w:right="142" w:hanging="567"/>
              <w:contextualSpacing w:val="0"/>
              <w:rPr>
                <w:color w:val="000000" w:themeColor="text1"/>
                <w:szCs w:val="24"/>
              </w:rPr>
            </w:pPr>
            <w:r w:rsidRPr="00306115">
              <w:rPr>
                <w:color w:val="000000" w:themeColor="text1"/>
                <w:szCs w:val="24"/>
              </w:rPr>
              <w:t>Perumusan tingkat risiko yang akan diambil (</w:t>
            </w:r>
            <w:r w:rsidRPr="00306115">
              <w:rPr>
                <w:i/>
                <w:iCs/>
                <w:color w:val="000000" w:themeColor="text1"/>
                <w:szCs w:val="24"/>
              </w:rPr>
              <w:t>risk appetite</w:t>
            </w:r>
            <w:r w:rsidRPr="00306115">
              <w:rPr>
                <w:color w:val="000000" w:themeColor="text1"/>
                <w:szCs w:val="24"/>
              </w:rPr>
              <w:t>) dan toleransi (</w:t>
            </w:r>
            <w:r w:rsidRPr="00306115">
              <w:rPr>
                <w:i/>
                <w:iCs/>
                <w:color w:val="000000" w:themeColor="text1"/>
                <w:szCs w:val="24"/>
              </w:rPr>
              <w:t>risk tolerance</w:t>
            </w:r>
            <w:r w:rsidRPr="00306115">
              <w:rPr>
                <w:color w:val="000000" w:themeColor="text1"/>
                <w:szCs w:val="24"/>
              </w:rPr>
              <w:t>) Risiko Pasar memadai dan telah sejalan dengan strategi dan tujuan bisnis secara keseluruhan.</w:t>
            </w:r>
          </w:p>
          <w:p w14:paraId="534B13F4" w14:textId="77777777" w:rsidR="00243FE1" w:rsidRPr="00306115" w:rsidRDefault="00243FE1">
            <w:pPr>
              <w:pStyle w:val="ListParagraph"/>
              <w:numPr>
                <w:ilvl w:val="0"/>
                <w:numId w:val="328"/>
              </w:numPr>
              <w:ind w:left="709" w:right="142" w:hanging="567"/>
              <w:contextualSpacing w:val="0"/>
              <w:rPr>
                <w:color w:val="000000" w:themeColor="text1"/>
                <w:szCs w:val="24"/>
              </w:rPr>
            </w:pPr>
            <w:r w:rsidRPr="00306115">
              <w:rPr>
                <w:color w:val="000000" w:themeColor="text1"/>
                <w:szCs w:val="24"/>
              </w:rPr>
              <w:lastRenderedPageBreak/>
              <w:t>Kesadaran (</w:t>
            </w:r>
            <w:r w:rsidRPr="00306115">
              <w:rPr>
                <w:i/>
                <w:iCs/>
                <w:color w:val="000000" w:themeColor="text1"/>
                <w:szCs w:val="24"/>
              </w:rPr>
              <w:t>awareness</w:t>
            </w:r>
            <w:r w:rsidRPr="00306115">
              <w:rPr>
                <w:color w:val="000000" w:themeColor="text1"/>
                <w:szCs w:val="24"/>
              </w:rPr>
              <w:t>) dan pemahaman Direksi dan Dewan Komisaris tinggi atau memadai mengenai pelaksanaan Manajemen Risiko, terutama terkait jenis dan tingkat risiko untuk Risiko Pasar.</w:t>
            </w:r>
          </w:p>
          <w:p w14:paraId="02496A5C" w14:textId="77777777" w:rsidR="00243FE1" w:rsidRPr="00306115" w:rsidRDefault="00243FE1">
            <w:pPr>
              <w:pStyle w:val="ListParagraph"/>
              <w:numPr>
                <w:ilvl w:val="0"/>
                <w:numId w:val="328"/>
              </w:numPr>
              <w:ind w:left="709" w:right="142" w:hanging="567"/>
              <w:contextualSpacing w:val="0"/>
              <w:rPr>
                <w:color w:val="000000" w:themeColor="text1"/>
                <w:szCs w:val="24"/>
              </w:rPr>
            </w:pPr>
            <w:r w:rsidRPr="00306115">
              <w:rPr>
                <w:color w:val="000000" w:themeColor="text1"/>
                <w:szCs w:val="24"/>
              </w:rPr>
              <w:t>Budaya Manajemen Risiko untuk Risiko Pasar kuat dan telah diinternalisasikan dengan baik pada seluruh level organisasi.</w:t>
            </w:r>
          </w:p>
          <w:p w14:paraId="5582026B" w14:textId="77777777" w:rsidR="00243FE1" w:rsidRPr="00306115" w:rsidRDefault="00243FE1">
            <w:pPr>
              <w:pStyle w:val="ListParagraph"/>
              <w:numPr>
                <w:ilvl w:val="0"/>
                <w:numId w:val="328"/>
              </w:numPr>
              <w:ind w:left="709" w:right="142" w:hanging="567"/>
              <w:contextualSpacing w:val="0"/>
              <w:rPr>
                <w:color w:val="000000" w:themeColor="text1"/>
                <w:szCs w:val="24"/>
              </w:rPr>
            </w:pPr>
            <w:r w:rsidRPr="00306115">
              <w:rPr>
                <w:color w:val="000000" w:themeColor="text1"/>
                <w:szCs w:val="24"/>
              </w:rPr>
              <w:t>Pelaksanaan tugas Direksi dan Dewan Komisaris secara keseluruhan memadai. Terdapat beberapa kelemahan yang tidak signifikan dan dapat diperbaiki dengan segera.</w:t>
            </w:r>
          </w:p>
          <w:p w14:paraId="77A3A926" w14:textId="77777777" w:rsidR="00243FE1" w:rsidRPr="00306115" w:rsidRDefault="00243FE1">
            <w:pPr>
              <w:pStyle w:val="ListParagraph"/>
              <w:numPr>
                <w:ilvl w:val="0"/>
                <w:numId w:val="328"/>
              </w:numPr>
              <w:ind w:left="709" w:right="142" w:hanging="567"/>
              <w:contextualSpacing w:val="0"/>
              <w:rPr>
                <w:color w:val="000000" w:themeColor="text1"/>
                <w:szCs w:val="24"/>
              </w:rPr>
            </w:pPr>
            <w:r w:rsidRPr="00306115">
              <w:rPr>
                <w:color w:val="000000" w:themeColor="text1"/>
                <w:szCs w:val="24"/>
              </w:rPr>
              <w:t>Fungsi Manajemen Risiko untuk Risiko Pasar independen, memiliki tugas dan tanggung jawab yang jelas, dan telah berjalan dengan baik. Terdapat kelemahan minor yang dapat diselesaikan pada aktivitas kegiatan usaha normal.</w:t>
            </w:r>
          </w:p>
          <w:p w14:paraId="5C9D0553" w14:textId="77777777" w:rsidR="00243FE1" w:rsidRPr="00306115" w:rsidRDefault="00243FE1">
            <w:pPr>
              <w:pStyle w:val="ListParagraph"/>
              <w:numPr>
                <w:ilvl w:val="0"/>
                <w:numId w:val="328"/>
              </w:numPr>
              <w:ind w:left="709" w:right="142" w:hanging="567"/>
              <w:contextualSpacing w:val="0"/>
              <w:rPr>
                <w:color w:val="000000" w:themeColor="text1"/>
                <w:szCs w:val="24"/>
              </w:rPr>
            </w:pPr>
            <w:r w:rsidRPr="00306115">
              <w:rPr>
                <w:color w:val="000000" w:themeColor="text1"/>
                <w:szCs w:val="24"/>
              </w:rPr>
              <w:t>Kerangka pedelegasian wewenang memadai.</w:t>
            </w:r>
          </w:p>
          <w:p w14:paraId="0EE217FF" w14:textId="77777777" w:rsidR="00243FE1" w:rsidRPr="00306115" w:rsidRDefault="00243FE1">
            <w:pPr>
              <w:pStyle w:val="ListParagraph"/>
              <w:numPr>
                <w:ilvl w:val="0"/>
                <w:numId w:val="328"/>
              </w:numPr>
              <w:ind w:left="709" w:right="142" w:hanging="567"/>
              <w:contextualSpacing w:val="0"/>
              <w:rPr>
                <w:color w:val="000000" w:themeColor="text1"/>
                <w:szCs w:val="24"/>
              </w:rPr>
            </w:pPr>
            <w:r w:rsidRPr="00306115">
              <w:rPr>
                <w:color w:val="000000" w:themeColor="text1"/>
                <w:szCs w:val="24"/>
              </w:rPr>
              <w:t>Kebijakan dan prosedur Manajemen Risiko serta penetapan limit Risiko Pasar memadai, diterapkan dengan baik, dan dipahami dengan baik oleh pegawai.</w:t>
            </w:r>
          </w:p>
          <w:p w14:paraId="12BF591F" w14:textId="77777777" w:rsidR="00243FE1" w:rsidRPr="00306115" w:rsidRDefault="00243FE1">
            <w:pPr>
              <w:pStyle w:val="ListParagraph"/>
              <w:numPr>
                <w:ilvl w:val="0"/>
                <w:numId w:val="328"/>
              </w:numPr>
              <w:ind w:left="709" w:right="142" w:hanging="567"/>
              <w:contextualSpacing w:val="0"/>
              <w:rPr>
                <w:color w:val="000000" w:themeColor="text1"/>
                <w:szCs w:val="24"/>
              </w:rPr>
            </w:pPr>
            <w:r w:rsidRPr="00306115">
              <w:rPr>
                <w:color w:val="000000" w:themeColor="text1"/>
                <w:szCs w:val="24"/>
              </w:rPr>
              <w:t>Strategi Manajemen Risiko untuk Risiko Pasar memadai dan sejalan dengan tingkat risiko yang akan diambil dan toleransi Risiko Pasar.</w:t>
            </w:r>
          </w:p>
          <w:p w14:paraId="51CAB8AD" w14:textId="77777777" w:rsidR="00243FE1" w:rsidRPr="00306115" w:rsidRDefault="00243FE1">
            <w:pPr>
              <w:pStyle w:val="ListParagraph"/>
              <w:numPr>
                <w:ilvl w:val="0"/>
                <w:numId w:val="328"/>
              </w:numPr>
              <w:ind w:left="709" w:right="142" w:hanging="567"/>
              <w:contextualSpacing w:val="0"/>
              <w:rPr>
                <w:color w:val="000000" w:themeColor="text1"/>
                <w:szCs w:val="24"/>
              </w:rPr>
            </w:pPr>
            <w:r w:rsidRPr="00306115">
              <w:rPr>
                <w:color w:val="000000" w:themeColor="text1"/>
                <w:szCs w:val="24"/>
              </w:rPr>
              <w:t>Proses Manajemen Risiko untuk Risiko Pasar memadai dalam mengidentifikasi, mengukur, memantau, dan mengendalikan Risiko Pasar.</w:t>
            </w:r>
          </w:p>
          <w:p w14:paraId="691BAA73" w14:textId="77777777" w:rsidR="00243FE1" w:rsidRPr="00306115" w:rsidRDefault="00243FE1">
            <w:pPr>
              <w:pStyle w:val="ListParagraph"/>
              <w:numPr>
                <w:ilvl w:val="0"/>
                <w:numId w:val="328"/>
              </w:numPr>
              <w:ind w:left="709" w:right="142" w:hanging="567"/>
              <w:contextualSpacing w:val="0"/>
              <w:rPr>
                <w:color w:val="000000" w:themeColor="text1"/>
                <w:szCs w:val="24"/>
              </w:rPr>
            </w:pPr>
            <w:r w:rsidRPr="00306115">
              <w:rPr>
                <w:color w:val="000000" w:themeColor="text1"/>
                <w:szCs w:val="24"/>
              </w:rPr>
              <w:t>Sistem Informasi Manajemen Risiko untuk Risiko Pasar baik dalam menghasilkan informasi dan laporan Risiko Pasar yang komprehensif.</w:t>
            </w:r>
          </w:p>
          <w:p w14:paraId="6566E34E" w14:textId="128DC18F" w:rsidR="00243FE1" w:rsidRPr="00306115" w:rsidRDefault="00243FE1">
            <w:pPr>
              <w:pStyle w:val="ListParagraph"/>
              <w:numPr>
                <w:ilvl w:val="0"/>
                <w:numId w:val="328"/>
              </w:numPr>
              <w:ind w:left="709" w:right="142" w:hanging="567"/>
              <w:contextualSpacing w:val="0"/>
              <w:rPr>
                <w:color w:val="000000" w:themeColor="text1"/>
                <w:szCs w:val="24"/>
              </w:rPr>
            </w:pPr>
            <w:r w:rsidRPr="00306115">
              <w:rPr>
                <w:color w:val="000000" w:themeColor="text1"/>
                <w:szCs w:val="24"/>
              </w:rPr>
              <w:t xml:space="preserve">Secara umum sumber daya manusia memadai baik dari sisi jumlah maupun kompetensi pada fungsi </w:t>
            </w:r>
            <w:r w:rsidR="001008B5" w:rsidRPr="00306115">
              <w:rPr>
                <w:color w:val="000000" w:themeColor="text1"/>
              </w:rPr>
              <w:t>Manajemen Risiko</w:t>
            </w:r>
            <w:r w:rsidR="001008B5" w:rsidRPr="00306115">
              <w:rPr>
                <w:color w:val="000000" w:themeColor="text1"/>
                <w:szCs w:val="24"/>
              </w:rPr>
              <w:t xml:space="preserve"> </w:t>
            </w:r>
            <w:r w:rsidRPr="00306115">
              <w:rPr>
                <w:color w:val="000000" w:themeColor="text1"/>
                <w:szCs w:val="24"/>
              </w:rPr>
              <w:t>untuk Risiko Pasar.</w:t>
            </w:r>
          </w:p>
          <w:p w14:paraId="372B05E5" w14:textId="77777777" w:rsidR="00243FE1" w:rsidRPr="00306115" w:rsidRDefault="00243FE1">
            <w:pPr>
              <w:pStyle w:val="ListParagraph"/>
              <w:numPr>
                <w:ilvl w:val="0"/>
                <w:numId w:val="328"/>
              </w:numPr>
              <w:ind w:left="709" w:right="142" w:hanging="567"/>
              <w:contextualSpacing w:val="0"/>
              <w:rPr>
                <w:color w:val="000000" w:themeColor="text1"/>
                <w:szCs w:val="24"/>
              </w:rPr>
            </w:pPr>
            <w:r w:rsidRPr="00306115">
              <w:rPr>
                <w:color w:val="000000" w:themeColor="text1"/>
                <w:szCs w:val="24"/>
              </w:rPr>
              <w:t>Sistem pengendalian internal efektif dalam mendukung pelaksanaan Manajemen Risiko untuk Risiko Pasar.</w:t>
            </w:r>
          </w:p>
          <w:p w14:paraId="088E04E0" w14:textId="62C90E15" w:rsidR="00243FE1" w:rsidRPr="00306115" w:rsidRDefault="00243FE1">
            <w:pPr>
              <w:pStyle w:val="ListParagraph"/>
              <w:numPr>
                <w:ilvl w:val="0"/>
                <w:numId w:val="328"/>
              </w:numPr>
              <w:ind w:left="709" w:right="142" w:hanging="567"/>
              <w:contextualSpacing w:val="0"/>
              <w:rPr>
                <w:color w:val="000000" w:themeColor="text1"/>
                <w:szCs w:val="24"/>
              </w:rPr>
            </w:pPr>
            <w:r w:rsidRPr="00306115">
              <w:rPr>
                <w:color w:val="000000" w:themeColor="text1"/>
                <w:szCs w:val="24"/>
              </w:rPr>
              <w:t xml:space="preserve">Pelaksanaan kaji ulang oleh fungsi </w:t>
            </w:r>
            <w:r w:rsidR="001008B5" w:rsidRPr="00306115">
              <w:rPr>
                <w:color w:val="000000" w:themeColor="text1"/>
              </w:rPr>
              <w:t>Manajemen Risiko</w:t>
            </w:r>
            <w:r w:rsidR="001008B5" w:rsidRPr="00306115">
              <w:rPr>
                <w:color w:val="000000" w:themeColor="text1"/>
                <w:szCs w:val="24"/>
              </w:rPr>
              <w:t xml:space="preserve"> </w:t>
            </w:r>
            <w:r w:rsidRPr="00306115">
              <w:rPr>
                <w:color w:val="000000" w:themeColor="text1"/>
                <w:szCs w:val="24"/>
              </w:rPr>
              <w:t>dan fungsi audit internal memadai baik dari sisi metodologi, frekuensi, maupun pelaporan kepada Direksi dan Dewan Komisaris.</w:t>
            </w:r>
          </w:p>
          <w:p w14:paraId="4B5DC151" w14:textId="77777777" w:rsidR="00243FE1" w:rsidRPr="00306115" w:rsidRDefault="00243FE1">
            <w:pPr>
              <w:pStyle w:val="ListParagraph"/>
              <w:numPr>
                <w:ilvl w:val="0"/>
                <w:numId w:val="328"/>
              </w:numPr>
              <w:ind w:left="709" w:right="142" w:hanging="567"/>
              <w:contextualSpacing w:val="0"/>
              <w:rPr>
                <w:color w:val="000000" w:themeColor="text1"/>
                <w:szCs w:val="24"/>
              </w:rPr>
            </w:pPr>
            <w:r w:rsidRPr="00306115">
              <w:rPr>
                <w:color w:val="000000" w:themeColor="text1"/>
                <w:szCs w:val="24"/>
              </w:rPr>
              <w:t>Tindak lanjut atas kaji ulang telah dilaksanakan dengan memadai.</w:t>
            </w:r>
          </w:p>
        </w:tc>
      </w:tr>
      <w:tr w:rsidR="00243FE1" w:rsidRPr="00306115" w14:paraId="2953C903" w14:textId="77777777" w:rsidTr="00E95B19">
        <w:tc>
          <w:tcPr>
            <w:tcW w:w="1892" w:type="dxa"/>
          </w:tcPr>
          <w:p w14:paraId="0D9E5FB0" w14:textId="77777777" w:rsidR="00243FE1" w:rsidRPr="00306115" w:rsidRDefault="00243FE1" w:rsidP="00876C82">
            <w:pPr>
              <w:pStyle w:val="BodyText"/>
              <w:numPr>
                <w:ilvl w:val="0"/>
                <w:numId w:val="0"/>
              </w:numPr>
              <w:spacing w:before="60" w:after="60"/>
              <w:jc w:val="center"/>
              <w:rPr>
                <w:color w:val="000000" w:themeColor="text1"/>
              </w:rPr>
            </w:pPr>
            <w:r w:rsidRPr="00306115">
              <w:rPr>
                <w:i/>
                <w:iCs/>
                <w:color w:val="000000" w:themeColor="text1"/>
              </w:rPr>
              <w:lastRenderedPageBreak/>
              <w:t>Fair</w:t>
            </w:r>
            <w:r w:rsidRPr="00306115">
              <w:rPr>
                <w:color w:val="000000" w:themeColor="text1"/>
              </w:rPr>
              <w:t xml:space="preserve"> (3)</w:t>
            </w:r>
          </w:p>
        </w:tc>
        <w:tc>
          <w:tcPr>
            <w:tcW w:w="6046" w:type="dxa"/>
          </w:tcPr>
          <w:p w14:paraId="0A6C9850" w14:textId="77777777" w:rsidR="00C35222" w:rsidRPr="00306115" w:rsidRDefault="00243FE1" w:rsidP="00C35222">
            <w:pPr>
              <w:ind w:left="142" w:right="142"/>
              <w:rPr>
                <w:color w:val="000000" w:themeColor="text1"/>
                <w:szCs w:val="24"/>
              </w:rPr>
            </w:pPr>
            <w:r w:rsidRPr="00306115">
              <w:rPr>
                <w:color w:val="000000" w:themeColor="text1"/>
                <w:szCs w:val="24"/>
              </w:rPr>
              <w:t xml:space="preserve">Kualitas penerapan Manajemen Risiko untuk Risiko Pasar cukup memadai. Meskipun persyaratan minimum terpenuhi, terdapat </w:t>
            </w:r>
            <w:r w:rsidRPr="00306115">
              <w:rPr>
                <w:color w:val="000000" w:themeColor="text1"/>
                <w:szCs w:val="24"/>
              </w:rPr>
              <w:lastRenderedPageBreak/>
              <w:t>beberapa kelemahan yang cukup signifikan yang memerlukan perbaikan segera.</w:t>
            </w:r>
          </w:p>
          <w:p w14:paraId="4276FF5F" w14:textId="4A41F102" w:rsidR="00243FE1" w:rsidRPr="00306115" w:rsidRDefault="00243FE1" w:rsidP="00C35222">
            <w:pPr>
              <w:ind w:left="142" w:right="142"/>
              <w:rPr>
                <w:color w:val="000000" w:themeColor="text1"/>
                <w:szCs w:val="24"/>
              </w:rPr>
            </w:pPr>
            <w:r w:rsidRPr="00306115">
              <w:rPr>
                <w:color w:val="000000" w:themeColor="text1"/>
                <w:szCs w:val="24"/>
              </w:rPr>
              <w:t xml:space="preserve">Contoh karakteristik </w:t>
            </w:r>
            <w:r w:rsidR="00764ECF" w:rsidRPr="00306115">
              <w:rPr>
                <w:color w:val="000000" w:themeColor="text1"/>
                <w:szCs w:val="24"/>
              </w:rPr>
              <w:t>karakteristik/kondisi</w:t>
            </w:r>
            <w:r w:rsidRPr="00306115">
              <w:rPr>
                <w:color w:val="000000" w:themeColor="text1"/>
                <w:szCs w:val="24"/>
              </w:rPr>
              <w:t xml:space="preserve"> Manajer Investasi yang termasuk dalam peringkat </w:t>
            </w:r>
            <w:r w:rsidRPr="00306115">
              <w:rPr>
                <w:i/>
                <w:color w:val="000000" w:themeColor="text1"/>
                <w:szCs w:val="24"/>
              </w:rPr>
              <w:t xml:space="preserve">Fair </w:t>
            </w:r>
            <w:r w:rsidRPr="00306115">
              <w:rPr>
                <w:color w:val="000000" w:themeColor="text1"/>
                <w:szCs w:val="24"/>
              </w:rPr>
              <w:t>(3) ini antara lain sebagai berikut:</w:t>
            </w:r>
          </w:p>
          <w:p w14:paraId="6A2FB740" w14:textId="77777777" w:rsidR="00243FE1" w:rsidRPr="00306115" w:rsidRDefault="00243FE1">
            <w:pPr>
              <w:pStyle w:val="ListParagraph"/>
              <w:numPr>
                <w:ilvl w:val="0"/>
                <w:numId w:val="329"/>
              </w:numPr>
              <w:ind w:left="709" w:right="142" w:hanging="567"/>
              <w:contextualSpacing w:val="0"/>
              <w:rPr>
                <w:color w:val="000000" w:themeColor="text1"/>
                <w:szCs w:val="24"/>
              </w:rPr>
            </w:pPr>
            <w:r w:rsidRPr="00306115">
              <w:rPr>
                <w:color w:val="000000" w:themeColor="text1"/>
                <w:szCs w:val="24"/>
              </w:rPr>
              <w:t>Perumusan tingkat risiko yang akan diambil (</w:t>
            </w:r>
            <w:r w:rsidRPr="00306115">
              <w:rPr>
                <w:i/>
                <w:iCs/>
                <w:color w:val="000000" w:themeColor="text1"/>
                <w:szCs w:val="24"/>
              </w:rPr>
              <w:t>risk appetite</w:t>
            </w:r>
            <w:r w:rsidRPr="00306115">
              <w:rPr>
                <w:color w:val="000000" w:themeColor="text1"/>
                <w:szCs w:val="24"/>
              </w:rPr>
              <w:t>) dan toleransi (</w:t>
            </w:r>
            <w:r w:rsidRPr="00306115">
              <w:rPr>
                <w:i/>
                <w:iCs/>
                <w:color w:val="000000" w:themeColor="text1"/>
                <w:szCs w:val="24"/>
              </w:rPr>
              <w:t>risk tolerance</w:t>
            </w:r>
            <w:r w:rsidRPr="00306115">
              <w:rPr>
                <w:color w:val="000000" w:themeColor="text1"/>
                <w:szCs w:val="24"/>
              </w:rPr>
              <w:t>) Risiko Pasar cukup memadai dan telah sejalan dengan strategi dan tujuan bisnis secara keseluruhan.</w:t>
            </w:r>
          </w:p>
          <w:p w14:paraId="439606FD" w14:textId="77777777" w:rsidR="00243FE1" w:rsidRPr="00306115" w:rsidRDefault="00243FE1">
            <w:pPr>
              <w:pStyle w:val="ListParagraph"/>
              <w:numPr>
                <w:ilvl w:val="0"/>
                <w:numId w:val="329"/>
              </w:numPr>
              <w:ind w:left="709" w:right="142" w:hanging="567"/>
              <w:contextualSpacing w:val="0"/>
              <w:rPr>
                <w:color w:val="000000" w:themeColor="text1"/>
                <w:szCs w:val="24"/>
              </w:rPr>
            </w:pPr>
            <w:r w:rsidRPr="00306115">
              <w:rPr>
                <w:color w:val="000000" w:themeColor="text1"/>
                <w:szCs w:val="24"/>
              </w:rPr>
              <w:t>Kesadaran (</w:t>
            </w:r>
            <w:r w:rsidRPr="00306115">
              <w:rPr>
                <w:i/>
                <w:iCs/>
                <w:color w:val="000000" w:themeColor="text1"/>
                <w:szCs w:val="24"/>
              </w:rPr>
              <w:t>awareness</w:t>
            </w:r>
            <w:r w:rsidRPr="00306115">
              <w:rPr>
                <w:color w:val="000000" w:themeColor="text1"/>
                <w:szCs w:val="24"/>
              </w:rPr>
              <w:t>) dan pemahaman Direksi dan Dewan Komisaris cukup tinggi atau cukup memadai mengenai pelaksanaan Manajemen Risiko, terutama terkait jenis dan tingkat risiko untuk Risiko Pasar.</w:t>
            </w:r>
          </w:p>
          <w:p w14:paraId="6D96F199" w14:textId="77777777" w:rsidR="00243FE1" w:rsidRPr="00306115" w:rsidRDefault="00243FE1">
            <w:pPr>
              <w:pStyle w:val="ListParagraph"/>
              <w:numPr>
                <w:ilvl w:val="0"/>
                <w:numId w:val="329"/>
              </w:numPr>
              <w:ind w:left="709" w:right="142" w:hanging="567"/>
              <w:contextualSpacing w:val="0"/>
              <w:rPr>
                <w:color w:val="000000" w:themeColor="text1"/>
                <w:szCs w:val="24"/>
              </w:rPr>
            </w:pPr>
            <w:r w:rsidRPr="00306115">
              <w:rPr>
                <w:color w:val="000000" w:themeColor="text1"/>
                <w:szCs w:val="24"/>
              </w:rPr>
              <w:t>Budaya Manajemen Risiko untuk Risiko Pasar cukup kuat dan telah diinternalisasikan dengan cukup baik pada seluruh level organisasi.</w:t>
            </w:r>
          </w:p>
          <w:p w14:paraId="52BF64AE" w14:textId="77777777" w:rsidR="00243FE1" w:rsidRPr="00306115" w:rsidRDefault="00243FE1">
            <w:pPr>
              <w:pStyle w:val="ListParagraph"/>
              <w:numPr>
                <w:ilvl w:val="0"/>
                <w:numId w:val="329"/>
              </w:numPr>
              <w:ind w:left="709" w:right="142" w:hanging="567"/>
              <w:contextualSpacing w:val="0"/>
              <w:rPr>
                <w:color w:val="000000" w:themeColor="text1"/>
                <w:szCs w:val="24"/>
              </w:rPr>
            </w:pPr>
            <w:r w:rsidRPr="00306115">
              <w:rPr>
                <w:color w:val="000000" w:themeColor="text1"/>
                <w:szCs w:val="24"/>
              </w:rPr>
              <w:t>Pelaksanaan tugas Direksi dan Dewan Komisaris secara keseluruhan cukup memadai. Terdapat beberapa kelemahan yang cukup signifikan pada beberapa aspek penilaian yang memerlukan perbaikan segera.</w:t>
            </w:r>
          </w:p>
          <w:p w14:paraId="138648D8" w14:textId="77777777" w:rsidR="00243FE1" w:rsidRPr="00306115" w:rsidRDefault="00243FE1">
            <w:pPr>
              <w:pStyle w:val="ListParagraph"/>
              <w:numPr>
                <w:ilvl w:val="0"/>
                <w:numId w:val="329"/>
              </w:numPr>
              <w:ind w:left="709" w:right="142" w:hanging="567"/>
              <w:contextualSpacing w:val="0"/>
              <w:rPr>
                <w:color w:val="000000" w:themeColor="text1"/>
                <w:szCs w:val="24"/>
              </w:rPr>
            </w:pPr>
            <w:r w:rsidRPr="00306115">
              <w:rPr>
                <w:color w:val="000000" w:themeColor="text1"/>
                <w:szCs w:val="24"/>
              </w:rPr>
              <w:t>Fungsi Manajemen Risiko untuk Risiko Pasar independen, memiliki tugas dan tanggung jawab yang jelas, dan telah berjalan dengan cukup baik. Terdapat beberapa kelemahan yang cukup signifikan yang memerlukan perbaikan segera.</w:t>
            </w:r>
          </w:p>
          <w:p w14:paraId="21A553F2" w14:textId="77777777" w:rsidR="00243FE1" w:rsidRPr="00306115" w:rsidRDefault="00243FE1">
            <w:pPr>
              <w:pStyle w:val="ListParagraph"/>
              <w:numPr>
                <w:ilvl w:val="0"/>
                <w:numId w:val="329"/>
              </w:numPr>
              <w:ind w:left="709" w:right="142" w:hanging="567"/>
              <w:contextualSpacing w:val="0"/>
              <w:rPr>
                <w:color w:val="000000" w:themeColor="text1"/>
                <w:szCs w:val="24"/>
              </w:rPr>
            </w:pPr>
            <w:r w:rsidRPr="00306115">
              <w:rPr>
                <w:color w:val="000000" w:themeColor="text1"/>
                <w:szCs w:val="24"/>
              </w:rPr>
              <w:t>Kerangka pedelegasian wewenang cukup memadai.</w:t>
            </w:r>
          </w:p>
          <w:p w14:paraId="5E923DB5" w14:textId="77777777" w:rsidR="00243FE1" w:rsidRPr="00306115" w:rsidRDefault="00243FE1">
            <w:pPr>
              <w:pStyle w:val="ListParagraph"/>
              <w:numPr>
                <w:ilvl w:val="0"/>
                <w:numId w:val="329"/>
              </w:numPr>
              <w:ind w:left="709" w:right="142" w:hanging="567"/>
              <w:contextualSpacing w:val="0"/>
              <w:rPr>
                <w:color w:val="000000" w:themeColor="text1"/>
                <w:szCs w:val="24"/>
              </w:rPr>
            </w:pPr>
            <w:r w:rsidRPr="00306115">
              <w:rPr>
                <w:color w:val="000000" w:themeColor="text1"/>
                <w:szCs w:val="24"/>
              </w:rPr>
              <w:t>Kebijakan dan prosedur Manajemen Risiko serta penetapan limit Risiko Pasar cukup memadai, diterapkan dengan cukup baik, dan dipahami dengan cukup baik oleh pegawai.</w:t>
            </w:r>
          </w:p>
          <w:p w14:paraId="2B563DF1" w14:textId="77777777" w:rsidR="00243FE1" w:rsidRPr="00306115" w:rsidRDefault="00243FE1">
            <w:pPr>
              <w:pStyle w:val="ListParagraph"/>
              <w:numPr>
                <w:ilvl w:val="0"/>
                <w:numId w:val="329"/>
              </w:numPr>
              <w:ind w:left="709" w:right="142" w:hanging="567"/>
              <w:contextualSpacing w:val="0"/>
              <w:rPr>
                <w:color w:val="000000" w:themeColor="text1"/>
                <w:szCs w:val="24"/>
              </w:rPr>
            </w:pPr>
            <w:r w:rsidRPr="00306115">
              <w:rPr>
                <w:color w:val="000000" w:themeColor="text1"/>
                <w:szCs w:val="24"/>
              </w:rPr>
              <w:t>Strategi Manajemen Risiko untuk Risiko Pasar cukup memadai dan cukup sejalan dengan tingkat risiko yang akan diambil dan toleransi Risiko Pasar.</w:t>
            </w:r>
          </w:p>
          <w:p w14:paraId="269323B0" w14:textId="77777777" w:rsidR="00243FE1" w:rsidRPr="00306115" w:rsidRDefault="00243FE1">
            <w:pPr>
              <w:pStyle w:val="ListParagraph"/>
              <w:numPr>
                <w:ilvl w:val="0"/>
                <w:numId w:val="329"/>
              </w:numPr>
              <w:ind w:left="709" w:right="142" w:hanging="567"/>
              <w:contextualSpacing w:val="0"/>
              <w:rPr>
                <w:color w:val="000000" w:themeColor="text1"/>
                <w:szCs w:val="24"/>
              </w:rPr>
            </w:pPr>
            <w:r w:rsidRPr="00306115">
              <w:rPr>
                <w:color w:val="000000" w:themeColor="text1"/>
                <w:szCs w:val="24"/>
              </w:rPr>
              <w:t>Proses Manajemen Risiko untuk Risiko Pasar cukup memadai dalam mengidentifikasi, mengukur, memantau, dan mengendalikan Risiko Pasar.</w:t>
            </w:r>
          </w:p>
          <w:p w14:paraId="75CCE84F" w14:textId="77777777" w:rsidR="00243FE1" w:rsidRPr="00306115" w:rsidRDefault="00243FE1">
            <w:pPr>
              <w:pStyle w:val="ListParagraph"/>
              <w:numPr>
                <w:ilvl w:val="0"/>
                <w:numId w:val="329"/>
              </w:numPr>
              <w:ind w:left="709" w:right="142" w:hanging="567"/>
              <w:contextualSpacing w:val="0"/>
              <w:rPr>
                <w:color w:val="000000" w:themeColor="text1"/>
                <w:szCs w:val="24"/>
              </w:rPr>
            </w:pPr>
            <w:r w:rsidRPr="00306115">
              <w:rPr>
                <w:color w:val="000000" w:themeColor="text1"/>
                <w:szCs w:val="24"/>
              </w:rPr>
              <w:t>Sistem Informasi Manajemen Risiko untuk Risiko Pasar cukup baik dalam menghasilkan informasi dan laporan Risiko Pasar yang komprehensif.</w:t>
            </w:r>
          </w:p>
          <w:p w14:paraId="50F90294" w14:textId="1CC9FA30" w:rsidR="00243FE1" w:rsidRPr="00306115" w:rsidRDefault="00243FE1">
            <w:pPr>
              <w:pStyle w:val="ListParagraph"/>
              <w:numPr>
                <w:ilvl w:val="0"/>
                <w:numId w:val="329"/>
              </w:numPr>
              <w:ind w:left="709" w:right="142" w:hanging="567"/>
              <w:contextualSpacing w:val="0"/>
              <w:rPr>
                <w:color w:val="000000" w:themeColor="text1"/>
                <w:szCs w:val="24"/>
              </w:rPr>
            </w:pPr>
            <w:r w:rsidRPr="00306115">
              <w:rPr>
                <w:color w:val="000000" w:themeColor="text1"/>
                <w:szCs w:val="24"/>
              </w:rPr>
              <w:lastRenderedPageBreak/>
              <w:t xml:space="preserve">Secara umum sumber daya manusia cukup memadai baik dari sisi jumlah maupun kompetensi pada fungsi </w:t>
            </w:r>
            <w:r w:rsidR="001008B5" w:rsidRPr="00306115">
              <w:rPr>
                <w:color w:val="000000" w:themeColor="text1"/>
              </w:rPr>
              <w:t>Manajemen Risiko</w:t>
            </w:r>
            <w:r w:rsidR="001008B5" w:rsidRPr="00306115">
              <w:rPr>
                <w:color w:val="000000" w:themeColor="text1"/>
                <w:szCs w:val="24"/>
              </w:rPr>
              <w:t xml:space="preserve"> </w:t>
            </w:r>
            <w:r w:rsidRPr="00306115">
              <w:rPr>
                <w:color w:val="000000" w:themeColor="text1"/>
                <w:szCs w:val="24"/>
              </w:rPr>
              <w:t>untuk Risiko Pasar.</w:t>
            </w:r>
          </w:p>
          <w:p w14:paraId="7BE4C68C" w14:textId="77777777" w:rsidR="00243FE1" w:rsidRPr="00306115" w:rsidRDefault="00243FE1">
            <w:pPr>
              <w:pStyle w:val="ListParagraph"/>
              <w:numPr>
                <w:ilvl w:val="0"/>
                <w:numId w:val="329"/>
              </w:numPr>
              <w:ind w:left="709" w:right="142" w:hanging="567"/>
              <w:contextualSpacing w:val="0"/>
              <w:rPr>
                <w:color w:val="000000" w:themeColor="text1"/>
                <w:szCs w:val="24"/>
              </w:rPr>
            </w:pPr>
            <w:r w:rsidRPr="00306115">
              <w:rPr>
                <w:color w:val="000000" w:themeColor="text1"/>
                <w:szCs w:val="24"/>
              </w:rPr>
              <w:t>Sistem pengendalian internal cukup efektif dalam mendukung pelaksanaan Manajemen Risiko untuk Risiko Pasar.</w:t>
            </w:r>
          </w:p>
          <w:p w14:paraId="12A1E073" w14:textId="472759F3" w:rsidR="00243FE1" w:rsidRPr="00306115" w:rsidRDefault="00243FE1">
            <w:pPr>
              <w:pStyle w:val="ListParagraph"/>
              <w:numPr>
                <w:ilvl w:val="0"/>
                <w:numId w:val="329"/>
              </w:numPr>
              <w:ind w:left="709" w:right="142" w:hanging="567"/>
              <w:contextualSpacing w:val="0"/>
              <w:rPr>
                <w:color w:val="000000" w:themeColor="text1"/>
                <w:szCs w:val="24"/>
              </w:rPr>
            </w:pPr>
            <w:r w:rsidRPr="00306115">
              <w:rPr>
                <w:color w:val="000000" w:themeColor="text1"/>
                <w:szCs w:val="24"/>
              </w:rPr>
              <w:t xml:space="preserve">Pelaksanaan kaji ulang oleh fungsi </w:t>
            </w:r>
            <w:r w:rsidR="001008B5" w:rsidRPr="00306115">
              <w:rPr>
                <w:color w:val="000000" w:themeColor="text1"/>
              </w:rPr>
              <w:t>Manajemen Risiko</w:t>
            </w:r>
            <w:r w:rsidR="001008B5" w:rsidRPr="00306115">
              <w:rPr>
                <w:color w:val="000000" w:themeColor="text1"/>
                <w:szCs w:val="24"/>
              </w:rPr>
              <w:t xml:space="preserve"> </w:t>
            </w:r>
            <w:r w:rsidRPr="00306115">
              <w:rPr>
                <w:color w:val="000000" w:themeColor="text1"/>
                <w:szCs w:val="24"/>
              </w:rPr>
              <w:t>dan fungsi audit internal cukup memadai. Terdapat beberapa kelemahan yang cukup signifikan pada metodologi, frekuensi, maupun pelaporan kepada Direksi dan Dewan Komisaris yang memerlukan perbaikan segera.</w:t>
            </w:r>
          </w:p>
          <w:p w14:paraId="672C4B5B" w14:textId="77777777" w:rsidR="00243FE1" w:rsidRPr="00306115" w:rsidRDefault="00243FE1">
            <w:pPr>
              <w:pStyle w:val="ListParagraph"/>
              <w:numPr>
                <w:ilvl w:val="0"/>
                <w:numId w:val="329"/>
              </w:numPr>
              <w:ind w:left="709" w:right="142" w:hanging="567"/>
              <w:contextualSpacing w:val="0"/>
              <w:rPr>
                <w:color w:val="000000" w:themeColor="text1"/>
                <w:szCs w:val="24"/>
              </w:rPr>
            </w:pPr>
            <w:r w:rsidRPr="00306115">
              <w:rPr>
                <w:color w:val="000000" w:themeColor="text1"/>
                <w:szCs w:val="24"/>
              </w:rPr>
              <w:t>Tindak lanjut atas kaji ulang telah dilaksanakan dengan cukup memadai.</w:t>
            </w:r>
          </w:p>
        </w:tc>
      </w:tr>
      <w:tr w:rsidR="00243FE1" w:rsidRPr="00306115" w14:paraId="213D3992" w14:textId="77777777" w:rsidTr="00E95B19">
        <w:tc>
          <w:tcPr>
            <w:tcW w:w="1892" w:type="dxa"/>
          </w:tcPr>
          <w:p w14:paraId="0E534199" w14:textId="77777777" w:rsidR="00243FE1" w:rsidRPr="00306115" w:rsidRDefault="00243FE1" w:rsidP="00876C82">
            <w:pPr>
              <w:pStyle w:val="BodyText"/>
              <w:numPr>
                <w:ilvl w:val="0"/>
                <w:numId w:val="0"/>
              </w:numPr>
              <w:spacing w:before="60" w:after="60"/>
              <w:jc w:val="center"/>
              <w:rPr>
                <w:color w:val="000000" w:themeColor="text1"/>
              </w:rPr>
            </w:pPr>
            <w:r w:rsidRPr="00306115">
              <w:rPr>
                <w:i/>
                <w:iCs/>
                <w:color w:val="000000" w:themeColor="text1"/>
              </w:rPr>
              <w:lastRenderedPageBreak/>
              <w:t>Marginal</w:t>
            </w:r>
            <w:r w:rsidRPr="00306115">
              <w:rPr>
                <w:color w:val="000000" w:themeColor="text1"/>
              </w:rPr>
              <w:t xml:space="preserve"> (4)</w:t>
            </w:r>
          </w:p>
        </w:tc>
        <w:tc>
          <w:tcPr>
            <w:tcW w:w="6046" w:type="dxa"/>
          </w:tcPr>
          <w:p w14:paraId="784FEAC7" w14:textId="77777777" w:rsidR="00C35222" w:rsidRPr="00306115" w:rsidRDefault="00243FE1" w:rsidP="00C35222">
            <w:pPr>
              <w:ind w:left="142" w:right="142"/>
              <w:rPr>
                <w:color w:val="000000" w:themeColor="text1"/>
                <w:szCs w:val="24"/>
              </w:rPr>
            </w:pPr>
            <w:r w:rsidRPr="00306115">
              <w:rPr>
                <w:color w:val="000000" w:themeColor="text1"/>
                <w:szCs w:val="24"/>
              </w:rPr>
              <w:t>Kualitas penerapan Manajemen Risiko untuk Risiko Pasar kurang memadai. Terdapat kelemahan signifikan pada berbagai aspek Manajemen Risiko untuk Risiko Pasar yang memerlukan perbaikan segera.</w:t>
            </w:r>
          </w:p>
          <w:p w14:paraId="77586A93" w14:textId="2CE4C2FF" w:rsidR="00243FE1" w:rsidRPr="00306115" w:rsidRDefault="00243FE1" w:rsidP="00C35222">
            <w:pPr>
              <w:ind w:left="142" w:right="142"/>
              <w:rPr>
                <w:color w:val="000000" w:themeColor="text1"/>
                <w:szCs w:val="24"/>
              </w:rPr>
            </w:pPr>
            <w:r w:rsidRPr="00306115">
              <w:rPr>
                <w:color w:val="000000" w:themeColor="text1"/>
                <w:szCs w:val="24"/>
              </w:rPr>
              <w:t xml:space="preserve">Contoh </w:t>
            </w:r>
            <w:r w:rsidR="00764ECF" w:rsidRPr="00306115">
              <w:rPr>
                <w:color w:val="000000" w:themeColor="text1"/>
                <w:szCs w:val="24"/>
              </w:rPr>
              <w:t>karakteristik/kondisi</w:t>
            </w:r>
            <w:r w:rsidRPr="00306115">
              <w:rPr>
                <w:color w:val="000000" w:themeColor="text1"/>
                <w:szCs w:val="24"/>
              </w:rPr>
              <w:t xml:space="preserve"> Manajer Investasi yang termasuk dalam peringkat </w:t>
            </w:r>
            <w:r w:rsidRPr="00306115">
              <w:rPr>
                <w:i/>
                <w:color w:val="000000" w:themeColor="text1"/>
                <w:szCs w:val="24"/>
              </w:rPr>
              <w:t xml:space="preserve">Marginal </w:t>
            </w:r>
            <w:r w:rsidRPr="00306115">
              <w:rPr>
                <w:color w:val="000000" w:themeColor="text1"/>
                <w:szCs w:val="24"/>
              </w:rPr>
              <w:t>(4) antara lain sebagai berikut:</w:t>
            </w:r>
          </w:p>
          <w:p w14:paraId="15FD790C" w14:textId="77777777" w:rsidR="00243FE1" w:rsidRPr="00306115" w:rsidRDefault="00243FE1">
            <w:pPr>
              <w:pStyle w:val="ListParagraph"/>
              <w:numPr>
                <w:ilvl w:val="0"/>
                <w:numId w:val="330"/>
              </w:numPr>
              <w:ind w:left="709" w:right="142" w:hanging="567"/>
              <w:contextualSpacing w:val="0"/>
              <w:rPr>
                <w:color w:val="000000" w:themeColor="text1"/>
                <w:szCs w:val="24"/>
              </w:rPr>
            </w:pPr>
            <w:r w:rsidRPr="00306115">
              <w:rPr>
                <w:color w:val="000000" w:themeColor="text1"/>
                <w:szCs w:val="24"/>
              </w:rPr>
              <w:t>Perumusan tingkat risiko yang akan diambil (</w:t>
            </w:r>
            <w:r w:rsidRPr="00306115">
              <w:rPr>
                <w:i/>
                <w:iCs/>
                <w:color w:val="000000" w:themeColor="text1"/>
                <w:szCs w:val="24"/>
              </w:rPr>
              <w:t>risk appetite</w:t>
            </w:r>
            <w:r w:rsidRPr="00306115">
              <w:rPr>
                <w:color w:val="000000" w:themeColor="text1"/>
                <w:szCs w:val="24"/>
              </w:rPr>
              <w:t>) dan toleransi (</w:t>
            </w:r>
            <w:r w:rsidRPr="00306115">
              <w:rPr>
                <w:i/>
                <w:iCs/>
                <w:color w:val="000000" w:themeColor="text1"/>
                <w:szCs w:val="24"/>
              </w:rPr>
              <w:t>risk tolerance</w:t>
            </w:r>
            <w:r w:rsidRPr="00306115">
              <w:rPr>
                <w:color w:val="000000" w:themeColor="text1"/>
                <w:szCs w:val="24"/>
              </w:rPr>
              <w:t>) Risiko Pasar kurang memadai serta tidak sejalan dengan strategi dan tujuan bisnis secara keseluruhan.</w:t>
            </w:r>
          </w:p>
          <w:p w14:paraId="38198DB6" w14:textId="77777777" w:rsidR="00243FE1" w:rsidRPr="00306115" w:rsidRDefault="00243FE1">
            <w:pPr>
              <w:pStyle w:val="ListParagraph"/>
              <w:numPr>
                <w:ilvl w:val="0"/>
                <w:numId w:val="330"/>
              </w:numPr>
              <w:ind w:left="709" w:right="142" w:hanging="567"/>
              <w:contextualSpacing w:val="0"/>
              <w:rPr>
                <w:color w:val="000000" w:themeColor="text1"/>
                <w:szCs w:val="24"/>
              </w:rPr>
            </w:pPr>
            <w:r w:rsidRPr="00306115">
              <w:rPr>
                <w:color w:val="000000" w:themeColor="text1"/>
                <w:szCs w:val="24"/>
              </w:rPr>
              <w:t>Kesadaran (</w:t>
            </w:r>
            <w:r w:rsidRPr="00306115">
              <w:rPr>
                <w:i/>
                <w:iCs/>
                <w:color w:val="000000" w:themeColor="text1"/>
                <w:szCs w:val="24"/>
              </w:rPr>
              <w:t>awareness</w:t>
            </w:r>
            <w:r w:rsidRPr="00306115">
              <w:rPr>
                <w:color w:val="000000" w:themeColor="text1"/>
                <w:szCs w:val="24"/>
              </w:rPr>
              <w:t>) dan pemahaman Direksi dan Dewan Komisaris rendah atau tidak memadai mengenai pelaksanaan Manajemen Risiko, terutama terkait jenis dan tingkat risiko untuk Risiko Pasar.</w:t>
            </w:r>
          </w:p>
          <w:p w14:paraId="475E5C7A" w14:textId="77777777" w:rsidR="00243FE1" w:rsidRPr="00306115" w:rsidRDefault="00243FE1">
            <w:pPr>
              <w:pStyle w:val="ListParagraph"/>
              <w:numPr>
                <w:ilvl w:val="0"/>
                <w:numId w:val="330"/>
              </w:numPr>
              <w:ind w:left="709" w:right="142" w:hanging="567"/>
              <w:contextualSpacing w:val="0"/>
              <w:rPr>
                <w:color w:val="000000" w:themeColor="text1"/>
                <w:szCs w:val="24"/>
              </w:rPr>
            </w:pPr>
            <w:r w:rsidRPr="00306115">
              <w:rPr>
                <w:color w:val="000000" w:themeColor="text1"/>
                <w:szCs w:val="24"/>
              </w:rPr>
              <w:t>Budaya Manajemen Risiko untuk Risiko Pasar kurang kuat dan belum diinternalisasikan dengan baik pada seluruh level organisasi.</w:t>
            </w:r>
          </w:p>
          <w:p w14:paraId="0A0E9A9A" w14:textId="77777777" w:rsidR="00243FE1" w:rsidRPr="00306115" w:rsidRDefault="00243FE1">
            <w:pPr>
              <w:pStyle w:val="ListParagraph"/>
              <w:numPr>
                <w:ilvl w:val="0"/>
                <w:numId w:val="330"/>
              </w:numPr>
              <w:ind w:left="709" w:right="142" w:hanging="567"/>
              <w:contextualSpacing w:val="0"/>
              <w:rPr>
                <w:color w:val="000000" w:themeColor="text1"/>
                <w:szCs w:val="24"/>
              </w:rPr>
            </w:pPr>
            <w:r w:rsidRPr="00306115">
              <w:rPr>
                <w:color w:val="000000" w:themeColor="text1"/>
                <w:szCs w:val="24"/>
              </w:rPr>
              <w:t>Pelaksanaan tugas Direksi dan Dewan Komisaris secara keseluruhan kurang memadai. Terdapat beberapa kelemahan signifikan pada beberapa aspek penilaian yang memerlukan perbaikan segera.</w:t>
            </w:r>
          </w:p>
          <w:p w14:paraId="6D4DB719" w14:textId="77777777" w:rsidR="00243FE1" w:rsidRPr="00306115" w:rsidRDefault="00243FE1">
            <w:pPr>
              <w:pStyle w:val="ListParagraph"/>
              <w:numPr>
                <w:ilvl w:val="0"/>
                <w:numId w:val="330"/>
              </w:numPr>
              <w:ind w:left="709" w:right="142" w:hanging="567"/>
              <w:contextualSpacing w:val="0"/>
              <w:rPr>
                <w:color w:val="000000" w:themeColor="text1"/>
                <w:szCs w:val="24"/>
              </w:rPr>
            </w:pPr>
            <w:r w:rsidRPr="00306115">
              <w:rPr>
                <w:color w:val="000000" w:themeColor="text1"/>
                <w:szCs w:val="24"/>
              </w:rPr>
              <w:t>Fungsi Manajemen Risiko untuk Risiko Pasar belum sepenuhnya independen. Terdapat beberapa kelemahan signifikan yang memerlukan perbaikan segera.</w:t>
            </w:r>
          </w:p>
          <w:p w14:paraId="597619EA" w14:textId="77777777" w:rsidR="00243FE1" w:rsidRPr="00306115" w:rsidRDefault="00243FE1">
            <w:pPr>
              <w:pStyle w:val="ListParagraph"/>
              <w:numPr>
                <w:ilvl w:val="0"/>
                <w:numId w:val="330"/>
              </w:numPr>
              <w:ind w:left="709" w:right="142" w:hanging="567"/>
              <w:contextualSpacing w:val="0"/>
              <w:rPr>
                <w:color w:val="000000" w:themeColor="text1"/>
                <w:szCs w:val="24"/>
              </w:rPr>
            </w:pPr>
            <w:r w:rsidRPr="00306115">
              <w:rPr>
                <w:color w:val="000000" w:themeColor="text1"/>
                <w:szCs w:val="24"/>
              </w:rPr>
              <w:t>Kerangka pedelegasian wewenang kurang memadai.</w:t>
            </w:r>
          </w:p>
          <w:p w14:paraId="22CD0C23" w14:textId="77777777" w:rsidR="00243FE1" w:rsidRPr="00306115" w:rsidRDefault="00243FE1">
            <w:pPr>
              <w:pStyle w:val="ListParagraph"/>
              <w:numPr>
                <w:ilvl w:val="0"/>
                <w:numId w:val="330"/>
              </w:numPr>
              <w:ind w:left="709" w:right="142" w:hanging="567"/>
              <w:contextualSpacing w:val="0"/>
              <w:rPr>
                <w:color w:val="000000" w:themeColor="text1"/>
                <w:szCs w:val="24"/>
              </w:rPr>
            </w:pPr>
            <w:r w:rsidRPr="00306115">
              <w:rPr>
                <w:color w:val="000000" w:themeColor="text1"/>
                <w:szCs w:val="24"/>
              </w:rPr>
              <w:t xml:space="preserve">Kebijakan dan prosedur Manajemen Risiko serta penetapan limit Risiko Pasar kurang memadai, diterapkan dengan kurang baik, dan dipahami dengan kurang </w:t>
            </w:r>
            <w:r w:rsidRPr="00306115">
              <w:rPr>
                <w:color w:val="000000" w:themeColor="text1"/>
                <w:szCs w:val="24"/>
              </w:rPr>
              <w:lastRenderedPageBreak/>
              <w:t>baik oleh pegawai, sehingga memerlukan perbaikan segera.</w:t>
            </w:r>
          </w:p>
          <w:p w14:paraId="2F57644C" w14:textId="77777777" w:rsidR="00243FE1" w:rsidRPr="00306115" w:rsidRDefault="00243FE1">
            <w:pPr>
              <w:pStyle w:val="ListParagraph"/>
              <w:numPr>
                <w:ilvl w:val="0"/>
                <w:numId w:val="330"/>
              </w:numPr>
              <w:ind w:left="709" w:right="142" w:hanging="567"/>
              <w:contextualSpacing w:val="0"/>
              <w:rPr>
                <w:color w:val="000000" w:themeColor="text1"/>
                <w:szCs w:val="24"/>
              </w:rPr>
            </w:pPr>
            <w:r w:rsidRPr="00306115">
              <w:rPr>
                <w:color w:val="000000" w:themeColor="text1"/>
                <w:szCs w:val="24"/>
              </w:rPr>
              <w:t>Strategi Manajemen Risiko untuk Risiko Pasar kurang memadai dan kurang sejalan dengan tingkat risiko yang akan diambil dan toleransi Risiko Pasar.</w:t>
            </w:r>
          </w:p>
          <w:p w14:paraId="46AF7952" w14:textId="77777777" w:rsidR="00243FE1" w:rsidRPr="00306115" w:rsidRDefault="00243FE1">
            <w:pPr>
              <w:pStyle w:val="ListParagraph"/>
              <w:numPr>
                <w:ilvl w:val="0"/>
                <w:numId w:val="330"/>
              </w:numPr>
              <w:ind w:left="709" w:right="142" w:hanging="567"/>
              <w:contextualSpacing w:val="0"/>
              <w:rPr>
                <w:color w:val="000000" w:themeColor="text1"/>
                <w:szCs w:val="24"/>
              </w:rPr>
            </w:pPr>
            <w:r w:rsidRPr="00306115">
              <w:rPr>
                <w:color w:val="000000" w:themeColor="text1"/>
                <w:szCs w:val="24"/>
              </w:rPr>
              <w:t>Proses Manajemen Risiko untuk Risiko Pasar kurang memadai dalam mengidentifikasi, mengukur, memantau, dan mengendalikan Risiko Pasar.</w:t>
            </w:r>
          </w:p>
          <w:p w14:paraId="54CE2417" w14:textId="77777777" w:rsidR="00243FE1" w:rsidRPr="00306115" w:rsidRDefault="00243FE1">
            <w:pPr>
              <w:pStyle w:val="ListParagraph"/>
              <w:numPr>
                <w:ilvl w:val="0"/>
                <w:numId w:val="330"/>
              </w:numPr>
              <w:ind w:left="709" w:right="142" w:hanging="567"/>
              <w:contextualSpacing w:val="0"/>
              <w:rPr>
                <w:color w:val="000000" w:themeColor="text1"/>
                <w:szCs w:val="24"/>
              </w:rPr>
            </w:pPr>
            <w:r w:rsidRPr="00306115">
              <w:rPr>
                <w:color w:val="000000" w:themeColor="text1"/>
                <w:szCs w:val="24"/>
              </w:rPr>
              <w:t>Sistem Informasi Manajemen Risiko untuk Risiko Pasar kurang baik dalam menghasilkan informasi dan laporan Risiko Pasar yang komprehensif.</w:t>
            </w:r>
          </w:p>
          <w:p w14:paraId="034B7661" w14:textId="3E4F291A" w:rsidR="00243FE1" w:rsidRPr="00306115" w:rsidRDefault="00243FE1">
            <w:pPr>
              <w:pStyle w:val="ListParagraph"/>
              <w:numPr>
                <w:ilvl w:val="0"/>
                <w:numId w:val="330"/>
              </w:numPr>
              <w:ind w:left="709" w:right="142" w:hanging="567"/>
              <w:contextualSpacing w:val="0"/>
              <w:rPr>
                <w:color w:val="000000" w:themeColor="text1"/>
                <w:szCs w:val="24"/>
              </w:rPr>
            </w:pPr>
            <w:r w:rsidRPr="00306115">
              <w:rPr>
                <w:color w:val="000000" w:themeColor="text1"/>
                <w:szCs w:val="24"/>
              </w:rPr>
              <w:t xml:space="preserve">Sumber daya manusia kurang memadai baik dari sisi jumlah maupun kompetensi pada fungsi </w:t>
            </w:r>
            <w:r w:rsidR="001008B5" w:rsidRPr="00306115">
              <w:rPr>
                <w:color w:val="000000" w:themeColor="text1"/>
              </w:rPr>
              <w:t>Manajemen Risiko</w:t>
            </w:r>
            <w:r w:rsidR="001008B5" w:rsidRPr="00306115">
              <w:rPr>
                <w:color w:val="000000" w:themeColor="text1"/>
                <w:szCs w:val="24"/>
              </w:rPr>
              <w:t xml:space="preserve"> </w:t>
            </w:r>
            <w:r w:rsidRPr="00306115">
              <w:rPr>
                <w:color w:val="000000" w:themeColor="text1"/>
                <w:szCs w:val="24"/>
              </w:rPr>
              <w:t>untuk Risiko Pasar.</w:t>
            </w:r>
          </w:p>
          <w:p w14:paraId="0109098F" w14:textId="77777777" w:rsidR="00243FE1" w:rsidRPr="00306115" w:rsidRDefault="00243FE1">
            <w:pPr>
              <w:pStyle w:val="ListParagraph"/>
              <w:numPr>
                <w:ilvl w:val="0"/>
                <w:numId w:val="330"/>
              </w:numPr>
              <w:ind w:left="709" w:right="142" w:hanging="567"/>
              <w:contextualSpacing w:val="0"/>
              <w:rPr>
                <w:color w:val="000000" w:themeColor="text1"/>
                <w:szCs w:val="24"/>
              </w:rPr>
            </w:pPr>
            <w:r w:rsidRPr="00306115">
              <w:rPr>
                <w:color w:val="000000" w:themeColor="text1"/>
                <w:szCs w:val="24"/>
              </w:rPr>
              <w:t>Sistem pengendalian internal kurang efektif dalam mendukung pelaksanaan Manajemen Risiko untuk Risiko Pasar.</w:t>
            </w:r>
          </w:p>
          <w:p w14:paraId="52C06DC5" w14:textId="23BC86A6" w:rsidR="00243FE1" w:rsidRPr="00306115" w:rsidRDefault="00243FE1">
            <w:pPr>
              <w:pStyle w:val="ListParagraph"/>
              <w:numPr>
                <w:ilvl w:val="0"/>
                <w:numId w:val="330"/>
              </w:numPr>
              <w:ind w:left="709" w:right="142" w:hanging="567"/>
              <w:contextualSpacing w:val="0"/>
              <w:rPr>
                <w:color w:val="000000" w:themeColor="text1"/>
                <w:szCs w:val="24"/>
              </w:rPr>
            </w:pPr>
            <w:r w:rsidRPr="00306115">
              <w:rPr>
                <w:color w:val="000000" w:themeColor="text1"/>
                <w:szCs w:val="24"/>
              </w:rPr>
              <w:t xml:space="preserve">Pelaksanaan kaji ulang oleh fungsi </w:t>
            </w:r>
            <w:r w:rsidR="001008B5" w:rsidRPr="00306115">
              <w:rPr>
                <w:color w:val="000000" w:themeColor="text1"/>
              </w:rPr>
              <w:t>Manajemen Risiko</w:t>
            </w:r>
            <w:r w:rsidR="001008B5" w:rsidRPr="00306115">
              <w:rPr>
                <w:color w:val="000000" w:themeColor="text1"/>
                <w:szCs w:val="24"/>
              </w:rPr>
              <w:t xml:space="preserve"> </w:t>
            </w:r>
            <w:r w:rsidRPr="00306115">
              <w:rPr>
                <w:color w:val="000000" w:themeColor="text1"/>
                <w:szCs w:val="24"/>
              </w:rPr>
              <w:t>dan fungsi audit internal kurang memadai. Terdapat beberapa kelemahan yang signifikan pada metodologi, frekuensi, maupun pelaporan kepada Direksi dan Dewan Komisaris yang memerlukan perbaikan segera.</w:t>
            </w:r>
          </w:p>
          <w:p w14:paraId="3B3FFF98" w14:textId="77777777" w:rsidR="00243FE1" w:rsidRPr="00306115" w:rsidRDefault="00243FE1">
            <w:pPr>
              <w:pStyle w:val="ListParagraph"/>
              <w:numPr>
                <w:ilvl w:val="0"/>
                <w:numId w:val="330"/>
              </w:numPr>
              <w:ind w:left="709" w:right="142" w:hanging="567"/>
              <w:contextualSpacing w:val="0"/>
              <w:rPr>
                <w:color w:val="000000" w:themeColor="text1"/>
                <w:szCs w:val="24"/>
              </w:rPr>
            </w:pPr>
            <w:r w:rsidRPr="00306115">
              <w:rPr>
                <w:color w:val="000000" w:themeColor="text1"/>
                <w:szCs w:val="24"/>
              </w:rPr>
              <w:t>Tindak lanjut atas kaji ulang kurang memadai.</w:t>
            </w:r>
          </w:p>
        </w:tc>
      </w:tr>
      <w:tr w:rsidR="00243FE1" w:rsidRPr="00306115" w14:paraId="27EB5F6A" w14:textId="77777777" w:rsidTr="00E95B19">
        <w:tc>
          <w:tcPr>
            <w:tcW w:w="1892" w:type="dxa"/>
          </w:tcPr>
          <w:p w14:paraId="44D6573A" w14:textId="77777777" w:rsidR="00243FE1" w:rsidRPr="00306115" w:rsidRDefault="00243FE1" w:rsidP="00876C82">
            <w:pPr>
              <w:pStyle w:val="BodyText"/>
              <w:numPr>
                <w:ilvl w:val="0"/>
                <w:numId w:val="0"/>
              </w:numPr>
              <w:spacing w:before="60" w:after="60"/>
              <w:jc w:val="center"/>
              <w:rPr>
                <w:color w:val="000000" w:themeColor="text1"/>
              </w:rPr>
            </w:pPr>
            <w:r w:rsidRPr="00306115">
              <w:rPr>
                <w:i/>
                <w:iCs/>
                <w:color w:val="000000" w:themeColor="text1"/>
              </w:rPr>
              <w:lastRenderedPageBreak/>
              <w:t>Unsatisfactory</w:t>
            </w:r>
            <w:r w:rsidRPr="00306115">
              <w:rPr>
                <w:color w:val="000000" w:themeColor="text1"/>
              </w:rPr>
              <w:t xml:space="preserve"> (5)</w:t>
            </w:r>
          </w:p>
        </w:tc>
        <w:tc>
          <w:tcPr>
            <w:tcW w:w="6046" w:type="dxa"/>
          </w:tcPr>
          <w:p w14:paraId="04C7F85B" w14:textId="77777777" w:rsidR="00667D03" w:rsidRPr="00306115" w:rsidRDefault="00243FE1" w:rsidP="00667D03">
            <w:pPr>
              <w:ind w:left="142" w:right="142"/>
              <w:rPr>
                <w:color w:val="000000" w:themeColor="text1"/>
                <w:szCs w:val="24"/>
              </w:rPr>
            </w:pPr>
            <w:r w:rsidRPr="00306115">
              <w:rPr>
                <w:color w:val="000000" w:themeColor="text1"/>
                <w:szCs w:val="24"/>
              </w:rPr>
              <w:t>Kualitas penerapan Manajemen Risiko untuk Risiko Pasar tidak memadai. Terdapat kelemahan signifikan pada berbagai aspek Manajemen Risiko untuk Risiko Pasar yang tindakan penyelesaiannya di luar kemampuan manajemen.</w:t>
            </w:r>
          </w:p>
          <w:p w14:paraId="582C6B81" w14:textId="71CE1CE5" w:rsidR="00243FE1" w:rsidRPr="00306115" w:rsidRDefault="00243FE1" w:rsidP="00667D03">
            <w:pPr>
              <w:ind w:left="142" w:right="142"/>
              <w:rPr>
                <w:color w:val="000000" w:themeColor="text1"/>
                <w:szCs w:val="24"/>
              </w:rPr>
            </w:pPr>
            <w:r w:rsidRPr="00306115">
              <w:rPr>
                <w:color w:val="000000" w:themeColor="text1"/>
                <w:szCs w:val="24"/>
              </w:rPr>
              <w:t xml:space="preserve">Contoh </w:t>
            </w:r>
            <w:r w:rsidR="00764ECF" w:rsidRPr="00306115">
              <w:rPr>
                <w:color w:val="000000" w:themeColor="text1"/>
                <w:szCs w:val="24"/>
              </w:rPr>
              <w:t>karakteristik/kondisi</w:t>
            </w:r>
            <w:r w:rsidRPr="00306115">
              <w:rPr>
                <w:color w:val="000000" w:themeColor="text1"/>
                <w:szCs w:val="24"/>
              </w:rPr>
              <w:t xml:space="preserve"> Manajer Investasi yang termasuk dalam peringkat </w:t>
            </w:r>
            <w:r w:rsidRPr="00306115">
              <w:rPr>
                <w:i/>
                <w:color w:val="000000" w:themeColor="text1"/>
                <w:szCs w:val="24"/>
              </w:rPr>
              <w:t xml:space="preserve">Unsatisfactory </w:t>
            </w:r>
            <w:r w:rsidRPr="00306115">
              <w:rPr>
                <w:color w:val="000000" w:themeColor="text1"/>
                <w:szCs w:val="24"/>
              </w:rPr>
              <w:t>(5) ini antara lain sebagai berikut:</w:t>
            </w:r>
          </w:p>
          <w:p w14:paraId="3B252049" w14:textId="77777777" w:rsidR="00243FE1" w:rsidRPr="00306115" w:rsidRDefault="00243FE1">
            <w:pPr>
              <w:pStyle w:val="ListParagraph"/>
              <w:numPr>
                <w:ilvl w:val="0"/>
                <w:numId w:val="331"/>
              </w:numPr>
              <w:ind w:left="709" w:right="142" w:hanging="567"/>
              <w:contextualSpacing w:val="0"/>
              <w:rPr>
                <w:color w:val="000000" w:themeColor="text1"/>
                <w:szCs w:val="24"/>
              </w:rPr>
            </w:pPr>
            <w:r w:rsidRPr="00306115">
              <w:rPr>
                <w:color w:val="000000" w:themeColor="text1"/>
                <w:szCs w:val="24"/>
              </w:rPr>
              <w:t>Perumusan tingkat risiko yang akan diambil (</w:t>
            </w:r>
            <w:r w:rsidRPr="00306115">
              <w:rPr>
                <w:i/>
                <w:iCs/>
                <w:color w:val="000000" w:themeColor="text1"/>
                <w:szCs w:val="24"/>
              </w:rPr>
              <w:t>risk appetite</w:t>
            </w:r>
            <w:r w:rsidRPr="00306115">
              <w:rPr>
                <w:color w:val="000000" w:themeColor="text1"/>
                <w:szCs w:val="24"/>
              </w:rPr>
              <w:t>) dan toleransi (</w:t>
            </w:r>
            <w:r w:rsidRPr="00306115">
              <w:rPr>
                <w:i/>
                <w:iCs/>
                <w:color w:val="000000" w:themeColor="text1"/>
                <w:szCs w:val="24"/>
              </w:rPr>
              <w:t>risk tolerance</w:t>
            </w:r>
            <w:r w:rsidRPr="00306115">
              <w:rPr>
                <w:color w:val="000000" w:themeColor="text1"/>
                <w:szCs w:val="24"/>
              </w:rPr>
              <w:t>) Risiko Pasar tidak memadai serta tidak terdapat kaitan dengan strategi dan tujuan bisnis secara keseluruhan.</w:t>
            </w:r>
          </w:p>
          <w:p w14:paraId="1A5463FE" w14:textId="77777777" w:rsidR="00243FE1" w:rsidRPr="00306115" w:rsidRDefault="00243FE1">
            <w:pPr>
              <w:pStyle w:val="ListParagraph"/>
              <w:numPr>
                <w:ilvl w:val="0"/>
                <w:numId w:val="331"/>
              </w:numPr>
              <w:ind w:left="709" w:right="142" w:hanging="567"/>
              <w:contextualSpacing w:val="0"/>
              <w:rPr>
                <w:color w:val="000000" w:themeColor="text1"/>
                <w:szCs w:val="24"/>
              </w:rPr>
            </w:pPr>
            <w:r w:rsidRPr="00306115">
              <w:rPr>
                <w:color w:val="000000" w:themeColor="text1"/>
                <w:szCs w:val="24"/>
              </w:rPr>
              <w:t>Kesadaran (</w:t>
            </w:r>
            <w:r w:rsidRPr="00306115">
              <w:rPr>
                <w:i/>
                <w:iCs/>
                <w:color w:val="000000" w:themeColor="text1"/>
                <w:szCs w:val="24"/>
              </w:rPr>
              <w:t>awareness</w:t>
            </w:r>
            <w:r w:rsidRPr="00306115">
              <w:rPr>
                <w:color w:val="000000" w:themeColor="text1"/>
                <w:szCs w:val="24"/>
              </w:rPr>
              <w:t>) dan pemahaman Direksi dan Dewan Komisaris sangat rendah atau sangat tidak memadai mengenai pelaksanaan Manajemen Risiko, terutama terkait jenis dan tingkat risiko untuk Risiko Pasar.</w:t>
            </w:r>
          </w:p>
          <w:p w14:paraId="328CC816" w14:textId="77777777" w:rsidR="00243FE1" w:rsidRPr="00306115" w:rsidRDefault="00243FE1">
            <w:pPr>
              <w:pStyle w:val="ListParagraph"/>
              <w:numPr>
                <w:ilvl w:val="0"/>
                <w:numId w:val="331"/>
              </w:numPr>
              <w:ind w:left="709" w:right="142" w:hanging="567"/>
              <w:contextualSpacing w:val="0"/>
              <w:rPr>
                <w:color w:val="000000" w:themeColor="text1"/>
                <w:szCs w:val="24"/>
              </w:rPr>
            </w:pPr>
            <w:r w:rsidRPr="00306115">
              <w:rPr>
                <w:color w:val="000000" w:themeColor="text1"/>
                <w:szCs w:val="24"/>
              </w:rPr>
              <w:t>Budaya Manajemen Risiko untuk Risiko Pasar tidak kuat atau belum ada sama sekali.</w:t>
            </w:r>
          </w:p>
          <w:p w14:paraId="5DE4D266" w14:textId="77777777" w:rsidR="00243FE1" w:rsidRPr="00306115" w:rsidRDefault="00243FE1">
            <w:pPr>
              <w:pStyle w:val="ListParagraph"/>
              <w:numPr>
                <w:ilvl w:val="0"/>
                <w:numId w:val="331"/>
              </w:numPr>
              <w:ind w:left="709" w:right="142" w:hanging="567"/>
              <w:contextualSpacing w:val="0"/>
              <w:rPr>
                <w:color w:val="000000" w:themeColor="text1"/>
                <w:szCs w:val="24"/>
              </w:rPr>
            </w:pPr>
            <w:r w:rsidRPr="00306115">
              <w:rPr>
                <w:color w:val="000000" w:themeColor="text1"/>
                <w:szCs w:val="24"/>
              </w:rPr>
              <w:lastRenderedPageBreak/>
              <w:t>Pelaksanaan tugas Direksi dan Dewan Komisaris secara keseluruhan tidak memadai. Terdapat beberapa kelemahan yang signifikan pada hampir seluruh aspek penilaian yang tindakan penyelesaiannya di luar kemampuan manajemen.</w:t>
            </w:r>
          </w:p>
          <w:p w14:paraId="2E688E2A" w14:textId="77777777" w:rsidR="00243FE1" w:rsidRPr="00306115" w:rsidRDefault="00243FE1">
            <w:pPr>
              <w:pStyle w:val="ListParagraph"/>
              <w:numPr>
                <w:ilvl w:val="0"/>
                <w:numId w:val="331"/>
              </w:numPr>
              <w:ind w:left="709" w:right="142" w:hanging="567"/>
              <w:contextualSpacing w:val="0"/>
              <w:rPr>
                <w:color w:val="000000" w:themeColor="text1"/>
                <w:szCs w:val="24"/>
              </w:rPr>
            </w:pPr>
            <w:r w:rsidRPr="00306115">
              <w:rPr>
                <w:color w:val="000000" w:themeColor="text1"/>
                <w:szCs w:val="24"/>
              </w:rPr>
              <w:t>Fungsi Manajemen Risiko untuk Risiko Pasar tidak independen, serta terdapat kelemahan signifikan yang memerlukan perbaikan fundamental.</w:t>
            </w:r>
          </w:p>
          <w:p w14:paraId="7C22A570" w14:textId="77777777" w:rsidR="00243FE1" w:rsidRPr="00306115" w:rsidRDefault="00243FE1">
            <w:pPr>
              <w:pStyle w:val="ListParagraph"/>
              <w:numPr>
                <w:ilvl w:val="0"/>
                <w:numId w:val="331"/>
              </w:numPr>
              <w:ind w:left="709" w:right="142" w:hanging="567"/>
              <w:contextualSpacing w:val="0"/>
              <w:rPr>
                <w:color w:val="000000" w:themeColor="text1"/>
                <w:szCs w:val="24"/>
              </w:rPr>
            </w:pPr>
            <w:r w:rsidRPr="00306115">
              <w:rPr>
                <w:color w:val="000000" w:themeColor="text1"/>
                <w:szCs w:val="24"/>
              </w:rPr>
              <w:t>Kerangka pedelegasian wewenang tidak memadai.</w:t>
            </w:r>
          </w:p>
          <w:p w14:paraId="5831C521" w14:textId="77777777" w:rsidR="00243FE1" w:rsidRPr="00306115" w:rsidRDefault="00243FE1">
            <w:pPr>
              <w:pStyle w:val="ListParagraph"/>
              <w:numPr>
                <w:ilvl w:val="0"/>
                <w:numId w:val="331"/>
              </w:numPr>
              <w:ind w:left="709" w:right="142" w:hanging="567"/>
              <w:contextualSpacing w:val="0"/>
              <w:rPr>
                <w:color w:val="000000" w:themeColor="text1"/>
                <w:szCs w:val="24"/>
              </w:rPr>
            </w:pPr>
            <w:r w:rsidRPr="00306115">
              <w:rPr>
                <w:color w:val="000000" w:themeColor="text1"/>
                <w:szCs w:val="24"/>
              </w:rPr>
              <w:t>Kebijakan dan prosedur Manajemen Risiko serta penetapan limit Risiko Pasar tidak memadai, tidak diterapkan, dan tidak dipahami oleh pegawai, sehingga memerlukan perbaikan fundamental.</w:t>
            </w:r>
          </w:p>
          <w:p w14:paraId="08645E2E" w14:textId="77777777" w:rsidR="00243FE1" w:rsidRPr="00306115" w:rsidRDefault="00243FE1">
            <w:pPr>
              <w:pStyle w:val="ListParagraph"/>
              <w:numPr>
                <w:ilvl w:val="0"/>
                <w:numId w:val="331"/>
              </w:numPr>
              <w:ind w:left="709" w:right="142" w:hanging="567"/>
              <w:contextualSpacing w:val="0"/>
              <w:rPr>
                <w:color w:val="000000" w:themeColor="text1"/>
                <w:szCs w:val="24"/>
              </w:rPr>
            </w:pPr>
            <w:r w:rsidRPr="00306115">
              <w:rPr>
                <w:color w:val="000000" w:themeColor="text1"/>
                <w:szCs w:val="24"/>
              </w:rPr>
              <w:t>Strategi Manajemen Risiko untuk Risiko Pasar tidak memadai dan tidak sejalan dengan tingkat risiko yang akan diambil dan toleransi Risiko Pasar.</w:t>
            </w:r>
          </w:p>
          <w:p w14:paraId="0D7DC05D" w14:textId="77777777" w:rsidR="00243FE1" w:rsidRPr="00306115" w:rsidRDefault="00243FE1">
            <w:pPr>
              <w:pStyle w:val="ListParagraph"/>
              <w:numPr>
                <w:ilvl w:val="0"/>
                <w:numId w:val="331"/>
              </w:numPr>
              <w:ind w:left="709" w:right="142" w:hanging="567"/>
              <w:contextualSpacing w:val="0"/>
              <w:rPr>
                <w:color w:val="000000" w:themeColor="text1"/>
                <w:szCs w:val="24"/>
              </w:rPr>
            </w:pPr>
            <w:r w:rsidRPr="00306115">
              <w:rPr>
                <w:color w:val="000000" w:themeColor="text1"/>
                <w:szCs w:val="24"/>
              </w:rPr>
              <w:t>Proses Manajemen Risiko untuk Risiko Pasar tidak memadai dalam mengidentifikasi, mengukur, memantau, dan mengendalikan Risiko Pasar.</w:t>
            </w:r>
          </w:p>
          <w:p w14:paraId="2C49655C" w14:textId="77777777" w:rsidR="00243FE1" w:rsidRPr="00306115" w:rsidRDefault="00243FE1">
            <w:pPr>
              <w:pStyle w:val="ListParagraph"/>
              <w:numPr>
                <w:ilvl w:val="0"/>
                <w:numId w:val="331"/>
              </w:numPr>
              <w:ind w:left="709" w:right="142" w:hanging="567"/>
              <w:contextualSpacing w:val="0"/>
              <w:rPr>
                <w:color w:val="000000" w:themeColor="text1"/>
                <w:szCs w:val="24"/>
              </w:rPr>
            </w:pPr>
            <w:r w:rsidRPr="00306115">
              <w:rPr>
                <w:color w:val="000000" w:themeColor="text1"/>
                <w:szCs w:val="24"/>
              </w:rPr>
              <w:t>Sistem Informasi Manajemen Risiko untuk Risiko Pasar tidak dapat menghasilkan informasi dan laporan Risiko Pasar yang komprehensif.</w:t>
            </w:r>
          </w:p>
          <w:p w14:paraId="16C24F65" w14:textId="67ABB217" w:rsidR="00243FE1" w:rsidRPr="00306115" w:rsidRDefault="00243FE1">
            <w:pPr>
              <w:pStyle w:val="ListParagraph"/>
              <w:numPr>
                <w:ilvl w:val="0"/>
                <w:numId w:val="331"/>
              </w:numPr>
              <w:ind w:left="709" w:right="142" w:hanging="567"/>
              <w:contextualSpacing w:val="0"/>
              <w:rPr>
                <w:color w:val="000000" w:themeColor="text1"/>
                <w:szCs w:val="24"/>
              </w:rPr>
            </w:pPr>
            <w:r w:rsidRPr="00306115">
              <w:rPr>
                <w:color w:val="000000" w:themeColor="text1"/>
                <w:szCs w:val="24"/>
              </w:rPr>
              <w:t xml:space="preserve">Sumber daya manusia tidak memadai baik dari sisi jumlah maupun kompetensi pada fungsi </w:t>
            </w:r>
            <w:r w:rsidR="001008B5" w:rsidRPr="00306115">
              <w:rPr>
                <w:color w:val="000000" w:themeColor="text1"/>
              </w:rPr>
              <w:t>Manajemen Risiko</w:t>
            </w:r>
            <w:r w:rsidR="001008B5" w:rsidRPr="00306115">
              <w:rPr>
                <w:color w:val="000000" w:themeColor="text1"/>
                <w:szCs w:val="24"/>
              </w:rPr>
              <w:t xml:space="preserve"> </w:t>
            </w:r>
            <w:r w:rsidRPr="00306115">
              <w:rPr>
                <w:color w:val="000000" w:themeColor="text1"/>
                <w:szCs w:val="24"/>
              </w:rPr>
              <w:t>untuk Risiko Pasar.</w:t>
            </w:r>
          </w:p>
          <w:p w14:paraId="376C886B" w14:textId="77777777" w:rsidR="00243FE1" w:rsidRPr="00306115" w:rsidRDefault="00243FE1">
            <w:pPr>
              <w:pStyle w:val="ListParagraph"/>
              <w:numPr>
                <w:ilvl w:val="0"/>
                <w:numId w:val="331"/>
              </w:numPr>
              <w:ind w:left="709" w:right="142" w:hanging="567"/>
              <w:contextualSpacing w:val="0"/>
              <w:rPr>
                <w:color w:val="000000" w:themeColor="text1"/>
                <w:szCs w:val="24"/>
              </w:rPr>
            </w:pPr>
            <w:r w:rsidRPr="00306115">
              <w:rPr>
                <w:color w:val="000000" w:themeColor="text1"/>
                <w:szCs w:val="24"/>
              </w:rPr>
              <w:t>Sistem pengendalian internal tidak efektif dalam mendukung pelaksanaan Manajemen Risiko untuk Risiko Pasar.</w:t>
            </w:r>
          </w:p>
          <w:p w14:paraId="59BA4996" w14:textId="7FB482F2" w:rsidR="00243FE1" w:rsidRPr="00306115" w:rsidRDefault="00243FE1">
            <w:pPr>
              <w:pStyle w:val="ListParagraph"/>
              <w:numPr>
                <w:ilvl w:val="0"/>
                <w:numId w:val="331"/>
              </w:numPr>
              <w:ind w:left="709" w:right="142" w:hanging="567"/>
              <w:contextualSpacing w:val="0"/>
              <w:rPr>
                <w:color w:val="000000" w:themeColor="text1"/>
                <w:szCs w:val="24"/>
              </w:rPr>
            </w:pPr>
            <w:r w:rsidRPr="00306115">
              <w:rPr>
                <w:color w:val="000000" w:themeColor="text1"/>
                <w:szCs w:val="24"/>
              </w:rPr>
              <w:t xml:space="preserve">Pelaksanaan kaji ulang oleh fungsi </w:t>
            </w:r>
            <w:r w:rsidR="001008B5" w:rsidRPr="00306115">
              <w:rPr>
                <w:color w:val="000000" w:themeColor="text1"/>
              </w:rPr>
              <w:t>Manajemen Risiko</w:t>
            </w:r>
            <w:r w:rsidR="001008B5" w:rsidRPr="00306115">
              <w:rPr>
                <w:color w:val="000000" w:themeColor="text1"/>
                <w:szCs w:val="24"/>
              </w:rPr>
              <w:t xml:space="preserve"> </w:t>
            </w:r>
            <w:r w:rsidRPr="00306115">
              <w:rPr>
                <w:color w:val="000000" w:themeColor="text1"/>
                <w:szCs w:val="24"/>
              </w:rPr>
              <w:t>dan fungsi audit internal tidak memadai. Terdapat kelemahan yang signifikan pada metodologi, frekuensi, maupun pelaporan kepada Direksi dan Dewan Komisaris yang memerlukan perbaikan fundamental.</w:t>
            </w:r>
          </w:p>
          <w:p w14:paraId="5AA5DBBA" w14:textId="77777777" w:rsidR="00243FE1" w:rsidRPr="00306115" w:rsidRDefault="00243FE1">
            <w:pPr>
              <w:pStyle w:val="ListParagraph"/>
              <w:numPr>
                <w:ilvl w:val="0"/>
                <w:numId w:val="331"/>
              </w:numPr>
              <w:ind w:left="709" w:right="142" w:hanging="567"/>
              <w:contextualSpacing w:val="0"/>
              <w:rPr>
                <w:color w:val="000000" w:themeColor="text1"/>
                <w:szCs w:val="24"/>
              </w:rPr>
            </w:pPr>
            <w:r w:rsidRPr="00306115">
              <w:rPr>
                <w:color w:val="000000" w:themeColor="text1"/>
                <w:szCs w:val="24"/>
              </w:rPr>
              <w:t>Tindak lanjut atas kaji ulang tidak memadai atau tidak ada.</w:t>
            </w:r>
          </w:p>
        </w:tc>
      </w:tr>
    </w:tbl>
    <w:p w14:paraId="2103BF55" w14:textId="77777777" w:rsidR="00243FE1" w:rsidRPr="00306115" w:rsidRDefault="00243FE1" w:rsidP="00243FE1">
      <w:pPr>
        <w:pStyle w:val="HeadingAwalDaftarIsiLampiran"/>
        <w:numPr>
          <w:ilvl w:val="0"/>
          <w:numId w:val="0"/>
        </w:numPr>
        <w:ind w:left="1134"/>
      </w:pPr>
    </w:p>
    <w:p w14:paraId="4E52EACB" w14:textId="6600B7BF" w:rsidR="00F71BB9" w:rsidRPr="00306115" w:rsidRDefault="001F762D">
      <w:pPr>
        <w:pStyle w:val="HeadingAwalDaftarIsiLampiran"/>
        <w:numPr>
          <w:ilvl w:val="3"/>
          <w:numId w:val="295"/>
        </w:numPr>
        <w:ind w:left="567" w:hanging="567"/>
      </w:pPr>
      <w:r w:rsidRPr="00306115">
        <w:t>Risiko Likuiditas Produk Investasi</w:t>
      </w:r>
    </w:p>
    <w:p w14:paraId="487A66E9" w14:textId="77777777" w:rsidR="00451E35" w:rsidRPr="00306115" w:rsidRDefault="00451E35">
      <w:pPr>
        <w:pStyle w:val="HeadingAwalDaftarIsiLampiran"/>
        <w:numPr>
          <w:ilvl w:val="4"/>
          <w:numId w:val="295"/>
        </w:numPr>
        <w:ind w:left="1134" w:hanging="567"/>
      </w:pPr>
      <w:r w:rsidRPr="00306115">
        <w:t>Matriks Penetapan Tingkat Risiko Inheren</w:t>
      </w:r>
    </w:p>
    <w:tbl>
      <w:tblPr>
        <w:tblW w:w="8222"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04"/>
        <w:gridCol w:w="6318"/>
      </w:tblGrid>
      <w:tr w:rsidR="00474EE3" w:rsidRPr="00306115" w14:paraId="1DF76561" w14:textId="77777777" w:rsidTr="00A54AB7">
        <w:trPr>
          <w:trHeight w:val="606"/>
          <w:tblHeader/>
        </w:trPr>
        <w:tc>
          <w:tcPr>
            <w:tcW w:w="1904" w:type="dxa"/>
            <w:shd w:val="clear" w:color="auto" w:fill="D9D9D9"/>
          </w:tcPr>
          <w:p w14:paraId="68547FE8" w14:textId="77777777" w:rsidR="00474EE3" w:rsidRPr="00306115" w:rsidRDefault="00474EE3" w:rsidP="00A54AB7">
            <w:pPr>
              <w:pStyle w:val="TableParagraph"/>
              <w:spacing w:before="60" w:after="60"/>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lastRenderedPageBreak/>
              <w:t>Peringkat</w:t>
            </w:r>
          </w:p>
        </w:tc>
        <w:tc>
          <w:tcPr>
            <w:tcW w:w="6318" w:type="dxa"/>
            <w:shd w:val="clear" w:color="auto" w:fill="D9D9D9"/>
          </w:tcPr>
          <w:p w14:paraId="0CBBDC19" w14:textId="77777777" w:rsidR="00474EE3" w:rsidRPr="00306115" w:rsidRDefault="00474EE3" w:rsidP="00876AA7">
            <w:pPr>
              <w:pStyle w:val="TableParagraph"/>
              <w:spacing w:before="60" w:after="60"/>
              <w:ind w:left="142" w:right="142"/>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Definisi Peringkat</w:t>
            </w:r>
          </w:p>
        </w:tc>
      </w:tr>
      <w:tr w:rsidR="00474EE3" w:rsidRPr="00306115" w14:paraId="1488F624" w14:textId="77777777" w:rsidTr="00A54AB7">
        <w:trPr>
          <w:trHeight w:val="3039"/>
        </w:trPr>
        <w:tc>
          <w:tcPr>
            <w:tcW w:w="1904" w:type="dxa"/>
          </w:tcPr>
          <w:p w14:paraId="36F8F9DA" w14:textId="77777777" w:rsidR="00474EE3" w:rsidRPr="00306115" w:rsidRDefault="00474EE3" w:rsidP="00053DF2">
            <w:pPr>
              <w:pStyle w:val="TableParagraph"/>
              <w:spacing w:before="120" w:after="120" w:line="276" w:lineRule="auto"/>
              <w:ind w:left="81" w:right="74"/>
              <w:contextualSpacing/>
              <w:jc w:val="center"/>
              <w:rPr>
                <w:rFonts w:ascii="Bookman Old Style" w:hAnsi="Bookman Old Style"/>
                <w:color w:val="000000" w:themeColor="text1"/>
                <w:sz w:val="24"/>
                <w:szCs w:val="24"/>
              </w:rPr>
            </w:pPr>
            <w:r w:rsidRPr="00306115">
              <w:rPr>
                <w:rFonts w:ascii="Bookman Old Style" w:hAnsi="Bookman Old Style"/>
                <w:i/>
                <w:color w:val="000000" w:themeColor="text1"/>
                <w:sz w:val="24"/>
                <w:szCs w:val="24"/>
              </w:rPr>
              <w:t xml:space="preserve">Low </w:t>
            </w:r>
            <w:r w:rsidRPr="00306115">
              <w:rPr>
                <w:rFonts w:ascii="Bookman Old Style" w:hAnsi="Bookman Old Style"/>
                <w:color w:val="000000" w:themeColor="text1"/>
                <w:sz w:val="24"/>
                <w:szCs w:val="24"/>
              </w:rPr>
              <w:t>(1)</w:t>
            </w:r>
          </w:p>
        </w:tc>
        <w:tc>
          <w:tcPr>
            <w:tcW w:w="6318" w:type="dxa"/>
          </w:tcPr>
          <w:p w14:paraId="08960235" w14:textId="77777777" w:rsidR="00474EE3" w:rsidRPr="00306115" w:rsidRDefault="00474EE3" w:rsidP="00876AA7">
            <w:pPr>
              <w:pStyle w:val="ListParagraph"/>
              <w:spacing w:after="0" w:line="240" w:lineRule="auto"/>
              <w:ind w:left="142" w:right="142"/>
              <w:contextualSpacing w:val="0"/>
              <w:rPr>
                <w:color w:val="000000" w:themeColor="text1"/>
                <w:szCs w:val="24"/>
              </w:rPr>
            </w:pPr>
            <w:r w:rsidRPr="00306115">
              <w:rPr>
                <w:color w:val="000000" w:themeColor="text1"/>
                <w:szCs w:val="24"/>
              </w:rPr>
              <w:t>Dengan mempertimbangkan karakteristik Produk Investasi, kemungkinan timbulnya dampak paparan dari Risiko Likuiditas Produk Investasi tergolong sangat rendah selama periode waktu tertentu pada masa datang.</w:t>
            </w:r>
          </w:p>
          <w:p w14:paraId="7DDF4ED7" w14:textId="77777777" w:rsidR="00474EE3" w:rsidRPr="00306115" w:rsidRDefault="00474EE3" w:rsidP="00876AA7">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Contoh kondisi yang menunjukkan Risiko Likuiditas Produk Investasi termasuk dalam peringkat </w:t>
            </w:r>
            <w:r w:rsidRPr="00306115">
              <w:rPr>
                <w:i/>
                <w:iCs/>
                <w:color w:val="000000" w:themeColor="text1"/>
                <w:szCs w:val="24"/>
              </w:rPr>
              <w:t>Low</w:t>
            </w:r>
            <w:r w:rsidRPr="00306115">
              <w:rPr>
                <w:color w:val="000000" w:themeColor="text1"/>
                <w:szCs w:val="24"/>
              </w:rPr>
              <w:t xml:space="preserve"> (1) antara lain sebagai berikut:</w:t>
            </w:r>
          </w:p>
          <w:p w14:paraId="2A9F32D6" w14:textId="605854F7" w:rsidR="00EC5A1F" w:rsidRPr="00306115" w:rsidRDefault="00F151ED">
            <w:pPr>
              <w:pStyle w:val="ListParagraph"/>
              <w:numPr>
                <w:ilvl w:val="1"/>
                <w:numId w:val="336"/>
              </w:numPr>
              <w:spacing w:after="0" w:line="240" w:lineRule="auto"/>
              <w:ind w:left="709" w:right="142" w:hanging="567"/>
              <w:contextualSpacing w:val="0"/>
              <w:rPr>
                <w:strike/>
                <w:color w:val="000000" w:themeColor="text1"/>
                <w:szCs w:val="24"/>
              </w:rPr>
            </w:pPr>
            <w:r w:rsidRPr="00306115">
              <w:rPr>
                <w:color w:val="000000" w:themeColor="text1"/>
                <w:szCs w:val="24"/>
              </w:rPr>
              <w:t>Rata-rata jumlah hari bursa yang diperlukan untuk melikuidasi Efek dalam portofolio sangat rendah.</w:t>
            </w:r>
          </w:p>
          <w:p w14:paraId="6BADE139" w14:textId="53AB9376" w:rsidR="00F151ED" w:rsidRPr="00306115" w:rsidRDefault="009D5114">
            <w:pPr>
              <w:pStyle w:val="ListParagraph"/>
              <w:numPr>
                <w:ilvl w:val="1"/>
                <w:numId w:val="336"/>
              </w:numPr>
              <w:spacing w:after="0" w:line="240" w:lineRule="auto"/>
              <w:ind w:left="709" w:right="142" w:hanging="567"/>
              <w:contextualSpacing w:val="0"/>
              <w:rPr>
                <w:strike/>
                <w:color w:val="000000" w:themeColor="text1"/>
                <w:szCs w:val="24"/>
              </w:rPr>
            </w:pPr>
            <w:r w:rsidRPr="00306115">
              <w:rPr>
                <w:color w:val="000000" w:themeColor="text1"/>
                <w:szCs w:val="24"/>
              </w:rPr>
              <w:t xml:space="preserve">Historis </w:t>
            </w:r>
            <w:r w:rsidRPr="00306115">
              <w:rPr>
                <w:i/>
                <w:iCs/>
                <w:color w:val="000000" w:themeColor="text1"/>
                <w:szCs w:val="24"/>
              </w:rPr>
              <w:t xml:space="preserve">net </w:t>
            </w:r>
            <w:r w:rsidR="00BA040B" w:rsidRPr="00306115">
              <w:rPr>
                <w:i/>
                <w:iCs/>
                <w:color w:val="000000" w:themeColor="text1"/>
                <w:szCs w:val="24"/>
              </w:rPr>
              <w:t>redemptions</w:t>
            </w:r>
            <w:r w:rsidRPr="00306115">
              <w:rPr>
                <w:color w:val="000000" w:themeColor="text1"/>
                <w:szCs w:val="24"/>
              </w:rPr>
              <w:t xml:space="preserve"> termasuk </w:t>
            </w:r>
            <w:r w:rsidRPr="00306115">
              <w:rPr>
                <w:i/>
                <w:iCs/>
                <w:color w:val="000000" w:themeColor="text1"/>
                <w:szCs w:val="24"/>
              </w:rPr>
              <w:t>switching</w:t>
            </w:r>
            <w:r w:rsidRPr="00306115">
              <w:rPr>
                <w:color w:val="000000" w:themeColor="text1"/>
                <w:szCs w:val="24"/>
              </w:rPr>
              <w:t xml:space="preserve"> terhadap rata-rata Nilai Aktiva Bersih (NAB) sangat rendah.</w:t>
            </w:r>
          </w:p>
          <w:p w14:paraId="6C3795EF" w14:textId="107BAA0A" w:rsidR="009D5114" w:rsidRPr="00306115" w:rsidRDefault="00221F84">
            <w:pPr>
              <w:pStyle w:val="ListParagraph"/>
              <w:numPr>
                <w:ilvl w:val="1"/>
                <w:numId w:val="336"/>
              </w:numPr>
              <w:spacing w:after="0" w:line="240" w:lineRule="auto"/>
              <w:ind w:left="709" w:right="142" w:hanging="567"/>
              <w:contextualSpacing w:val="0"/>
              <w:rPr>
                <w:strike/>
                <w:color w:val="000000" w:themeColor="text1"/>
                <w:szCs w:val="24"/>
              </w:rPr>
            </w:pPr>
            <w:r w:rsidRPr="00306115">
              <w:rPr>
                <w:color w:val="000000" w:themeColor="text1"/>
                <w:szCs w:val="24"/>
                <w:lang w:val="en-GB"/>
              </w:rPr>
              <w:t>Rata-Rata Harian</w:t>
            </w:r>
            <w:r w:rsidRPr="00306115">
              <w:rPr>
                <w:i/>
                <w:iCs/>
                <w:color w:val="000000" w:themeColor="text1"/>
                <w:szCs w:val="24"/>
                <w:lang w:val="en-GB"/>
              </w:rPr>
              <w:t xml:space="preserve"> </w:t>
            </w:r>
            <w:r w:rsidR="00BA040B" w:rsidRPr="00306115">
              <w:rPr>
                <w:i/>
                <w:iCs/>
                <w:color w:val="000000" w:themeColor="text1"/>
                <w:szCs w:val="24"/>
                <w:lang w:val="en-GB"/>
              </w:rPr>
              <w:t>Haircut</w:t>
            </w:r>
            <w:r w:rsidRPr="00306115">
              <w:rPr>
                <w:color w:val="000000" w:themeColor="text1"/>
                <w:szCs w:val="24"/>
                <w:lang w:val="en-GB"/>
              </w:rPr>
              <w:t xml:space="preserve"> nilai kepemilikan portfolio sangat rendah.</w:t>
            </w:r>
          </w:p>
          <w:p w14:paraId="277DDCDE" w14:textId="77777777" w:rsidR="00474EE3" w:rsidRPr="00306115" w:rsidRDefault="00474EE3">
            <w:pPr>
              <w:pStyle w:val="ListParagraph"/>
              <w:numPr>
                <w:ilvl w:val="1"/>
                <w:numId w:val="336"/>
              </w:numPr>
              <w:spacing w:after="0" w:line="240" w:lineRule="auto"/>
              <w:ind w:left="709" w:right="142" w:hanging="567"/>
              <w:contextualSpacing w:val="0"/>
              <w:rPr>
                <w:color w:val="000000" w:themeColor="text1"/>
                <w:szCs w:val="24"/>
              </w:rPr>
            </w:pPr>
            <w:r w:rsidRPr="00306115">
              <w:rPr>
                <w:color w:val="000000" w:themeColor="text1"/>
                <w:szCs w:val="24"/>
              </w:rPr>
              <w:t>Rata-rata komposisi instrumen likuid pada Reksa Dana Pasar Uang sangat tinggi.</w:t>
            </w:r>
          </w:p>
          <w:p w14:paraId="228EFCB4" w14:textId="483B7CBC" w:rsidR="00474EE3" w:rsidRPr="00306115" w:rsidRDefault="00474EE3">
            <w:pPr>
              <w:pStyle w:val="ListParagraph"/>
              <w:numPr>
                <w:ilvl w:val="1"/>
                <w:numId w:val="336"/>
              </w:numPr>
              <w:spacing w:after="0" w:line="240" w:lineRule="auto"/>
              <w:ind w:left="709" w:right="142" w:hanging="567"/>
              <w:contextualSpacing w:val="0"/>
              <w:rPr>
                <w:color w:val="000000" w:themeColor="text1"/>
                <w:szCs w:val="24"/>
              </w:rPr>
            </w:pPr>
            <w:r w:rsidRPr="00306115">
              <w:rPr>
                <w:color w:val="000000" w:themeColor="text1"/>
                <w:szCs w:val="24"/>
              </w:rPr>
              <w:t xml:space="preserve">Rata-rata </w:t>
            </w:r>
            <w:r w:rsidR="00A33C3B" w:rsidRPr="00306115">
              <w:rPr>
                <w:i/>
                <w:iCs/>
                <w:color w:val="000000" w:themeColor="text1"/>
                <w:szCs w:val="24"/>
              </w:rPr>
              <w:t>redemption</w:t>
            </w:r>
            <w:r w:rsidRPr="00306115">
              <w:rPr>
                <w:color w:val="000000" w:themeColor="text1"/>
                <w:szCs w:val="24"/>
              </w:rPr>
              <w:t xml:space="preserve"> harian terhadap nilai aktiva bersih seluruh produk memiliki signifikansi yang sangat rendah</w:t>
            </w:r>
            <w:r w:rsidR="006624D7" w:rsidRPr="00306115">
              <w:rPr>
                <w:color w:val="000000" w:themeColor="text1"/>
                <w:szCs w:val="24"/>
              </w:rPr>
              <w:t>.</w:t>
            </w:r>
          </w:p>
          <w:p w14:paraId="628146E0" w14:textId="28F268A3" w:rsidR="00474EE3" w:rsidRPr="00306115" w:rsidRDefault="00474EE3">
            <w:pPr>
              <w:pStyle w:val="ListParagraph"/>
              <w:numPr>
                <w:ilvl w:val="1"/>
                <w:numId w:val="336"/>
              </w:numPr>
              <w:spacing w:after="0" w:line="240" w:lineRule="auto"/>
              <w:ind w:left="709" w:right="142" w:hanging="567"/>
              <w:contextualSpacing w:val="0"/>
              <w:rPr>
                <w:color w:val="000000" w:themeColor="text1"/>
                <w:szCs w:val="24"/>
              </w:rPr>
            </w:pPr>
            <w:r w:rsidRPr="00306115">
              <w:rPr>
                <w:color w:val="000000" w:themeColor="text1"/>
                <w:szCs w:val="24"/>
              </w:rPr>
              <w:t xml:space="preserve">Manajer Investasi sangat mampu memenuhi kewajiban dan kebutuhan </w:t>
            </w:r>
            <w:r w:rsidR="00A33C3B" w:rsidRPr="00306115">
              <w:rPr>
                <w:i/>
                <w:iCs/>
                <w:color w:val="000000" w:themeColor="text1"/>
                <w:szCs w:val="24"/>
              </w:rPr>
              <w:t>redemption</w:t>
            </w:r>
            <w:r w:rsidRPr="00306115">
              <w:rPr>
                <w:color w:val="000000" w:themeColor="text1"/>
                <w:szCs w:val="24"/>
              </w:rPr>
              <w:t xml:space="preserve"> dan/atau arus kas pada kondisi normal maupun pada skenario krisis.</w:t>
            </w:r>
          </w:p>
        </w:tc>
      </w:tr>
      <w:tr w:rsidR="00474EE3" w:rsidRPr="00306115" w14:paraId="1407CBC5" w14:textId="77777777" w:rsidTr="00A54AB7">
        <w:trPr>
          <w:trHeight w:val="45"/>
        </w:trPr>
        <w:tc>
          <w:tcPr>
            <w:tcW w:w="1904" w:type="dxa"/>
          </w:tcPr>
          <w:p w14:paraId="655772BB" w14:textId="77777777" w:rsidR="00474EE3" w:rsidRPr="00306115" w:rsidRDefault="00474EE3" w:rsidP="00053DF2">
            <w:pPr>
              <w:pStyle w:val="TableParagraph"/>
              <w:spacing w:before="120" w:after="120" w:line="276" w:lineRule="auto"/>
              <w:ind w:left="81" w:right="72"/>
              <w:contextualSpacing/>
              <w:jc w:val="center"/>
              <w:rPr>
                <w:rFonts w:ascii="Bookman Old Style" w:hAnsi="Bookman Old Style"/>
                <w:color w:val="000000" w:themeColor="text1"/>
                <w:sz w:val="24"/>
                <w:szCs w:val="24"/>
              </w:rPr>
            </w:pPr>
            <w:r w:rsidRPr="00306115">
              <w:rPr>
                <w:rFonts w:ascii="Bookman Old Style" w:hAnsi="Bookman Old Style"/>
                <w:i/>
                <w:color w:val="000000" w:themeColor="text1"/>
                <w:sz w:val="24"/>
                <w:szCs w:val="24"/>
              </w:rPr>
              <w:t xml:space="preserve">Low to Moderate </w:t>
            </w:r>
            <w:r w:rsidRPr="00306115">
              <w:rPr>
                <w:rFonts w:ascii="Bookman Old Style" w:hAnsi="Bookman Old Style"/>
                <w:color w:val="000000" w:themeColor="text1"/>
                <w:sz w:val="24"/>
                <w:szCs w:val="24"/>
              </w:rPr>
              <w:t>(2)</w:t>
            </w:r>
          </w:p>
        </w:tc>
        <w:tc>
          <w:tcPr>
            <w:tcW w:w="6318" w:type="dxa"/>
          </w:tcPr>
          <w:p w14:paraId="66D95DDA" w14:textId="77777777" w:rsidR="00474EE3" w:rsidRPr="00306115" w:rsidRDefault="00474EE3" w:rsidP="00876AA7">
            <w:pPr>
              <w:pStyle w:val="ListParagraph"/>
              <w:spacing w:after="0" w:line="240" w:lineRule="auto"/>
              <w:ind w:left="142" w:right="142"/>
              <w:contextualSpacing w:val="0"/>
              <w:rPr>
                <w:color w:val="000000" w:themeColor="text1"/>
                <w:szCs w:val="24"/>
              </w:rPr>
            </w:pPr>
            <w:r w:rsidRPr="00306115">
              <w:rPr>
                <w:color w:val="000000" w:themeColor="text1"/>
                <w:szCs w:val="24"/>
              </w:rPr>
              <w:t>Dengan mempertimbangkan karakteristik Produk Investasi, kemungkinan timbulnya dampak paparan dari Risiko Likuiditas Produk Investasi tergolong rendah selama periode waktu tertentu pada masa datang.</w:t>
            </w:r>
          </w:p>
          <w:p w14:paraId="3BF25FF1" w14:textId="77777777" w:rsidR="00474EE3" w:rsidRPr="00306115" w:rsidRDefault="00474EE3" w:rsidP="00876AA7">
            <w:pPr>
              <w:pStyle w:val="ListParagraph"/>
              <w:spacing w:after="0" w:line="240" w:lineRule="auto"/>
              <w:ind w:left="142" w:right="142"/>
              <w:contextualSpacing w:val="0"/>
              <w:rPr>
                <w:strike/>
                <w:color w:val="000000" w:themeColor="text1"/>
                <w:szCs w:val="24"/>
              </w:rPr>
            </w:pPr>
            <w:r w:rsidRPr="00306115">
              <w:rPr>
                <w:color w:val="000000" w:themeColor="text1"/>
                <w:szCs w:val="24"/>
              </w:rPr>
              <w:t xml:space="preserve">Contoh kondisi yang menunjukkan Risiko Likuiditas Produk Investasi termasuk dalam peringkat </w:t>
            </w:r>
            <w:r w:rsidRPr="00306115">
              <w:rPr>
                <w:i/>
                <w:iCs/>
                <w:color w:val="000000" w:themeColor="text1"/>
                <w:szCs w:val="24"/>
              </w:rPr>
              <w:t>Low to Moderate</w:t>
            </w:r>
            <w:r w:rsidRPr="00306115">
              <w:rPr>
                <w:color w:val="000000" w:themeColor="text1"/>
                <w:szCs w:val="24"/>
              </w:rPr>
              <w:t xml:space="preserve"> (2) antara lain sebagai berikut:</w:t>
            </w:r>
          </w:p>
          <w:p w14:paraId="3F50E90F" w14:textId="7FA4AA4A" w:rsidR="003A6D41" w:rsidRPr="00306115" w:rsidRDefault="00646704">
            <w:pPr>
              <w:pStyle w:val="ListParagraph"/>
              <w:numPr>
                <w:ilvl w:val="0"/>
                <w:numId w:val="332"/>
              </w:numPr>
              <w:spacing w:after="0" w:line="240" w:lineRule="auto"/>
              <w:ind w:left="709" w:right="142" w:hanging="567"/>
              <w:contextualSpacing w:val="0"/>
              <w:rPr>
                <w:color w:val="000000" w:themeColor="text1"/>
                <w:szCs w:val="24"/>
              </w:rPr>
            </w:pPr>
            <w:r w:rsidRPr="00306115">
              <w:rPr>
                <w:color w:val="000000" w:themeColor="text1"/>
                <w:szCs w:val="24"/>
              </w:rPr>
              <w:t>Rata-rata jumlah hari bursa yang diperlukan untuk melikuidasi Efek dalam portofolio rendah.</w:t>
            </w:r>
          </w:p>
          <w:p w14:paraId="26CF29B0" w14:textId="09D78B78" w:rsidR="00646704" w:rsidRPr="00306115" w:rsidRDefault="00A92984">
            <w:pPr>
              <w:pStyle w:val="ListParagraph"/>
              <w:numPr>
                <w:ilvl w:val="0"/>
                <w:numId w:val="332"/>
              </w:numPr>
              <w:spacing w:after="0" w:line="240" w:lineRule="auto"/>
              <w:ind w:left="709" w:right="142" w:hanging="567"/>
              <w:contextualSpacing w:val="0"/>
              <w:rPr>
                <w:color w:val="000000" w:themeColor="text1"/>
                <w:szCs w:val="24"/>
              </w:rPr>
            </w:pPr>
            <w:r w:rsidRPr="00306115">
              <w:rPr>
                <w:color w:val="000000" w:themeColor="text1"/>
                <w:szCs w:val="24"/>
              </w:rPr>
              <w:t xml:space="preserve">Historis </w:t>
            </w:r>
            <w:r w:rsidRPr="00306115">
              <w:rPr>
                <w:i/>
                <w:iCs/>
                <w:color w:val="000000" w:themeColor="text1"/>
                <w:szCs w:val="24"/>
              </w:rPr>
              <w:t xml:space="preserve">net </w:t>
            </w:r>
            <w:r w:rsidR="00BA040B" w:rsidRPr="00306115">
              <w:rPr>
                <w:i/>
                <w:iCs/>
                <w:color w:val="000000" w:themeColor="text1"/>
                <w:szCs w:val="24"/>
              </w:rPr>
              <w:t>redemptions</w:t>
            </w:r>
            <w:r w:rsidRPr="00306115">
              <w:rPr>
                <w:color w:val="000000" w:themeColor="text1"/>
                <w:szCs w:val="24"/>
              </w:rPr>
              <w:t xml:space="preserve"> termasuk </w:t>
            </w:r>
            <w:r w:rsidRPr="00306115">
              <w:rPr>
                <w:i/>
                <w:iCs/>
                <w:color w:val="000000" w:themeColor="text1"/>
                <w:szCs w:val="24"/>
              </w:rPr>
              <w:t>switching</w:t>
            </w:r>
            <w:r w:rsidRPr="00306115">
              <w:rPr>
                <w:color w:val="000000" w:themeColor="text1"/>
                <w:szCs w:val="24"/>
              </w:rPr>
              <w:t xml:space="preserve"> terhadap rata-rata Nilai Aktiva Bersih (NAB) rendah.</w:t>
            </w:r>
          </w:p>
          <w:p w14:paraId="4FB5D47D" w14:textId="1D800F31" w:rsidR="00A92984" w:rsidRPr="00306115" w:rsidRDefault="00781337">
            <w:pPr>
              <w:pStyle w:val="ListParagraph"/>
              <w:numPr>
                <w:ilvl w:val="0"/>
                <w:numId w:val="332"/>
              </w:numPr>
              <w:spacing w:after="0" w:line="240" w:lineRule="auto"/>
              <w:ind w:left="709" w:right="142" w:hanging="567"/>
              <w:contextualSpacing w:val="0"/>
              <w:rPr>
                <w:color w:val="000000" w:themeColor="text1"/>
                <w:szCs w:val="24"/>
              </w:rPr>
            </w:pPr>
            <w:r w:rsidRPr="00306115">
              <w:rPr>
                <w:color w:val="000000" w:themeColor="text1"/>
                <w:szCs w:val="24"/>
                <w:lang w:val="en-GB"/>
              </w:rPr>
              <w:t>Rata-Rata Harian</w:t>
            </w:r>
            <w:r w:rsidRPr="00306115">
              <w:rPr>
                <w:i/>
                <w:iCs/>
                <w:color w:val="000000" w:themeColor="text1"/>
                <w:szCs w:val="24"/>
                <w:lang w:val="en-GB"/>
              </w:rPr>
              <w:t xml:space="preserve"> </w:t>
            </w:r>
            <w:r w:rsidR="00BA040B" w:rsidRPr="00306115">
              <w:rPr>
                <w:i/>
                <w:iCs/>
                <w:color w:val="000000" w:themeColor="text1"/>
                <w:szCs w:val="24"/>
                <w:lang w:val="en-GB"/>
              </w:rPr>
              <w:t>Haircut</w:t>
            </w:r>
            <w:r w:rsidRPr="00306115">
              <w:rPr>
                <w:color w:val="000000" w:themeColor="text1"/>
                <w:szCs w:val="24"/>
                <w:lang w:val="en-GB"/>
              </w:rPr>
              <w:t xml:space="preserve"> nilai kepemilikan portfolio rendah.</w:t>
            </w:r>
          </w:p>
          <w:p w14:paraId="5C54B43C" w14:textId="77777777" w:rsidR="00474EE3" w:rsidRPr="00306115" w:rsidRDefault="00474EE3">
            <w:pPr>
              <w:pStyle w:val="ListParagraph"/>
              <w:numPr>
                <w:ilvl w:val="0"/>
                <w:numId w:val="332"/>
              </w:numPr>
              <w:spacing w:after="0" w:line="240" w:lineRule="auto"/>
              <w:ind w:left="709" w:right="142" w:hanging="567"/>
              <w:contextualSpacing w:val="0"/>
              <w:rPr>
                <w:color w:val="000000" w:themeColor="text1"/>
                <w:szCs w:val="24"/>
              </w:rPr>
            </w:pPr>
            <w:r w:rsidRPr="00306115">
              <w:rPr>
                <w:color w:val="000000" w:themeColor="text1"/>
                <w:szCs w:val="24"/>
              </w:rPr>
              <w:t>Rata-rata komposisi instrumen likuid pada Reksa Dana Pasar Uang tinggi.</w:t>
            </w:r>
          </w:p>
          <w:p w14:paraId="389345FA" w14:textId="32FAB7E2" w:rsidR="00474EE3" w:rsidRPr="00306115" w:rsidRDefault="00474EE3">
            <w:pPr>
              <w:pStyle w:val="ListParagraph"/>
              <w:numPr>
                <w:ilvl w:val="0"/>
                <w:numId w:val="332"/>
              </w:numPr>
              <w:spacing w:after="0" w:line="240" w:lineRule="auto"/>
              <w:ind w:left="709" w:right="142" w:hanging="567"/>
              <w:contextualSpacing w:val="0"/>
              <w:rPr>
                <w:color w:val="000000" w:themeColor="text1"/>
                <w:szCs w:val="24"/>
              </w:rPr>
            </w:pPr>
            <w:r w:rsidRPr="00306115">
              <w:rPr>
                <w:color w:val="000000" w:themeColor="text1"/>
                <w:szCs w:val="24"/>
              </w:rPr>
              <w:t xml:space="preserve">Rata-rata </w:t>
            </w:r>
            <w:r w:rsidR="00A33C3B" w:rsidRPr="00306115">
              <w:rPr>
                <w:i/>
                <w:iCs/>
                <w:color w:val="000000" w:themeColor="text1"/>
                <w:szCs w:val="24"/>
              </w:rPr>
              <w:t>redemption</w:t>
            </w:r>
            <w:r w:rsidRPr="00306115">
              <w:rPr>
                <w:color w:val="000000" w:themeColor="text1"/>
                <w:szCs w:val="24"/>
              </w:rPr>
              <w:t xml:space="preserve"> harian terhadap nilai aktiva bersih seluruh produk memiliki signifikansi yang rendah.</w:t>
            </w:r>
          </w:p>
          <w:p w14:paraId="04F05C0B" w14:textId="117C2DEB" w:rsidR="00474EE3" w:rsidRPr="00306115" w:rsidRDefault="00474EE3">
            <w:pPr>
              <w:pStyle w:val="ListParagraph"/>
              <w:numPr>
                <w:ilvl w:val="0"/>
                <w:numId w:val="332"/>
              </w:numPr>
              <w:spacing w:after="0" w:line="240" w:lineRule="auto"/>
              <w:ind w:left="709" w:right="142" w:hanging="567"/>
              <w:contextualSpacing w:val="0"/>
              <w:rPr>
                <w:color w:val="000000" w:themeColor="text1"/>
                <w:szCs w:val="24"/>
              </w:rPr>
            </w:pPr>
            <w:r w:rsidRPr="00306115">
              <w:rPr>
                <w:color w:val="000000" w:themeColor="text1"/>
                <w:szCs w:val="24"/>
              </w:rPr>
              <w:t xml:space="preserve">Manajer Investasi mampu memenuhi kewajiban dan kebutuhan </w:t>
            </w:r>
            <w:r w:rsidR="00A33C3B" w:rsidRPr="00306115">
              <w:rPr>
                <w:i/>
                <w:iCs/>
                <w:color w:val="000000" w:themeColor="text1"/>
                <w:szCs w:val="24"/>
              </w:rPr>
              <w:t>redemption</w:t>
            </w:r>
            <w:r w:rsidRPr="00306115">
              <w:rPr>
                <w:color w:val="000000" w:themeColor="text1"/>
                <w:szCs w:val="24"/>
              </w:rPr>
              <w:t xml:space="preserve"> dan/atau arus kas pada kondisi normal maupun pada skenario krisis.</w:t>
            </w:r>
          </w:p>
        </w:tc>
      </w:tr>
      <w:tr w:rsidR="00474EE3" w:rsidRPr="00306115" w14:paraId="78C0777D" w14:textId="77777777" w:rsidTr="0014446C">
        <w:trPr>
          <w:trHeight w:val="581"/>
        </w:trPr>
        <w:tc>
          <w:tcPr>
            <w:tcW w:w="1904" w:type="dxa"/>
          </w:tcPr>
          <w:p w14:paraId="0A20F9C5" w14:textId="77777777" w:rsidR="00474EE3" w:rsidRPr="00306115" w:rsidRDefault="00474EE3" w:rsidP="00053DF2">
            <w:pPr>
              <w:pStyle w:val="TableParagraph"/>
              <w:spacing w:before="120" w:after="120" w:line="276" w:lineRule="auto"/>
              <w:ind w:left="81" w:right="72"/>
              <w:contextualSpacing/>
              <w:jc w:val="center"/>
              <w:rPr>
                <w:rFonts w:ascii="Bookman Old Style" w:hAnsi="Bookman Old Style"/>
                <w:i/>
                <w:color w:val="000000" w:themeColor="text1"/>
                <w:sz w:val="24"/>
                <w:szCs w:val="24"/>
              </w:rPr>
            </w:pPr>
            <w:r w:rsidRPr="00306115">
              <w:rPr>
                <w:rFonts w:ascii="Bookman Old Style" w:hAnsi="Bookman Old Style"/>
                <w:i/>
                <w:color w:val="000000" w:themeColor="text1"/>
                <w:sz w:val="24"/>
                <w:szCs w:val="24"/>
              </w:rPr>
              <w:t>Moderate</w:t>
            </w:r>
          </w:p>
          <w:p w14:paraId="2E1AACB2" w14:textId="77777777" w:rsidR="00474EE3" w:rsidRPr="00306115" w:rsidRDefault="00474EE3" w:rsidP="00053DF2">
            <w:pPr>
              <w:pStyle w:val="TableParagraph"/>
              <w:spacing w:before="120" w:after="120" w:line="276" w:lineRule="auto"/>
              <w:ind w:left="81" w:right="72"/>
              <w:contextualSpacing/>
              <w:jc w:val="center"/>
              <w:rPr>
                <w:rFonts w:ascii="Bookman Old Style" w:hAnsi="Bookman Old Style"/>
                <w:iCs/>
                <w:color w:val="000000" w:themeColor="text1"/>
                <w:sz w:val="24"/>
                <w:szCs w:val="24"/>
              </w:rPr>
            </w:pPr>
            <w:r w:rsidRPr="00306115">
              <w:rPr>
                <w:rFonts w:ascii="Bookman Old Style" w:hAnsi="Bookman Old Style"/>
                <w:iCs/>
                <w:color w:val="000000" w:themeColor="text1"/>
                <w:sz w:val="24"/>
                <w:szCs w:val="24"/>
              </w:rPr>
              <w:lastRenderedPageBreak/>
              <w:t>(3)</w:t>
            </w:r>
          </w:p>
        </w:tc>
        <w:tc>
          <w:tcPr>
            <w:tcW w:w="6318" w:type="dxa"/>
          </w:tcPr>
          <w:p w14:paraId="505FEFFF" w14:textId="77777777" w:rsidR="00474EE3" w:rsidRPr="00306115" w:rsidRDefault="00474EE3" w:rsidP="00876AA7">
            <w:pPr>
              <w:pStyle w:val="ListParagraph"/>
              <w:spacing w:after="0" w:line="240" w:lineRule="auto"/>
              <w:ind w:left="142" w:right="142"/>
              <w:contextualSpacing w:val="0"/>
              <w:rPr>
                <w:color w:val="000000" w:themeColor="text1"/>
                <w:szCs w:val="24"/>
              </w:rPr>
            </w:pPr>
            <w:r w:rsidRPr="00306115">
              <w:rPr>
                <w:color w:val="000000" w:themeColor="text1"/>
                <w:szCs w:val="24"/>
              </w:rPr>
              <w:lastRenderedPageBreak/>
              <w:t xml:space="preserve">Dengan mempertimbangkan karakteristik Produk Investasi, kemungkinan timbulnya dampak paparan dari Risiko Likuiditas Produk Investasi </w:t>
            </w:r>
            <w:r w:rsidRPr="00306115">
              <w:rPr>
                <w:color w:val="000000" w:themeColor="text1"/>
                <w:szCs w:val="24"/>
              </w:rPr>
              <w:lastRenderedPageBreak/>
              <w:t>tergolong cukup tinggi selama periode waktu tertentu pada masa datang.</w:t>
            </w:r>
          </w:p>
          <w:p w14:paraId="0B86E07B" w14:textId="77777777" w:rsidR="00474EE3" w:rsidRPr="00306115" w:rsidRDefault="00474EE3" w:rsidP="00876AA7">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Contoh kondisi yang menunjukkan Risiko Likuiditas Produk Investasi termasuk dalam peringkat </w:t>
            </w:r>
            <w:r w:rsidRPr="00306115">
              <w:rPr>
                <w:i/>
                <w:iCs/>
                <w:color w:val="000000" w:themeColor="text1"/>
                <w:szCs w:val="24"/>
              </w:rPr>
              <w:t>Moderate</w:t>
            </w:r>
            <w:r w:rsidRPr="00306115">
              <w:rPr>
                <w:color w:val="000000" w:themeColor="text1"/>
                <w:szCs w:val="24"/>
              </w:rPr>
              <w:t xml:space="preserve"> (3) antara lain sebagai berikut:</w:t>
            </w:r>
          </w:p>
          <w:p w14:paraId="1CCFDB7C" w14:textId="6904D680" w:rsidR="00781337" w:rsidRPr="00306115" w:rsidRDefault="00B3094C">
            <w:pPr>
              <w:pStyle w:val="ListParagraph"/>
              <w:numPr>
                <w:ilvl w:val="0"/>
                <w:numId w:val="333"/>
              </w:numPr>
              <w:spacing w:after="0" w:line="240" w:lineRule="auto"/>
              <w:ind w:left="709" w:right="142" w:hanging="567"/>
              <w:contextualSpacing w:val="0"/>
              <w:rPr>
                <w:color w:val="000000" w:themeColor="text1"/>
                <w:szCs w:val="24"/>
              </w:rPr>
            </w:pPr>
            <w:r w:rsidRPr="00306115">
              <w:rPr>
                <w:color w:val="000000" w:themeColor="text1"/>
                <w:szCs w:val="24"/>
              </w:rPr>
              <w:t xml:space="preserve">Rata-rata jumlah hari bursa yang diperlukan untuk melikuidasi Efek dalam portofolio </w:t>
            </w:r>
            <w:r w:rsidRPr="00306115">
              <w:rPr>
                <w:color w:val="000000" w:themeColor="text1"/>
                <w:szCs w:val="24"/>
                <w:lang w:val="en-GB"/>
              </w:rPr>
              <w:t>cukup tinggi.</w:t>
            </w:r>
          </w:p>
          <w:p w14:paraId="6C7F522F" w14:textId="1585A925" w:rsidR="00B3094C" w:rsidRPr="00306115" w:rsidRDefault="00271538">
            <w:pPr>
              <w:pStyle w:val="ListParagraph"/>
              <w:numPr>
                <w:ilvl w:val="0"/>
                <w:numId w:val="333"/>
              </w:numPr>
              <w:spacing w:after="0" w:line="240" w:lineRule="auto"/>
              <w:ind w:left="709" w:right="142" w:hanging="567"/>
              <w:contextualSpacing w:val="0"/>
              <w:rPr>
                <w:color w:val="000000" w:themeColor="text1"/>
                <w:szCs w:val="24"/>
              </w:rPr>
            </w:pPr>
            <w:r w:rsidRPr="00306115">
              <w:rPr>
                <w:color w:val="000000" w:themeColor="text1"/>
                <w:szCs w:val="24"/>
              </w:rPr>
              <w:t xml:space="preserve">Historis net </w:t>
            </w:r>
            <w:r w:rsidR="00BA040B" w:rsidRPr="00306115">
              <w:rPr>
                <w:i/>
                <w:iCs/>
                <w:color w:val="000000" w:themeColor="text1"/>
                <w:szCs w:val="24"/>
              </w:rPr>
              <w:t>redemptions</w:t>
            </w:r>
            <w:r w:rsidRPr="00306115">
              <w:rPr>
                <w:color w:val="000000" w:themeColor="text1"/>
                <w:szCs w:val="24"/>
              </w:rPr>
              <w:t xml:space="preserve"> termasuk switching terhadap rata-rata Nilai Aktiva Bersih (NAB) </w:t>
            </w:r>
            <w:r w:rsidRPr="00306115">
              <w:rPr>
                <w:color w:val="000000" w:themeColor="text1"/>
                <w:szCs w:val="24"/>
                <w:lang w:val="en-GB"/>
              </w:rPr>
              <w:t>cukup tinggi.</w:t>
            </w:r>
          </w:p>
          <w:p w14:paraId="11A86EBA" w14:textId="53FE94AB" w:rsidR="00271538" w:rsidRPr="00306115" w:rsidRDefault="00EC42F5">
            <w:pPr>
              <w:pStyle w:val="ListParagraph"/>
              <w:numPr>
                <w:ilvl w:val="0"/>
                <w:numId w:val="333"/>
              </w:numPr>
              <w:spacing w:after="0" w:line="240" w:lineRule="auto"/>
              <w:ind w:left="709" w:right="142" w:hanging="567"/>
              <w:contextualSpacing w:val="0"/>
              <w:rPr>
                <w:color w:val="000000" w:themeColor="text1"/>
                <w:szCs w:val="24"/>
              </w:rPr>
            </w:pPr>
            <w:r w:rsidRPr="00306115">
              <w:rPr>
                <w:color w:val="000000" w:themeColor="text1"/>
                <w:szCs w:val="24"/>
              </w:rPr>
              <w:t xml:space="preserve">Rata-Rata Harian </w:t>
            </w:r>
            <w:r w:rsidR="00BA040B" w:rsidRPr="00306115">
              <w:rPr>
                <w:i/>
                <w:iCs/>
                <w:color w:val="000000" w:themeColor="text1"/>
                <w:szCs w:val="24"/>
              </w:rPr>
              <w:t>Haircut</w:t>
            </w:r>
            <w:r w:rsidRPr="00306115">
              <w:rPr>
                <w:color w:val="000000" w:themeColor="text1"/>
                <w:szCs w:val="24"/>
              </w:rPr>
              <w:t xml:space="preserve"> nilai kepemilikan portfolio </w:t>
            </w:r>
            <w:r w:rsidRPr="00306115">
              <w:rPr>
                <w:color w:val="000000" w:themeColor="text1"/>
                <w:szCs w:val="24"/>
                <w:lang w:val="en-GB"/>
              </w:rPr>
              <w:t>cukup tinggi.</w:t>
            </w:r>
          </w:p>
          <w:p w14:paraId="6218748A" w14:textId="77777777" w:rsidR="00474EE3" w:rsidRPr="00306115" w:rsidRDefault="00474EE3">
            <w:pPr>
              <w:pStyle w:val="ListParagraph"/>
              <w:numPr>
                <w:ilvl w:val="0"/>
                <w:numId w:val="333"/>
              </w:numPr>
              <w:spacing w:after="0" w:line="240" w:lineRule="auto"/>
              <w:ind w:left="709" w:right="142" w:hanging="567"/>
              <w:contextualSpacing w:val="0"/>
              <w:rPr>
                <w:color w:val="000000" w:themeColor="text1"/>
                <w:szCs w:val="24"/>
              </w:rPr>
            </w:pPr>
            <w:r w:rsidRPr="00306115">
              <w:rPr>
                <w:color w:val="000000" w:themeColor="text1"/>
                <w:szCs w:val="24"/>
              </w:rPr>
              <w:t>Rata-rata komposisi instrumen likuid pada Reksa Dana Pasar Uang cukup tinggi.</w:t>
            </w:r>
          </w:p>
          <w:p w14:paraId="5F3BB0B1" w14:textId="140C61DE" w:rsidR="00474EE3" w:rsidRPr="00306115" w:rsidRDefault="00474EE3">
            <w:pPr>
              <w:pStyle w:val="ListParagraph"/>
              <w:numPr>
                <w:ilvl w:val="0"/>
                <w:numId w:val="333"/>
              </w:numPr>
              <w:spacing w:after="0" w:line="240" w:lineRule="auto"/>
              <w:ind w:left="709" w:right="142" w:hanging="567"/>
              <w:contextualSpacing w:val="0"/>
              <w:rPr>
                <w:color w:val="000000" w:themeColor="text1"/>
                <w:szCs w:val="24"/>
              </w:rPr>
            </w:pPr>
            <w:r w:rsidRPr="00306115">
              <w:rPr>
                <w:color w:val="000000" w:themeColor="text1"/>
                <w:szCs w:val="24"/>
              </w:rPr>
              <w:t xml:space="preserve">Rata-rata </w:t>
            </w:r>
            <w:r w:rsidR="00A33C3B" w:rsidRPr="00306115">
              <w:rPr>
                <w:i/>
                <w:iCs/>
                <w:color w:val="000000" w:themeColor="text1"/>
                <w:szCs w:val="24"/>
              </w:rPr>
              <w:t>redemption</w:t>
            </w:r>
            <w:r w:rsidRPr="00306115">
              <w:rPr>
                <w:color w:val="000000" w:themeColor="text1"/>
                <w:szCs w:val="24"/>
              </w:rPr>
              <w:t xml:space="preserve"> harian terhadap nilai aktiva bersih seluruh produk memiliki signifikansi yang cukup rendah.</w:t>
            </w:r>
          </w:p>
          <w:p w14:paraId="0FF658FC" w14:textId="0FC14917" w:rsidR="00474EE3" w:rsidRPr="00306115" w:rsidRDefault="00474EE3">
            <w:pPr>
              <w:pStyle w:val="ListParagraph"/>
              <w:numPr>
                <w:ilvl w:val="0"/>
                <w:numId w:val="333"/>
              </w:numPr>
              <w:spacing w:after="0" w:line="240" w:lineRule="auto"/>
              <w:ind w:left="709" w:right="142" w:hanging="567"/>
              <w:contextualSpacing w:val="0"/>
              <w:rPr>
                <w:color w:val="000000" w:themeColor="text1"/>
                <w:szCs w:val="24"/>
              </w:rPr>
            </w:pPr>
            <w:r w:rsidRPr="00306115">
              <w:rPr>
                <w:color w:val="000000" w:themeColor="text1"/>
                <w:szCs w:val="24"/>
              </w:rPr>
              <w:t xml:space="preserve">Manajer Investasi cukup mampu memenuhi kewajiban dan kebutuhan </w:t>
            </w:r>
            <w:r w:rsidR="00A33C3B" w:rsidRPr="00306115">
              <w:rPr>
                <w:i/>
                <w:iCs/>
                <w:color w:val="000000" w:themeColor="text1"/>
                <w:szCs w:val="24"/>
              </w:rPr>
              <w:t>redemption</w:t>
            </w:r>
            <w:r w:rsidRPr="00306115">
              <w:rPr>
                <w:color w:val="000000" w:themeColor="text1"/>
                <w:szCs w:val="24"/>
              </w:rPr>
              <w:t xml:space="preserve"> dan/atau arus kas pada kondisi normal maupun pada skenario krisis. </w:t>
            </w:r>
          </w:p>
        </w:tc>
      </w:tr>
      <w:tr w:rsidR="00474EE3" w:rsidRPr="00306115" w14:paraId="2BD705FE" w14:textId="77777777" w:rsidTr="00A54AB7">
        <w:trPr>
          <w:trHeight w:val="982"/>
        </w:trPr>
        <w:tc>
          <w:tcPr>
            <w:tcW w:w="1904" w:type="dxa"/>
          </w:tcPr>
          <w:p w14:paraId="0AB4DC3E" w14:textId="77777777" w:rsidR="00474EE3" w:rsidRPr="00306115" w:rsidRDefault="00474EE3" w:rsidP="00053DF2">
            <w:pPr>
              <w:pStyle w:val="TableParagraph"/>
              <w:spacing w:before="120" w:after="120" w:line="276" w:lineRule="auto"/>
              <w:ind w:left="81" w:right="72"/>
              <w:contextualSpacing/>
              <w:jc w:val="center"/>
              <w:rPr>
                <w:rFonts w:ascii="Bookman Old Style" w:hAnsi="Bookman Old Style"/>
                <w:i/>
                <w:color w:val="000000" w:themeColor="text1"/>
                <w:sz w:val="24"/>
                <w:szCs w:val="24"/>
              </w:rPr>
            </w:pPr>
            <w:r w:rsidRPr="00306115">
              <w:rPr>
                <w:rFonts w:ascii="Bookman Old Style" w:hAnsi="Bookman Old Style"/>
                <w:i/>
                <w:color w:val="000000" w:themeColor="text1"/>
                <w:sz w:val="24"/>
                <w:szCs w:val="24"/>
              </w:rPr>
              <w:lastRenderedPageBreak/>
              <w:t xml:space="preserve">Moderate to High </w:t>
            </w:r>
            <w:r w:rsidRPr="00306115">
              <w:rPr>
                <w:rFonts w:ascii="Bookman Old Style" w:hAnsi="Bookman Old Style"/>
                <w:iCs/>
                <w:color w:val="000000" w:themeColor="text1"/>
                <w:sz w:val="24"/>
                <w:szCs w:val="24"/>
              </w:rPr>
              <w:t>(4)</w:t>
            </w:r>
          </w:p>
        </w:tc>
        <w:tc>
          <w:tcPr>
            <w:tcW w:w="6318" w:type="dxa"/>
          </w:tcPr>
          <w:p w14:paraId="5771E44E" w14:textId="77777777" w:rsidR="00474EE3" w:rsidRPr="00306115" w:rsidRDefault="00474EE3" w:rsidP="00876AA7">
            <w:pPr>
              <w:pStyle w:val="ListParagraph"/>
              <w:spacing w:after="0" w:line="240" w:lineRule="auto"/>
              <w:ind w:left="142" w:right="142"/>
              <w:contextualSpacing w:val="0"/>
              <w:rPr>
                <w:dstrike/>
                <w:color w:val="000000" w:themeColor="text1"/>
                <w:szCs w:val="24"/>
              </w:rPr>
            </w:pPr>
            <w:r w:rsidRPr="00306115">
              <w:rPr>
                <w:color w:val="000000" w:themeColor="text1"/>
                <w:szCs w:val="24"/>
              </w:rPr>
              <w:t xml:space="preserve">Dengan mempertimbangkan karakteristik Produk Investasi, kemungkinan timbulnya dampak paparan dari Risiko Likuiditas Produk Investasi tergolong tinggi selama periode waktu tertentu pada masa datang. </w:t>
            </w:r>
          </w:p>
          <w:p w14:paraId="47505D80" w14:textId="77777777" w:rsidR="00474EE3" w:rsidRPr="00306115" w:rsidRDefault="00474EE3" w:rsidP="00876AA7">
            <w:pPr>
              <w:pStyle w:val="ListParagraph"/>
              <w:spacing w:after="0" w:line="240" w:lineRule="auto"/>
              <w:ind w:left="142" w:right="142"/>
              <w:contextualSpacing w:val="0"/>
              <w:rPr>
                <w:strike/>
                <w:color w:val="000000" w:themeColor="text1"/>
                <w:szCs w:val="24"/>
              </w:rPr>
            </w:pPr>
            <w:r w:rsidRPr="00306115">
              <w:rPr>
                <w:color w:val="000000" w:themeColor="text1"/>
                <w:szCs w:val="24"/>
              </w:rPr>
              <w:t xml:space="preserve">Contoh kondisi yang menunjukkan Risiko Likuiditas Produk Investasi termasuk dalam peringkat </w:t>
            </w:r>
            <w:r w:rsidRPr="00306115">
              <w:rPr>
                <w:i/>
                <w:iCs/>
                <w:color w:val="000000" w:themeColor="text1"/>
                <w:szCs w:val="24"/>
              </w:rPr>
              <w:t>Moderate to High</w:t>
            </w:r>
            <w:r w:rsidRPr="00306115">
              <w:rPr>
                <w:color w:val="000000" w:themeColor="text1"/>
                <w:szCs w:val="24"/>
              </w:rPr>
              <w:t xml:space="preserve"> (4) antara lain sebagai berikut:</w:t>
            </w:r>
          </w:p>
          <w:p w14:paraId="5D344261" w14:textId="7BCE1CAF" w:rsidR="0014446C" w:rsidRPr="00306115" w:rsidRDefault="00AB4E34">
            <w:pPr>
              <w:pStyle w:val="ListParagraph"/>
              <w:numPr>
                <w:ilvl w:val="0"/>
                <w:numId w:val="334"/>
              </w:numPr>
              <w:spacing w:after="0" w:line="240" w:lineRule="auto"/>
              <w:ind w:left="709" w:right="142" w:hanging="567"/>
              <w:contextualSpacing w:val="0"/>
              <w:rPr>
                <w:color w:val="000000" w:themeColor="text1"/>
                <w:szCs w:val="24"/>
              </w:rPr>
            </w:pPr>
            <w:r w:rsidRPr="00306115">
              <w:rPr>
                <w:color w:val="000000" w:themeColor="text1"/>
                <w:szCs w:val="24"/>
              </w:rPr>
              <w:t xml:space="preserve">Rata-rata jumlah hari bursa yang diperlukan untuk melikuidasi Efek dalam portofolio </w:t>
            </w:r>
            <w:r w:rsidRPr="00306115">
              <w:rPr>
                <w:color w:val="000000" w:themeColor="text1"/>
                <w:szCs w:val="24"/>
                <w:lang w:val="en-GB"/>
              </w:rPr>
              <w:t>tinggi.</w:t>
            </w:r>
          </w:p>
          <w:p w14:paraId="0DCADBC5" w14:textId="4FA18CB7" w:rsidR="00AB4E34" w:rsidRPr="00306115" w:rsidRDefault="001D3249">
            <w:pPr>
              <w:pStyle w:val="ListParagraph"/>
              <w:numPr>
                <w:ilvl w:val="0"/>
                <w:numId w:val="334"/>
              </w:numPr>
              <w:spacing w:after="0" w:line="240" w:lineRule="auto"/>
              <w:ind w:left="709" w:right="142" w:hanging="567"/>
              <w:contextualSpacing w:val="0"/>
              <w:rPr>
                <w:color w:val="000000" w:themeColor="text1"/>
                <w:szCs w:val="24"/>
              </w:rPr>
            </w:pPr>
            <w:r w:rsidRPr="00306115">
              <w:rPr>
                <w:color w:val="000000" w:themeColor="text1"/>
                <w:szCs w:val="24"/>
              </w:rPr>
              <w:t xml:space="preserve">Historis net </w:t>
            </w:r>
            <w:r w:rsidR="00BA040B" w:rsidRPr="00306115">
              <w:rPr>
                <w:i/>
                <w:iCs/>
                <w:color w:val="000000" w:themeColor="text1"/>
                <w:szCs w:val="24"/>
              </w:rPr>
              <w:t>redemptions</w:t>
            </w:r>
            <w:r w:rsidRPr="00306115">
              <w:rPr>
                <w:color w:val="000000" w:themeColor="text1"/>
                <w:szCs w:val="24"/>
              </w:rPr>
              <w:t xml:space="preserve"> termasuk switching terhadap rata-rata Nilai Aktiva Bersih (NAB) </w:t>
            </w:r>
            <w:r w:rsidRPr="00306115">
              <w:rPr>
                <w:color w:val="000000" w:themeColor="text1"/>
                <w:szCs w:val="24"/>
                <w:lang w:val="en-GB"/>
              </w:rPr>
              <w:t>tinggi.</w:t>
            </w:r>
          </w:p>
          <w:p w14:paraId="545678A9" w14:textId="7EE927D0" w:rsidR="001D3249" w:rsidRPr="00306115" w:rsidRDefault="00F81D34">
            <w:pPr>
              <w:pStyle w:val="ListParagraph"/>
              <w:numPr>
                <w:ilvl w:val="0"/>
                <w:numId w:val="334"/>
              </w:numPr>
              <w:spacing w:after="0" w:line="240" w:lineRule="auto"/>
              <w:ind w:left="709" w:right="142" w:hanging="567"/>
              <w:contextualSpacing w:val="0"/>
              <w:rPr>
                <w:color w:val="000000" w:themeColor="text1"/>
                <w:szCs w:val="24"/>
              </w:rPr>
            </w:pPr>
            <w:r w:rsidRPr="00306115">
              <w:rPr>
                <w:color w:val="000000" w:themeColor="text1"/>
                <w:szCs w:val="24"/>
              </w:rPr>
              <w:t xml:space="preserve">Rata-Rata Harian </w:t>
            </w:r>
            <w:r w:rsidR="00BA040B" w:rsidRPr="00306115">
              <w:rPr>
                <w:i/>
                <w:iCs/>
                <w:color w:val="000000" w:themeColor="text1"/>
                <w:szCs w:val="24"/>
              </w:rPr>
              <w:t>Haircut</w:t>
            </w:r>
            <w:r w:rsidRPr="00306115">
              <w:rPr>
                <w:color w:val="000000" w:themeColor="text1"/>
                <w:szCs w:val="24"/>
              </w:rPr>
              <w:t xml:space="preserve"> nilai kepemilikan portfolio </w:t>
            </w:r>
            <w:r w:rsidRPr="00306115">
              <w:rPr>
                <w:color w:val="000000" w:themeColor="text1"/>
                <w:szCs w:val="24"/>
                <w:lang w:val="en-GB"/>
              </w:rPr>
              <w:t>tinggi.</w:t>
            </w:r>
          </w:p>
          <w:p w14:paraId="074DBA32" w14:textId="77777777" w:rsidR="00474EE3" w:rsidRPr="00306115" w:rsidRDefault="00474EE3">
            <w:pPr>
              <w:pStyle w:val="ListParagraph"/>
              <w:numPr>
                <w:ilvl w:val="0"/>
                <w:numId w:val="334"/>
              </w:numPr>
              <w:spacing w:after="0" w:line="240" w:lineRule="auto"/>
              <w:ind w:left="709" w:right="142" w:hanging="567"/>
              <w:contextualSpacing w:val="0"/>
              <w:rPr>
                <w:color w:val="000000" w:themeColor="text1"/>
                <w:szCs w:val="24"/>
              </w:rPr>
            </w:pPr>
            <w:r w:rsidRPr="00306115">
              <w:rPr>
                <w:color w:val="000000" w:themeColor="text1"/>
                <w:szCs w:val="24"/>
              </w:rPr>
              <w:t>Rata-rata komposisi instrumen likuid pada Reksa Dana Pasar Uang rendah.</w:t>
            </w:r>
          </w:p>
          <w:p w14:paraId="4BECB661" w14:textId="6051A67A" w:rsidR="00474EE3" w:rsidRPr="00306115" w:rsidRDefault="00474EE3">
            <w:pPr>
              <w:pStyle w:val="ListParagraph"/>
              <w:numPr>
                <w:ilvl w:val="0"/>
                <w:numId w:val="334"/>
              </w:numPr>
              <w:spacing w:after="0" w:line="240" w:lineRule="auto"/>
              <w:ind w:left="709" w:right="142" w:hanging="567"/>
              <w:contextualSpacing w:val="0"/>
              <w:rPr>
                <w:color w:val="000000" w:themeColor="text1"/>
                <w:szCs w:val="24"/>
              </w:rPr>
            </w:pPr>
            <w:r w:rsidRPr="00306115">
              <w:rPr>
                <w:color w:val="000000" w:themeColor="text1"/>
                <w:szCs w:val="24"/>
              </w:rPr>
              <w:t xml:space="preserve">Rata-rata </w:t>
            </w:r>
            <w:r w:rsidR="00A33C3B" w:rsidRPr="00306115">
              <w:rPr>
                <w:i/>
                <w:iCs/>
                <w:color w:val="000000" w:themeColor="text1"/>
                <w:szCs w:val="24"/>
              </w:rPr>
              <w:t>redemption</w:t>
            </w:r>
            <w:r w:rsidRPr="00306115">
              <w:rPr>
                <w:color w:val="000000" w:themeColor="text1"/>
                <w:szCs w:val="24"/>
              </w:rPr>
              <w:t xml:space="preserve"> harian terhadap nilai aktiva bersih seluruh produk memiliki signifikansi yang tinggi.</w:t>
            </w:r>
          </w:p>
          <w:p w14:paraId="531D7324" w14:textId="596A8049" w:rsidR="00474EE3" w:rsidRPr="00306115" w:rsidRDefault="00474EE3">
            <w:pPr>
              <w:pStyle w:val="ListParagraph"/>
              <w:numPr>
                <w:ilvl w:val="0"/>
                <w:numId w:val="334"/>
              </w:numPr>
              <w:spacing w:after="0" w:line="240" w:lineRule="auto"/>
              <w:ind w:left="709" w:right="142" w:hanging="567"/>
              <w:contextualSpacing w:val="0"/>
              <w:rPr>
                <w:color w:val="000000" w:themeColor="text1"/>
                <w:szCs w:val="24"/>
              </w:rPr>
            </w:pPr>
            <w:r w:rsidRPr="00306115">
              <w:rPr>
                <w:color w:val="000000" w:themeColor="text1"/>
                <w:szCs w:val="24"/>
              </w:rPr>
              <w:t xml:space="preserve">Manajer Investasi kurang mampu memenuhi kewajiban dan kebutuhan </w:t>
            </w:r>
            <w:r w:rsidR="00A33C3B" w:rsidRPr="00306115">
              <w:rPr>
                <w:i/>
                <w:iCs/>
                <w:color w:val="000000" w:themeColor="text1"/>
                <w:szCs w:val="24"/>
              </w:rPr>
              <w:t>redemption</w:t>
            </w:r>
            <w:r w:rsidRPr="00306115">
              <w:rPr>
                <w:color w:val="000000" w:themeColor="text1"/>
                <w:szCs w:val="24"/>
              </w:rPr>
              <w:t xml:space="preserve"> dan/atau arus kas pada kondisi normal maupun pada skenario krisis. </w:t>
            </w:r>
          </w:p>
        </w:tc>
      </w:tr>
      <w:tr w:rsidR="00474EE3" w:rsidRPr="00306115" w14:paraId="2B623C3B" w14:textId="77777777" w:rsidTr="00A54AB7">
        <w:trPr>
          <w:trHeight w:val="982"/>
        </w:trPr>
        <w:tc>
          <w:tcPr>
            <w:tcW w:w="1904" w:type="dxa"/>
          </w:tcPr>
          <w:p w14:paraId="730DB9E9" w14:textId="77777777" w:rsidR="00474EE3" w:rsidRPr="00306115" w:rsidRDefault="00474EE3" w:rsidP="00053DF2">
            <w:pPr>
              <w:pStyle w:val="TableParagraph"/>
              <w:spacing w:before="120" w:after="120" w:line="276" w:lineRule="auto"/>
              <w:ind w:left="81" w:right="72"/>
              <w:contextualSpacing/>
              <w:jc w:val="center"/>
              <w:rPr>
                <w:rFonts w:ascii="Bookman Old Style" w:hAnsi="Bookman Old Style"/>
                <w:i/>
                <w:color w:val="000000" w:themeColor="text1"/>
                <w:sz w:val="24"/>
                <w:szCs w:val="24"/>
              </w:rPr>
            </w:pPr>
            <w:r w:rsidRPr="00306115">
              <w:rPr>
                <w:rFonts w:ascii="Bookman Old Style" w:hAnsi="Bookman Old Style"/>
                <w:i/>
                <w:color w:val="000000" w:themeColor="text1"/>
                <w:sz w:val="24"/>
                <w:szCs w:val="24"/>
              </w:rPr>
              <w:t>High</w:t>
            </w:r>
            <w:r w:rsidRPr="00306115">
              <w:rPr>
                <w:rFonts w:ascii="Bookman Old Style" w:hAnsi="Bookman Old Style"/>
                <w:iCs/>
                <w:color w:val="000000" w:themeColor="text1"/>
                <w:sz w:val="24"/>
                <w:szCs w:val="24"/>
              </w:rPr>
              <w:t xml:space="preserve"> (5)</w:t>
            </w:r>
          </w:p>
        </w:tc>
        <w:tc>
          <w:tcPr>
            <w:tcW w:w="6318" w:type="dxa"/>
          </w:tcPr>
          <w:p w14:paraId="70A21B46" w14:textId="77777777" w:rsidR="00474EE3" w:rsidRPr="00306115" w:rsidRDefault="00474EE3" w:rsidP="00876AA7">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Dengan mempertimbangkan karakteristik Produk Investasi, kemungkinan timbulnya dampak paparan dari Risiko Likuiditas Produk Investasi tergolong sangat tinggi selama periode waktu tertentu pada masa datang. </w:t>
            </w:r>
          </w:p>
          <w:p w14:paraId="15FD418C" w14:textId="77777777" w:rsidR="00474EE3" w:rsidRPr="00306115" w:rsidRDefault="00474EE3" w:rsidP="00876AA7">
            <w:pPr>
              <w:pStyle w:val="ListParagraph"/>
              <w:spacing w:after="0" w:line="240" w:lineRule="auto"/>
              <w:ind w:left="142" w:right="142"/>
              <w:contextualSpacing w:val="0"/>
              <w:rPr>
                <w:color w:val="000000" w:themeColor="text1"/>
                <w:szCs w:val="24"/>
              </w:rPr>
            </w:pPr>
            <w:r w:rsidRPr="00306115">
              <w:rPr>
                <w:color w:val="000000" w:themeColor="text1"/>
                <w:szCs w:val="24"/>
              </w:rPr>
              <w:lastRenderedPageBreak/>
              <w:t xml:space="preserve">Contoh kondisi yang menunjukkan Risiko Likuiditas Produk Investasi termasuk dalam peringkat </w:t>
            </w:r>
            <w:r w:rsidRPr="00306115">
              <w:rPr>
                <w:i/>
                <w:iCs/>
                <w:color w:val="000000" w:themeColor="text1"/>
                <w:szCs w:val="24"/>
              </w:rPr>
              <w:t>High</w:t>
            </w:r>
            <w:r w:rsidRPr="00306115">
              <w:rPr>
                <w:color w:val="000000" w:themeColor="text1"/>
                <w:szCs w:val="24"/>
              </w:rPr>
              <w:t xml:space="preserve"> (5) antara lain sebagai berikut:</w:t>
            </w:r>
          </w:p>
          <w:p w14:paraId="3FE7A2C5" w14:textId="1CE0E3DB" w:rsidR="00F81D34" w:rsidRPr="00306115" w:rsidRDefault="00302EBC">
            <w:pPr>
              <w:pStyle w:val="ListParagraph"/>
              <w:numPr>
                <w:ilvl w:val="0"/>
                <w:numId w:val="335"/>
              </w:numPr>
              <w:spacing w:after="0" w:line="240" w:lineRule="auto"/>
              <w:ind w:left="709" w:right="142" w:hanging="567"/>
              <w:contextualSpacing w:val="0"/>
              <w:rPr>
                <w:color w:val="000000" w:themeColor="text1"/>
                <w:szCs w:val="24"/>
              </w:rPr>
            </w:pPr>
            <w:r w:rsidRPr="00306115">
              <w:rPr>
                <w:color w:val="000000" w:themeColor="text1"/>
                <w:szCs w:val="24"/>
              </w:rPr>
              <w:t xml:space="preserve">Rata-rata jumlah hari bursa yang diperlukan untuk melikuidasi Efek dalam portofolio </w:t>
            </w:r>
            <w:r w:rsidRPr="00306115">
              <w:rPr>
                <w:color w:val="000000" w:themeColor="text1"/>
                <w:szCs w:val="24"/>
                <w:lang w:val="en-GB"/>
              </w:rPr>
              <w:t>sangat tinggi.</w:t>
            </w:r>
          </w:p>
          <w:p w14:paraId="4D4DD924" w14:textId="34485352" w:rsidR="00302EBC" w:rsidRPr="00306115" w:rsidRDefault="001970BD">
            <w:pPr>
              <w:pStyle w:val="ListParagraph"/>
              <w:numPr>
                <w:ilvl w:val="0"/>
                <w:numId w:val="335"/>
              </w:numPr>
              <w:spacing w:after="0" w:line="240" w:lineRule="auto"/>
              <w:ind w:left="709" w:right="142" w:hanging="567"/>
              <w:contextualSpacing w:val="0"/>
              <w:rPr>
                <w:color w:val="000000" w:themeColor="text1"/>
                <w:szCs w:val="24"/>
              </w:rPr>
            </w:pPr>
            <w:r w:rsidRPr="00306115">
              <w:rPr>
                <w:color w:val="000000" w:themeColor="text1"/>
                <w:szCs w:val="24"/>
              </w:rPr>
              <w:t xml:space="preserve">Historis net </w:t>
            </w:r>
            <w:r w:rsidR="00BA040B" w:rsidRPr="00306115">
              <w:rPr>
                <w:i/>
                <w:iCs/>
                <w:color w:val="000000" w:themeColor="text1"/>
                <w:szCs w:val="24"/>
              </w:rPr>
              <w:t>redemptions</w:t>
            </w:r>
            <w:r w:rsidRPr="00306115">
              <w:rPr>
                <w:color w:val="000000" w:themeColor="text1"/>
                <w:szCs w:val="24"/>
              </w:rPr>
              <w:t xml:space="preserve"> termasuk switching terhadap rata-rata Nilai Aktiva Bersih (NAB) </w:t>
            </w:r>
            <w:r w:rsidRPr="00306115">
              <w:rPr>
                <w:color w:val="000000" w:themeColor="text1"/>
                <w:szCs w:val="24"/>
                <w:lang w:val="en-GB"/>
              </w:rPr>
              <w:t xml:space="preserve">sangat </w:t>
            </w:r>
            <w:r w:rsidRPr="00306115">
              <w:rPr>
                <w:color w:val="000000" w:themeColor="text1"/>
                <w:szCs w:val="24"/>
              </w:rPr>
              <w:t>tinggi.</w:t>
            </w:r>
          </w:p>
          <w:p w14:paraId="1DB08AC5" w14:textId="68FC68BD" w:rsidR="001970BD" w:rsidRPr="00306115" w:rsidRDefault="00321F09">
            <w:pPr>
              <w:pStyle w:val="ListParagraph"/>
              <w:numPr>
                <w:ilvl w:val="0"/>
                <w:numId w:val="335"/>
              </w:numPr>
              <w:spacing w:after="0" w:line="240" w:lineRule="auto"/>
              <w:ind w:left="709" w:right="142" w:hanging="567"/>
              <w:contextualSpacing w:val="0"/>
              <w:rPr>
                <w:color w:val="000000" w:themeColor="text1"/>
                <w:szCs w:val="24"/>
              </w:rPr>
            </w:pPr>
            <w:r w:rsidRPr="00306115">
              <w:rPr>
                <w:color w:val="000000" w:themeColor="text1"/>
                <w:szCs w:val="24"/>
              </w:rPr>
              <w:t xml:space="preserve">Rata-Rata Harian </w:t>
            </w:r>
            <w:r w:rsidR="00BA040B" w:rsidRPr="00306115">
              <w:rPr>
                <w:i/>
                <w:iCs/>
                <w:color w:val="000000" w:themeColor="text1"/>
                <w:szCs w:val="24"/>
              </w:rPr>
              <w:t>Haircut</w:t>
            </w:r>
            <w:r w:rsidRPr="00306115">
              <w:rPr>
                <w:color w:val="000000" w:themeColor="text1"/>
                <w:szCs w:val="24"/>
              </w:rPr>
              <w:t xml:space="preserve"> nilai kepemilikan portfolio </w:t>
            </w:r>
            <w:r w:rsidRPr="00306115">
              <w:rPr>
                <w:color w:val="000000" w:themeColor="text1"/>
                <w:szCs w:val="24"/>
                <w:lang w:val="en-GB"/>
              </w:rPr>
              <w:t xml:space="preserve">sangat </w:t>
            </w:r>
            <w:r w:rsidRPr="00306115">
              <w:rPr>
                <w:color w:val="000000" w:themeColor="text1"/>
                <w:szCs w:val="24"/>
              </w:rPr>
              <w:t>tinggi.</w:t>
            </w:r>
          </w:p>
          <w:p w14:paraId="4184DA8C" w14:textId="77777777" w:rsidR="00474EE3" w:rsidRPr="00306115" w:rsidRDefault="00474EE3">
            <w:pPr>
              <w:pStyle w:val="ListParagraph"/>
              <w:numPr>
                <w:ilvl w:val="0"/>
                <w:numId w:val="335"/>
              </w:numPr>
              <w:spacing w:after="0" w:line="240" w:lineRule="auto"/>
              <w:ind w:left="709" w:right="142" w:hanging="567"/>
              <w:contextualSpacing w:val="0"/>
              <w:rPr>
                <w:color w:val="000000" w:themeColor="text1"/>
                <w:szCs w:val="24"/>
              </w:rPr>
            </w:pPr>
            <w:r w:rsidRPr="00306115">
              <w:rPr>
                <w:color w:val="000000" w:themeColor="text1"/>
                <w:szCs w:val="24"/>
              </w:rPr>
              <w:t>Rata-rata komposisi instrumen likuid pada Reksa Dana Pasar Uang sangat rendah.</w:t>
            </w:r>
          </w:p>
          <w:p w14:paraId="20C10833" w14:textId="50F3306B" w:rsidR="00474EE3" w:rsidRPr="00306115" w:rsidRDefault="00474EE3">
            <w:pPr>
              <w:pStyle w:val="ListParagraph"/>
              <w:numPr>
                <w:ilvl w:val="0"/>
                <w:numId w:val="335"/>
              </w:numPr>
              <w:spacing w:after="0" w:line="240" w:lineRule="auto"/>
              <w:ind w:left="709" w:right="142" w:hanging="567"/>
              <w:contextualSpacing w:val="0"/>
              <w:rPr>
                <w:color w:val="000000" w:themeColor="text1"/>
                <w:szCs w:val="24"/>
              </w:rPr>
            </w:pPr>
            <w:r w:rsidRPr="00306115">
              <w:rPr>
                <w:color w:val="000000" w:themeColor="text1"/>
                <w:szCs w:val="24"/>
              </w:rPr>
              <w:t xml:space="preserve">Rata-rata </w:t>
            </w:r>
            <w:r w:rsidR="00A33C3B" w:rsidRPr="00306115">
              <w:rPr>
                <w:i/>
                <w:iCs/>
                <w:color w:val="000000" w:themeColor="text1"/>
                <w:szCs w:val="24"/>
              </w:rPr>
              <w:t>redemption</w:t>
            </w:r>
            <w:r w:rsidRPr="00306115">
              <w:rPr>
                <w:color w:val="000000" w:themeColor="text1"/>
                <w:szCs w:val="24"/>
              </w:rPr>
              <w:t xml:space="preserve"> harian terhadap nilai aktiva bersih seluruh produk memiliki signifikansi yang sangat tinggi.  </w:t>
            </w:r>
          </w:p>
          <w:p w14:paraId="2864501D" w14:textId="2A394345" w:rsidR="00474EE3" w:rsidRPr="00306115" w:rsidRDefault="00474EE3">
            <w:pPr>
              <w:pStyle w:val="ListParagraph"/>
              <w:numPr>
                <w:ilvl w:val="0"/>
                <w:numId w:val="335"/>
              </w:numPr>
              <w:spacing w:after="0" w:line="240" w:lineRule="auto"/>
              <w:ind w:left="709" w:right="142" w:hanging="567"/>
              <w:contextualSpacing w:val="0"/>
              <w:rPr>
                <w:color w:val="000000" w:themeColor="text1"/>
                <w:szCs w:val="24"/>
              </w:rPr>
            </w:pPr>
            <w:r w:rsidRPr="00306115">
              <w:rPr>
                <w:color w:val="000000" w:themeColor="text1"/>
                <w:szCs w:val="24"/>
              </w:rPr>
              <w:t xml:space="preserve">Manajer Investasi tidak mampu memenuhi kewajiban dan kebutuhan </w:t>
            </w:r>
            <w:r w:rsidR="00A33C3B" w:rsidRPr="00306115">
              <w:rPr>
                <w:i/>
                <w:iCs/>
                <w:color w:val="000000" w:themeColor="text1"/>
                <w:szCs w:val="24"/>
              </w:rPr>
              <w:t>redemption</w:t>
            </w:r>
            <w:r w:rsidRPr="00306115">
              <w:rPr>
                <w:color w:val="000000" w:themeColor="text1"/>
                <w:szCs w:val="24"/>
              </w:rPr>
              <w:t xml:space="preserve"> dan/atau arus kas pada kondisi normal maupun pada skenario krisis.</w:t>
            </w:r>
          </w:p>
        </w:tc>
      </w:tr>
    </w:tbl>
    <w:p w14:paraId="20E5DA98" w14:textId="77777777" w:rsidR="00FB33D9" w:rsidRPr="00306115" w:rsidRDefault="00FB33D9" w:rsidP="00FB33D9">
      <w:pPr>
        <w:pStyle w:val="HeadingAwalDaftarIsiLampiran"/>
        <w:numPr>
          <w:ilvl w:val="0"/>
          <w:numId w:val="0"/>
        </w:numPr>
        <w:ind w:left="1134"/>
      </w:pPr>
    </w:p>
    <w:p w14:paraId="1ACADCFA" w14:textId="77777777" w:rsidR="00451E35" w:rsidRPr="00306115" w:rsidRDefault="00451E35">
      <w:pPr>
        <w:pStyle w:val="HeadingAwalDaftarIsiLampiran"/>
        <w:numPr>
          <w:ilvl w:val="4"/>
          <w:numId w:val="295"/>
        </w:numPr>
        <w:ind w:left="1134" w:hanging="567"/>
      </w:pPr>
      <w:r w:rsidRPr="00306115">
        <w:t>Matriks Penetapan Kualitas Penerapan Manajemen Risiko</w:t>
      </w:r>
    </w:p>
    <w:tbl>
      <w:tblPr>
        <w:tblStyle w:val="TableGrid"/>
        <w:tblW w:w="8245" w:type="dxa"/>
        <w:tblInd w:w="1129" w:type="dxa"/>
        <w:tblLayout w:type="fixed"/>
        <w:tblLook w:val="04A0" w:firstRow="1" w:lastRow="0" w:firstColumn="1" w:lastColumn="0" w:noHBand="0" w:noVBand="1"/>
      </w:tblPr>
      <w:tblGrid>
        <w:gridCol w:w="1918"/>
        <w:gridCol w:w="6327"/>
      </w:tblGrid>
      <w:tr w:rsidR="00562324" w:rsidRPr="00306115" w14:paraId="50FA0B4F" w14:textId="77777777" w:rsidTr="00F560AF">
        <w:trPr>
          <w:tblHeader/>
        </w:trPr>
        <w:tc>
          <w:tcPr>
            <w:tcW w:w="1918" w:type="dxa"/>
            <w:shd w:val="clear" w:color="auto" w:fill="D9D9D9"/>
            <w:vAlign w:val="center"/>
          </w:tcPr>
          <w:p w14:paraId="7B8E333F" w14:textId="77777777" w:rsidR="00562324" w:rsidRPr="00306115" w:rsidRDefault="00562324" w:rsidP="00F560AF">
            <w:pPr>
              <w:spacing w:before="60" w:after="60"/>
              <w:ind w:left="142" w:right="142"/>
              <w:jc w:val="center"/>
              <w:rPr>
                <w:color w:val="000000" w:themeColor="text1"/>
                <w:szCs w:val="24"/>
              </w:rPr>
            </w:pPr>
            <w:r w:rsidRPr="00306115">
              <w:rPr>
                <w:color w:val="000000" w:themeColor="text1"/>
                <w:szCs w:val="24"/>
              </w:rPr>
              <w:t>Peringkat</w:t>
            </w:r>
          </w:p>
        </w:tc>
        <w:tc>
          <w:tcPr>
            <w:tcW w:w="6327" w:type="dxa"/>
            <w:shd w:val="clear" w:color="auto" w:fill="D9D9D9"/>
            <w:vAlign w:val="center"/>
          </w:tcPr>
          <w:p w14:paraId="1950EF53" w14:textId="77777777" w:rsidR="00562324" w:rsidRPr="00306115" w:rsidRDefault="00562324" w:rsidP="00F560AF">
            <w:pPr>
              <w:spacing w:before="60" w:after="60"/>
              <w:ind w:left="142" w:right="142"/>
              <w:jc w:val="center"/>
              <w:rPr>
                <w:color w:val="000000" w:themeColor="text1"/>
                <w:szCs w:val="24"/>
              </w:rPr>
            </w:pPr>
            <w:r w:rsidRPr="00306115">
              <w:rPr>
                <w:color w:val="000000" w:themeColor="text1"/>
                <w:szCs w:val="24"/>
              </w:rPr>
              <w:t>Definisi Peringkat</w:t>
            </w:r>
          </w:p>
        </w:tc>
      </w:tr>
      <w:tr w:rsidR="00562324" w:rsidRPr="00306115" w14:paraId="0E076747" w14:textId="77777777" w:rsidTr="00F560AF">
        <w:tc>
          <w:tcPr>
            <w:tcW w:w="1918" w:type="dxa"/>
          </w:tcPr>
          <w:p w14:paraId="76D2D0D0" w14:textId="77777777" w:rsidR="00B55AE4" w:rsidRPr="00306115" w:rsidRDefault="00562324" w:rsidP="00F560AF">
            <w:pPr>
              <w:pStyle w:val="BodyText"/>
              <w:numPr>
                <w:ilvl w:val="0"/>
                <w:numId w:val="0"/>
              </w:numPr>
              <w:ind w:left="142" w:right="142"/>
              <w:jc w:val="center"/>
              <w:rPr>
                <w:color w:val="000000" w:themeColor="text1"/>
              </w:rPr>
            </w:pPr>
            <w:r w:rsidRPr="00306115">
              <w:rPr>
                <w:i/>
                <w:iCs/>
                <w:color w:val="000000" w:themeColor="text1"/>
              </w:rPr>
              <w:t>Strong</w:t>
            </w:r>
            <w:r w:rsidRPr="00306115">
              <w:rPr>
                <w:color w:val="000000" w:themeColor="text1"/>
              </w:rPr>
              <w:t xml:space="preserve"> </w:t>
            </w:r>
          </w:p>
          <w:p w14:paraId="2390AC78" w14:textId="3723E346" w:rsidR="00562324" w:rsidRPr="00306115" w:rsidRDefault="00562324" w:rsidP="00F560AF">
            <w:pPr>
              <w:pStyle w:val="BodyText"/>
              <w:numPr>
                <w:ilvl w:val="0"/>
                <w:numId w:val="0"/>
              </w:numPr>
              <w:ind w:left="142" w:right="142"/>
              <w:jc w:val="center"/>
              <w:rPr>
                <w:color w:val="000000" w:themeColor="text1"/>
              </w:rPr>
            </w:pPr>
            <w:r w:rsidRPr="00306115">
              <w:rPr>
                <w:color w:val="000000" w:themeColor="text1"/>
              </w:rPr>
              <w:t>(1)</w:t>
            </w:r>
          </w:p>
        </w:tc>
        <w:tc>
          <w:tcPr>
            <w:tcW w:w="6327" w:type="dxa"/>
          </w:tcPr>
          <w:p w14:paraId="0035381C" w14:textId="77777777" w:rsidR="00562324" w:rsidRPr="00306115" w:rsidRDefault="00562324" w:rsidP="00F560AF">
            <w:pPr>
              <w:ind w:left="142" w:right="142"/>
              <w:rPr>
                <w:b/>
                <w:bCs/>
                <w:color w:val="000000" w:themeColor="text1"/>
                <w:szCs w:val="24"/>
              </w:rPr>
            </w:pPr>
            <w:r w:rsidRPr="00306115">
              <w:rPr>
                <w:color w:val="000000" w:themeColor="text1"/>
                <w:szCs w:val="24"/>
              </w:rPr>
              <w:t>Kualitas penerapan Manajemen Risiko untuk Risiko Likuiditas Produk Investasi sangat memadai. Meskipun terdapat kelemahan minor, tetapi kelemahan tersebut tidak signifikan sehingga dapat diabaikan.</w:t>
            </w:r>
          </w:p>
          <w:p w14:paraId="14B64CB6" w14:textId="69540EB6" w:rsidR="00562324" w:rsidRPr="00306115" w:rsidRDefault="00562324" w:rsidP="00F560AF">
            <w:pPr>
              <w:ind w:left="142" w:right="142"/>
              <w:rPr>
                <w:color w:val="000000" w:themeColor="text1"/>
                <w:szCs w:val="24"/>
              </w:rPr>
            </w:pPr>
            <w:r w:rsidRPr="00306115">
              <w:rPr>
                <w:color w:val="000000" w:themeColor="text1"/>
                <w:szCs w:val="24"/>
              </w:rPr>
              <w:t xml:space="preserve">Contoh </w:t>
            </w:r>
            <w:r w:rsidR="00764ECF" w:rsidRPr="00306115">
              <w:rPr>
                <w:color w:val="000000" w:themeColor="text1"/>
                <w:szCs w:val="24"/>
              </w:rPr>
              <w:t>karakteristik/kondisi</w:t>
            </w:r>
            <w:r w:rsidRPr="00306115">
              <w:rPr>
                <w:color w:val="000000" w:themeColor="text1"/>
                <w:szCs w:val="24"/>
              </w:rPr>
              <w:t xml:space="preserve"> Manajer Investasi yang termasuk dalam peringkat </w:t>
            </w:r>
            <w:r w:rsidRPr="00306115">
              <w:rPr>
                <w:i/>
                <w:color w:val="000000" w:themeColor="text1"/>
                <w:szCs w:val="24"/>
              </w:rPr>
              <w:t xml:space="preserve">Strong </w:t>
            </w:r>
            <w:r w:rsidRPr="00306115">
              <w:rPr>
                <w:color w:val="000000" w:themeColor="text1"/>
                <w:szCs w:val="24"/>
              </w:rPr>
              <w:t>(1) antara lain sebagai berikut:</w:t>
            </w:r>
          </w:p>
          <w:p w14:paraId="30A9A0FC" w14:textId="77777777" w:rsidR="00562324" w:rsidRPr="00306115" w:rsidRDefault="00562324">
            <w:pPr>
              <w:pStyle w:val="ListParagraph"/>
              <w:numPr>
                <w:ilvl w:val="0"/>
                <w:numId w:val="337"/>
              </w:numPr>
              <w:ind w:left="709" w:right="142" w:hanging="567"/>
              <w:contextualSpacing w:val="0"/>
              <w:rPr>
                <w:color w:val="000000" w:themeColor="text1"/>
                <w:szCs w:val="24"/>
              </w:rPr>
            </w:pPr>
            <w:r w:rsidRPr="00306115">
              <w:rPr>
                <w:color w:val="000000" w:themeColor="text1"/>
                <w:szCs w:val="24"/>
              </w:rPr>
              <w:t>Perumusan tingkat risiko yang akan diambil (</w:t>
            </w:r>
            <w:r w:rsidRPr="00306115">
              <w:rPr>
                <w:i/>
                <w:color w:val="000000" w:themeColor="text1"/>
                <w:szCs w:val="24"/>
              </w:rPr>
              <w:t>risk appetite</w:t>
            </w:r>
            <w:r w:rsidRPr="00306115">
              <w:rPr>
                <w:color w:val="000000" w:themeColor="text1"/>
                <w:szCs w:val="24"/>
              </w:rPr>
              <w:t>) dan toleransi (</w:t>
            </w:r>
            <w:r w:rsidRPr="00306115">
              <w:rPr>
                <w:i/>
                <w:color w:val="000000" w:themeColor="text1"/>
                <w:szCs w:val="24"/>
              </w:rPr>
              <w:t>risk tolerance</w:t>
            </w:r>
            <w:r w:rsidRPr="00306115">
              <w:rPr>
                <w:color w:val="000000" w:themeColor="text1"/>
                <w:szCs w:val="24"/>
              </w:rPr>
              <w:t>) Risiko Likuiditas Produk Investasi sangat memadai dan telah sejalan dengan strategi dan tujuan bisnis secara keseluruhan.</w:t>
            </w:r>
          </w:p>
          <w:p w14:paraId="7691B499" w14:textId="77777777" w:rsidR="00562324" w:rsidRPr="00306115" w:rsidRDefault="00562324">
            <w:pPr>
              <w:pStyle w:val="ListParagraph"/>
              <w:numPr>
                <w:ilvl w:val="0"/>
                <w:numId w:val="337"/>
              </w:numPr>
              <w:ind w:left="709" w:right="142" w:hanging="567"/>
              <w:contextualSpacing w:val="0"/>
              <w:rPr>
                <w:color w:val="000000" w:themeColor="text1"/>
                <w:szCs w:val="24"/>
              </w:rPr>
            </w:pPr>
            <w:r w:rsidRPr="00306115">
              <w:rPr>
                <w:color w:val="000000" w:themeColor="text1"/>
                <w:szCs w:val="24"/>
              </w:rPr>
              <w:t>Kesadaran (awareness) dan pemahaman Direksi dan Dewan Komisaris sangat tinggi atau sangat memadai mengenai pelaksanaan Manajemen Risiko, terutama terkait jenis dan tingkat risiko untuk Risiko Likuiditas Produk Investasi.</w:t>
            </w:r>
          </w:p>
          <w:p w14:paraId="4ECA47D1" w14:textId="77777777" w:rsidR="00562324" w:rsidRPr="00306115" w:rsidRDefault="00562324">
            <w:pPr>
              <w:pStyle w:val="ListParagraph"/>
              <w:numPr>
                <w:ilvl w:val="0"/>
                <w:numId w:val="337"/>
              </w:numPr>
              <w:ind w:left="709" w:right="142" w:hanging="567"/>
              <w:contextualSpacing w:val="0"/>
              <w:rPr>
                <w:color w:val="000000" w:themeColor="text1"/>
                <w:szCs w:val="24"/>
              </w:rPr>
            </w:pPr>
            <w:r w:rsidRPr="00306115">
              <w:rPr>
                <w:color w:val="000000" w:themeColor="text1"/>
                <w:szCs w:val="24"/>
              </w:rPr>
              <w:t>Budaya Manajemen Risiko untuk Risiko Likuiditas Produk Investasi sangat kuat dan telah diinternalisasikan dengan sangat baik pada seluruh level organisasi.</w:t>
            </w:r>
          </w:p>
          <w:p w14:paraId="41320F0B" w14:textId="77777777" w:rsidR="00562324" w:rsidRPr="00306115" w:rsidRDefault="00562324">
            <w:pPr>
              <w:pStyle w:val="ListParagraph"/>
              <w:numPr>
                <w:ilvl w:val="0"/>
                <w:numId w:val="337"/>
              </w:numPr>
              <w:ind w:left="709" w:right="142" w:hanging="567"/>
              <w:contextualSpacing w:val="0"/>
              <w:rPr>
                <w:color w:val="000000" w:themeColor="text1"/>
                <w:szCs w:val="24"/>
              </w:rPr>
            </w:pPr>
            <w:r w:rsidRPr="00306115">
              <w:rPr>
                <w:color w:val="000000" w:themeColor="text1"/>
                <w:szCs w:val="24"/>
              </w:rPr>
              <w:t>Pelaksanaan tugas Direksi dan Dewan Komisaris secara keseluruhan sangat memadai.</w:t>
            </w:r>
          </w:p>
          <w:p w14:paraId="3877E4F9" w14:textId="77777777" w:rsidR="00562324" w:rsidRPr="00306115" w:rsidRDefault="00562324">
            <w:pPr>
              <w:pStyle w:val="ListParagraph"/>
              <w:numPr>
                <w:ilvl w:val="0"/>
                <w:numId w:val="337"/>
              </w:numPr>
              <w:ind w:left="709" w:right="142" w:hanging="567"/>
              <w:contextualSpacing w:val="0"/>
              <w:rPr>
                <w:color w:val="000000" w:themeColor="text1"/>
                <w:szCs w:val="24"/>
              </w:rPr>
            </w:pPr>
            <w:r w:rsidRPr="00306115">
              <w:rPr>
                <w:color w:val="000000" w:themeColor="text1"/>
                <w:szCs w:val="24"/>
              </w:rPr>
              <w:t>Fungsi Manajemen Risiko untuk Risiko Likuiditas Produk Investasi independen, memiliki tugas dan tanggung jawab yang jelas, dan telah berjalan dengan sangat baik.</w:t>
            </w:r>
          </w:p>
          <w:p w14:paraId="6A980556" w14:textId="77777777" w:rsidR="00562324" w:rsidRPr="00306115" w:rsidRDefault="00562324">
            <w:pPr>
              <w:pStyle w:val="ListParagraph"/>
              <w:numPr>
                <w:ilvl w:val="0"/>
                <w:numId w:val="337"/>
              </w:numPr>
              <w:ind w:left="709" w:right="142" w:hanging="567"/>
              <w:contextualSpacing w:val="0"/>
              <w:rPr>
                <w:color w:val="000000" w:themeColor="text1"/>
                <w:szCs w:val="24"/>
              </w:rPr>
            </w:pPr>
            <w:r w:rsidRPr="00306115">
              <w:rPr>
                <w:color w:val="000000" w:themeColor="text1"/>
                <w:szCs w:val="24"/>
              </w:rPr>
              <w:lastRenderedPageBreak/>
              <w:t>Kerangka pedelegasian wewenang sangat memadai.</w:t>
            </w:r>
          </w:p>
          <w:p w14:paraId="6511AF1F" w14:textId="77777777" w:rsidR="00562324" w:rsidRPr="00306115" w:rsidRDefault="00562324">
            <w:pPr>
              <w:pStyle w:val="ListParagraph"/>
              <w:numPr>
                <w:ilvl w:val="0"/>
                <w:numId w:val="337"/>
              </w:numPr>
              <w:ind w:left="709" w:right="142" w:hanging="567"/>
              <w:contextualSpacing w:val="0"/>
              <w:rPr>
                <w:i/>
                <w:iCs/>
                <w:color w:val="000000" w:themeColor="text1"/>
                <w:szCs w:val="24"/>
              </w:rPr>
            </w:pPr>
            <w:r w:rsidRPr="00306115">
              <w:rPr>
                <w:color w:val="000000" w:themeColor="text1"/>
                <w:szCs w:val="24"/>
              </w:rPr>
              <w:t>Kebijakan dan prosedur Manajemen Risiko serta penetapan limit Risiko Likuiditas Produk Investasi sangat memadai, diterapkan dengan sangat baik, dan dipahami dengan sangat baik oleh pegawai.</w:t>
            </w:r>
          </w:p>
          <w:p w14:paraId="51FBE1F4" w14:textId="77777777" w:rsidR="00562324" w:rsidRPr="00306115" w:rsidRDefault="00562324">
            <w:pPr>
              <w:pStyle w:val="ListParagraph"/>
              <w:numPr>
                <w:ilvl w:val="0"/>
                <w:numId w:val="337"/>
              </w:numPr>
              <w:ind w:left="709" w:right="142" w:hanging="567"/>
              <w:contextualSpacing w:val="0"/>
              <w:rPr>
                <w:color w:val="000000" w:themeColor="text1"/>
                <w:szCs w:val="24"/>
              </w:rPr>
            </w:pPr>
            <w:r w:rsidRPr="00306115">
              <w:rPr>
                <w:color w:val="000000" w:themeColor="text1"/>
                <w:szCs w:val="24"/>
              </w:rPr>
              <w:t>Strategi Manajemen Risiko untuk Risiko Likuiditas Produk Investasi sangat memadai dan sangat sejalan dengan tingkat risiko yang akan diambil dan toleransi Risiko Likuiditas Produk Investasi.</w:t>
            </w:r>
          </w:p>
          <w:p w14:paraId="47183A49" w14:textId="77777777" w:rsidR="00562324" w:rsidRPr="00306115" w:rsidRDefault="00562324">
            <w:pPr>
              <w:pStyle w:val="ListParagraph"/>
              <w:numPr>
                <w:ilvl w:val="0"/>
                <w:numId w:val="337"/>
              </w:numPr>
              <w:ind w:left="709" w:right="142" w:hanging="567"/>
              <w:contextualSpacing w:val="0"/>
              <w:rPr>
                <w:i/>
                <w:iCs/>
                <w:color w:val="000000" w:themeColor="text1"/>
                <w:szCs w:val="24"/>
              </w:rPr>
            </w:pPr>
            <w:r w:rsidRPr="00306115">
              <w:rPr>
                <w:color w:val="000000" w:themeColor="text1"/>
                <w:szCs w:val="24"/>
              </w:rPr>
              <w:t>Penyusunan dan penerapan rencana kontijensi (</w:t>
            </w:r>
            <w:r w:rsidRPr="00306115">
              <w:rPr>
                <w:i/>
                <w:iCs/>
                <w:color w:val="000000" w:themeColor="text1"/>
                <w:szCs w:val="24"/>
              </w:rPr>
              <w:t>contigency plan</w:t>
            </w:r>
            <w:r w:rsidRPr="00306115">
              <w:rPr>
                <w:color w:val="000000" w:themeColor="text1"/>
                <w:szCs w:val="24"/>
              </w:rPr>
              <w:t>) sangat memadai dan diuji secara berkala.</w:t>
            </w:r>
          </w:p>
          <w:p w14:paraId="0780EAE6" w14:textId="77777777" w:rsidR="00562324" w:rsidRPr="00306115" w:rsidRDefault="00562324">
            <w:pPr>
              <w:pStyle w:val="ListParagraph"/>
              <w:numPr>
                <w:ilvl w:val="0"/>
                <w:numId w:val="337"/>
              </w:numPr>
              <w:ind w:left="709" w:right="142" w:hanging="567"/>
              <w:contextualSpacing w:val="0"/>
              <w:rPr>
                <w:color w:val="000000" w:themeColor="text1"/>
                <w:szCs w:val="24"/>
              </w:rPr>
            </w:pPr>
            <w:r w:rsidRPr="00306115">
              <w:rPr>
                <w:color w:val="000000" w:themeColor="text1"/>
                <w:szCs w:val="24"/>
              </w:rPr>
              <w:t>Proses Manajemen Risiko untuk Risiko Likuiditas Produk Investasi sangat memadai dalam mengidentifikasi, mengukur, memantau, dan mengendalikan Risiko Likuiditas Produk Investasi.</w:t>
            </w:r>
          </w:p>
          <w:p w14:paraId="77C02E00" w14:textId="77777777" w:rsidR="00562324" w:rsidRPr="00306115" w:rsidRDefault="00562324">
            <w:pPr>
              <w:pStyle w:val="ListParagraph"/>
              <w:numPr>
                <w:ilvl w:val="0"/>
                <w:numId w:val="337"/>
              </w:numPr>
              <w:ind w:left="709" w:right="142" w:hanging="567"/>
              <w:contextualSpacing w:val="0"/>
              <w:rPr>
                <w:color w:val="000000" w:themeColor="text1"/>
                <w:szCs w:val="24"/>
              </w:rPr>
            </w:pPr>
            <w:r w:rsidRPr="00306115">
              <w:rPr>
                <w:color w:val="000000" w:themeColor="text1"/>
                <w:szCs w:val="24"/>
              </w:rPr>
              <w:t xml:space="preserve">Penilaian secara bulanan atas profil likuiditas aset dalam portofolio Produk Investasi yang dikelola untuk kepentingan likuiditas Produk Investasi, profil likuiditas dari kewajiban Produk Investasi, dan profil likuiditas aset atau tingkat kewajiban Produk Investasi dalam merespon berbagai skenario situasi pasar termasuk </w:t>
            </w:r>
            <w:r w:rsidRPr="00306115">
              <w:rPr>
                <w:i/>
                <w:iCs/>
                <w:color w:val="000000" w:themeColor="text1"/>
                <w:szCs w:val="24"/>
              </w:rPr>
              <w:t>stress testing</w:t>
            </w:r>
            <w:r w:rsidRPr="00306115">
              <w:rPr>
                <w:color w:val="000000" w:themeColor="text1"/>
                <w:szCs w:val="24"/>
              </w:rPr>
              <w:t xml:space="preserve"> atas setiap Produk Investasi yang bersifat terbuka dilakukan secara sangat memadai dan didasarkan pada informasi yang handal dan terkini.</w:t>
            </w:r>
          </w:p>
          <w:p w14:paraId="22B1BBE6" w14:textId="77777777" w:rsidR="00562324" w:rsidRPr="00306115" w:rsidRDefault="00562324">
            <w:pPr>
              <w:pStyle w:val="ListParagraph"/>
              <w:numPr>
                <w:ilvl w:val="0"/>
                <w:numId w:val="337"/>
              </w:numPr>
              <w:ind w:left="709" w:right="142" w:hanging="567"/>
              <w:contextualSpacing w:val="0"/>
              <w:rPr>
                <w:color w:val="000000" w:themeColor="text1"/>
                <w:szCs w:val="24"/>
              </w:rPr>
            </w:pPr>
            <w:r w:rsidRPr="00306115">
              <w:rPr>
                <w:color w:val="000000" w:themeColor="text1"/>
                <w:szCs w:val="24"/>
              </w:rPr>
              <w:t>Sistem Informasi Manajemen Risiko untuk Risiko Likuiditas Produk Investasi sangat baik dalam menghasilkan informasi dan laporan Risiko Likuiditas Produk Investasi yang komprehensif.</w:t>
            </w:r>
          </w:p>
          <w:p w14:paraId="178230D0" w14:textId="3B558D6F" w:rsidR="00562324" w:rsidRPr="00306115" w:rsidRDefault="00562324">
            <w:pPr>
              <w:pStyle w:val="ListParagraph"/>
              <w:numPr>
                <w:ilvl w:val="0"/>
                <w:numId w:val="337"/>
              </w:numPr>
              <w:ind w:left="709" w:right="142" w:hanging="567"/>
              <w:contextualSpacing w:val="0"/>
              <w:rPr>
                <w:color w:val="000000" w:themeColor="text1"/>
                <w:szCs w:val="24"/>
              </w:rPr>
            </w:pPr>
            <w:r w:rsidRPr="00306115">
              <w:rPr>
                <w:color w:val="000000" w:themeColor="text1"/>
                <w:szCs w:val="24"/>
              </w:rPr>
              <w:t xml:space="preserve">Secara umum sumber daya manusia sangat memadai baik dari sisi jumlah maupun kompetensi pada fungsi </w:t>
            </w:r>
            <w:r w:rsidR="001008B5" w:rsidRPr="00306115">
              <w:rPr>
                <w:color w:val="000000" w:themeColor="text1"/>
              </w:rPr>
              <w:t>Manajemen Risiko</w:t>
            </w:r>
            <w:r w:rsidR="001008B5" w:rsidRPr="00306115">
              <w:rPr>
                <w:color w:val="000000" w:themeColor="text1"/>
                <w:szCs w:val="24"/>
              </w:rPr>
              <w:t xml:space="preserve"> </w:t>
            </w:r>
            <w:r w:rsidRPr="00306115">
              <w:rPr>
                <w:color w:val="000000" w:themeColor="text1"/>
                <w:szCs w:val="24"/>
              </w:rPr>
              <w:t>untuk Risiko Likuiditas Produk Investasi.</w:t>
            </w:r>
          </w:p>
          <w:p w14:paraId="78974F43" w14:textId="77777777" w:rsidR="00562324" w:rsidRPr="00306115" w:rsidRDefault="00562324">
            <w:pPr>
              <w:pStyle w:val="ListParagraph"/>
              <w:numPr>
                <w:ilvl w:val="0"/>
                <w:numId w:val="337"/>
              </w:numPr>
              <w:ind w:left="709" w:right="142" w:hanging="567"/>
              <w:contextualSpacing w:val="0"/>
              <w:rPr>
                <w:color w:val="000000" w:themeColor="text1"/>
                <w:szCs w:val="24"/>
              </w:rPr>
            </w:pPr>
            <w:r w:rsidRPr="00306115">
              <w:rPr>
                <w:color w:val="000000" w:themeColor="text1"/>
                <w:szCs w:val="24"/>
              </w:rPr>
              <w:t>Sistem pengendalian internal sangat efektif dalam mendukung pelaksanaan Manajemen Risiko untuk Risiko Likuiditas Produk Investasi.</w:t>
            </w:r>
          </w:p>
          <w:p w14:paraId="5FC8A3EA" w14:textId="73F830E2" w:rsidR="00562324" w:rsidRPr="00306115" w:rsidRDefault="00562324">
            <w:pPr>
              <w:pStyle w:val="ListParagraph"/>
              <w:numPr>
                <w:ilvl w:val="0"/>
                <w:numId w:val="337"/>
              </w:numPr>
              <w:ind w:left="709" w:right="142" w:hanging="567"/>
              <w:contextualSpacing w:val="0"/>
              <w:rPr>
                <w:color w:val="000000" w:themeColor="text1"/>
                <w:szCs w:val="24"/>
              </w:rPr>
            </w:pPr>
            <w:r w:rsidRPr="00306115">
              <w:rPr>
                <w:color w:val="000000" w:themeColor="text1"/>
                <w:szCs w:val="24"/>
              </w:rPr>
              <w:t xml:space="preserve">Pelaksanaan kaji ulang oleh fungsi </w:t>
            </w:r>
            <w:r w:rsidR="001008B5" w:rsidRPr="00306115">
              <w:rPr>
                <w:color w:val="000000" w:themeColor="text1"/>
              </w:rPr>
              <w:t>Manajemen Risiko</w:t>
            </w:r>
            <w:r w:rsidR="001008B5" w:rsidRPr="00306115">
              <w:rPr>
                <w:color w:val="000000" w:themeColor="text1"/>
                <w:szCs w:val="24"/>
              </w:rPr>
              <w:t xml:space="preserve"> </w:t>
            </w:r>
            <w:r w:rsidRPr="00306115">
              <w:rPr>
                <w:color w:val="000000" w:themeColor="text1"/>
                <w:szCs w:val="24"/>
              </w:rPr>
              <w:t>dan fungsi audit internal sangat memadai baik dari sisi metodologi, frekuensi, maupun pelaporan kepada Direksi dan Dewan Komisaris.</w:t>
            </w:r>
          </w:p>
          <w:p w14:paraId="2F453B79" w14:textId="77777777" w:rsidR="00562324" w:rsidRPr="00306115" w:rsidRDefault="00562324">
            <w:pPr>
              <w:pStyle w:val="ListParagraph"/>
              <w:numPr>
                <w:ilvl w:val="0"/>
                <w:numId w:val="337"/>
              </w:numPr>
              <w:ind w:left="709" w:right="142" w:hanging="567"/>
              <w:contextualSpacing w:val="0"/>
              <w:rPr>
                <w:color w:val="000000" w:themeColor="text1"/>
                <w:szCs w:val="24"/>
              </w:rPr>
            </w:pPr>
            <w:r w:rsidRPr="00306115">
              <w:rPr>
                <w:color w:val="000000" w:themeColor="text1"/>
                <w:szCs w:val="24"/>
              </w:rPr>
              <w:t>Tindak lanjut atas kaji ulang telah dilaksanakan dengan sangat memadai.</w:t>
            </w:r>
          </w:p>
        </w:tc>
      </w:tr>
      <w:tr w:rsidR="00562324" w:rsidRPr="00306115" w14:paraId="68977091" w14:textId="77777777" w:rsidTr="00F560AF">
        <w:tc>
          <w:tcPr>
            <w:tcW w:w="1918" w:type="dxa"/>
          </w:tcPr>
          <w:p w14:paraId="4D11CBDC" w14:textId="46F59F8E" w:rsidR="00562324" w:rsidRPr="00306115" w:rsidRDefault="00562324" w:rsidP="00B55AE4">
            <w:pPr>
              <w:pStyle w:val="BodyText"/>
              <w:numPr>
                <w:ilvl w:val="0"/>
                <w:numId w:val="0"/>
              </w:numPr>
              <w:ind w:left="142" w:right="142"/>
              <w:jc w:val="center"/>
              <w:rPr>
                <w:color w:val="000000" w:themeColor="text1"/>
              </w:rPr>
            </w:pPr>
            <w:r w:rsidRPr="00306115">
              <w:rPr>
                <w:i/>
                <w:iCs/>
                <w:color w:val="000000" w:themeColor="text1"/>
              </w:rPr>
              <w:lastRenderedPageBreak/>
              <w:t>Satisfactory</w:t>
            </w:r>
            <w:r w:rsidRPr="00306115">
              <w:rPr>
                <w:color w:val="000000" w:themeColor="text1"/>
              </w:rPr>
              <w:t>(2)</w:t>
            </w:r>
          </w:p>
        </w:tc>
        <w:tc>
          <w:tcPr>
            <w:tcW w:w="6327" w:type="dxa"/>
          </w:tcPr>
          <w:p w14:paraId="3EC6922F" w14:textId="77777777" w:rsidR="00562324" w:rsidRPr="00306115" w:rsidRDefault="00562324" w:rsidP="00F560AF">
            <w:pPr>
              <w:ind w:left="142" w:right="142"/>
              <w:rPr>
                <w:b/>
                <w:bCs/>
                <w:color w:val="000000" w:themeColor="text1"/>
                <w:szCs w:val="24"/>
              </w:rPr>
            </w:pPr>
            <w:r w:rsidRPr="00306115">
              <w:rPr>
                <w:color w:val="000000" w:themeColor="text1"/>
                <w:szCs w:val="24"/>
              </w:rPr>
              <w:t xml:space="preserve">Kualitas penerapan Manajemen Risiko untuk Risiko Likuiditas Produk Investasi memadai. </w:t>
            </w:r>
            <w:r w:rsidRPr="00306115">
              <w:rPr>
                <w:color w:val="000000" w:themeColor="text1"/>
                <w:szCs w:val="24"/>
              </w:rPr>
              <w:lastRenderedPageBreak/>
              <w:t>Terdapat beberapa kelemahan minor, tetapi kelemahan tersebut dapat diselesaikan pada aktivitas kegiatan usaha normal.</w:t>
            </w:r>
          </w:p>
          <w:p w14:paraId="62E2F80D" w14:textId="245FBF63" w:rsidR="00562324" w:rsidRPr="00306115" w:rsidRDefault="00562324" w:rsidP="00F560AF">
            <w:pPr>
              <w:ind w:left="142" w:right="142"/>
              <w:rPr>
                <w:color w:val="000000" w:themeColor="text1"/>
                <w:szCs w:val="24"/>
              </w:rPr>
            </w:pPr>
            <w:r w:rsidRPr="00306115">
              <w:rPr>
                <w:color w:val="000000" w:themeColor="text1"/>
                <w:szCs w:val="24"/>
              </w:rPr>
              <w:t xml:space="preserve">Contoh </w:t>
            </w:r>
            <w:r w:rsidR="00764ECF" w:rsidRPr="00306115">
              <w:rPr>
                <w:color w:val="000000" w:themeColor="text1"/>
                <w:szCs w:val="24"/>
              </w:rPr>
              <w:t>karakteristik/kondisi</w:t>
            </w:r>
            <w:r w:rsidRPr="00306115">
              <w:rPr>
                <w:color w:val="000000" w:themeColor="text1"/>
                <w:szCs w:val="24"/>
              </w:rPr>
              <w:t xml:space="preserve"> Manajer Investasi yang termasuk dalam peringkat </w:t>
            </w:r>
            <w:r w:rsidRPr="00306115">
              <w:rPr>
                <w:i/>
                <w:color w:val="000000" w:themeColor="text1"/>
                <w:szCs w:val="24"/>
              </w:rPr>
              <w:t xml:space="preserve">Satisfactory </w:t>
            </w:r>
            <w:r w:rsidRPr="00306115">
              <w:rPr>
                <w:color w:val="000000" w:themeColor="text1"/>
                <w:szCs w:val="24"/>
              </w:rPr>
              <w:t>(2) antara lain sebagai berikut:</w:t>
            </w:r>
          </w:p>
          <w:p w14:paraId="385308E7" w14:textId="77777777" w:rsidR="00562324" w:rsidRPr="00306115" w:rsidRDefault="00562324">
            <w:pPr>
              <w:pStyle w:val="ListParagraph"/>
              <w:numPr>
                <w:ilvl w:val="0"/>
                <w:numId w:val="338"/>
              </w:numPr>
              <w:ind w:left="709" w:right="142" w:hanging="567"/>
              <w:contextualSpacing w:val="0"/>
              <w:rPr>
                <w:color w:val="000000" w:themeColor="text1"/>
                <w:szCs w:val="24"/>
              </w:rPr>
            </w:pPr>
            <w:r w:rsidRPr="00306115">
              <w:rPr>
                <w:color w:val="000000" w:themeColor="text1"/>
                <w:szCs w:val="24"/>
              </w:rPr>
              <w:t>Perumusan tingkat risiko yang akan diambil (</w:t>
            </w:r>
            <w:r w:rsidRPr="00306115">
              <w:rPr>
                <w:i/>
                <w:color w:val="000000" w:themeColor="text1"/>
                <w:szCs w:val="24"/>
              </w:rPr>
              <w:t>risk appetite</w:t>
            </w:r>
            <w:r w:rsidRPr="00306115">
              <w:rPr>
                <w:color w:val="000000" w:themeColor="text1"/>
                <w:szCs w:val="24"/>
              </w:rPr>
              <w:t>) dan toleransi (</w:t>
            </w:r>
            <w:r w:rsidRPr="00306115">
              <w:rPr>
                <w:i/>
                <w:color w:val="000000" w:themeColor="text1"/>
                <w:szCs w:val="24"/>
              </w:rPr>
              <w:t>risk tolerance</w:t>
            </w:r>
            <w:r w:rsidRPr="00306115">
              <w:rPr>
                <w:color w:val="000000" w:themeColor="text1"/>
                <w:szCs w:val="24"/>
              </w:rPr>
              <w:t>) Risiko Likuiditas Produk Investasi memadai dan telah sejalan dengan strategi dan tujuan bisnis secara keseluruhan.</w:t>
            </w:r>
          </w:p>
          <w:p w14:paraId="64895B42" w14:textId="77777777" w:rsidR="00562324" w:rsidRPr="00306115" w:rsidRDefault="00562324">
            <w:pPr>
              <w:pStyle w:val="ListParagraph"/>
              <w:numPr>
                <w:ilvl w:val="0"/>
                <w:numId w:val="338"/>
              </w:numPr>
              <w:ind w:left="709" w:right="142" w:hanging="567"/>
              <w:contextualSpacing w:val="0"/>
              <w:rPr>
                <w:color w:val="000000" w:themeColor="text1"/>
                <w:szCs w:val="24"/>
              </w:rPr>
            </w:pPr>
            <w:r w:rsidRPr="00306115">
              <w:rPr>
                <w:color w:val="000000" w:themeColor="text1"/>
                <w:szCs w:val="24"/>
              </w:rPr>
              <w:t>Kesadaran (awareness) dan pemahaman Direksi dan Dewan Komisaris tinggi atau memadai mengenai pelaksanaan Manajemen Risiko, terutama terkait jenis dan tingkat risiko untuk Risiko Likuiditas Produk Investasi.</w:t>
            </w:r>
          </w:p>
          <w:p w14:paraId="047EEEE9" w14:textId="77777777" w:rsidR="00562324" w:rsidRPr="00306115" w:rsidRDefault="00562324">
            <w:pPr>
              <w:pStyle w:val="ListParagraph"/>
              <w:numPr>
                <w:ilvl w:val="0"/>
                <w:numId w:val="338"/>
              </w:numPr>
              <w:ind w:left="709" w:right="142" w:hanging="567"/>
              <w:contextualSpacing w:val="0"/>
              <w:rPr>
                <w:color w:val="000000" w:themeColor="text1"/>
                <w:szCs w:val="24"/>
              </w:rPr>
            </w:pPr>
            <w:r w:rsidRPr="00306115">
              <w:rPr>
                <w:color w:val="000000" w:themeColor="text1"/>
                <w:szCs w:val="24"/>
              </w:rPr>
              <w:t>Budaya Manajemen Risiko untuk Risiko Likuiditas Produk Investasi kuat dan telah diinternalisasikan dengan baik pada seluruh level organisasi.</w:t>
            </w:r>
          </w:p>
          <w:p w14:paraId="14A024C2" w14:textId="77777777" w:rsidR="00562324" w:rsidRPr="00306115" w:rsidRDefault="00562324">
            <w:pPr>
              <w:pStyle w:val="ListParagraph"/>
              <w:numPr>
                <w:ilvl w:val="0"/>
                <w:numId w:val="338"/>
              </w:numPr>
              <w:ind w:left="709" w:right="142" w:hanging="567"/>
              <w:contextualSpacing w:val="0"/>
              <w:rPr>
                <w:color w:val="000000" w:themeColor="text1"/>
                <w:szCs w:val="24"/>
              </w:rPr>
            </w:pPr>
            <w:r w:rsidRPr="00306115">
              <w:rPr>
                <w:color w:val="000000" w:themeColor="text1"/>
                <w:szCs w:val="24"/>
              </w:rPr>
              <w:t>Pelaksanaan tugas Direksi dan Dewan Komisaris secara keseluruhan memadai. Terdapat beberapa kelemahan yang tidak signifikan dan dapat diperbaiki dengan segera.</w:t>
            </w:r>
          </w:p>
          <w:p w14:paraId="5EAEDE39" w14:textId="77777777" w:rsidR="00562324" w:rsidRPr="00306115" w:rsidRDefault="00562324">
            <w:pPr>
              <w:pStyle w:val="ListParagraph"/>
              <w:numPr>
                <w:ilvl w:val="0"/>
                <w:numId w:val="338"/>
              </w:numPr>
              <w:ind w:left="709" w:right="142" w:hanging="567"/>
              <w:contextualSpacing w:val="0"/>
              <w:rPr>
                <w:color w:val="000000" w:themeColor="text1"/>
                <w:szCs w:val="24"/>
              </w:rPr>
            </w:pPr>
            <w:r w:rsidRPr="00306115">
              <w:rPr>
                <w:color w:val="000000" w:themeColor="text1"/>
                <w:szCs w:val="24"/>
              </w:rPr>
              <w:t>Fungsi Manajemen Risiko untuk Risiko Likuiditas Produk Investasi independen, memiliki tugas dan tanggung jawab yang jelas, dan telah berjalan dengan baik. Terdapat kelemahan minor yang dapat diselesaikan pada aktivitas kegiatan usaha normal.</w:t>
            </w:r>
          </w:p>
          <w:p w14:paraId="75900FF0" w14:textId="77777777" w:rsidR="00562324" w:rsidRPr="00306115" w:rsidRDefault="00562324">
            <w:pPr>
              <w:pStyle w:val="ListParagraph"/>
              <w:numPr>
                <w:ilvl w:val="0"/>
                <w:numId w:val="338"/>
              </w:numPr>
              <w:ind w:left="709" w:right="142" w:hanging="567"/>
              <w:contextualSpacing w:val="0"/>
              <w:rPr>
                <w:color w:val="000000" w:themeColor="text1"/>
                <w:szCs w:val="24"/>
              </w:rPr>
            </w:pPr>
            <w:r w:rsidRPr="00306115">
              <w:rPr>
                <w:color w:val="000000" w:themeColor="text1"/>
                <w:szCs w:val="24"/>
              </w:rPr>
              <w:t>Kerangka pedelegasian wewenang memadai.</w:t>
            </w:r>
          </w:p>
          <w:p w14:paraId="32C06539" w14:textId="77777777" w:rsidR="00562324" w:rsidRPr="00306115" w:rsidRDefault="00562324">
            <w:pPr>
              <w:pStyle w:val="ListParagraph"/>
              <w:numPr>
                <w:ilvl w:val="0"/>
                <w:numId w:val="338"/>
              </w:numPr>
              <w:ind w:left="709" w:right="142" w:hanging="567"/>
              <w:contextualSpacing w:val="0"/>
              <w:rPr>
                <w:color w:val="000000" w:themeColor="text1"/>
                <w:szCs w:val="24"/>
              </w:rPr>
            </w:pPr>
            <w:r w:rsidRPr="00306115">
              <w:rPr>
                <w:color w:val="000000" w:themeColor="text1"/>
                <w:szCs w:val="24"/>
              </w:rPr>
              <w:t>Kebijakan dan prosedur Manajemen Risiko serta penetapan limit Risiko Likuiditas Produk Investasi memadai, diterapkan dengan baik, dan dipahami dengan baik oleh pegawai.</w:t>
            </w:r>
          </w:p>
          <w:p w14:paraId="19F7F913" w14:textId="77777777" w:rsidR="00562324" w:rsidRPr="00306115" w:rsidRDefault="00562324">
            <w:pPr>
              <w:pStyle w:val="ListParagraph"/>
              <w:numPr>
                <w:ilvl w:val="0"/>
                <w:numId w:val="338"/>
              </w:numPr>
              <w:ind w:left="709" w:right="142" w:hanging="567"/>
              <w:contextualSpacing w:val="0"/>
              <w:rPr>
                <w:color w:val="000000" w:themeColor="text1"/>
                <w:szCs w:val="24"/>
              </w:rPr>
            </w:pPr>
            <w:r w:rsidRPr="00306115">
              <w:rPr>
                <w:color w:val="000000" w:themeColor="text1"/>
                <w:szCs w:val="24"/>
              </w:rPr>
              <w:t>Strategi Manajemen Risiko untuk Risiko Likuiditas Produk Investasi memadai dan sejalan dengan tingkat risiko yang akan diambil dan toleransi Risiko Likuiditas Produk Investasi.</w:t>
            </w:r>
          </w:p>
          <w:p w14:paraId="591B1EAD" w14:textId="77777777" w:rsidR="00562324" w:rsidRPr="00306115" w:rsidRDefault="00562324">
            <w:pPr>
              <w:pStyle w:val="ListParagraph"/>
              <w:numPr>
                <w:ilvl w:val="0"/>
                <w:numId w:val="338"/>
              </w:numPr>
              <w:ind w:left="709" w:right="142" w:hanging="567"/>
              <w:contextualSpacing w:val="0"/>
              <w:rPr>
                <w:color w:val="000000" w:themeColor="text1"/>
                <w:szCs w:val="24"/>
              </w:rPr>
            </w:pPr>
            <w:r w:rsidRPr="00306115">
              <w:rPr>
                <w:color w:val="000000" w:themeColor="text1"/>
                <w:szCs w:val="24"/>
              </w:rPr>
              <w:t>Penyusunan dan penerapan rencana kontijensi (contigency plan) memadai dan diuji secara berkala.</w:t>
            </w:r>
          </w:p>
          <w:p w14:paraId="0074A559" w14:textId="77777777" w:rsidR="00562324" w:rsidRPr="00306115" w:rsidRDefault="00562324">
            <w:pPr>
              <w:pStyle w:val="ListParagraph"/>
              <w:numPr>
                <w:ilvl w:val="0"/>
                <w:numId w:val="338"/>
              </w:numPr>
              <w:ind w:left="709" w:right="142" w:hanging="567"/>
              <w:contextualSpacing w:val="0"/>
              <w:rPr>
                <w:color w:val="000000" w:themeColor="text1"/>
                <w:szCs w:val="24"/>
              </w:rPr>
            </w:pPr>
            <w:r w:rsidRPr="00306115">
              <w:rPr>
                <w:color w:val="000000" w:themeColor="text1"/>
                <w:szCs w:val="24"/>
              </w:rPr>
              <w:t>Proses Manajemen Risiko untuk Risiko Likuiditas Produk Investasi memadai dalam mengidentifikasi, mengukur, memantau, dan mengendalikan Risiko Likuiditas Produk Investasi.</w:t>
            </w:r>
          </w:p>
          <w:p w14:paraId="15F7FA49" w14:textId="77777777" w:rsidR="00562324" w:rsidRPr="00306115" w:rsidRDefault="00562324">
            <w:pPr>
              <w:pStyle w:val="ListParagraph"/>
              <w:numPr>
                <w:ilvl w:val="0"/>
                <w:numId w:val="338"/>
              </w:numPr>
              <w:ind w:left="709" w:right="142" w:hanging="567"/>
              <w:contextualSpacing w:val="0"/>
              <w:rPr>
                <w:color w:val="000000" w:themeColor="text1"/>
                <w:szCs w:val="24"/>
              </w:rPr>
            </w:pPr>
            <w:r w:rsidRPr="00306115">
              <w:rPr>
                <w:color w:val="000000" w:themeColor="text1"/>
                <w:szCs w:val="24"/>
              </w:rPr>
              <w:t xml:space="preserve">Penilaian secara bulanan atas profil likuiditas aset dalam portofolio Produk </w:t>
            </w:r>
            <w:r w:rsidRPr="00306115">
              <w:rPr>
                <w:color w:val="000000" w:themeColor="text1"/>
                <w:szCs w:val="24"/>
              </w:rPr>
              <w:lastRenderedPageBreak/>
              <w:t>Investasi yang dikelola untuk kepentingan likuiditas Produk Investasi, profil likuiditas dari kewajiban Produk Investasi, dan profil likuiditas aset atau tingkat kewajiban Produk Investasi dalam merespon berbagai skenario situasi pasar termasuk stress testing atas setiap Produk Investasi yang bersifat terbuka dilakukan secara memadai dan didasarkan pada informasi yang handal dan terkini.</w:t>
            </w:r>
          </w:p>
          <w:p w14:paraId="654989C7" w14:textId="77777777" w:rsidR="00562324" w:rsidRPr="00306115" w:rsidRDefault="00562324">
            <w:pPr>
              <w:pStyle w:val="ListParagraph"/>
              <w:numPr>
                <w:ilvl w:val="0"/>
                <w:numId w:val="338"/>
              </w:numPr>
              <w:ind w:left="709" w:right="142" w:hanging="567"/>
              <w:contextualSpacing w:val="0"/>
              <w:rPr>
                <w:color w:val="000000" w:themeColor="text1"/>
                <w:szCs w:val="24"/>
              </w:rPr>
            </w:pPr>
            <w:r w:rsidRPr="00306115">
              <w:rPr>
                <w:color w:val="000000" w:themeColor="text1"/>
                <w:szCs w:val="24"/>
              </w:rPr>
              <w:t>Sistem Informasi Manajemen Risiko untuk Risiko Likuiditas Produk Investasi baik dalam menghasilkan informasi dan laporan Risiko Likuiditas Produk Investasi yang komprehensif.</w:t>
            </w:r>
          </w:p>
          <w:p w14:paraId="513772AB" w14:textId="06A56CF9" w:rsidR="00562324" w:rsidRPr="00306115" w:rsidRDefault="00562324">
            <w:pPr>
              <w:pStyle w:val="ListParagraph"/>
              <w:numPr>
                <w:ilvl w:val="0"/>
                <w:numId w:val="338"/>
              </w:numPr>
              <w:ind w:left="709" w:right="142" w:hanging="567"/>
              <w:contextualSpacing w:val="0"/>
              <w:rPr>
                <w:color w:val="000000" w:themeColor="text1"/>
                <w:szCs w:val="24"/>
              </w:rPr>
            </w:pPr>
            <w:r w:rsidRPr="00306115">
              <w:rPr>
                <w:color w:val="000000" w:themeColor="text1"/>
                <w:szCs w:val="24"/>
              </w:rPr>
              <w:t xml:space="preserve">Secara umum sumber daya manusia memadai baik dari sisi jumlah maupun kompetensi pada fungsi </w:t>
            </w:r>
            <w:r w:rsidR="001008B5" w:rsidRPr="00306115">
              <w:rPr>
                <w:color w:val="000000" w:themeColor="text1"/>
              </w:rPr>
              <w:t>Manajemen Risiko</w:t>
            </w:r>
            <w:r w:rsidR="001008B5" w:rsidRPr="00306115">
              <w:rPr>
                <w:color w:val="000000" w:themeColor="text1"/>
                <w:szCs w:val="24"/>
              </w:rPr>
              <w:t xml:space="preserve"> </w:t>
            </w:r>
            <w:r w:rsidRPr="00306115">
              <w:rPr>
                <w:color w:val="000000" w:themeColor="text1"/>
                <w:szCs w:val="24"/>
              </w:rPr>
              <w:t>untuk Risiko Likuiditas Produk Investasi.</w:t>
            </w:r>
          </w:p>
          <w:p w14:paraId="5736E455" w14:textId="77777777" w:rsidR="00562324" w:rsidRPr="00306115" w:rsidRDefault="00562324">
            <w:pPr>
              <w:pStyle w:val="ListParagraph"/>
              <w:numPr>
                <w:ilvl w:val="0"/>
                <w:numId w:val="338"/>
              </w:numPr>
              <w:ind w:left="709" w:right="142" w:hanging="567"/>
              <w:contextualSpacing w:val="0"/>
              <w:rPr>
                <w:color w:val="000000" w:themeColor="text1"/>
                <w:szCs w:val="24"/>
              </w:rPr>
            </w:pPr>
            <w:r w:rsidRPr="00306115">
              <w:rPr>
                <w:color w:val="000000" w:themeColor="text1"/>
                <w:szCs w:val="24"/>
              </w:rPr>
              <w:t>Sistem pengendalian internal efektif dalam mendukung pelaksanaan Manajemen Risiko untuk Risiko Likuiditas Produk Investasi.</w:t>
            </w:r>
          </w:p>
          <w:p w14:paraId="6FE28564" w14:textId="22ADE110" w:rsidR="00562324" w:rsidRPr="00306115" w:rsidRDefault="00562324">
            <w:pPr>
              <w:pStyle w:val="ListParagraph"/>
              <w:numPr>
                <w:ilvl w:val="0"/>
                <w:numId w:val="338"/>
              </w:numPr>
              <w:ind w:left="709" w:right="142" w:hanging="567"/>
              <w:contextualSpacing w:val="0"/>
              <w:rPr>
                <w:color w:val="000000" w:themeColor="text1"/>
                <w:szCs w:val="24"/>
              </w:rPr>
            </w:pPr>
            <w:r w:rsidRPr="00306115">
              <w:rPr>
                <w:color w:val="000000" w:themeColor="text1"/>
                <w:szCs w:val="24"/>
              </w:rPr>
              <w:t xml:space="preserve">Pelaksanaan kaji ulang oleh fungsi </w:t>
            </w:r>
            <w:r w:rsidR="001008B5" w:rsidRPr="00306115">
              <w:rPr>
                <w:color w:val="000000" w:themeColor="text1"/>
              </w:rPr>
              <w:t>Manajemen Risiko</w:t>
            </w:r>
            <w:r w:rsidR="001008B5" w:rsidRPr="00306115">
              <w:rPr>
                <w:color w:val="000000" w:themeColor="text1"/>
                <w:szCs w:val="24"/>
              </w:rPr>
              <w:t xml:space="preserve"> </w:t>
            </w:r>
            <w:r w:rsidRPr="00306115">
              <w:rPr>
                <w:color w:val="000000" w:themeColor="text1"/>
                <w:szCs w:val="24"/>
              </w:rPr>
              <w:t>dan fungsi audit internal memadai baik dari sisi metodologi, frekuensi, maupun pelaporan kepada Direksi dan Dewan Komisaris.</w:t>
            </w:r>
          </w:p>
          <w:p w14:paraId="60243879" w14:textId="77777777" w:rsidR="00562324" w:rsidRPr="00306115" w:rsidRDefault="00562324">
            <w:pPr>
              <w:pStyle w:val="ListParagraph"/>
              <w:numPr>
                <w:ilvl w:val="0"/>
                <w:numId w:val="338"/>
              </w:numPr>
              <w:ind w:left="709" w:right="142" w:hanging="567"/>
              <w:contextualSpacing w:val="0"/>
              <w:rPr>
                <w:color w:val="000000" w:themeColor="text1"/>
                <w:szCs w:val="24"/>
              </w:rPr>
            </w:pPr>
            <w:r w:rsidRPr="00306115">
              <w:rPr>
                <w:color w:val="000000" w:themeColor="text1"/>
                <w:szCs w:val="24"/>
              </w:rPr>
              <w:t>Tindak lanjut atas kaji ulang telah dilaksanakan dengan memadai.</w:t>
            </w:r>
          </w:p>
        </w:tc>
      </w:tr>
      <w:tr w:rsidR="00562324" w:rsidRPr="00306115" w14:paraId="6934EAAA" w14:textId="77777777" w:rsidTr="00F560AF">
        <w:tc>
          <w:tcPr>
            <w:tcW w:w="1918" w:type="dxa"/>
          </w:tcPr>
          <w:p w14:paraId="14C6591F" w14:textId="77777777" w:rsidR="00562324" w:rsidRPr="00306115" w:rsidRDefault="00562324" w:rsidP="00F560AF">
            <w:pPr>
              <w:pStyle w:val="BodyText"/>
              <w:numPr>
                <w:ilvl w:val="0"/>
                <w:numId w:val="0"/>
              </w:numPr>
              <w:ind w:left="142" w:right="142"/>
              <w:jc w:val="center"/>
              <w:rPr>
                <w:color w:val="000000" w:themeColor="text1"/>
              </w:rPr>
            </w:pPr>
            <w:r w:rsidRPr="00306115">
              <w:rPr>
                <w:i/>
                <w:iCs/>
                <w:color w:val="000000" w:themeColor="text1"/>
              </w:rPr>
              <w:lastRenderedPageBreak/>
              <w:t>Fair</w:t>
            </w:r>
            <w:r w:rsidRPr="00306115">
              <w:rPr>
                <w:color w:val="000000" w:themeColor="text1"/>
              </w:rPr>
              <w:t xml:space="preserve"> (3)</w:t>
            </w:r>
          </w:p>
        </w:tc>
        <w:tc>
          <w:tcPr>
            <w:tcW w:w="6327" w:type="dxa"/>
          </w:tcPr>
          <w:p w14:paraId="1855CA10" w14:textId="77777777" w:rsidR="00562324" w:rsidRPr="00306115" w:rsidRDefault="00562324" w:rsidP="00F560AF">
            <w:pPr>
              <w:ind w:left="142" w:right="142"/>
              <w:rPr>
                <w:b/>
                <w:bCs/>
                <w:color w:val="000000" w:themeColor="text1"/>
                <w:szCs w:val="24"/>
              </w:rPr>
            </w:pPr>
            <w:r w:rsidRPr="00306115">
              <w:rPr>
                <w:color w:val="000000" w:themeColor="text1"/>
                <w:szCs w:val="24"/>
              </w:rPr>
              <w:t>Kualitas penerapan Manajemen Risiko untuk Risiko Likuiditas Produk Investasi cukup memadai. Meskipun persyaratan minimum terpenuhi, terdapat beberapa kelemahan yang cukup signifikan yang memerlukan perbaikan segera.</w:t>
            </w:r>
          </w:p>
          <w:p w14:paraId="2E358C73" w14:textId="4F9823B0" w:rsidR="00562324" w:rsidRPr="00306115" w:rsidRDefault="00562324" w:rsidP="00F560AF">
            <w:pPr>
              <w:ind w:left="142" w:right="142"/>
              <w:rPr>
                <w:color w:val="000000" w:themeColor="text1"/>
                <w:szCs w:val="24"/>
              </w:rPr>
            </w:pPr>
            <w:r w:rsidRPr="00306115">
              <w:rPr>
                <w:color w:val="000000" w:themeColor="text1"/>
                <w:szCs w:val="24"/>
              </w:rPr>
              <w:t xml:space="preserve">Contoh karakteristik </w:t>
            </w:r>
            <w:r w:rsidR="00764ECF" w:rsidRPr="00306115">
              <w:rPr>
                <w:color w:val="000000" w:themeColor="text1"/>
                <w:szCs w:val="24"/>
              </w:rPr>
              <w:t>karakteristik/kondisi</w:t>
            </w:r>
            <w:r w:rsidRPr="00306115">
              <w:rPr>
                <w:color w:val="000000" w:themeColor="text1"/>
                <w:szCs w:val="24"/>
              </w:rPr>
              <w:t xml:space="preserve"> Manajer Investasi yang termasuk dalam peringkat </w:t>
            </w:r>
            <w:r w:rsidRPr="00306115">
              <w:rPr>
                <w:i/>
                <w:color w:val="000000" w:themeColor="text1"/>
                <w:szCs w:val="24"/>
              </w:rPr>
              <w:t xml:space="preserve">Fair </w:t>
            </w:r>
            <w:r w:rsidRPr="00306115">
              <w:rPr>
                <w:color w:val="000000" w:themeColor="text1"/>
                <w:szCs w:val="24"/>
              </w:rPr>
              <w:t>(3) ini antara lain sebagai berikut:</w:t>
            </w:r>
          </w:p>
          <w:p w14:paraId="5759D9F0" w14:textId="77777777" w:rsidR="00562324" w:rsidRPr="00306115" w:rsidRDefault="00562324">
            <w:pPr>
              <w:pStyle w:val="ListParagraph"/>
              <w:numPr>
                <w:ilvl w:val="0"/>
                <w:numId w:val="339"/>
              </w:numPr>
              <w:ind w:left="709" w:right="142" w:hanging="567"/>
              <w:contextualSpacing w:val="0"/>
              <w:rPr>
                <w:color w:val="000000" w:themeColor="text1"/>
                <w:szCs w:val="24"/>
              </w:rPr>
            </w:pPr>
            <w:r w:rsidRPr="00306115">
              <w:rPr>
                <w:color w:val="000000" w:themeColor="text1"/>
                <w:szCs w:val="24"/>
              </w:rPr>
              <w:t>Perumusan tingkat risiko yang akan diambil (</w:t>
            </w:r>
            <w:r w:rsidRPr="00306115">
              <w:rPr>
                <w:i/>
                <w:color w:val="000000" w:themeColor="text1"/>
                <w:szCs w:val="24"/>
              </w:rPr>
              <w:t>risk appetite</w:t>
            </w:r>
            <w:r w:rsidRPr="00306115">
              <w:rPr>
                <w:color w:val="000000" w:themeColor="text1"/>
                <w:szCs w:val="24"/>
              </w:rPr>
              <w:t>) dan toleransi (</w:t>
            </w:r>
            <w:r w:rsidRPr="00306115">
              <w:rPr>
                <w:i/>
                <w:color w:val="000000" w:themeColor="text1"/>
                <w:szCs w:val="24"/>
              </w:rPr>
              <w:t>risk tolerance</w:t>
            </w:r>
            <w:r w:rsidRPr="00306115">
              <w:rPr>
                <w:color w:val="000000" w:themeColor="text1"/>
                <w:szCs w:val="24"/>
              </w:rPr>
              <w:t>) Risiko Likuiditas Produk Investasi cukup memadai dan telah sejalan dengan strategi dan tujuan bisnis secara keseluruhan.</w:t>
            </w:r>
          </w:p>
          <w:p w14:paraId="2D0AB4F0" w14:textId="77777777" w:rsidR="00562324" w:rsidRPr="00306115" w:rsidRDefault="00562324">
            <w:pPr>
              <w:pStyle w:val="ListParagraph"/>
              <w:numPr>
                <w:ilvl w:val="0"/>
                <w:numId w:val="339"/>
              </w:numPr>
              <w:ind w:left="709" w:right="142" w:hanging="567"/>
              <w:contextualSpacing w:val="0"/>
              <w:rPr>
                <w:color w:val="000000" w:themeColor="text1"/>
                <w:szCs w:val="24"/>
              </w:rPr>
            </w:pPr>
            <w:r w:rsidRPr="00306115">
              <w:rPr>
                <w:color w:val="000000" w:themeColor="text1"/>
                <w:szCs w:val="24"/>
              </w:rPr>
              <w:t>Kesadaran (awareness) dan pemahaman Direksi dan Dewan Komisaris cukup tinggi atau cukup memadai mengenai pelaksanaan Manajemen Risiko, terutama terkait jenis dan tingkat risiko untuk Risiko Likuiditas Produk Investasi.</w:t>
            </w:r>
          </w:p>
          <w:p w14:paraId="0ECC327B" w14:textId="77777777" w:rsidR="00562324" w:rsidRPr="00306115" w:rsidRDefault="00562324">
            <w:pPr>
              <w:pStyle w:val="ListParagraph"/>
              <w:numPr>
                <w:ilvl w:val="0"/>
                <w:numId w:val="339"/>
              </w:numPr>
              <w:ind w:left="709" w:right="142" w:hanging="567"/>
              <w:contextualSpacing w:val="0"/>
              <w:rPr>
                <w:color w:val="000000" w:themeColor="text1"/>
                <w:szCs w:val="24"/>
              </w:rPr>
            </w:pPr>
            <w:r w:rsidRPr="00306115">
              <w:rPr>
                <w:color w:val="000000" w:themeColor="text1"/>
                <w:szCs w:val="24"/>
              </w:rPr>
              <w:t>Budaya Manajemen Risiko untuk Risiko Likuiditas Produk Investasi cukup kuat dan telah diinternalisasikan dengan cukup baik pada seluruh level organisasi.</w:t>
            </w:r>
          </w:p>
          <w:p w14:paraId="4AB9639D" w14:textId="77777777" w:rsidR="00562324" w:rsidRPr="00306115" w:rsidRDefault="00562324">
            <w:pPr>
              <w:pStyle w:val="ListParagraph"/>
              <w:numPr>
                <w:ilvl w:val="0"/>
                <w:numId w:val="339"/>
              </w:numPr>
              <w:ind w:left="709" w:right="142" w:hanging="567"/>
              <w:contextualSpacing w:val="0"/>
              <w:rPr>
                <w:color w:val="000000" w:themeColor="text1"/>
                <w:szCs w:val="24"/>
              </w:rPr>
            </w:pPr>
            <w:r w:rsidRPr="00306115">
              <w:rPr>
                <w:color w:val="000000" w:themeColor="text1"/>
                <w:szCs w:val="24"/>
              </w:rPr>
              <w:lastRenderedPageBreak/>
              <w:t>Pelaksanaan tugas Direksi dan Dewan Komisaris secara keseluruhan cukup memadai. Terdapat beberapa kelemahan yang cukup signifikan pada beberapa aspek penilaian yang memerlukan perbaikan segera.</w:t>
            </w:r>
          </w:p>
          <w:p w14:paraId="452F4A16" w14:textId="77777777" w:rsidR="00562324" w:rsidRPr="00306115" w:rsidRDefault="00562324">
            <w:pPr>
              <w:pStyle w:val="ListParagraph"/>
              <w:numPr>
                <w:ilvl w:val="0"/>
                <w:numId w:val="339"/>
              </w:numPr>
              <w:ind w:left="709" w:right="142" w:hanging="567"/>
              <w:contextualSpacing w:val="0"/>
              <w:rPr>
                <w:color w:val="000000" w:themeColor="text1"/>
                <w:szCs w:val="24"/>
              </w:rPr>
            </w:pPr>
            <w:r w:rsidRPr="00306115">
              <w:rPr>
                <w:color w:val="000000" w:themeColor="text1"/>
                <w:szCs w:val="24"/>
              </w:rPr>
              <w:t>Fungsi Manajemen Risiko untuk Risiko Likuiditas Produk Investasi independen, memiliki tugas dan tanggung jawab yang jelas, dan telah berjalan dengan cukup baik. Terdapat beberapa kelemahan yang cukup signifikan yang memerlukan perbaikan segera.</w:t>
            </w:r>
          </w:p>
          <w:p w14:paraId="423A15D8" w14:textId="77777777" w:rsidR="00562324" w:rsidRPr="00306115" w:rsidRDefault="00562324">
            <w:pPr>
              <w:pStyle w:val="ListParagraph"/>
              <w:numPr>
                <w:ilvl w:val="0"/>
                <w:numId w:val="339"/>
              </w:numPr>
              <w:ind w:left="709" w:right="142" w:hanging="567"/>
              <w:contextualSpacing w:val="0"/>
              <w:rPr>
                <w:color w:val="000000" w:themeColor="text1"/>
                <w:szCs w:val="24"/>
              </w:rPr>
            </w:pPr>
            <w:r w:rsidRPr="00306115">
              <w:rPr>
                <w:color w:val="000000" w:themeColor="text1"/>
                <w:szCs w:val="24"/>
              </w:rPr>
              <w:t>Kerangka pedelegasian wewenang cukup memadai.</w:t>
            </w:r>
          </w:p>
          <w:p w14:paraId="4964CFDE" w14:textId="77777777" w:rsidR="00562324" w:rsidRPr="00306115" w:rsidRDefault="00562324">
            <w:pPr>
              <w:pStyle w:val="ListParagraph"/>
              <w:numPr>
                <w:ilvl w:val="0"/>
                <w:numId w:val="339"/>
              </w:numPr>
              <w:ind w:left="709" w:right="142" w:hanging="567"/>
              <w:contextualSpacing w:val="0"/>
              <w:rPr>
                <w:color w:val="000000" w:themeColor="text1"/>
                <w:szCs w:val="24"/>
              </w:rPr>
            </w:pPr>
            <w:r w:rsidRPr="00306115">
              <w:rPr>
                <w:color w:val="000000" w:themeColor="text1"/>
                <w:szCs w:val="24"/>
              </w:rPr>
              <w:t>Kebijakan dan prosedur Manajemen Risiko serta penetapan limit Risiko Likuiditas Produk Investasi cukup memadai, diterapkan dengan cukup baik, dan dipahami dengan cukup baik oleh pegawai.</w:t>
            </w:r>
          </w:p>
          <w:p w14:paraId="3B874DAB" w14:textId="77777777" w:rsidR="00562324" w:rsidRPr="00306115" w:rsidRDefault="00562324">
            <w:pPr>
              <w:pStyle w:val="ListParagraph"/>
              <w:numPr>
                <w:ilvl w:val="0"/>
                <w:numId w:val="339"/>
              </w:numPr>
              <w:ind w:left="709" w:right="142" w:hanging="567"/>
              <w:contextualSpacing w:val="0"/>
              <w:rPr>
                <w:color w:val="000000" w:themeColor="text1"/>
                <w:szCs w:val="24"/>
              </w:rPr>
            </w:pPr>
            <w:r w:rsidRPr="00306115">
              <w:rPr>
                <w:color w:val="000000" w:themeColor="text1"/>
                <w:szCs w:val="24"/>
              </w:rPr>
              <w:t>Strategi Manajemen Risiko untuk Risiko Likuiditas Produk Investasi cukup memadai dan cukup sejalan dengan tingkat risiko yang akan diambil dan toleransi Risiko Likuiditas Produk Investasi.</w:t>
            </w:r>
          </w:p>
          <w:p w14:paraId="50BB60AD" w14:textId="77777777" w:rsidR="00562324" w:rsidRPr="00306115" w:rsidRDefault="00562324">
            <w:pPr>
              <w:pStyle w:val="ListParagraph"/>
              <w:numPr>
                <w:ilvl w:val="0"/>
                <w:numId w:val="339"/>
              </w:numPr>
              <w:ind w:left="709" w:right="142" w:hanging="567"/>
              <w:contextualSpacing w:val="0"/>
              <w:rPr>
                <w:color w:val="000000" w:themeColor="text1"/>
                <w:szCs w:val="24"/>
              </w:rPr>
            </w:pPr>
            <w:r w:rsidRPr="00306115">
              <w:rPr>
                <w:color w:val="000000" w:themeColor="text1"/>
                <w:szCs w:val="24"/>
              </w:rPr>
              <w:t>Penyusunan dan penerapan rencana kontijensi (contigency plan) cukup memadai dan pengujiannya tidak dilakukan secara berkala.</w:t>
            </w:r>
          </w:p>
          <w:p w14:paraId="3F78B898" w14:textId="77777777" w:rsidR="00562324" w:rsidRPr="00306115" w:rsidRDefault="00562324">
            <w:pPr>
              <w:pStyle w:val="ListParagraph"/>
              <w:numPr>
                <w:ilvl w:val="0"/>
                <w:numId w:val="339"/>
              </w:numPr>
              <w:ind w:left="709" w:right="142" w:hanging="567"/>
              <w:contextualSpacing w:val="0"/>
              <w:rPr>
                <w:color w:val="000000" w:themeColor="text1"/>
                <w:szCs w:val="24"/>
              </w:rPr>
            </w:pPr>
            <w:r w:rsidRPr="00306115">
              <w:rPr>
                <w:color w:val="000000" w:themeColor="text1"/>
                <w:szCs w:val="24"/>
              </w:rPr>
              <w:t>Proses Manajemen Risiko untuk Risiko Likuiditas Produk Investasi cukup memadai dalam mengidentifikasi, mengukur, memantau, dan mengendalikan Risiko Likuiditas Produk Investasi.</w:t>
            </w:r>
          </w:p>
          <w:p w14:paraId="154E80B4" w14:textId="77777777" w:rsidR="00562324" w:rsidRPr="00306115" w:rsidRDefault="00562324">
            <w:pPr>
              <w:pStyle w:val="ListParagraph"/>
              <w:numPr>
                <w:ilvl w:val="0"/>
                <w:numId w:val="339"/>
              </w:numPr>
              <w:ind w:left="709" w:right="142" w:hanging="567"/>
              <w:contextualSpacing w:val="0"/>
              <w:rPr>
                <w:color w:val="000000" w:themeColor="text1"/>
                <w:szCs w:val="24"/>
              </w:rPr>
            </w:pPr>
            <w:r w:rsidRPr="00306115">
              <w:rPr>
                <w:color w:val="000000" w:themeColor="text1"/>
                <w:szCs w:val="24"/>
              </w:rPr>
              <w:t>Penilaian secara bulanan atas profil likuiditas aset dalam portofolio Produk Investasi yang dikelola untuk kepentingan likuiditas Produk Investasi, profil likuiditas dari kewajiban Produk Investasi, dan profil likuiditas aset atau tingkat kewajiban Produk Investasi dalam merespon berbagai skenario situasi pasar termasuk stress testing atas setiap Produk Investasi yang bersifat terbuka dilakukan secara cukup memadai dan didasarkan pada informasi yang cukup handal dan terkini.</w:t>
            </w:r>
          </w:p>
          <w:p w14:paraId="7FAC38ED" w14:textId="77777777" w:rsidR="00562324" w:rsidRPr="00306115" w:rsidRDefault="00562324">
            <w:pPr>
              <w:pStyle w:val="ListParagraph"/>
              <w:numPr>
                <w:ilvl w:val="0"/>
                <w:numId w:val="339"/>
              </w:numPr>
              <w:ind w:left="709" w:right="142" w:hanging="567"/>
              <w:contextualSpacing w:val="0"/>
              <w:rPr>
                <w:color w:val="000000" w:themeColor="text1"/>
                <w:szCs w:val="24"/>
              </w:rPr>
            </w:pPr>
            <w:r w:rsidRPr="00306115">
              <w:rPr>
                <w:color w:val="000000" w:themeColor="text1"/>
                <w:szCs w:val="24"/>
              </w:rPr>
              <w:t>Sistem Informasi Manajemen Risiko untuk Risiko Likuiditas Produk Investasi cukup baik dalam menghasilkan informasi dan laporan Risiko Likuiditas Produk Investasi yang komprehensif.</w:t>
            </w:r>
          </w:p>
          <w:p w14:paraId="0D10DD81" w14:textId="6EDFBA96" w:rsidR="00562324" w:rsidRPr="00306115" w:rsidRDefault="00562324">
            <w:pPr>
              <w:pStyle w:val="ListParagraph"/>
              <w:numPr>
                <w:ilvl w:val="0"/>
                <w:numId w:val="339"/>
              </w:numPr>
              <w:ind w:left="709" w:right="142" w:hanging="567"/>
              <w:contextualSpacing w:val="0"/>
              <w:rPr>
                <w:color w:val="000000" w:themeColor="text1"/>
                <w:szCs w:val="24"/>
              </w:rPr>
            </w:pPr>
            <w:r w:rsidRPr="00306115">
              <w:rPr>
                <w:color w:val="000000" w:themeColor="text1"/>
                <w:szCs w:val="24"/>
              </w:rPr>
              <w:t xml:space="preserve">Secara umum sumber daya manusia cukup memadai baik dari sisi jumlah maupun </w:t>
            </w:r>
            <w:r w:rsidRPr="00306115">
              <w:rPr>
                <w:color w:val="000000" w:themeColor="text1"/>
                <w:szCs w:val="24"/>
              </w:rPr>
              <w:lastRenderedPageBreak/>
              <w:t xml:space="preserve">kompetensi pada fungsi </w:t>
            </w:r>
            <w:r w:rsidR="001008B5" w:rsidRPr="00306115">
              <w:rPr>
                <w:color w:val="000000" w:themeColor="text1"/>
              </w:rPr>
              <w:t>Manajemen Risiko</w:t>
            </w:r>
            <w:r w:rsidR="001008B5" w:rsidRPr="00306115">
              <w:rPr>
                <w:color w:val="000000" w:themeColor="text1"/>
                <w:szCs w:val="24"/>
              </w:rPr>
              <w:t xml:space="preserve"> </w:t>
            </w:r>
            <w:r w:rsidRPr="00306115">
              <w:rPr>
                <w:color w:val="000000" w:themeColor="text1"/>
                <w:szCs w:val="24"/>
              </w:rPr>
              <w:t>untuk Risiko Likuiditas Produk Investasi.</w:t>
            </w:r>
          </w:p>
          <w:p w14:paraId="5B0E45A6" w14:textId="77777777" w:rsidR="00562324" w:rsidRPr="00306115" w:rsidRDefault="00562324">
            <w:pPr>
              <w:pStyle w:val="ListParagraph"/>
              <w:numPr>
                <w:ilvl w:val="0"/>
                <w:numId w:val="339"/>
              </w:numPr>
              <w:ind w:left="709" w:right="142" w:hanging="567"/>
              <w:contextualSpacing w:val="0"/>
              <w:rPr>
                <w:color w:val="000000" w:themeColor="text1"/>
                <w:szCs w:val="24"/>
              </w:rPr>
            </w:pPr>
            <w:r w:rsidRPr="00306115">
              <w:rPr>
                <w:color w:val="000000" w:themeColor="text1"/>
                <w:szCs w:val="24"/>
              </w:rPr>
              <w:t>Sistem pengendalian internal cukup efektif dalam mendukung pelaksanaan Manajemen Risiko untuk Risiko Likuiditas Produk Investasi.</w:t>
            </w:r>
          </w:p>
          <w:p w14:paraId="4D92DC74" w14:textId="67F5637E" w:rsidR="00562324" w:rsidRPr="00306115" w:rsidRDefault="00562324">
            <w:pPr>
              <w:pStyle w:val="ListParagraph"/>
              <w:numPr>
                <w:ilvl w:val="0"/>
                <w:numId w:val="339"/>
              </w:numPr>
              <w:ind w:left="709" w:right="142" w:hanging="567"/>
              <w:contextualSpacing w:val="0"/>
              <w:rPr>
                <w:color w:val="000000" w:themeColor="text1"/>
                <w:szCs w:val="24"/>
              </w:rPr>
            </w:pPr>
            <w:r w:rsidRPr="00306115">
              <w:rPr>
                <w:color w:val="000000" w:themeColor="text1"/>
                <w:szCs w:val="24"/>
              </w:rPr>
              <w:t xml:space="preserve">Pelaksanaan kaji ulang oleh fungsi </w:t>
            </w:r>
            <w:r w:rsidR="001008B5" w:rsidRPr="00306115">
              <w:rPr>
                <w:color w:val="000000" w:themeColor="text1"/>
              </w:rPr>
              <w:t>Manajemen Risiko</w:t>
            </w:r>
            <w:r w:rsidR="001008B5" w:rsidRPr="00306115">
              <w:rPr>
                <w:color w:val="000000" w:themeColor="text1"/>
                <w:szCs w:val="24"/>
              </w:rPr>
              <w:t xml:space="preserve"> </w:t>
            </w:r>
            <w:r w:rsidRPr="00306115">
              <w:rPr>
                <w:color w:val="000000" w:themeColor="text1"/>
                <w:szCs w:val="24"/>
              </w:rPr>
              <w:t>dan fungsi audit internal cukup memadai. Terdapat beberapa kelemahan yang cukup signifikan pada metodologi, frekuensi, maupun pelaporan kepada Direksi dan Dewan Komisaris yang memerlukan perbaikan segera.</w:t>
            </w:r>
          </w:p>
          <w:p w14:paraId="16201E3E" w14:textId="77777777" w:rsidR="00562324" w:rsidRPr="00306115" w:rsidRDefault="00562324">
            <w:pPr>
              <w:pStyle w:val="ListParagraph"/>
              <w:numPr>
                <w:ilvl w:val="0"/>
                <w:numId w:val="339"/>
              </w:numPr>
              <w:ind w:left="709" w:right="142" w:hanging="567"/>
              <w:contextualSpacing w:val="0"/>
              <w:rPr>
                <w:color w:val="000000" w:themeColor="text1"/>
                <w:szCs w:val="24"/>
              </w:rPr>
            </w:pPr>
            <w:r w:rsidRPr="00306115">
              <w:rPr>
                <w:color w:val="000000" w:themeColor="text1"/>
                <w:szCs w:val="24"/>
              </w:rPr>
              <w:t>Tindak  lanjut  atas  kaji  ulang  telah dilaksanakan dengan cukup memadai.</w:t>
            </w:r>
          </w:p>
        </w:tc>
      </w:tr>
      <w:tr w:rsidR="00562324" w:rsidRPr="00306115" w14:paraId="6B2EEF9C" w14:textId="77777777" w:rsidTr="00F560AF">
        <w:tc>
          <w:tcPr>
            <w:tcW w:w="1918" w:type="dxa"/>
          </w:tcPr>
          <w:p w14:paraId="2E1B7A2A" w14:textId="77777777" w:rsidR="00562324" w:rsidRPr="00306115" w:rsidRDefault="00562324" w:rsidP="00F560AF">
            <w:pPr>
              <w:pStyle w:val="BodyText"/>
              <w:numPr>
                <w:ilvl w:val="0"/>
                <w:numId w:val="0"/>
              </w:numPr>
              <w:ind w:left="142" w:right="142"/>
              <w:jc w:val="center"/>
              <w:rPr>
                <w:color w:val="000000" w:themeColor="text1"/>
              </w:rPr>
            </w:pPr>
            <w:r w:rsidRPr="00306115">
              <w:rPr>
                <w:i/>
                <w:iCs/>
                <w:color w:val="000000" w:themeColor="text1"/>
              </w:rPr>
              <w:lastRenderedPageBreak/>
              <w:t>Marginal</w:t>
            </w:r>
            <w:r w:rsidRPr="00306115">
              <w:rPr>
                <w:color w:val="000000" w:themeColor="text1"/>
              </w:rPr>
              <w:t xml:space="preserve"> (4)</w:t>
            </w:r>
          </w:p>
        </w:tc>
        <w:tc>
          <w:tcPr>
            <w:tcW w:w="6327" w:type="dxa"/>
          </w:tcPr>
          <w:p w14:paraId="6F2A6124" w14:textId="77777777" w:rsidR="00562324" w:rsidRPr="00306115" w:rsidRDefault="00562324" w:rsidP="00F560AF">
            <w:pPr>
              <w:ind w:left="142" w:right="142"/>
              <w:rPr>
                <w:b/>
                <w:bCs/>
                <w:color w:val="000000" w:themeColor="text1"/>
                <w:szCs w:val="24"/>
              </w:rPr>
            </w:pPr>
            <w:r w:rsidRPr="00306115">
              <w:rPr>
                <w:color w:val="000000" w:themeColor="text1"/>
                <w:szCs w:val="24"/>
              </w:rPr>
              <w:t>Kualitas penerapan Manajemen Risiko untuk Risiko Likuiditas Produk Investasi kurang memadai. Terdapat kelemahan signifikan pada berbagai aspek Manajemen Risiko untuk Risiko Likuiditas Produk Investasi yang memerlukan perbaikan segera.</w:t>
            </w:r>
          </w:p>
          <w:p w14:paraId="47DD91A5" w14:textId="3BB44B3A" w:rsidR="00562324" w:rsidRPr="00306115" w:rsidRDefault="00562324" w:rsidP="00F560AF">
            <w:pPr>
              <w:ind w:left="142" w:right="142"/>
              <w:rPr>
                <w:color w:val="000000" w:themeColor="text1"/>
                <w:szCs w:val="24"/>
              </w:rPr>
            </w:pPr>
            <w:r w:rsidRPr="00306115">
              <w:rPr>
                <w:color w:val="000000" w:themeColor="text1"/>
                <w:szCs w:val="24"/>
              </w:rPr>
              <w:t xml:space="preserve">Contoh </w:t>
            </w:r>
            <w:r w:rsidR="00764ECF" w:rsidRPr="00306115">
              <w:rPr>
                <w:color w:val="000000" w:themeColor="text1"/>
                <w:szCs w:val="24"/>
              </w:rPr>
              <w:t>karakteristik/kondisi</w:t>
            </w:r>
            <w:r w:rsidRPr="00306115">
              <w:rPr>
                <w:color w:val="000000" w:themeColor="text1"/>
                <w:szCs w:val="24"/>
              </w:rPr>
              <w:t xml:space="preserve"> Manajer Investasi yang termasuk dalam peringkat </w:t>
            </w:r>
            <w:r w:rsidRPr="00306115">
              <w:rPr>
                <w:i/>
                <w:color w:val="000000" w:themeColor="text1"/>
                <w:szCs w:val="24"/>
              </w:rPr>
              <w:t xml:space="preserve">Marginal </w:t>
            </w:r>
            <w:r w:rsidRPr="00306115">
              <w:rPr>
                <w:color w:val="000000" w:themeColor="text1"/>
                <w:szCs w:val="24"/>
              </w:rPr>
              <w:t>(4) antara lain sebagai berikut:</w:t>
            </w:r>
          </w:p>
          <w:p w14:paraId="1A29529E" w14:textId="77777777" w:rsidR="00562324" w:rsidRPr="00306115" w:rsidRDefault="00562324">
            <w:pPr>
              <w:pStyle w:val="ListParagraph"/>
              <w:numPr>
                <w:ilvl w:val="0"/>
                <w:numId w:val="340"/>
              </w:numPr>
              <w:ind w:left="709" w:right="142" w:hanging="567"/>
              <w:contextualSpacing w:val="0"/>
              <w:rPr>
                <w:color w:val="000000" w:themeColor="text1"/>
                <w:szCs w:val="24"/>
              </w:rPr>
            </w:pPr>
            <w:r w:rsidRPr="00306115">
              <w:rPr>
                <w:color w:val="000000" w:themeColor="text1"/>
                <w:szCs w:val="24"/>
              </w:rPr>
              <w:t>Perumusan tingkat risiko yang akan diambil (</w:t>
            </w:r>
            <w:r w:rsidRPr="00306115">
              <w:rPr>
                <w:i/>
                <w:color w:val="000000" w:themeColor="text1"/>
                <w:szCs w:val="24"/>
              </w:rPr>
              <w:t>risk appetite</w:t>
            </w:r>
            <w:r w:rsidRPr="00306115">
              <w:rPr>
                <w:color w:val="000000" w:themeColor="text1"/>
                <w:szCs w:val="24"/>
              </w:rPr>
              <w:t>) dan toleransi (</w:t>
            </w:r>
            <w:r w:rsidRPr="00306115">
              <w:rPr>
                <w:i/>
                <w:color w:val="000000" w:themeColor="text1"/>
                <w:szCs w:val="24"/>
              </w:rPr>
              <w:t>risk tolerance</w:t>
            </w:r>
            <w:r w:rsidRPr="00306115">
              <w:rPr>
                <w:color w:val="000000" w:themeColor="text1"/>
                <w:szCs w:val="24"/>
              </w:rPr>
              <w:t>) Risiko Likuiditas Produk Investasi kurang memadai serta tidak sejalan dengan strategi dan tujuan bisnis secara keseluruhan.</w:t>
            </w:r>
          </w:p>
          <w:p w14:paraId="3E532B8D" w14:textId="77777777" w:rsidR="00562324" w:rsidRPr="00306115" w:rsidRDefault="00562324">
            <w:pPr>
              <w:pStyle w:val="ListParagraph"/>
              <w:numPr>
                <w:ilvl w:val="0"/>
                <w:numId w:val="340"/>
              </w:numPr>
              <w:ind w:left="709" w:right="142" w:hanging="567"/>
              <w:contextualSpacing w:val="0"/>
              <w:rPr>
                <w:color w:val="000000" w:themeColor="text1"/>
                <w:szCs w:val="24"/>
              </w:rPr>
            </w:pPr>
            <w:r w:rsidRPr="00306115">
              <w:rPr>
                <w:color w:val="000000" w:themeColor="text1"/>
                <w:szCs w:val="24"/>
              </w:rPr>
              <w:t>Kesadaran (awareness) dan pemahaman Direksi dan Dewan Komisaris rendah atau tidak memadai mengenai pelaksanaan Manajemen Risiko, terutama terkait jenis dan tingkat risiko untuk Risiko Likuiditas Produk Investasi.</w:t>
            </w:r>
          </w:p>
          <w:p w14:paraId="17BA83E3" w14:textId="77777777" w:rsidR="00562324" w:rsidRPr="00306115" w:rsidRDefault="00562324">
            <w:pPr>
              <w:pStyle w:val="ListParagraph"/>
              <w:numPr>
                <w:ilvl w:val="0"/>
                <w:numId w:val="340"/>
              </w:numPr>
              <w:ind w:left="709" w:right="142" w:hanging="567"/>
              <w:contextualSpacing w:val="0"/>
              <w:rPr>
                <w:color w:val="000000" w:themeColor="text1"/>
                <w:szCs w:val="24"/>
              </w:rPr>
            </w:pPr>
            <w:r w:rsidRPr="00306115">
              <w:rPr>
                <w:color w:val="000000" w:themeColor="text1"/>
                <w:szCs w:val="24"/>
              </w:rPr>
              <w:t>Budaya Manajemen Risiko untuk Risiko Likuiditas Produk Investasi kurang kuat dan belum diinternalisasikan dengan baik pada seluruh level organisasi.</w:t>
            </w:r>
          </w:p>
          <w:p w14:paraId="69624FC3" w14:textId="77777777" w:rsidR="00562324" w:rsidRPr="00306115" w:rsidRDefault="00562324">
            <w:pPr>
              <w:pStyle w:val="ListParagraph"/>
              <w:numPr>
                <w:ilvl w:val="0"/>
                <w:numId w:val="340"/>
              </w:numPr>
              <w:ind w:left="709" w:right="142" w:hanging="567"/>
              <w:contextualSpacing w:val="0"/>
              <w:rPr>
                <w:color w:val="000000" w:themeColor="text1"/>
                <w:szCs w:val="24"/>
              </w:rPr>
            </w:pPr>
            <w:r w:rsidRPr="00306115">
              <w:rPr>
                <w:color w:val="000000" w:themeColor="text1"/>
                <w:szCs w:val="24"/>
              </w:rPr>
              <w:t>Pelaksanaan tugas Direksi dan Dewan Komisaris secara keseluruhan kurang memadai. Terdapat beberapa kelemahan signifikan pada beberapa aspek penilaian yang memerlukan perbaikan segera.</w:t>
            </w:r>
          </w:p>
          <w:p w14:paraId="7B9AE3CC" w14:textId="77777777" w:rsidR="00562324" w:rsidRPr="00306115" w:rsidRDefault="00562324">
            <w:pPr>
              <w:pStyle w:val="ListParagraph"/>
              <w:numPr>
                <w:ilvl w:val="0"/>
                <w:numId w:val="340"/>
              </w:numPr>
              <w:ind w:left="709" w:right="142" w:hanging="567"/>
              <w:contextualSpacing w:val="0"/>
              <w:rPr>
                <w:color w:val="000000" w:themeColor="text1"/>
                <w:szCs w:val="24"/>
              </w:rPr>
            </w:pPr>
            <w:r w:rsidRPr="00306115">
              <w:rPr>
                <w:color w:val="000000" w:themeColor="text1"/>
                <w:szCs w:val="24"/>
              </w:rPr>
              <w:t>Fungsi Manajemen Risiko untuk Risiko Likuiditas Produk Investasi belum sepenuhnya independen. Terdapat beberapa kelemahan signifikan yang memerlukan perbaikan segera.</w:t>
            </w:r>
          </w:p>
          <w:p w14:paraId="002201E6" w14:textId="77777777" w:rsidR="00562324" w:rsidRPr="00306115" w:rsidRDefault="00562324">
            <w:pPr>
              <w:pStyle w:val="ListParagraph"/>
              <w:numPr>
                <w:ilvl w:val="0"/>
                <w:numId w:val="340"/>
              </w:numPr>
              <w:ind w:left="709" w:right="142" w:hanging="567"/>
              <w:contextualSpacing w:val="0"/>
              <w:rPr>
                <w:color w:val="000000" w:themeColor="text1"/>
                <w:szCs w:val="24"/>
              </w:rPr>
            </w:pPr>
            <w:r w:rsidRPr="00306115">
              <w:rPr>
                <w:color w:val="000000" w:themeColor="text1"/>
                <w:szCs w:val="24"/>
              </w:rPr>
              <w:t>Kerangka pedelegasian wewenang kurang memadai.</w:t>
            </w:r>
          </w:p>
          <w:p w14:paraId="33AF808A" w14:textId="77777777" w:rsidR="00562324" w:rsidRPr="00306115" w:rsidRDefault="00562324">
            <w:pPr>
              <w:pStyle w:val="ListParagraph"/>
              <w:numPr>
                <w:ilvl w:val="0"/>
                <w:numId w:val="340"/>
              </w:numPr>
              <w:ind w:left="709" w:right="142" w:hanging="567"/>
              <w:contextualSpacing w:val="0"/>
              <w:rPr>
                <w:color w:val="000000" w:themeColor="text1"/>
                <w:szCs w:val="24"/>
              </w:rPr>
            </w:pPr>
            <w:r w:rsidRPr="00306115">
              <w:rPr>
                <w:color w:val="000000" w:themeColor="text1"/>
                <w:szCs w:val="24"/>
              </w:rPr>
              <w:t xml:space="preserve">Kebijakan dan prosedur Manajemen Risiko serta penetapan limit Risiko Likuiditas Produk Investasi kurang memadai, </w:t>
            </w:r>
            <w:r w:rsidRPr="00306115">
              <w:rPr>
                <w:color w:val="000000" w:themeColor="text1"/>
                <w:szCs w:val="24"/>
              </w:rPr>
              <w:lastRenderedPageBreak/>
              <w:t>diterapkan dengan kurang baik, dan dipahami dengan kurang baik oleh pegawai, sehingga memerlukan perbaikan segera.</w:t>
            </w:r>
          </w:p>
          <w:p w14:paraId="6EE2F982" w14:textId="77777777" w:rsidR="00562324" w:rsidRPr="00306115" w:rsidRDefault="00562324">
            <w:pPr>
              <w:pStyle w:val="ListParagraph"/>
              <w:numPr>
                <w:ilvl w:val="0"/>
                <w:numId w:val="340"/>
              </w:numPr>
              <w:ind w:left="709" w:right="142" w:hanging="567"/>
              <w:contextualSpacing w:val="0"/>
              <w:rPr>
                <w:color w:val="000000" w:themeColor="text1"/>
                <w:szCs w:val="24"/>
              </w:rPr>
            </w:pPr>
            <w:r w:rsidRPr="00306115">
              <w:rPr>
                <w:color w:val="000000" w:themeColor="text1"/>
                <w:szCs w:val="24"/>
              </w:rPr>
              <w:t>Strategi Manajemen Risiko untuk Risiko Likuiditas Produk Investasi kurang memadai dan kurang sejalan dengan tingkat risiko yang akan diambil dan toleransi Risiko Likuiditas Produk Investasi.</w:t>
            </w:r>
          </w:p>
          <w:p w14:paraId="148AF47A" w14:textId="77777777" w:rsidR="00562324" w:rsidRPr="00306115" w:rsidRDefault="00562324">
            <w:pPr>
              <w:pStyle w:val="ListParagraph"/>
              <w:numPr>
                <w:ilvl w:val="0"/>
                <w:numId w:val="340"/>
              </w:numPr>
              <w:ind w:left="709" w:right="142" w:hanging="567"/>
              <w:contextualSpacing w:val="0"/>
              <w:rPr>
                <w:color w:val="000000" w:themeColor="text1"/>
                <w:szCs w:val="24"/>
              </w:rPr>
            </w:pPr>
            <w:r w:rsidRPr="00306115">
              <w:rPr>
                <w:color w:val="000000" w:themeColor="text1"/>
                <w:szCs w:val="24"/>
              </w:rPr>
              <w:t>Penyusunan dan penerapan rencana kontijensi (contigency plan) kurang memadai dan pengujiannya tidak dilakukan secara berkala.</w:t>
            </w:r>
          </w:p>
          <w:p w14:paraId="31D1B6BA" w14:textId="77777777" w:rsidR="00562324" w:rsidRPr="00306115" w:rsidRDefault="00562324">
            <w:pPr>
              <w:pStyle w:val="ListParagraph"/>
              <w:numPr>
                <w:ilvl w:val="0"/>
                <w:numId w:val="340"/>
              </w:numPr>
              <w:ind w:left="709" w:right="142" w:hanging="567"/>
              <w:contextualSpacing w:val="0"/>
              <w:rPr>
                <w:color w:val="000000" w:themeColor="text1"/>
                <w:szCs w:val="24"/>
              </w:rPr>
            </w:pPr>
            <w:r w:rsidRPr="00306115">
              <w:rPr>
                <w:color w:val="000000" w:themeColor="text1"/>
                <w:szCs w:val="24"/>
              </w:rPr>
              <w:t>Proses Manajemen Risiko untuk Risiko Likuiditas Produk Investasi kurang memadai dalam mengidentifikasi, mengukur, memantau, dan mengendalikan Risiko Likuiditas Produk Investasi.</w:t>
            </w:r>
          </w:p>
          <w:p w14:paraId="555BBF35" w14:textId="77777777" w:rsidR="00562324" w:rsidRPr="00306115" w:rsidRDefault="00562324">
            <w:pPr>
              <w:pStyle w:val="ListParagraph"/>
              <w:numPr>
                <w:ilvl w:val="0"/>
                <w:numId w:val="340"/>
              </w:numPr>
              <w:ind w:left="709" w:right="142" w:hanging="567"/>
              <w:contextualSpacing w:val="0"/>
              <w:rPr>
                <w:color w:val="000000" w:themeColor="text1"/>
                <w:szCs w:val="24"/>
              </w:rPr>
            </w:pPr>
            <w:r w:rsidRPr="00306115">
              <w:rPr>
                <w:color w:val="000000" w:themeColor="text1"/>
                <w:szCs w:val="24"/>
              </w:rPr>
              <w:t>Penilaian secara bulanan atas profil likuiditas aset dalam portofolio Produk Investasi yang dikelola untuk kepentingan likuiditas Produk Investasi, profil likuiditas dari kewajiban Produk Investasi, dan profil likuiditas aset atau tingkat kewajiban Produk Investasi dalam merespon berbagai skenario situasi pasar termasuk stress testing atas setiap Produk Investasi yang bersifat terbuka dilakukan secara kurang memadai dan didasarkan pada informasi yang kurang handal dan terkini.</w:t>
            </w:r>
          </w:p>
          <w:p w14:paraId="3BC33297" w14:textId="77777777" w:rsidR="00562324" w:rsidRPr="00306115" w:rsidRDefault="00562324">
            <w:pPr>
              <w:pStyle w:val="ListParagraph"/>
              <w:numPr>
                <w:ilvl w:val="0"/>
                <w:numId w:val="340"/>
              </w:numPr>
              <w:ind w:left="709" w:right="142" w:hanging="567"/>
              <w:contextualSpacing w:val="0"/>
              <w:rPr>
                <w:color w:val="000000" w:themeColor="text1"/>
                <w:szCs w:val="24"/>
              </w:rPr>
            </w:pPr>
            <w:r w:rsidRPr="00306115">
              <w:rPr>
                <w:color w:val="000000" w:themeColor="text1"/>
                <w:szCs w:val="24"/>
              </w:rPr>
              <w:t>Sistem Informasi Manajemen Risiko untuk Risiko Likuiditas Produk Investasi kurang baik dalam menghasilkan informasi dan laporan Risiko Likuiditas Produk Investasi yang komprehensif.</w:t>
            </w:r>
          </w:p>
          <w:p w14:paraId="4A7898A1" w14:textId="12D778FD" w:rsidR="00562324" w:rsidRPr="00306115" w:rsidRDefault="00562324">
            <w:pPr>
              <w:pStyle w:val="ListParagraph"/>
              <w:numPr>
                <w:ilvl w:val="0"/>
                <w:numId w:val="340"/>
              </w:numPr>
              <w:ind w:left="709" w:right="142" w:hanging="567"/>
              <w:contextualSpacing w:val="0"/>
              <w:rPr>
                <w:color w:val="000000" w:themeColor="text1"/>
                <w:szCs w:val="24"/>
              </w:rPr>
            </w:pPr>
            <w:r w:rsidRPr="00306115">
              <w:rPr>
                <w:color w:val="000000" w:themeColor="text1"/>
                <w:szCs w:val="24"/>
              </w:rPr>
              <w:t xml:space="preserve">Sumber daya manusia kurang memadai baik dari sisi jumlah maupun kompetensi pada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untuk Risiko Likuiditas Produk Investasi.</w:t>
            </w:r>
          </w:p>
          <w:p w14:paraId="0F844729" w14:textId="77777777" w:rsidR="00562324" w:rsidRPr="00306115" w:rsidRDefault="00562324">
            <w:pPr>
              <w:pStyle w:val="ListParagraph"/>
              <w:numPr>
                <w:ilvl w:val="0"/>
                <w:numId w:val="340"/>
              </w:numPr>
              <w:ind w:left="709" w:right="142" w:hanging="567"/>
              <w:contextualSpacing w:val="0"/>
              <w:rPr>
                <w:color w:val="000000" w:themeColor="text1"/>
                <w:szCs w:val="24"/>
              </w:rPr>
            </w:pPr>
            <w:r w:rsidRPr="00306115">
              <w:rPr>
                <w:color w:val="000000" w:themeColor="text1"/>
                <w:szCs w:val="24"/>
              </w:rPr>
              <w:t>Sistem pengendalian internal kurang efektif dalam mendukung pelaksanaan Manajemen Risiko untuk Risiko Likuiditas Produk Investasi.</w:t>
            </w:r>
          </w:p>
          <w:p w14:paraId="60AAAE3C" w14:textId="50CE3AE4" w:rsidR="00562324" w:rsidRPr="00306115" w:rsidRDefault="00562324">
            <w:pPr>
              <w:pStyle w:val="ListParagraph"/>
              <w:numPr>
                <w:ilvl w:val="0"/>
                <w:numId w:val="340"/>
              </w:numPr>
              <w:ind w:left="709" w:right="142" w:hanging="567"/>
              <w:contextualSpacing w:val="0"/>
              <w:rPr>
                <w:color w:val="000000" w:themeColor="text1"/>
                <w:szCs w:val="24"/>
              </w:rPr>
            </w:pPr>
            <w:r w:rsidRPr="00306115">
              <w:rPr>
                <w:color w:val="000000" w:themeColor="text1"/>
                <w:szCs w:val="24"/>
              </w:rPr>
              <w:t xml:space="preserve">Pelaksanaan kaji ulang oleh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dan fungsi audit internal kurang memadai. Terdapat beberapa kelemahan yang signifikan pada metodologi, frekuensi, maupun pelaporan kepada Direksi dan Dewan Komisaris yang memerlukan perbaikan segera.</w:t>
            </w:r>
          </w:p>
          <w:p w14:paraId="0EEB126F" w14:textId="77777777" w:rsidR="00562324" w:rsidRPr="00306115" w:rsidRDefault="00562324">
            <w:pPr>
              <w:pStyle w:val="ListParagraph"/>
              <w:numPr>
                <w:ilvl w:val="0"/>
                <w:numId w:val="340"/>
              </w:numPr>
              <w:ind w:left="709" w:right="142" w:hanging="567"/>
              <w:contextualSpacing w:val="0"/>
              <w:rPr>
                <w:color w:val="000000" w:themeColor="text1"/>
                <w:szCs w:val="24"/>
              </w:rPr>
            </w:pPr>
            <w:r w:rsidRPr="00306115">
              <w:rPr>
                <w:color w:val="000000" w:themeColor="text1"/>
                <w:szCs w:val="24"/>
              </w:rPr>
              <w:t>Tindak lanjut atas kaji ulang kurang memadai.</w:t>
            </w:r>
          </w:p>
        </w:tc>
      </w:tr>
      <w:tr w:rsidR="00562324" w:rsidRPr="00306115" w14:paraId="12D65F23" w14:textId="77777777" w:rsidTr="00F560AF">
        <w:tc>
          <w:tcPr>
            <w:tcW w:w="1918" w:type="dxa"/>
          </w:tcPr>
          <w:p w14:paraId="02AB11DC" w14:textId="77777777" w:rsidR="00562324" w:rsidRPr="00306115" w:rsidRDefault="00562324" w:rsidP="00BA5C01">
            <w:pPr>
              <w:pStyle w:val="BodyText"/>
              <w:numPr>
                <w:ilvl w:val="0"/>
                <w:numId w:val="0"/>
              </w:numPr>
              <w:jc w:val="center"/>
              <w:rPr>
                <w:color w:val="000000" w:themeColor="text1"/>
              </w:rPr>
            </w:pPr>
            <w:r w:rsidRPr="00306115">
              <w:rPr>
                <w:i/>
                <w:iCs/>
                <w:color w:val="000000" w:themeColor="text1"/>
              </w:rPr>
              <w:lastRenderedPageBreak/>
              <w:t>Unsatisfactory</w:t>
            </w:r>
            <w:r w:rsidRPr="00306115">
              <w:rPr>
                <w:color w:val="000000" w:themeColor="text1"/>
              </w:rPr>
              <w:t xml:space="preserve"> (5)</w:t>
            </w:r>
          </w:p>
        </w:tc>
        <w:tc>
          <w:tcPr>
            <w:tcW w:w="6327" w:type="dxa"/>
          </w:tcPr>
          <w:p w14:paraId="77D8E4D5" w14:textId="77777777" w:rsidR="00562324" w:rsidRPr="00306115" w:rsidRDefault="00562324" w:rsidP="00F560AF">
            <w:pPr>
              <w:ind w:left="142" w:right="142"/>
              <w:rPr>
                <w:b/>
                <w:bCs/>
                <w:color w:val="000000" w:themeColor="text1"/>
                <w:szCs w:val="24"/>
              </w:rPr>
            </w:pPr>
            <w:r w:rsidRPr="00306115">
              <w:rPr>
                <w:color w:val="000000" w:themeColor="text1"/>
                <w:szCs w:val="24"/>
              </w:rPr>
              <w:t xml:space="preserve">Kualitas penerapan Manajemen Risiko untuk Risiko Likuiditas Produk Investasi tidak memadai. Terdapat kelemahan signifikan pada </w:t>
            </w:r>
            <w:r w:rsidRPr="00306115">
              <w:rPr>
                <w:color w:val="000000" w:themeColor="text1"/>
                <w:szCs w:val="24"/>
              </w:rPr>
              <w:lastRenderedPageBreak/>
              <w:t>berbagai aspek Manajemen Risiko untuk Risiko Likuiditas Produk Investasi yang tindakan penyelesaiannya di luar kemampuan manajemen.</w:t>
            </w:r>
          </w:p>
          <w:p w14:paraId="56CFBD42" w14:textId="164A175C" w:rsidR="00562324" w:rsidRPr="00306115" w:rsidRDefault="00562324" w:rsidP="00F560AF">
            <w:pPr>
              <w:ind w:left="142" w:right="142"/>
              <w:rPr>
                <w:color w:val="000000" w:themeColor="text1"/>
                <w:szCs w:val="24"/>
              </w:rPr>
            </w:pPr>
            <w:r w:rsidRPr="00306115">
              <w:rPr>
                <w:color w:val="000000" w:themeColor="text1"/>
                <w:szCs w:val="24"/>
              </w:rPr>
              <w:t xml:space="preserve">Contoh </w:t>
            </w:r>
            <w:r w:rsidR="00764ECF" w:rsidRPr="00306115">
              <w:rPr>
                <w:color w:val="000000" w:themeColor="text1"/>
                <w:szCs w:val="24"/>
              </w:rPr>
              <w:t>karakteristik/kondisi</w:t>
            </w:r>
            <w:r w:rsidRPr="00306115">
              <w:rPr>
                <w:color w:val="000000" w:themeColor="text1"/>
                <w:szCs w:val="24"/>
              </w:rPr>
              <w:t xml:space="preserve"> Manajer Investasi yang termasuk dalam peringkat </w:t>
            </w:r>
            <w:r w:rsidRPr="00306115">
              <w:rPr>
                <w:i/>
                <w:color w:val="000000" w:themeColor="text1"/>
                <w:szCs w:val="24"/>
              </w:rPr>
              <w:t xml:space="preserve">Unsatisfactory </w:t>
            </w:r>
            <w:r w:rsidRPr="00306115">
              <w:rPr>
                <w:color w:val="000000" w:themeColor="text1"/>
                <w:szCs w:val="24"/>
              </w:rPr>
              <w:t>(5) ini antara lain sebagai berikut:</w:t>
            </w:r>
          </w:p>
          <w:p w14:paraId="7A9C83E2" w14:textId="77777777" w:rsidR="00562324" w:rsidRPr="00306115" w:rsidRDefault="00562324">
            <w:pPr>
              <w:pStyle w:val="ListParagraph"/>
              <w:numPr>
                <w:ilvl w:val="0"/>
                <w:numId w:val="341"/>
              </w:numPr>
              <w:ind w:left="709" w:right="142" w:hanging="567"/>
              <w:contextualSpacing w:val="0"/>
              <w:rPr>
                <w:color w:val="000000" w:themeColor="text1"/>
                <w:szCs w:val="24"/>
              </w:rPr>
            </w:pPr>
            <w:r w:rsidRPr="00306115">
              <w:rPr>
                <w:color w:val="000000" w:themeColor="text1"/>
                <w:szCs w:val="24"/>
              </w:rPr>
              <w:t>Perumusan tingkat risiko yang akan diambil (</w:t>
            </w:r>
            <w:r w:rsidRPr="00306115">
              <w:rPr>
                <w:i/>
                <w:color w:val="000000" w:themeColor="text1"/>
                <w:szCs w:val="24"/>
              </w:rPr>
              <w:t>risk appetite</w:t>
            </w:r>
            <w:r w:rsidRPr="00306115">
              <w:rPr>
                <w:color w:val="000000" w:themeColor="text1"/>
                <w:szCs w:val="24"/>
              </w:rPr>
              <w:t>) dan toleransi (</w:t>
            </w:r>
            <w:r w:rsidRPr="00306115">
              <w:rPr>
                <w:i/>
                <w:color w:val="000000" w:themeColor="text1"/>
                <w:szCs w:val="24"/>
              </w:rPr>
              <w:t>risk tolerance</w:t>
            </w:r>
            <w:r w:rsidRPr="00306115">
              <w:rPr>
                <w:color w:val="000000" w:themeColor="text1"/>
                <w:szCs w:val="24"/>
              </w:rPr>
              <w:t>) Risiko Likuiditas Produk Investasi tidak memadai serta tidak terdapat kaitan dengan strategi dan tujuan bisnis secara keseluruhan.</w:t>
            </w:r>
          </w:p>
          <w:p w14:paraId="617C7F6B" w14:textId="77777777" w:rsidR="00562324" w:rsidRPr="00306115" w:rsidRDefault="00562324">
            <w:pPr>
              <w:pStyle w:val="ListParagraph"/>
              <w:numPr>
                <w:ilvl w:val="0"/>
                <w:numId w:val="341"/>
              </w:numPr>
              <w:ind w:left="709" w:right="142" w:hanging="567"/>
              <w:contextualSpacing w:val="0"/>
              <w:rPr>
                <w:color w:val="000000" w:themeColor="text1"/>
                <w:szCs w:val="24"/>
              </w:rPr>
            </w:pPr>
            <w:r w:rsidRPr="00306115">
              <w:rPr>
                <w:color w:val="000000" w:themeColor="text1"/>
                <w:szCs w:val="24"/>
              </w:rPr>
              <w:t>Kesadaran (awareness) dan pemahaman Direksi dan Dewan Komisaris sangat rendah atau sangat tidak memadai mengenai pelaksanaan Manajemen Risiko, terutama terkait jenis dan tingkat risiko untuk Risiko Likuiditas Produk Investasi.</w:t>
            </w:r>
          </w:p>
          <w:p w14:paraId="003111B4" w14:textId="77777777" w:rsidR="00562324" w:rsidRPr="00306115" w:rsidRDefault="00562324">
            <w:pPr>
              <w:pStyle w:val="ListParagraph"/>
              <w:numPr>
                <w:ilvl w:val="0"/>
                <w:numId w:val="341"/>
              </w:numPr>
              <w:ind w:left="709" w:right="142" w:hanging="567"/>
              <w:contextualSpacing w:val="0"/>
              <w:rPr>
                <w:color w:val="000000" w:themeColor="text1"/>
                <w:szCs w:val="24"/>
              </w:rPr>
            </w:pPr>
            <w:r w:rsidRPr="00306115">
              <w:rPr>
                <w:color w:val="000000" w:themeColor="text1"/>
                <w:szCs w:val="24"/>
              </w:rPr>
              <w:t>Budaya Manajemen Risiko untuk Risiko Likuiditas Produk Investasi tidak kuat atau belum ada sama sekali.</w:t>
            </w:r>
          </w:p>
          <w:p w14:paraId="7580D418" w14:textId="77777777" w:rsidR="00562324" w:rsidRPr="00306115" w:rsidRDefault="00562324">
            <w:pPr>
              <w:pStyle w:val="ListParagraph"/>
              <w:numPr>
                <w:ilvl w:val="0"/>
                <w:numId w:val="341"/>
              </w:numPr>
              <w:ind w:left="709" w:right="142" w:hanging="567"/>
              <w:contextualSpacing w:val="0"/>
              <w:rPr>
                <w:color w:val="000000" w:themeColor="text1"/>
                <w:szCs w:val="24"/>
              </w:rPr>
            </w:pPr>
            <w:r w:rsidRPr="00306115">
              <w:rPr>
                <w:color w:val="000000" w:themeColor="text1"/>
                <w:szCs w:val="24"/>
              </w:rPr>
              <w:t>Pelaksanaan tugas Direksi dan Dewan Komisaris secara keseluruhan tidak memadai. Terdapat beberapa kelemahan yang signifikan pada hampir seluruh aspek penilaian yang tindakan penyelesaiannya di luar kemampuan manajemen.</w:t>
            </w:r>
          </w:p>
          <w:p w14:paraId="6A559547" w14:textId="77777777" w:rsidR="00562324" w:rsidRPr="00306115" w:rsidRDefault="00562324">
            <w:pPr>
              <w:pStyle w:val="ListParagraph"/>
              <w:numPr>
                <w:ilvl w:val="0"/>
                <w:numId w:val="341"/>
              </w:numPr>
              <w:ind w:left="709" w:right="142" w:hanging="567"/>
              <w:contextualSpacing w:val="0"/>
              <w:rPr>
                <w:color w:val="000000" w:themeColor="text1"/>
                <w:szCs w:val="24"/>
              </w:rPr>
            </w:pPr>
            <w:r w:rsidRPr="00306115">
              <w:rPr>
                <w:color w:val="000000" w:themeColor="text1"/>
                <w:szCs w:val="24"/>
              </w:rPr>
              <w:t>Fungsi Manajemen Risiko untuk Risiko Likuiditas Produk Investasi tidak independen, serta terdapat kelemahan signifikan yang memerlukan perbaikan fundamental.</w:t>
            </w:r>
          </w:p>
          <w:p w14:paraId="704CB70E" w14:textId="77777777" w:rsidR="00562324" w:rsidRPr="00306115" w:rsidRDefault="00562324">
            <w:pPr>
              <w:pStyle w:val="ListParagraph"/>
              <w:numPr>
                <w:ilvl w:val="0"/>
                <w:numId w:val="341"/>
              </w:numPr>
              <w:ind w:left="709" w:right="142" w:hanging="567"/>
              <w:contextualSpacing w:val="0"/>
              <w:rPr>
                <w:color w:val="000000" w:themeColor="text1"/>
                <w:szCs w:val="24"/>
              </w:rPr>
            </w:pPr>
            <w:r w:rsidRPr="00306115">
              <w:rPr>
                <w:color w:val="000000" w:themeColor="text1"/>
                <w:szCs w:val="24"/>
              </w:rPr>
              <w:t>Kerangka pedelegasian wewenang tidak memadai.</w:t>
            </w:r>
          </w:p>
          <w:p w14:paraId="4A17945D" w14:textId="77777777" w:rsidR="00562324" w:rsidRPr="00306115" w:rsidRDefault="00562324">
            <w:pPr>
              <w:pStyle w:val="ListParagraph"/>
              <w:numPr>
                <w:ilvl w:val="0"/>
                <w:numId w:val="341"/>
              </w:numPr>
              <w:ind w:left="709" w:right="142" w:hanging="567"/>
              <w:contextualSpacing w:val="0"/>
              <w:rPr>
                <w:color w:val="000000" w:themeColor="text1"/>
                <w:szCs w:val="24"/>
              </w:rPr>
            </w:pPr>
            <w:r w:rsidRPr="00306115">
              <w:rPr>
                <w:color w:val="000000" w:themeColor="text1"/>
                <w:szCs w:val="24"/>
              </w:rPr>
              <w:t>Kebijakan dan prosedur Manajemen Risiko serta penetapan limit Risiko Likuiditas Produk Investasi tidak memadai, tidak diterapkan, dan tidak dipahami oleh pegawai, sehingga memerlukan perbaikan fundamental.</w:t>
            </w:r>
          </w:p>
          <w:p w14:paraId="05A38C6E" w14:textId="77777777" w:rsidR="00562324" w:rsidRPr="00306115" w:rsidRDefault="00562324">
            <w:pPr>
              <w:pStyle w:val="ListParagraph"/>
              <w:numPr>
                <w:ilvl w:val="0"/>
                <w:numId w:val="341"/>
              </w:numPr>
              <w:ind w:left="709" w:right="142" w:hanging="567"/>
              <w:contextualSpacing w:val="0"/>
              <w:rPr>
                <w:color w:val="000000" w:themeColor="text1"/>
                <w:szCs w:val="24"/>
              </w:rPr>
            </w:pPr>
            <w:r w:rsidRPr="00306115">
              <w:rPr>
                <w:color w:val="000000" w:themeColor="text1"/>
                <w:szCs w:val="24"/>
              </w:rPr>
              <w:t>Strategi Manajemen Risiko untuk Risiko Likuiditas Produk Investasi tidak memadai dan tidak sejalan dengan tingkat risiko yang akan diambil dan toleransi Risiko Likuiditas Produk Investasi.</w:t>
            </w:r>
          </w:p>
          <w:p w14:paraId="6E4F06DD" w14:textId="77777777" w:rsidR="00562324" w:rsidRPr="00306115" w:rsidRDefault="00562324">
            <w:pPr>
              <w:pStyle w:val="ListParagraph"/>
              <w:numPr>
                <w:ilvl w:val="0"/>
                <w:numId w:val="341"/>
              </w:numPr>
              <w:ind w:left="709" w:right="142" w:hanging="567"/>
              <w:contextualSpacing w:val="0"/>
              <w:rPr>
                <w:color w:val="000000" w:themeColor="text1"/>
                <w:szCs w:val="24"/>
              </w:rPr>
            </w:pPr>
            <w:r w:rsidRPr="00306115">
              <w:rPr>
                <w:color w:val="000000" w:themeColor="text1"/>
                <w:szCs w:val="24"/>
              </w:rPr>
              <w:t>Penyusunan dan penerapan rencana kontijensi (contigency plan) tidak memadai dan tidak ada pengujian.</w:t>
            </w:r>
          </w:p>
          <w:p w14:paraId="68C7413F" w14:textId="77777777" w:rsidR="00562324" w:rsidRPr="00306115" w:rsidRDefault="00562324">
            <w:pPr>
              <w:pStyle w:val="ListParagraph"/>
              <w:numPr>
                <w:ilvl w:val="0"/>
                <w:numId w:val="341"/>
              </w:numPr>
              <w:ind w:left="709" w:right="142" w:hanging="567"/>
              <w:contextualSpacing w:val="0"/>
              <w:rPr>
                <w:color w:val="000000" w:themeColor="text1"/>
                <w:szCs w:val="24"/>
              </w:rPr>
            </w:pPr>
            <w:r w:rsidRPr="00306115">
              <w:rPr>
                <w:color w:val="000000" w:themeColor="text1"/>
                <w:szCs w:val="24"/>
              </w:rPr>
              <w:t>Proses Manajemen Risiko untuk Risiko Likuiditas Produk Investasi tidak memadai dalam mengidentifikasi, mengukur, memantau, dan mengendalikan Risiko Likuiditas Produk Investasi.</w:t>
            </w:r>
          </w:p>
          <w:p w14:paraId="3F1EFC8E" w14:textId="77777777" w:rsidR="00562324" w:rsidRPr="00306115" w:rsidRDefault="00562324">
            <w:pPr>
              <w:pStyle w:val="ListParagraph"/>
              <w:numPr>
                <w:ilvl w:val="0"/>
                <w:numId w:val="341"/>
              </w:numPr>
              <w:ind w:left="709" w:right="142" w:hanging="567"/>
              <w:contextualSpacing w:val="0"/>
              <w:rPr>
                <w:color w:val="000000" w:themeColor="text1"/>
                <w:szCs w:val="24"/>
              </w:rPr>
            </w:pPr>
            <w:r w:rsidRPr="00306115">
              <w:rPr>
                <w:color w:val="000000" w:themeColor="text1"/>
                <w:szCs w:val="24"/>
              </w:rPr>
              <w:lastRenderedPageBreak/>
              <w:t>Penilaian secara bulanan atas profil likuiditas aset dalam portofolio Produk Investasi yang dikelola untuk kepentingan likuiditas Produk Investasi, profil likuiditas dari kewajiban Produk Investasi, dan profil likuiditas aset atau tingkat kewajiban Produk Investasi dalam merespon berbagai skenario situasi pasar termasuk stress testing atas setiap Produk Investasi yang bersifat terbuka dilakukan secara tidak memadai dan didasarkan pada informasi yang tidak handal dan terkini.</w:t>
            </w:r>
          </w:p>
          <w:p w14:paraId="22CBB84B" w14:textId="77777777" w:rsidR="00562324" w:rsidRPr="00306115" w:rsidRDefault="00562324">
            <w:pPr>
              <w:pStyle w:val="ListParagraph"/>
              <w:numPr>
                <w:ilvl w:val="0"/>
                <w:numId w:val="341"/>
              </w:numPr>
              <w:ind w:left="709" w:right="142" w:hanging="567"/>
              <w:contextualSpacing w:val="0"/>
              <w:rPr>
                <w:color w:val="000000" w:themeColor="text1"/>
                <w:szCs w:val="24"/>
              </w:rPr>
            </w:pPr>
            <w:r w:rsidRPr="00306115">
              <w:rPr>
                <w:color w:val="000000" w:themeColor="text1"/>
                <w:szCs w:val="24"/>
              </w:rPr>
              <w:t>Sistem Informasi Manajemen Risiko untuk Risiko Likuiditas Produk Investasi tidak dapat menghasilkan informasi dan laporan Risiko Likuiditas Produk Investasi yang komprehensif.</w:t>
            </w:r>
          </w:p>
          <w:p w14:paraId="7C69CD84" w14:textId="5D3F6F60" w:rsidR="00562324" w:rsidRPr="00306115" w:rsidRDefault="00562324">
            <w:pPr>
              <w:pStyle w:val="ListParagraph"/>
              <w:numPr>
                <w:ilvl w:val="0"/>
                <w:numId w:val="341"/>
              </w:numPr>
              <w:ind w:left="709" w:right="142" w:hanging="567"/>
              <w:contextualSpacing w:val="0"/>
              <w:rPr>
                <w:color w:val="000000" w:themeColor="text1"/>
                <w:szCs w:val="24"/>
              </w:rPr>
            </w:pPr>
            <w:r w:rsidRPr="00306115">
              <w:rPr>
                <w:color w:val="000000" w:themeColor="text1"/>
                <w:szCs w:val="24"/>
              </w:rPr>
              <w:t xml:space="preserve">Sumber daya manusia tidak memadai baik dari sisi jumlah maupun kompetensi pada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untuk Risiko Likuiditas Produk Investasi.</w:t>
            </w:r>
          </w:p>
          <w:p w14:paraId="01FE2A9B" w14:textId="77777777" w:rsidR="00562324" w:rsidRPr="00306115" w:rsidRDefault="00562324">
            <w:pPr>
              <w:pStyle w:val="ListParagraph"/>
              <w:numPr>
                <w:ilvl w:val="0"/>
                <w:numId w:val="341"/>
              </w:numPr>
              <w:ind w:left="709" w:right="142" w:hanging="567"/>
              <w:contextualSpacing w:val="0"/>
              <w:rPr>
                <w:color w:val="000000" w:themeColor="text1"/>
                <w:szCs w:val="24"/>
              </w:rPr>
            </w:pPr>
            <w:r w:rsidRPr="00306115">
              <w:rPr>
                <w:color w:val="000000" w:themeColor="text1"/>
                <w:szCs w:val="24"/>
              </w:rPr>
              <w:t>Sistem pengendalian internal tidak efektif dalam mendukung pelaksanaan Manajemen Risiko untuk Risiko Likuiditas Produk Investasi.</w:t>
            </w:r>
          </w:p>
          <w:p w14:paraId="0EB53449" w14:textId="69BBCDAE" w:rsidR="00562324" w:rsidRPr="00306115" w:rsidRDefault="00562324">
            <w:pPr>
              <w:pStyle w:val="ListParagraph"/>
              <w:numPr>
                <w:ilvl w:val="0"/>
                <w:numId w:val="341"/>
              </w:numPr>
              <w:ind w:left="709" w:right="142" w:hanging="567"/>
              <w:contextualSpacing w:val="0"/>
              <w:rPr>
                <w:color w:val="000000" w:themeColor="text1"/>
                <w:szCs w:val="24"/>
              </w:rPr>
            </w:pPr>
            <w:r w:rsidRPr="00306115">
              <w:rPr>
                <w:color w:val="000000" w:themeColor="text1"/>
                <w:szCs w:val="24"/>
              </w:rPr>
              <w:t xml:space="preserve">Pelaksanaan kaji ulang oleh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dan fungsi audit internal tidak memadai. Terdapat kelemahan yang signifikan pada metodologi, frekuensi, maupun pelaporan kepada Direksi dan Dewan Komisaris yang memerlukan perbaikan fundamental.</w:t>
            </w:r>
          </w:p>
          <w:p w14:paraId="58A37BEF" w14:textId="77777777" w:rsidR="00562324" w:rsidRPr="00306115" w:rsidRDefault="00562324">
            <w:pPr>
              <w:pStyle w:val="ListParagraph"/>
              <w:numPr>
                <w:ilvl w:val="0"/>
                <w:numId w:val="341"/>
              </w:numPr>
              <w:ind w:left="709" w:right="142" w:hanging="567"/>
              <w:contextualSpacing w:val="0"/>
              <w:rPr>
                <w:color w:val="000000" w:themeColor="text1"/>
                <w:szCs w:val="24"/>
              </w:rPr>
            </w:pPr>
            <w:r w:rsidRPr="00306115">
              <w:rPr>
                <w:color w:val="000000" w:themeColor="text1"/>
                <w:szCs w:val="24"/>
              </w:rPr>
              <w:t>Tindak lanjut atas kaji ulang tidak memadai atau tidak ada.</w:t>
            </w:r>
          </w:p>
        </w:tc>
      </w:tr>
    </w:tbl>
    <w:p w14:paraId="0CF3AF06" w14:textId="77777777" w:rsidR="00562324" w:rsidRPr="00306115" w:rsidRDefault="00562324" w:rsidP="00562324">
      <w:pPr>
        <w:pStyle w:val="HeadingAwalDaftarIsiLampiran"/>
        <w:numPr>
          <w:ilvl w:val="0"/>
          <w:numId w:val="0"/>
        </w:numPr>
        <w:ind w:left="1134"/>
      </w:pPr>
    </w:p>
    <w:p w14:paraId="4965141E" w14:textId="7151C8B7" w:rsidR="001F762D" w:rsidRPr="00306115" w:rsidRDefault="001F762D">
      <w:pPr>
        <w:pStyle w:val="HeadingAwalDaftarIsiLampiran"/>
        <w:numPr>
          <w:ilvl w:val="3"/>
          <w:numId w:val="295"/>
        </w:numPr>
        <w:ind w:left="567" w:hanging="567"/>
      </w:pPr>
      <w:r w:rsidRPr="00306115">
        <w:t>Risiko Kredit</w:t>
      </w:r>
    </w:p>
    <w:p w14:paraId="3581B303" w14:textId="77777777" w:rsidR="00451E35" w:rsidRPr="00306115" w:rsidRDefault="00451E35">
      <w:pPr>
        <w:pStyle w:val="HeadingAwalDaftarIsiLampiran"/>
        <w:numPr>
          <w:ilvl w:val="4"/>
          <w:numId w:val="295"/>
        </w:numPr>
        <w:ind w:left="1134" w:hanging="567"/>
      </w:pPr>
      <w:r w:rsidRPr="00306115">
        <w:t>Matriks Penetapan Tingkat Risiko Inheren</w:t>
      </w:r>
    </w:p>
    <w:tbl>
      <w:tblPr>
        <w:tblW w:w="8222"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32"/>
        <w:gridCol w:w="6290"/>
      </w:tblGrid>
      <w:tr w:rsidR="009E1758" w:rsidRPr="00306115" w14:paraId="6B36999F" w14:textId="77777777" w:rsidTr="00687AA6">
        <w:trPr>
          <w:trHeight w:val="606"/>
          <w:tblHeader/>
        </w:trPr>
        <w:tc>
          <w:tcPr>
            <w:tcW w:w="1932" w:type="dxa"/>
            <w:shd w:val="clear" w:color="auto" w:fill="D9D9D9"/>
          </w:tcPr>
          <w:p w14:paraId="2CC497CF" w14:textId="77777777" w:rsidR="009E1758" w:rsidRPr="00306115" w:rsidRDefault="009E1758" w:rsidP="00B01DDE">
            <w:pPr>
              <w:pStyle w:val="TableParagraph"/>
              <w:spacing w:before="60" w:after="60"/>
              <w:ind w:left="142" w:right="142"/>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Peringkat</w:t>
            </w:r>
          </w:p>
        </w:tc>
        <w:tc>
          <w:tcPr>
            <w:tcW w:w="6290" w:type="dxa"/>
            <w:shd w:val="clear" w:color="auto" w:fill="D9D9D9"/>
          </w:tcPr>
          <w:p w14:paraId="0D009A92" w14:textId="77777777" w:rsidR="009E1758" w:rsidRPr="00306115" w:rsidRDefault="009E1758" w:rsidP="00B01DDE">
            <w:pPr>
              <w:pStyle w:val="TableParagraph"/>
              <w:spacing w:before="60" w:after="60"/>
              <w:ind w:left="142" w:right="142"/>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Definisi Peringkat</w:t>
            </w:r>
          </w:p>
        </w:tc>
      </w:tr>
      <w:tr w:rsidR="009E1758" w:rsidRPr="00306115" w14:paraId="6BEF7488" w14:textId="77777777" w:rsidTr="00780B75">
        <w:trPr>
          <w:trHeight w:val="1432"/>
        </w:trPr>
        <w:tc>
          <w:tcPr>
            <w:tcW w:w="1932" w:type="dxa"/>
          </w:tcPr>
          <w:p w14:paraId="28B046A6" w14:textId="77777777" w:rsidR="009E1758" w:rsidRPr="00306115" w:rsidRDefault="009E1758" w:rsidP="00B01DDE">
            <w:pPr>
              <w:pStyle w:val="TableParagraph"/>
              <w:ind w:left="142" w:right="142"/>
              <w:jc w:val="center"/>
              <w:rPr>
                <w:rFonts w:ascii="Bookman Old Style" w:hAnsi="Bookman Old Style"/>
                <w:color w:val="000000" w:themeColor="text1"/>
                <w:sz w:val="24"/>
                <w:szCs w:val="24"/>
              </w:rPr>
            </w:pPr>
            <w:r w:rsidRPr="00306115">
              <w:rPr>
                <w:rFonts w:ascii="Bookman Old Style" w:hAnsi="Bookman Old Style"/>
                <w:i/>
                <w:color w:val="000000" w:themeColor="text1"/>
                <w:sz w:val="24"/>
                <w:szCs w:val="24"/>
              </w:rPr>
              <w:t xml:space="preserve">Low </w:t>
            </w:r>
            <w:r w:rsidRPr="00306115">
              <w:rPr>
                <w:rFonts w:ascii="Bookman Old Style" w:hAnsi="Bookman Old Style"/>
                <w:color w:val="000000" w:themeColor="text1"/>
                <w:sz w:val="24"/>
                <w:szCs w:val="24"/>
              </w:rPr>
              <w:t>(1)</w:t>
            </w:r>
          </w:p>
        </w:tc>
        <w:tc>
          <w:tcPr>
            <w:tcW w:w="6290" w:type="dxa"/>
          </w:tcPr>
          <w:p w14:paraId="0D9318B6" w14:textId="77777777" w:rsidR="009E1758" w:rsidRPr="00306115" w:rsidRDefault="009E1758" w:rsidP="00B01DDE">
            <w:pPr>
              <w:pStyle w:val="ListParagraph"/>
              <w:spacing w:after="0" w:line="240" w:lineRule="auto"/>
              <w:ind w:left="142" w:right="142"/>
              <w:contextualSpacing w:val="0"/>
              <w:rPr>
                <w:color w:val="000000" w:themeColor="text1"/>
                <w:szCs w:val="24"/>
              </w:rPr>
            </w:pPr>
            <w:r w:rsidRPr="00306115">
              <w:rPr>
                <w:color w:val="000000" w:themeColor="text1"/>
                <w:szCs w:val="24"/>
              </w:rPr>
              <w:t>Dengan mempertimbangkan karakteristik Produk Investasi, kemungkinan timbulnya dampak paparan dari Risiko Kredit terhadap Produk Investasi tergolong sangat rendah selama periode waktu tertentu pada masa datang.</w:t>
            </w:r>
          </w:p>
          <w:p w14:paraId="5F27BFC1" w14:textId="77777777" w:rsidR="009E1758" w:rsidRPr="00306115" w:rsidRDefault="009E1758" w:rsidP="00B01DDE">
            <w:pPr>
              <w:pStyle w:val="ListParagraph"/>
              <w:spacing w:after="0" w:line="240" w:lineRule="auto"/>
              <w:ind w:left="142" w:right="142"/>
              <w:contextualSpacing w:val="0"/>
              <w:rPr>
                <w:strike/>
                <w:color w:val="000000" w:themeColor="text1"/>
                <w:szCs w:val="24"/>
              </w:rPr>
            </w:pPr>
            <w:r w:rsidRPr="00306115">
              <w:rPr>
                <w:color w:val="000000" w:themeColor="text1"/>
                <w:szCs w:val="24"/>
              </w:rPr>
              <w:t xml:space="preserve">Contoh kondisi yang menunjukan Risiko Kredit termasuk dalam peringkat </w:t>
            </w:r>
            <w:r w:rsidRPr="00306115">
              <w:rPr>
                <w:i/>
                <w:iCs/>
                <w:color w:val="000000" w:themeColor="text1"/>
                <w:szCs w:val="24"/>
              </w:rPr>
              <w:t xml:space="preserve">Low </w:t>
            </w:r>
            <w:r w:rsidRPr="00306115">
              <w:rPr>
                <w:color w:val="000000" w:themeColor="text1"/>
                <w:szCs w:val="24"/>
              </w:rPr>
              <w:t>(1) antara lain sebagai berikut:</w:t>
            </w:r>
          </w:p>
          <w:p w14:paraId="3096254F" w14:textId="77777777" w:rsidR="003A21AB" w:rsidRPr="00306115" w:rsidRDefault="003A21AB">
            <w:pPr>
              <w:pStyle w:val="ListParagraph"/>
              <w:numPr>
                <w:ilvl w:val="0"/>
                <w:numId w:val="342"/>
              </w:numPr>
              <w:spacing w:after="0" w:line="240" w:lineRule="auto"/>
              <w:ind w:left="709" w:right="142" w:hanging="567"/>
              <w:contextualSpacing w:val="0"/>
              <w:rPr>
                <w:color w:val="000000" w:themeColor="text1"/>
                <w:szCs w:val="24"/>
              </w:rPr>
            </w:pPr>
            <w:r w:rsidRPr="00306115">
              <w:rPr>
                <w:color w:val="000000" w:themeColor="text1"/>
                <w:szCs w:val="24"/>
                <w:lang w:val="en-ID"/>
              </w:rPr>
              <w:t xml:space="preserve">Rata-rata kepemilikan Efek Bersifat Utang atau Sukuk dengan rating </w:t>
            </w:r>
            <w:r w:rsidRPr="00306115">
              <w:rPr>
                <w:i/>
                <w:iCs/>
                <w:color w:val="000000" w:themeColor="text1"/>
                <w:szCs w:val="24"/>
                <w:lang w:val="en-ID"/>
              </w:rPr>
              <w:t>non-investment grade</w:t>
            </w:r>
            <w:r w:rsidRPr="00306115">
              <w:rPr>
                <w:color w:val="000000" w:themeColor="text1"/>
                <w:szCs w:val="24"/>
                <w:lang w:val="en-ID"/>
              </w:rPr>
              <w:t xml:space="preserve"> sangat rendah. </w:t>
            </w:r>
          </w:p>
          <w:p w14:paraId="7ABD7F13" w14:textId="77777777" w:rsidR="003A21AB" w:rsidRPr="00306115" w:rsidRDefault="003A21AB">
            <w:pPr>
              <w:pStyle w:val="ListParagraph"/>
              <w:numPr>
                <w:ilvl w:val="0"/>
                <w:numId w:val="342"/>
              </w:numPr>
              <w:spacing w:after="0" w:line="240" w:lineRule="auto"/>
              <w:ind w:left="709" w:right="142" w:hanging="567"/>
              <w:contextualSpacing w:val="0"/>
              <w:rPr>
                <w:color w:val="000000" w:themeColor="text1"/>
                <w:szCs w:val="24"/>
              </w:rPr>
            </w:pPr>
            <w:r w:rsidRPr="00306115">
              <w:rPr>
                <w:color w:val="000000" w:themeColor="text1"/>
                <w:szCs w:val="24"/>
                <w:lang w:val="en-ID"/>
              </w:rPr>
              <w:t>Persentase Nilai Investasi Tertimbang Berdasarkan Kualitas Kredit (</w:t>
            </w:r>
            <w:r w:rsidRPr="00306115">
              <w:rPr>
                <w:i/>
                <w:iCs/>
                <w:color w:val="000000" w:themeColor="text1"/>
                <w:szCs w:val="24"/>
                <w:lang w:val="en-ID"/>
              </w:rPr>
              <w:t>Risk-Weighted Value</w:t>
            </w:r>
            <w:r w:rsidRPr="00306115">
              <w:rPr>
                <w:color w:val="000000" w:themeColor="text1"/>
                <w:szCs w:val="24"/>
                <w:lang w:val="en-ID"/>
              </w:rPr>
              <w:t xml:space="preserve">) atas Efek Bersifat Utang dan/atau Sukuk sangat tinggi. </w:t>
            </w:r>
          </w:p>
          <w:p w14:paraId="525904CA" w14:textId="39C2BC58" w:rsidR="003A21AB" w:rsidRPr="00306115" w:rsidRDefault="003A21AB">
            <w:pPr>
              <w:pStyle w:val="ListParagraph"/>
              <w:numPr>
                <w:ilvl w:val="0"/>
                <w:numId w:val="342"/>
              </w:numPr>
              <w:spacing w:after="0" w:line="240" w:lineRule="auto"/>
              <w:ind w:left="709" w:right="142" w:hanging="567"/>
              <w:contextualSpacing w:val="0"/>
              <w:rPr>
                <w:color w:val="000000" w:themeColor="text1"/>
                <w:szCs w:val="24"/>
              </w:rPr>
            </w:pPr>
            <w:r w:rsidRPr="00306115">
              <w:rPr>
                <w:color w:val="000000" w:themeColor="text1"/>
                <w:szCs w:val="24"/>
                <w:lang w:val="en-ID"/>
              </w:rPr>
              <w:lastRenderedPageBreak/>
              <w:t xml:space="preserve">Tidak ada Efek Bersifat Utang atau Sukuk yang mengalami </w:t>
            </w:r>
            <w:r w:rsidR="00543A86" w:rsidRPr="00306115">
              <w:rPr>
                <w:i/>
                <w:iCs/>
                <w:color w:val="000000" w:themeColor="text1"/>
                <w:szCs w:val="24"/>
                <w:lang w:val="en-ID"/>
              </w:rPr>
              <w:t>downgrade</w:t>
            </w:r>
            <w:r w:rsidRPr="00306115">
              <w:rPr>
                <w:color w:val="000000" w:themeColor="text1"/>
                <w:szCs w:val="24"/>
                <w:lang w:val="en-ID"/>
              </w:rPr>
              <w:t xml:space="preserve"> di seluruh produk. </w:t>
            </w:r>
          </w:p>
          <w:p w14:paraId="2451A9E5" w14:textId="3C198A32" w:rsidR="00741CD8" w:rsidRPr="00306115" w:rsidRDefault="003A21AB">
            <w:pPr>
              <w:pStyle w:val="ListParagraph"/>
              <w:numPr>
                <w:ilvl w:val="0"/>
                <w:numId w:val="342"/>
              </w:numPr>
              <w:spacing w:after="0" w:line="240" w:lineRule="auto"/>
              <w:ind w:left="709" w:right="142" w:hanging="567"/>
              <w:contextualSpacing w:val="0"/>
              <w:rPr>
                <w:color w:val="000000" w:themeColor="text1"/>
                <w:szCs w:val="24"/>
              </w:rPr>
            </w:pPr>
            <w:r w:rsidRPr="00306115">
              <w:rPr>
                <w:color w:val="000000" w:themeColor="text1"/>
                <w:szCs w:val="24"/>
                <w:lang w:val="en-ID"/>
              </w:rPr>
              <w:t xml:space="preserve">Bagi Manajer Investasi yang memiliki produk KIK EBA, tidak ada produk KIK EBA dengan permasalahan </w:t>
            </w:r>
            <w:r w:rsidRPr="00306115">
              <w:rPr>
                <w:i/>
                <w:iCs/>
                <w:color w:val="000000" w:themeColor="text1"/>
                <w:szCs w:val="24"/>
                <w:lang w:val="en-ID"/>
              </w:rPr>
              <w:t>delinquency</w:t>
            </w:r>
            <w:r w:rsidRPr="00306115">
              <w:rPr>
                <w:color w:val="000000" w:themeColor="text1"/>
                <w:szCs w:val="24"/>
                <w:lang w:val="en-ID"/>
              </w:rPr>
              <w:t xml:space="preserve"> dan/atau </w:t>
            </w:r>
            <w:r w:rsidRPr="00306115">
              <w:rPr>
                <w:i/>
                <w:iCs/>
                <w:color w:val="000000" w:themeColor="text1"/>
                <w:szCs w:val="24"/>
                <w:lang w:val="en-ID"/>
              </w:rPr>
              <w:t>default.</w:t>
            </w:r>
          </w:p>
        </w:tc>
      </w:tr>
      <w:tr w:rsidR="009E1758" w:rsidRPr="00306115" w14:paraId="0FD5DC7D" w14:textId="77777777" w:rsidTr="00687AA6">
        <w:trPr>
          <w:trHeight w:val="1974"/>
        </w:trPr>
        <w:tc>
          <w:tcPr>
            <w:tcW w:w="1932" w:type="dxa"/>
          </w:tcPr>
          <w:p w14:paraId="5C56640A" w14:textId="77777777" w:rsidR="009E1758" w:rsidRPr="00306115" w:rsidRDefault="009E1758" w:rsidP="00B01DDE">
            <w:pPr>
              <w:pStyle w:val="TableParagraph"/>
              <w:ind w:left="142" w:right="142"/>
              <w:jc w:val="center"/>
              <w:rPr>
                <w:rFonts w:ascii="Bookman Old Style" w:hAnsi="Bookman Old Style"/>
                <w:color w:val="000000" w:themeColor="text1"/>
                <w:sz w:val="24"/>
                <w:szCs w:val="24"/>
              </w:rPr>
            </w:pPr>
            <w:r w:rsidRPr="00306115">
              <w:rPr>
                <w:rFonts w:ascii="Bookman Old Style" w:hAnsi="Bookman Old Style"/>
                <w:i/>
                <w:color w:val="000000" w:themeColor="text1"/>
                <w:sz w:val="24"/>
                <w:szCs w:val="24"/>
              </w:rPr>
              <w:lastRenderedPageBreak/>
              <w:t xml:space="preserve">Low to Moderate </w:t>
            </w:r>
            <w:r w:rsidRPr="00306115">
              <w:rPr>
                <w:rFonts w:ascii="Bookman Old Style" w:hAnsi="Bookman Old Style"/>
                <w:color w:val="000000" w:themeColor="text1"/>
                <w:sz w:val="24"/>
                <w:szCs w:val="24"/>
              </w:rPr>
              <w:t>(2)</w:t>
            </w:r>
          </w:p>
        </w:tc>
        <w:tc>
          <w:tcPr>
            <w:tcW w:w="6290" w:type="dxa"/>
          </w:tcPr>
          <w:p w14:paraId="7948BD5A" w14:textId="77777777" w:rsidR="009E1758" w:rsidRPr="00306115" w:rsidRDefault="009E1758" w:rsidP="00B01DDE">
            <w:pPr>
              <w:pStyle w:val="ListParagraph"/>
              <w:spacing w:after="0" w:line="240" w:lineRule="auto"/>
              <w:ind w:left="142" w:right="142"/>
              <w:contextualSpacing w:val="0"/>
              <w:rPr>
                <w:color w:val="000000" w:themeColor="text1"/>
                <w:szCs w:val="24"/>
              </w:rPr>
            </w:pPr>
            <w:r w:rsidRPr="00306115">
              <w:rPr>
                <w:color w:val="000000" w:themeColor="text1"/>
                <w:szCs w:val="24"/>
              </w:rPr>
              <w:t>Dengan mempertimbangkan karakteristik Produk Investasi, kemungkinan timbulnya dampak paparan dari Risiko Kredit terhadap Produk Investasi tergolong rendah selama periode waktu tertentu pada masa datang. Dampak dimaksud dapat berupa dampak positif atau dampak negatif.</w:t>
            </w:r>
          </w:p>
          <w:p w14:paraId="76953135" w14:textId="77777777" w:rsidR="009E1758" w:rsidRPr="00306115" w:rsidRDefault="009E1758" w:rsidP="00B01DDE">
            <w:pPr>
              <w:pStyle w:val="ListParagraph"/>
              <w:spacing w:after="0" w:line="240" w:lineRule="auto"/>
              <w:ind w:left="142" w:right="142"/>
              <w:contextualSpacing w:val="0"/>
              <w:rPr>
                <w:strike/>
                <w:color w:val="000000" w:themeColor="text1"/>
                <w:szCs w:val="24"/>
              </w:rPr>
            </w:pPr>
            <w:r w:rsidRPr="00306115">
              <w:rPr>
                <w:color w:val="000000" w:themeColor="text1"/>
                <w:szCs w:val="24"/>
              </w:rPr>
              <w:t xml:space="preserve">Contoh kondisi yang menunjukan Risiko Kredit termasuk dalam peringkat </w:t>
            </w:r>
            <w:r w:rsidRPr="00306115">
              <w:rPr>
                <w:i/>
                <w:iCs/>
                <w:color w:val="000000" w:themeColor="text1"/>
                <w:szCs w:val="24"/>
              </w:rPr>
              <w:t xml:space="preserve">Low to Moderate </w:t>
            </w:r>
            <w:r w:rsidRPr="00306115">
              <w:rPr>
                <w:color w:val="000000" w:themeColor="text1"/>
                <w:szCs w:val="24"/>
              </w:rPr>
              <w:t>(2) antara lain sebagai berikut:</w:t>
            </w:r>
          </w:p>
          <w:p w14:paraId="70659B50" w14:textId="405DE125" w:rsidR="003C0A72" w:rsidRPr="00306115" w:rsidRDefault="003C0A72">
            <w:pPr>
              <w:pStyle w:val="ListParagraph"/>
              <w:numPr>
                <w:ilvl w:val="0"/>
                <w:numId w:val="343"/>
              </w:numPr>
              <w:spacing w:after="0" w:line="240" w:lineRule="auto"/>
              <w:ind w:left="709" w:right="142" w:hanging="567"/>
              <w:contextualSpacing w:val="0"/>
              <w:rPr>
                <w:color w:val="000000" w:themeColor="text1"/>
                <w:szCs w:val="24"/>
              </w:rPr>
            </w:pPr>
            <w:r w:rsidRPr="00306115">
              <w:rPr>
                <w:color w:val="000000" w:themeColor="text1"/>
                <w:szCs w:val="24"/>
                <w:lang w:val="en-ID"/>
              </w:rPr>
              <w:t xml:space="preserve">Rata-rata kepemilikan Efek Bersifat Utang atau Sukuk dengan rating </w:t>
            </w:r>
            <w:r w:rsidRPr="00306115">
              <w:rPr>
                <w:i/>
                <w:iCs/>
                <w:color w:val="000000" w:themeColor="text1"/>
                <w:szCs w:val="24"/>
                <w:lang w:val="en-ID"/>
              </w:rPr>
              <w:t>non-investment grade</w:t>
            </w:r>
            <w:r w:rsidRPr="00306115">
              <w:rPr>
                <w:color w:val="000000" w:themeColor="text1"/>
                <w:szCs w:val="24"/>
                <w:lang w:val="en-ID"/>
              </w:rPr>
              <w:t xml:space="preserve"> rendah. </w:t>
            </w:r>
          </w:p>
          <w:p w14:paraId="05043D5C" w14:textId="77777777" w:rsidR="003C0A72" w:rsidRPr="00306115" w:rsidRDefault="003C0A72">
            <w:pPr>
              <w:pStyle w:val="ListParagraph"/>
              <w:numPr>
                <w:ilvl w:val="0"/>
                <w:numId w:val="343"/>
              </w:numPr>
              <w:spacing w:after="0" w:line="240" w:lineRule="auto"/>
              <w:ind w:left="709" w:right="142" w:hanging="567"/>
              <w:contextualSpacing w:val="0"/>
              <w:rPr>
                <w:color w:val="000000" w:themeColor="text1"/>
                <w:szCs w:val="24"/>
                <w:lang w:val="en-ID"/>
              </w:rPr>
            </w:pPr>
            <w:r w:rsidRPr="00306115">
              <w:rPr>
                <w:color w:val="000000" w:themeColor="text1"/>
                <w:szCs w:val="24"/>
                <w:lang w:val="en-ID"/>
              </w:rPr>
              <w:t>Persentase Nilai Investasi Tertimbang Berdasarkan Kualitas Kredit (</w:t>
            </w:r>
            <w:r w:rsidRPr="00306115">
              <w:rPr>
                <w:i/>
                <w:iCs/>
                <w:color w:val="000000" w:themeColor="text1"/>
                <w:szCs w:val="24"/>
                <w:lang w:val="en-ID"/>
              </w:rPr>
              <w:t>Risk-Weighted Value</w:t>
            </w:r>
            <w:r w:rsidRPr="00306115">
              <w:rPr>
                <w:color w:val="000000" w:themeColor="text1"/>
                <w:szCs w:val="24"/>
                <w:lang w:val="en-ID"/>
              </w:rPr>
              <w:t xml:space="preserve">) atas Efek Bersifat Utang dan/atau Sukuk tinggi. </w:t>
            </w:r>
          </w:p>
          <w:p w14:paraId="0EB2981D" w14:textId="3BBFFE4A" w:rsidR="003C0A72" w:rsidRPr="00306115" w:rsidRDefault="003C0A72">
            <w:pPr>
              <w:pStyle w:val="ListParagraph"/>
              <w:numPr>
                <w:ilvl w:val="0"/>
                <w:numId w:val="343"/>
              </w:numPr>
              <w:spacing w:after="0" w:line="240" w:lineRule="auto"/>
              <w:ind w:left="709" w:right="142" w:hanging="567"/>
              <w:contextualSpacing w:val="0"/>
              <w:rPr>
                <w:color w:val="000000" w:themeColor="text1"/>
                <w:szCs w:val="24"/>
                <w:lang w:val="en-ID"/>
              </w:rPr>
            </w:pPr>
            <w:r w:rsidRPr="00306115">
              <w:rPr>
                <w:color w:val="000000" w:themeColor="text1"/>
                <w:szCs w:val="24"/>
                <w:lang w:val="en-ID"/>
              </w:rPr>
              <w:t xml:space="preserve">Sebagian kecil Efek Bersifat Utang atau Sukuk mengalami </w:t>
            </w:r>
            <w:r w:rsidR="00543A86" w:rsidRPr="00306115">
              <w:rPr>
                <w:i/>
                <w:iCs/>
                <w:color w:val="000000" w:themeColor="text1"/>
                <w:szCs w:val="24"/>
                <w:lang w:val="en-ID"/>
              </w:rPr>
              <w:t>downgrade</w:t>
            </w:r>
            <w:r w:rsidRPr="00306115">
              <w:rPr>
                <w:color w:val="000000" w:themeColor="text1"/>
                <w:szCs w:val="24"/>
                <w:lang w:val="en-ID"/>
              </w:rPr>
              <w:t xml:space="preserve">, dengan rata-rata persentase kepemilikan yang </w:t>
            </w:r>
            <w:r w:rsidR="00543A86" w:rsidRPr="00306115">
              <w:rPr>
                <w:i/>
                <w:iCs/>
                <w:color w:val="000000" w:themeColor="text1"/>
                <w:szCs w:val="24"/>
                <w:lang w:val="en-ID"/>
              </w:rPr>
              <w:t>downgrade</w:t>
            </w:r>
            <w:r w:rsidRPr="00306115">
              <w:rPr>
                <w:i/>
                <w:iCs/>
                <w:color w:val="000000" w:themeColor="text1"/>
                <w:szCs w:val="24"/>
                <w:lang w:val="en-ID"/>
              </w:rPr>
              <w:t>d</w:t>
            </w:r>
            <w:r w:rsidRPr="00306115">
              <w:rPr>
                <w:color w:val="000000" w:themeColor="text1"/>
                <w:szCs w:val="24"/>
                <w:lang w:val="en-ID"/>
              </w:rPr>
              <w:t xml:space="preserve"> tidak signifikan. </w:t>
            </w:r>
          </w:p>
          <w:p w14:paraId="7FD7AB5C" w14:textId="371817ED" w:rsidR="00311224" w:rsidRPr="00306115" w:rsidRDefault="003C0A72">
            <w:pPr>
              <w:pStyle w:val="ListParagraph"/>
              <w:numPr>
                <w:ilvl w:val="0"/>
                <w:numId w:val="343"/>
              </w:numPr>
              <w:spacing w:after="0" w:line="240" w:lineRule="auto"/>
              <w:ind w:left="709" w:right="142" w:hanging="567"/>
              <w:contextualSpacing w:val="0"/>
              <w:rPr>
                <w:color w:val="000000" w:themeColor="text1"/>
                <w:szCs w:val="24"/>
              </w:rPr>
            </w:pPr>
            <w:r w:rsidRPr="00306115">
              <w:rPr>
                <w:color w:val="000000" w:themeColor="text1"/>
                <w:szCs w:val="24"/>
                <w:lang w:val="en-ID"/>
              </w:rPr>
              <w:t xml:space="preserve">Bagi Manajer Investasi yang memiliki produk KIK EBA, rata-rata </w:t>
            </w:r>
            <w:r w:rsidRPr="00306115">
              <w:rPr>
                <w:i/>
                <w:iCs/>
                <w:color w:val="000000" w:themeColor="text1"/>
                <w:szCs w:val="24"/>
                <w:lang w:val="en-ID"/>
              </w:rPr>
              <w:t>delinquency rate</w:t>
            </w:r>
            <w:r w:rsidRPr="00306115">
              <w:rPr>
                <w:color w:val="000000" w:themeColor="text1"/>
                <w:szCs w:val="24"/>
                <w:lang w:val="en-ID"/>
              </w:rPr>
              <w:t xml:space="preserve"> dan/atau </w:t>
            </w:r>
            <w:r w:rsidRPr="00306115">
              <w:rPr>
                <w:i/>
                <w:iCs/>
                <w:color w:val="000000" w:themeColor="text1"/>
                <w:szCs w:val="24"/>
                <w:lang w:val="en-ID"/>
              </w:rPr>
              <w:t>default rate</w:t>
            </w:r>
            <w:r w:rsidRPr="00306115">
              <w:rPr>
                <w:color w:val="000000" w:themeColor="text1"/>
                <w:szCs w:val="24"/>
                <w:lang w:val="en-ID"/>
              </w:rPr>
              <w:t xml:space="preserve"> tidak signifikan.</w:t>
            </w:r>
          </w:p>
        </w:tc>
      </w:tr>
      <w:tr w:rsidR="009E1758" w:rsidRPr="00306115" w14:paraId="7FBF52B8" w14:textId="77777777" w:rsidTr="00687AA6">
        <w:trPr>
          <w:trHeight w:val="1974"/>
        </w:trPr>
        <w:tc>
          <w:tcPr>
            <w:tcW w:w="1932" w:type="dxa"/>
          </w:tcPr>
          <w:p w14:paraId="1A7868D3" w14:textId="77777777" w:rsidR="009E1758" w:rsidRPr="00306115" w:rsidRDefault="009E1758" w:rsidP="00B01DDE">
            <w:pPr>
              <w:pStyle w:val="TableParagraph"/>
              <w:ind w:left="142" w:right="142"/>
              <w:jc w:val="center"/>
              <w:rPr>
                <w:rFonts w:ascii="Bookman Old Style" w:hAnsi="Bookman Old Style"/>
                <w:i/>
                <w:color w:val="000000" w:themeColor="text1"/>
                <w:sz w:val="24"/>
                <w:szCs w:val="24"/>
              </w:rPr>
            </w:pPr>
            <w:r w:rsidRPr="00306115">
              <w:rPr>
                <w:rFonts w:ascii="Bookman Old Style" w:hAnsi="Bookman Old Style"/>
                <w:i/>
                <w:color w:val="000000" w:themeColor="text1"/>
                <w:sz w:val="24"/>
                <w:szCs w:val="24"/>
              </w:rPr>
              <w:t>Moderate</w:t>
            </w:r>
          </w:p>
          <w:p w14:paraId="185A3016" w14:textId="77777777" w:rsidR="009E1758" w:rsidRPr="00306115" w:rsidRDefault="009E1758" w:rsidP="00B01DDE">
            <w:pPr>
              <w:pStyle w:val="TableParagraph"/>
              <w:ind w:left="142" w:right="142"/>
              <w:jc w:val="center"/>
              <w:rPr>
                <w:rFonts w:ascii="Bookman Old Style" w:hAnsi="Bookman Old Style"/>
                <w:iCs/>
                <w:color w:val="000000" w:themeColor="text1"/>
                <w:sz w:val="24"/>
                <w:szCs w:val="24"/>
              </w:rPr>
            </w:pPr>
            <w:r w:rsidRPr="00306115">
              <w:rPr>
                <w:rFonts w:ascii="Bookman Old Style" w:hAnsi="Bookman Old Style"/>
                <w:iCs/>
                <w:color w:val="000000" w:themeColor="text1"/>
                <w:sz w:val="24"/>
                <w:szCs w:val="24"/>
              </w:rPr>
              <w:t>(3)</w:t>
            </w:r>
          </w:p>
        </w:tc>
        <w:tc>
          <w:tcPr>
            <w:tcW w:w="6290" w:type="dxa"/>
          </w:tcPr>
          <w:p w14:paraId="56F36FC4" w14:textId="77777777" w:rsidR="009E1758" w:rsidRPr="00306115" w:rsidRDefault="009E1758" w:rsidP="00B01DDE">
            <w:pPr>
              <w:pStyle w:val="ListParagraph"/>
              <w:spacing w:after="0" w:line="240" w:lineRule="auto"/>
              <w:ind w:left="142" w:right="142"/>
              <w:contextualSpacing w:val="0"/>
              <w:rPr>
                <w:color w:val="000000" w:themeColor="text1"/>
                <w:szCs w:val="24"/>
              </w:rPr>
            </w:pPr>
            <w:r w:rsidRPr="00306115">
              <w:rPr>
                <w:color w:val="000000" w:themeColor="text1"/>
                <w:szCs w:val="24"/>
              </w:rPr>
              <w:t>Dengan mempertimbangkan karakteristik Produk Investasi, kemungkinan timbulnya dampak paparan dari Risiko Kredit terhadap Produk Investasi tergolong cukup tinggi selama periode waktu tertentu pada masa datang. Dampak dimaksud dapat berupa dampak positif atau dampak negatif.</w:t>
            </w:r>
          </w:p>
          <w:p w14:paraId="54139FBF" w14:textId="77777777" w:rsidR="009E1758" w:rsidRPr="00306115" w:rsidRDefault="009E1758" w:rsidP="00B01DDE">
            <w:pPr>
              <w:pStyle w:val="ListParagraph"/>
              <w:spacing w:after="0" w:line="240" w:lineRule="auto"/>
              <w:ind w:left="142" w:right="142"/>
              <w:contextualSpacing w:val="0"/>
              <w:rPr>
                <w:strike/>
                <w:color w:val="000000" w:themeColor="text1"/>
                <w:szCs w:val="24"/>
              </w:rPr>
            </w:pPr>
            <w:r w:rsidRPr="00306115">
              <w:rPr>
                <w:color w:val="000000" w:themeColor="text1"/>
                <w:szCs w:val="24"/>
              </w:rPr>
              <w:t xml:space="preserve">Contoh kondisi yang menunjukan Risiko Kredit termasuk dalam peringkat </w:t>
            </w:r>
            <w:r w:rsidRPr="00306115">
              <w:rPr>
                <w:i/>
                <w:iCs/>
                <w:color w:val="000000" w:themeColor="text1"/>
                <w:szCs w:val="24"/>
              </w:rPr>
              <w:t xml:space="preserve">Moderate </w:t>
            </w:r>
            <w:r w:rsidRPr="00306115">
              <w:rPr>
                <w:color w:val="000000" w:themeColor="text1"/>
                <w:szCs w:val="24"/>
              </w:rPr>
              <w:t>(3) antara lain sebagai berikut:</w:t>
            </w:r>
          </w:p>
          <w:p w14:paraId="1E948948" w14:textId="3F265B75" w:rsidR="00BD2AF6" w:rsidRPr="00306115" w:rsidRDefault="00BD2AF6">
            <w:pPr>
              <w:pStyle w:val="ListParagraph"/>
              <w:numPr>
                <w:ilvl w:val="0"/>
                <w:numId w:val="344"/>
              </w:numPr>
              <w:spacing w:after="0" w:line="240" w:lineRule="auto"/>
              <w:ind w:left="709" w:right="142" w:hanging="567"/>
              <w:contextualSpacing w:val="0"/>
              <w:rPr>
                <w:color w:val="000000" w:themeColor="text1"/>
                <w:szCs w:val="24"/>
              </w:rPr>
            </w:pPr>
            <w:r w:rsidRPr="00306115">
              <w:rPr>
                <w:color w:val="000000" w:themeColor="text1"/>
                <w:szCs w:val="24"/>
                <w:lang w:val="en-ID"/>
              </w:rPr>
              <w:t xml:space="preserve">Rata-rata kepemilikan Efek Bersifat Utang atau Sukuk dengan rating </w:t>
            </w:r>
            <w:r w:rsidRPr="00306115">
              <w:rPr>
                <w:i/>
                <w:iCs/>
                <w:color w:val="000000" w:themeColor="text1"/>
                <w:szCs w:val="24"/>
                <w:lang w:val="en-ID"/>
              </w:rPr>
              <w:t>non-investment grade</w:t>
            </w:r>
            <w:r w:rsidRPr="00306115">
              <w:rPr>
                <w:color w:val="000000" w:themeColor="text1"/>
                <w:szCs w:val="24"/>
                <w:lang w:val="en-ID"/>
              </w:rPr>
              <w:t xml:space="preserve"> cukup tinggi. </w:t>
            </w:r>
          </w:p>
          <w:p w14:paraId="43634E79" w14:textId="77777777" w:rsidR="00BD2AF6" w:rsidRPr="00306115" w:rsidRDefault="00BD2AF6">
            <w:pPr>
              <w:pStyle w:val="ListParagraph"/>
              <w:numPr>
                <w:ilvl w:val="0"/>
                <w:numId w:val="344"/>
              </w:numPr>
              <w:spacing w:after="0" w:line="240" w:lineRule="auto"/>
              <w:ind w:left="709" w:right="142" w:hanging="567"/>
              <w:contextualSpacing w:val="0"/>
              <w:rPr>
                <w:color w:val="000000" w:themeColor="text1"/>
                <w:szCs w:val="24"/>
                <w:lang w:val="en-ID"/>
              </w:rPr>
            </w:pPr>
            <w:r w:rsidRPr="00306115">
              <w:rPr>
                <w:color w:val="000000" w:themeColor="text1"/>
                <w:szCs w:val="24"/>
                <w:lang w:val="en-ID"/>
              </w:rPr>
              <w:t>Persentase Nilai Investasi Tertimbang Berdasarkan Kualitas Kredit (</w:t>
            </w:r>
            <w:r w:rsidRPr="00306115">
              <w:rPr>
                <w:i/>
                <w:iCs/>
                <w:color w:val="000000" w:themeColor="text1"/>
                <w:szCs w:val="24"/>
                <w:lang w:val="en-ID"/>
              </w:rPr>
              <w:t>Risk-Weighted Value</w:t>
            </w:r>
            <w:r w:rsidRPr="00306115">
              <w:rPr>
                <w:color w:val="000000" w:themeColor="text1"/>
                <w:szCs w:val="24"/>
                <w:lang w:val="en-ID"/>
              </w:rPr>
              <w:t xml:space="preserve">) atas Efek Bersifat Utang dan/atau Sukuk berada pada level moderat. </w:t>
            </w:r>
          </w:p>
          <w:p w14:paraId="53C63E17" w14:textId="4A4696EE" w:rsidR="00BD2AF6" w:rsidRPr="00306115" w:rsidRDefault="00BD2AF6">
            <w:pPr>
              <w:pStyle w:val="ListParagraph"/>
              <w:numPr>
                <w:ilvl w:val="0"/>
                <w:numId w:val="344"/>
              </w:numPr>
              <w:spacing w:after="0" w:line="240" w:lineRule="auto"/>
              <w:ind w:left="709" w:right="142" w:hanging="567"/>
              <w:contextualSpacing w:val="0"/>
              <w:rPr>
                <w:color w:val="000000" w:themeColor="text1"/>
                <w:szCs w:val="24"/>
                <w:lang w:val="en-ID"/>
              </w:rPr>
            </w:pPr>
            <w:r w:rsidRPr="00306115">
              <w:rPr>
                <w:color w:val="000000" w:themeColor="text1"/>
                <w:szCs w:val="24"/>
                <w:lang w:val="en-ID"/>
              </w:rPr>
              <w:t xml:space="preserve">Terdapat Efek Bersifat Utang atau Sukuk yang mengalami </w:t>
            </w:r>
            <w:r w:rsidR="00543A86" w:rsidRPr="00306115">
              <w:rPr>
                <w:i/>
                <w:iCs/>
                <w:color w:val="000000" w:themeColor="text1"/>
                <w:szCs w:val="24"/>
                <w:lang w:val="en-ID"/>
              </w:rPr>
              <w:t>downgrade</w:t>
            </w:r>
            <w:r w:rsidRPr="00306115">
              <w:rPr>
                <w:color w:val="000000" w:themeColor="text1"/>
                <w:szCs w:val="24"/>
                <w:lang w:val="en-ID"/>
              </w:rPr>
              <w:t xml:space="preserve">, dengan rata-rata persentase kepemilikan yang </w:t>
            </w:r>
            <w:r w:rsidR="00543A86" w:rsidRPr="00306115">
              <w:rPr>
                <w:i/>
                <w:iCs/>
                <w:color w:val="000000" w:themeColor="text1"/>
                <w:szCs w:val="24"/>
                <w:lang w:val="en-ID"/>
              </w:rPr>
              <w:t>downgrade</w:t>
            </w:r>
            <w:r w:rsidRPr="00306115">
              <w:rPr>
                <w:i/>
                <w:iCs/>
                <w:color w:val="000000" w:themeColor="text1"/>
                <w:szCs w:val="24"/>
                <w:lang w:val="en-ID"/>
              </w:rPr>
              <w:t>d</w:t>
            </w:r>
            <w:r w:rsidRPr="00306115">
              <w:rPr>
                <w:color w:val="000000" w:themeColor="text1"/>
                <w:szCs w:val="24"/>
                <w:lang w:val="en-ID"/>
              </w:rPr>
              <w:t xml:space="preserve"> mulai signifikan. </w:t>
            </w:r>
          </w:p>
          <w:p w14:paraId="146EF525" w14:textId="7F1159EA" w:rsidR="00BD2AF6" w:rsidRPr="00306115" w:rsidRDefault="00BD2AF6">
            <w:pPr>
              <w:pStyle w:val="ListParagraph"/>
              <w:numPr>
                <w:ilvl w:val="0"/>
                <w:numId w:val="344"/>
              </w:numPr>
              <w:spacing w:after="0" w:line="240" w:lineRule="auto"/>
              <w:ind w:left="709" w:right="142" w:hanging="567"/>
              <w:contextualSpacing w:val="0"/>
              <w:rPr>
                <w:color w:val="000000" w:themeColor="text1"/>
                <w:szCs w:val="24"/>
              </w:rPr>
            </w:pPr>
            <w:r w:rsidRPr="00306115">
              <w:rPr>
                <w:color w:val="000000" w:themeColor="text1"/>
                <w:szCs w:val="24"/>
                <w:lang w:val="en-ID"/>
              </w:rPr>
              <w:t xml:space="preserve">Bagi Manajer Investasi yang memiliki produk KIK EBA, terdapat </w:t>
            </w:r>
            <w:r w:rsidRPr="00306115">
              <w:rPr>
                <w:i/>
                <w:iCs/>
                <w:color w:val="000000" w:themeColor="text1"/>
                <w:szCs w:val="24"/>
                <w:lang w:val="en-ID"/>
              </w:rPr>
              <w:t>delinquency rate</w:t>
            </w:r>
            <w:r w:rsidRPr="00306115">
              <w:rPr>
                <w:color w:val="000000" w:themeColor="text1"/>
                <w:szCs w:val="24"/>
                <w:lang w:val="en-ID"/>
              </w:rPr>
              <w:t xml:space="preserve"> dan/atau </w:t>
            </w:r>
            <w:r w:rsidRPr="00306115">
              <w:rPr>
                <w:i/>
                <w:iCs/>
                <w:color w:val="000000" w:themeColor="text1"/>
                <w:szCs w:val="24"/>
                <w:lang w:val="en-ID"/>
              </w:rPr>
              <w:t>default rate</w:t>
            </w:r>
            <w:r w:rsidRPr="00306115">
              <w:rPr>
                <w:color w:val="000000" w:themeColor="text1"/>
                <w:szCs w:val="24"/>
                <w:lang w:val="en-ID"/>
              </w:rPr>
              <w:t xml:space="preserve"> pada tingkat yang cukup tinggi namun belum material.</w:t>
            </w:r>
          </w:p>
        </w:tc>
      </w:tr>
      <w:tr w:rsidR="009E1758" w:rsidRPr="00306115" w14:paraId="529EBF4A" w14:textId="77777777" w:rsidTr="00687AA6">
        <w:trPr>
          <w:trHeight w:val="982"/>
        </w:trPr>
        <w:tc>
          <w:tcPr>
            <w:tcW w:w="1932" w:type="dxa"/>
          </w:tcPr>
          <w:p w14:paraId="69D56B94" w14:textId="77777777" w:rsidR="009E1758" w:rsidRPr="00306115" w:rsidRDefault="009E1758" w:rsidP="00B01DDE">
            <w:pPr>
              <w:pStyle w:val="TableParagraph"/>
              <w:ind w:left="142" w:right="142"/>
              <w:jc w:val="center"/>
              <w:rPr>
                <w:rFonts w:ascii="Bookman Old Style" w:hAnsi="Bookman Old Style"/>
                <w:i/>
                <w:color w:val="000000" w:themeColor="text1"/>
                <w:sz w:val="24"/>
                <w:szCs w:val="24"/>
              </w:rPr>
            </w:pPr>
            <w:r w:rsidRPr="00306115">
              <w:rPr>
                <w:rFonts w:ascii="Bookman Old Style" w:hAnsi="Bookman Old Style"/>
                <w:i/>
                <w:color w:val="000000" w:themeColor="text1"/>
                <w:sz w:val="24"/>
                <w:szCs w:val="24"/>
              </w:rPr>
              <w:lastRenderedPageBreak/>
              <w:t xml:space="preserve">Moderate to High </w:t>
            </w:r>
            <w:r w:rsidRPr="00306115">
              <w:rPr>
                <w:rFonts w:ascii="Bookman Old Style" w:hAnsi="Bookman Old Style"/>
                <w:iCs/>
                <w:color w:val="000000" w:themeColor="text1"/>
                <w:sz w:val="24"/>
                <w:szCs w:val="24"/>
              </w:rPr>
              <w:t>(4)</w:t>
            </w:r>
          </w:p>
        </w:tc>
        <w:tc>
          <w:tcPr>
            <w:tcW w:w="6290" w:type="dxa"/>
          </w:tcPr>
          <w:p w14:paraId="3B8D0E04" w14:textId="77777777" w:rsidR="009E1758" w:rsidRPr="00306115" w:rsidRDefault="009E1758" w:rsidP="00B01DDE">
            <w:pPr>
              <w:pStyle w:val="ListParagraph"/>
              <w:spacing w:after="0" w:line="240" w:lineRule="auto"/>
              <w:ind w:left="142" w:right="142"/>
              <w:contextualSpacing w:val="0"/>
              <w:rPr>
                <w:color w:val="000000" w:themeColor="text1"/>
                <w:szCs w:val="24"/>
              </w:rPr>
            </w:pPr>
            <w:r w:rsidRPr="00306115">
              <w:rPr>
                <w:color w:val="000000" w:themeColor="text1"/>
                <w:szCs w:val="24"/>
              </w:rPr>
              <w:t>Dengan mempertimbangkan karakteristik Produk Investasi, kemungkinan timbulnya dampak paparan dari Risiko Kredit terhadap Produk Investasi tergolong tinggi selama periode waktu tertentu pada masa datang. Dampak dimaksud dapat berupa dampak positif atau dampak negatif.</w:t>
            </w:r>
          </w:p>
          <w:p w14:paraId="2D5F95F5" w14:textId="77777777" w:rsidR="009E1758" w:rsidRPr="00306115" w:rsidRDefault="009E1758" w:rsidP="00B01DDE">
            <w:pPr>
              <w:pStyle w:val="ListParagraph"/>
              <w:spacing w:after="0" w:line="240" w:lineRule="auto"/>
              <w:ind w:left="142" w:right="142"/>
              <w:contextualSpacing w:val="0"/>
              <w:rPr>
                <w:strike/>
                <w:color w:val="000000" w:themeColor="text1"/>
                <w:szCs w:val="24"/>
              </w:rPr>
            </w:pPr>
            <w:r w:rsidRPr="00306115">
              <w:rPr>
                <w:color w:val="000000" w:themeColor="text1"/>
                <w:szCs w:val="24"/>
              </w:rPr>
              <w:t xml:space="preserve">Contoh kondisi yang menunjukan Risiko Kredit termasuk dalam peringkat </w:t>
            </w:r>
            <w:r w:rsidRPr="00306115">
              <w:rPr>
                <w:i/>
                <w:iCs/>
                <w:color w:val="000000" w:themeColor="text1"/>
                <w:szCs w:val="24"/>
              </w:rPr>
              <w:t xml:space="preserve">Moderate to High </w:t>
            </w:r>
            <w:r w:rsidRPr="00306115">
              <w:rPr>
                <w:color w:val="000000" w:themeColor="text1"/>
                <w:szCs w:val="24"/>
              </w:rPr>
              <w:t>(4) antara lain sebagai berikut:</w:t>
            </w:r>
          </w:p>
          <w:p w14:paraId="5BB48DD9" w14:textId="62DA1313" w:rsidR="004744E5" w:rsidRPr="00306115" w:rsidRDefault="004744E5">
            <w:pPr>
              <w:pStyle w:val="ListParagraph"/>
              <w:numPr>
                <w:ilvl w:val="0"/>
                <w:numId w:val="345"/>
              </w:numPr>
              <w:spacing w:after="0" w:line="240" w:lineRule="auto"/>
              <w:ind w:left="709" w:right="142" w:hanging="567"/>
              <w:contextualSpacing w:val="0"/>
              <w:rPr>
                <w:color w:val="000000" w:themeColor="text1"/>
                <w:szCs w:val="24"/>
              </w:rPr>
            </w:pPr>
            <w:r w:rsidRPr="00306115">
              <w:rPr>
                <w:color w:val="000000" w:themeColor="text1"/>
                <w:szCs w:val="24"/>
                <w:lang w:val="en-ID"/>
              </w:rPr>
              <w:t xml:space="preserve">Rata-rata kepemilikan Efek Bersifat Utang atau Sukuk dengan rating </w:t>
            </w:r>
            <w:r w:rsidRPr="00306115">
              <w:rPr>
                <w:i/>
                <w:iCs/>
                <w:color w:val="000000" w:themeColor="text1"/>
                <w:szCs w:val="24"/>
                <w:lang w:val="en-ID"/>
              </w:rPr>
              <w:t>non-investment grade</w:t>
            </w:r>
            <w:r w:rsidRPr="00306115">
              <w:rPr>
                <w:color w:val="000000" w:themeColor="text1"/>
                <w:szCs w:val="24"/>
                <w:lang w:val="en-ID"/>
              </w:rPr>
              <w:t xml:space="preserve"> tinggi. </w:t>
            </w:r>
          </w:p>
          <w:p w14:paraId="38B29A25" w14:textId="77777777" w:rsidR="004744E5" w:rsidRPr="00306115" w:rsidRDefault="004744E5">
            <w:pPr>
              <w:pStyle w:val="ListParagraph"/>
              <w:numPr>
                <w:ilvl w:val="0"/>
                <w:numId w:val="345"/>
              </w:numPr>
              <w:spacing w:after="0" w:line="240" w:lineRule="auto"/>
              <w:ind w:left="709" w:right="142" w:hanging="567"/>
              <w:contextualSpacing w:val="0"/>
              <w:rPr>
                <w:color w:val="000000" w:themeColor="text1"/>
                <w:szCs w:val="24"/>
                <w:lang w:val="en-ID"/>
              </w:rPr>
            </w:pPr>
            <w:r w:rsidRPr="00306115">
              <w:rPr>
                <w:color w:val="000000" w:themeColor="text1"/>
                <w:szCs w:val="24"/>
                <w:lang w:val="en-ID"/>
              </w:rPr>
              <w:t>Persentase Nilai Investasi Tertimbang Berdasarkan Kualitas Kredit (</w:t>
            </w:r>
            <w:r w:rsidRPr="00306115">
              <w:rPr>
                <w:i/>
                <w:iCs/>
                <w:color w:val="000000" w:themeColor="text1"/>
                <w:szCs w:val="24"/>
                <w:lang w:val="en-ID"/>
              </w:rPr>
              <w:t>Risk-Weighted Value</w:t>
            </w:r>
            <w:r w:rsidRPr="00306115">
              <w:rPr>
                <w:color w:val="000000" w:themeColor="text1"/>
                <w:szCs w:val="24"/>
                <w:lang w:val="en-ID"/>
              </w:rPr>
              <w:t xml:space="preserve">) atas Efek Bersifat Utang dan/atau Sukuk berada pada level rendah. </w:t>
            </w:r>
          </w:p>
          <w:p w14:paraId="36D04EE4" w14:textId="1C90E291" w:rsidR="004744E5" w:rsidRPr="00306115" w:rsidRDefault="004744E5">
            <w:pPr>
              <w:pStyle w:val="ListParagraph"/>
              <w:numPr>
                <w:ilvl w:val="0"/>
                <w:numId w:val="345"/>
              </w:numPr>
              <w:spacing w:after="0" w:line="240" w:lineRule="auto"/>
              <w:ind w:left="709" w:right="142" w:hanging="567"/>
              <w:contextualSpacing w:val="0"/>
              <w:rPr>
                <w:color w:val="000000" w:themeColor="text1"/>
                <w:szCs w:val="24"/>
                <w:lang w:val="en-ID"/>
              </w:rPr>
            </w:pPr>
            <w:r w:rsidRPr="00306115">
              <w:rPr>
                <w:color w:val="000000" w:themeColor="text1"/>
                <w:szCs w:val="24"/>
                <w:lang w:val="en-ID"/>
              </w:rPr>
              <w:t xml:space="preserve">Terdapat Efek Bersifat Utang atau Sukuk yang mengalami </w:t>
            </w:r>
            <w:r w:rsidR="00543A86" w:rsidRPr="00306115">
              <w:rPr>
                <w:i/>
                <w:iCs/>
                <w:color w:val="000000" w:themeColor="text1"/>
                <w:szCs w:val="24"/>
                <w:lang w:val="en-ID"/>
              </w:rPr>
              <w:t>downgrade</w:t>
            </w:r>
            <w:r w:rsidRPr="00306115">
              <w:rPr>
                <w:color w:val="000000" w:themeColor="text1"/>
                <w:szCs w:val="24"/>
                <w:lang w:val="en-ID"/>
              </w:rPr>
              <w:t xml:space="preserve"> secara signifikan, termasuk </w:t>
            </w:r>
            <w:r w:rsidR="00543A86" w:rsidRPr="00306115">
              <w:rPr>
                <w:i/>
                <w:iCs/>
                <w:color w:val="000000" w:themeColor="text1"/>
                <w:szCs w:val="24"/>
                <w:lang w:val="en-ID"/>
              </w:rPr>
              <w:t>downgrade</w:t>
            </w:r>
            <w:r w:rsidRPr="00306115">
              <w:rPr>
                <w:color w:val="000000" w:themeColor="text1"/>
                <w:szCs w:val="24"/>
                <w:lang w:val="en-ID"/>
              </w:rPr>
              <w:t xml:space="preserve"> yang menyebabkan Efek menjadi </w:t>
            </w:r>
            <w:r w:rsidRPr="00306115">
              <w:rPr>
                <w:i/>
                <w:iCs/>
                <w:color w:val="000000" w:themeColor="text1"/>
                <w:szCs w:val="24"/>
                <w:lang w:val="en-ID"/>
              </w:rPr>
              <w:t>non-investment grade</w:t>
            </w:r>
            <w:r w:rsidRPr="00306115">
              <w:rPr>
                <w:color w:val="000000" w:themeColor="text1"/>
                <w:szCs w:val="24"/>
                <w:lang w:val="en-ID"/>
              </w:rPr>
              <w:t xml:space="preserve">. </w:t>
            </w:r>
          </w:p>
          <w:p w14:paraId="367F7455" w14:textId="7B226C5E" w:rsidR="004744E5" w:rsidRPr="00306115" w:rsidRDefault="004744E5">
            <w:pPr>
              <w:pStyle w:val="ListParagraph"/>
              <w:numPr>
                <w:ilvl w:val="0"/>
                <w:numId w:val="345"/>
              </w:numPr>
              <w:spacing w:after="0" w:line="240" w:lineRule="auto"/>
              <w:ind w:left="709" w:right="142" w:hanging="567"/>
              <w:contextualSpacing w:val="0"/>
              <w:rPr>
                <w:color w:val="000000" w:themeColor="text1"/>
                <w:szCs w:val="24"/>
              </w:rPr>
            </w:pPr>
            <w:r w:rsidRPr="00306115">
              <w:rPr>
                <w:color w:val="000000" w:themeColor="text1"/>
                <w:szCs w:val="24"/>
                <w:lang w:val="en-ID"/>
              </w:rPr>
              <w:t xml:space="preserve">Bagi Manajer Investasi yang memiliki produk KIK EBA, terdapat </w:t>
            </w:r>
            <w:r w:rsidRPr="00306115">
              <w:rPr>
                <w:i/>
                <w:iCs/>
                <w:color w:val="000000" w:themeColor="text1"/>
                <w:szCs w:val="24"/>
                <w:lang w:val="en-ID"/>
              </w:rPr>
              <w:t>delinquency rate</w:t>
            </w:r>
            <w:r w:rsidRPr="00306115">
              <w:rPr>
                <w:color w:val="000000" w:themeColor="text1"/>
                <w:szCs w:val="24"/>
                <w:lang w:val="en-ID"/>
              </w:rPr>
              <w:t xml:space="preserve"> dan/atau </w:t>
            </w:r>
            <w:r w:rsidRPr="00306115">
              <w:rPr>
                <w:i/>
                <w:iCs/>
                <w:color w:val="000000" w:themeColor="text1"/>
                <w:szCs w:val="24"/>
                <w:lang w:val="en-ID"/>
              </w:rPr>
              <w:t>default rate</w:t>
            </w:r>
            <w:r w:rsidRPr="00306115">
              <w:rPr>
                <w:color w:val="000000" w:themeColor="text1"/>
                <w:szCs w:val="24"/>
                <w:lang w:val="en-ID"/>
              </w:rPr>
              <w:t xml:space="preserve"> pada tingkat yang tinggi.</w:t>
            </w:r>
          </w:p>
        </w:tc>
      </w:tr>
      <w:tr w:rsidR="009E1758" w:rsidRPr="00306115" w14:paraId="53535AAE" w14:textId="77777777" w:rsidTr="00687AA6">
        <w:trPr>
          <w:trHeight w:val="982"/>
        </w:trPr>
        <w:tc>
          <w:tcPr>
            <w:tcW w:w="1932" w:type="dxa"/>
          </w:tcPr>
          <w:p w14:paraId="2F1D4EA1" w14:textId="77777777" w:rsidR="009E1758" w:rsidRPr="00306115" w:rsidRDefault="009E1758" w:rsidP="00B01DDE">
            <w:pPr>
              <w:pStyle w:val="TableParagraph"/>
              <w:ind w:left="142" w:right="142"/>
              <w:jc w:val="center"/>
              <w:rPr>
                <w:rFonts w:ascii="Bookman Old Style" w:hAnsi="Bookman Old Style"/>
                <w:i/>
                <w:color w:val="000000" w:themeColor="text1"/>
                <w:sz w:val="24"/>
                <w:szCs w:val="24"/>
              </w:rPr>
            </w:pPr>
            <w:r w:rsidRPr="00306115">
              <w:rPr>
                <w:rFonts w:ascii="Bookman Old Style" w:hAnsi="Bookman Old Style"/>
                <w:i/>
                <w:color w:val="000000" w:themeColor="text1"/>
                <w:sz w:val="24"/>
                <w:szCs w:val="24"/>
              </w:rPr>
              <w:t>High</w:t>
            </w:r>
            <w:r w:rsidRPr="00306115">
              <w:rPr>
                <w:rFonts w:ascii="Bookman Old Style" w:hAnsi="Bookman Old Style"/>
                <w:iCs/>
                <w:color w:val="000000" w:themeColor="text1"/>
                <w:sz w:val="24"/>
                <w:szCs w:val="24"/>
              </w:rPr>
              <w:t xml:space="preserve"> (5)</w:t>
            </w:r>
          </w:p>
        </w:tc>
        <w:tc>
          <w:tcPr>
            <w:tcW w:w="6290" w:type="dxa"/>
          </w:tcPr>
          <w:p w14:paraId="125E3AAD" w14:textId="77777777" w:rsidR="009E1758" w:rsidRPr="00306115" w:rsidRDefault="009E1758" w:rsidP="00B01DDE">
            <w:pPr>
              <w:pStyle w:val="ListParagraph"/>
              <w:spacing w:after="0" w:line="240" w:lineRule="auto"/>
              <w:ind w:left="142" w:right="142"/>
              <w:contextualSpacing w:val="0"/>
              <w:rPr>
                <w:color w:val="000000" w:themeColor="text1"/>
                <w:szCs w:val="24"/>
              </w:rPr>
            </w:pPr>
            <w:r w:rsidRPr="00306115">
              <w:rPr>
                <w:color w:val="000000" w:themeColor="text1"/>
                <w:szCs w:val="24"/>
              </w:rPr>
              <w:t>Dengan mempertimbangkan karakteristik Produk Investasi, kemungkinan timbulnya dampak paparan dari Risiko Kredit terhadap Produk Investasi tergolong sangat tinggi selama periode waktu tertentu pada masa datang. Dampak dimaksud dapat berupa dampak positif atau dampak negatif.</w:t>
            </w:r>
          </w:p>
          <w:p w14:paraId="43FDBD90" w14:textId="77777777" w:rsidR="009E1758" w:rsidRPr="00306115" w:rsidRDefault="009E1758" w:rsidP="00B01DDE">
            <w:pPr>
              <w:pStyle w:val="ListParagraph"/>
              <w:spacing w:after="0" w:line="240" w:lineRule="auto"/>
              <w:ind w:left="142" w:right="142"/>
              <w:contextualSpacing w:val="0"/>
              <w:rPr>
                <w:strike/>
                <w:color w:val="000000" w:themeColor="text1"/>
                <w:szCs w:val="24"/>
              </w:rPr>
            </w:pPr>
            <w:r w:rsidRPr="00306115">
              <w:rPr>
                <w:color w:val="000000" w:themeColor="text1"/>
                <w:szCs w:val="24"/>
              </w:rPr>
              <w:t xml:space="preserve">Contoh kondisi yang menunjukan Risiko Kredit termasuk dalam peringkat </w:t>
            </w:r>
            <w:r w:rsidRPr="00306115">
              <w:rPr>
                <w:i/>
                <w:iCs/>
                <w:color w:val="000000" w:themeColor="text1"/>
                <w:szCs w:val="24"/>
              </w:rPr>
              <w:t xml:space="preserve">High </w:t>
            </w:r>
            <w:r w:rsidRPr="00306115">
              <w:rPr>
                <w:color w:val="000000" w:themeColor="text1"/>
                <w:szCs w:val="24"/>
              </w:rPr>
              <w:t>(5) antara lain sebagai berikut:</w:t>
            </w:r>
          </w:p>
          <w:p w14:paraId="15ED47B6" w14:textId="40770073" w:rsidR="009C3445" w:rsidRPr="00306115" w:rsidRDefault="009C3445">
            <w:pPr>
              <w:pStyle w:val="ListParagraph"/>
              <w:numPr>
                <w:ilvl w:val="0"/>
                <w:numId w:val="346"/>
              </w:numPr>
              <w:spacing w:after="0" w:line="240" w:lineRule="auto"/>
              <w:ind w:left="709" w:right="142" w:hanging="567"/>
              <w:contextualSpacing w:val="0"/>
              <w:rPr>
                <w:color w:val="000000" w:themeColor="text1"/>
                <w:szCs w:val="24"/>
              </w:rPr>
            </w:pPr>
            <w:r w:rsidRPr="00306115">
              <w:rPr>
                <w:color w:val="000000" w:themeColor="text1"/>
                <w:szCs w:val="24"/>
                <w:lang w:val="en-ID"/>
              </w:rPr>
              <w:t xml:space="preserve">Rata-rata kepemilikan Efek Bersifat Utang atau Sukuk dengan rating </w:t>
            </w:r>
            <w:r w:rsidRPr="00306115">
              <w:rPr>
                <w:i/>
                <w:iCs/>
                <w:color w:val="000000" w:themeColor="text1"/>
                <w:szCs w:val="24"/>
                <w:lang w:val="en-ID"/>
              </w:rPr>
              <w:t>non-investment grade</w:t>
            </w:r>
            <w:r w:rsidRPr="00306115">
              <w:rPr>
                <w:color w:val="000000" w:themeColor="text1"/>
                <w:szCs w:val="24"/>
                <w:lang w:val="en-ID"/>
              </w:rPr>
              <w:t xml:space="preserve"> sangat tinggi. </w:t>
            </w:r>
          </w:p>
          <w:p w14:paraId="4AE4CA83" w14:textId="77777777" w:rsidR="009C3445" w:rsidRPr="00306115" w:rsidRDefault="009C3445">
            <w:pPr>
              <w:pStyle w:val="ListParagraph"/>
              <w:numPr>
                <w:ilvl w:val="0"/>
                <w:numId w:val="346"/>
              </w:numPr>
              <w:spacing w:after="0" w:line="240" w:lineRule="auto"/>
              <w:ind w:left="709" w:right="142" w:hanging="567"/>
              <w:contextualSpacing w:val="0"/>
              <w:rPr>
                <w:color w:val="000000" w:themeColor="text1"/>
                <w:szCs w:val="24"/>
                <w:lang w:val="en-ID"/>
              </w:rPr>
            </w:pPr>
            <w:r w:rsidRPr="00306115">
              <w:rPr>
                <w:color w:val="000000" w:themeColor="text1"/>
                <w:szCs w:val="24"/>
                <w:lang w:val="en-ID"/>
              </w:rPr>
              <w:t>Persentase Nilai Investasi Tertimbang Berdasarkan Kualitas Kredit (</w:t>
            </w:r>
            <w:r w:rsidRPr="00306115">
              <w:rPr>
                <w:i/>
                <w:iCs/>
                <w:color w:val="000000" w:themeColor="text1"/>
                <w:szCs w:val="24"/>
                <w:lang w:val="en-ID"/>
              </w:rPr>
              <w:t>Risk-Weighted Value</w:t>
            </w:r>
            <w:r w:rsidRPr="00306115">
              <w:rPr>
                <w:color w:val="000000" w:themeColor="text1"/>
                <w:szCs w:val="24"/>
                <w:lang w:val="en-ID"/>
              </w:rPr>
              <w:t xml:space="preserve">) atas Efek Bersifat Utang dan/atau Sukuk berada pada level sangat rendah. </w:t>
            </w:r>
          </w:p>
          <w:p w14:paraId="4639E2AC" w14:textId="243FBD95" w:rsidR="009C3445" w:rsidRPr="00306115" w:rsidRDefault="009C3445">
            <w:pPr>
              <w:pStyle w:val="ListParagraph"/>
              <w:numPr>
                <w:ilvl w:val="0"/>
                <w:numId w:val="346"/>
              </w:numPr>
              <w:spacing w:after="0" w:line="240" w:lineRule="auto"/>
              <w:ind w:left="709" w:right="142" w:hanging="567"/>
              <w:contextualSpacing w:val="0"/>
              <w:rPr>
                <w:color w:val="000000" w:themeColor="text1"/>
                <w:szCs w:val="24"/>
                <w:lang w:val="en-ID"/>
              </w:rPr>
            </w:pPr>
            <w:r w:rsidRPr="00306115">
              <w:rPr>
                <w:color w:val="000000" w:themeColor="text1"/>
                <w:szCs w:val="24"/>
                <w:lang w:val="en-ID"/>
              </w:rPr>
              <w:t xml:space="preserve">Terdapat Efek Bersifat Utang atau Sukuk yang mengalami </w:t>
            </w:r>
            <w:r w:rsidR="00543A86" w:rsidRPr="00306115">
              <w:rPr>
                <w:i/>
                <w:iCs/>
                <w:color w:val="000000" w:themeColor="text1"/>
                <w:szCs w:val="24"/>
                <w:lang w:val="en-ID"/>
              </w:rPr>
              <w:t>downgrade</w:t>
            </w:r>
            <w:r w:rsidRPr="00306115">
              <w:rPr>
                <w:color w:val="000000" w:themeColor="text1"/>
                <w:szCs w:val="24"/>
                <w:lang w:val="en-ID"/>
              </w:rPr>
              <w:t xml:space="preserve"> secara sangat signifikan, termasuk </w:t>
            </w:r>
            <w:r w:rsidR="00543A86" w:rsidRPr="00306115">
              <w:rPr>
                <w:i/>
                <w:iCs/>
                <w:color w:val="000000" w:themeColor="text1"/>
                <w:szCs w:val="24"/>
                <w:lang w:val="en-ID"/>
              </w:rPr>
              <w:t>downgrade</w:t>
            </w:r>
            <w:r w:rsidRPr="00306115">
              <w:rPr>
                <w:color w:val="000000" w:themeColor="text1"/>
                <w:szCs w:val="24"/>
                <w:lang w:val="en-ID"/>
              </w:rPr>
              <w:t xml:space="preserve"> yang menyebabkan Efek menjadi </w:t>
            </w:r>
            <w:r w:rsidRPr="00306115">
              <w:rPr>
                <w:i/>
                <w:iCs/>
                <w:color w:val="000000" w:themeColor="text1"/>
                <w:szCs w:val="24"/>
                <w:lang w:val="en-ID"/>
              </w:rPr>
              <w:t>non-investment grade</w:t>
            </w:r>
            <w:r w:rsidRPr="00306115">
              <w:rPr>
                <w:color w:val="000000" w:themeColor="text1"/>
                <w:szCs w:val="24"/>
                <w:lang w:val="en-ID"/>
              </w:rPr>
              <w:t xml:space="preserve"> dalam jumlah besar. </w:t>
            </w:r>
          </w:p>
          <w:p w14:paraId="2A928DB6" w14:textId="0FAE3977" w:rsidR="009C3445" w:rsidRPr="00306115" w:rsidRDefault="009C3445">
            <w:pPr>
              <w:pStyle w:val="ListParagraph"/>
              <w:numPr>
                <w:ilvl w:val="0"/>
                <w:numId w:val="346"/>
              </w:numPr>
              <w:spacing w:after="0" w:line="240" w:lineRule="auto"/>
              <w:ind w:left="709" w:right="142" w:hanging="567"/>
              <w:contextualSpacing w:val="0"/>
              <w:rPr>
                <w:color w:val="000000" w:themeColor="text1"/>
                <w:szCs w:val="24"/>
              </w:rPr>
            </w:pPr>
            <w:r w:rsidRPr="00306115">
              <w:rPr>
                <w:color w:val="000000" w:themeColor="text1"/>
                <w:szCs w:val="24"/>
                <w:lang w:val="en-ID"/>
              </w:rPr>
              <w:t xml:space="preserve">Bagi Manajer Investasi yang memiliki produk KIK EBA, terdapat </w:t>
            </w:r>
            <w:r w:rsidRPr="00306115">
              <w:rPr>
                <w:i/>
                <w:iCs/>
                <w:color w:val="000000" w:themeColor="text1"/>
                <w:szCs w:val="24"/>
                <w:lang w:val="en-ID"/>
              </w:rPr>
              <w:t>delinquency rate</w:t>
            </w:r>
            <w:r w:rsidRPr="00306115">
              <w:rPr>
                <w:color w:val="000000" w:themeColor="text1"/>
                <w:szCs w:val="24"/>
                <w:lang w:val="en-ID"/>
              </w:rPr>
              <w:t xml:space="preserve"> dan/atau </w:t>
            </w:r>
            <w:r w:rsidRPr="00306115">
              <w:rPr>
                <w:i/>
                <w:iCs/>
                <w:color w:val="000000" w:themeColor="text1"/>
                <w:szCs w:val="24"/>
                <w:lang w:val="en-ID"/>
              </w:rPr>
              <w:t>default rate</w:t>
            </w:r>
            <w:r w:rsidRPr="00306115">
              <w:rPr>
                <w:color w:val="000000" w:themeColor="text1"/>
                <w:szCs w:val="24"/>
                <w:lang w:val="en-ID"/>
              </w:rPr>
              <w:t xml:space="preserve"> pada tingkat yang sangat tinggi dan/atau material.</w:t>
            </w:r>
          </w:p>
        </w:tc>
      </w:tr>
    </w:tbl>
    <w:p w14:paraId="74885227" w14:textId="77777777" w:rsidR="009E1758" w:rsidRPr="00306115" w:rsidRDefault="009E1758" w:rsidP="009E1758">
      <w:pPr>
        <w:pStyle w:val="HeadingAwalDaftarIsiLampiran"/>
        <w:numPr>
          <w:ilvl w:val="0"/>
          <w:numId w:val="0"/>
        </w:numPr>
        <w:ind w:left="1134"/>
      </w:pPr>
    </w:p>
    <w:p w14:paraId="4BBD4DEF" w14:textId="77777777" w:rsidR="00451E35" w:rsidRPr="00306115" w:rsidRDefault="00451E35">
      <w:pPr>
        <w:pStyle w:val="HeadingAwalDaftarIsiLampiran"/>
        <w:numPr>
          <w:ilvl w:val="4"/>
          <w:numId w:val="295"/>
        </w:numPr>
        <w:ind w:left="1134" w:hanging="567"/>
      </w:pPr>
      <w:r w:rsidRPr="00306115">
        <w:t>Matriks Penetapan Kualitas Penerapan Manajemen Risiko</w:t>
      </w:r>
    </w:p>
    <w:tbl>
      <w:tblPr>
        <w:tblStyle w:val="TableGrid"/>
        <w:tblW w:w="8222" w:type="dxa"/>
        <w:tblInd w:w="1129" w:type="dxa"/>
        <w:tblLayout w:type="fixed"/>
        <w:tblLook w:val="04A0" w:firstRow="1" w:lastRow="0" w:firstColumn="1" w:lastColumn="0" w:noHBand="0" w:noVBand="1"/>
      </w:tblPr>
      <w:tblGrid>
        <w:gridCol w:w="1918"/>
        <w:gridCol w:w="6304"/>
      </w:tblGrid>
      <w:tr w:rsidR="00944C30" w:rsidRPr="00306115" w14:paraId="0EB1C13C" w14:textId="77777777" w:rsidTr="00944C30">
        <w:trPr>
          <w:tblHeader/>
        </w:trPr>
        <w:tc>
          <w:tcPr>
            <w:tcW w:w="1918" w:type="dxa"/>
            <w:shd w:val="clear" w:color="auto" w:fill="D9D9D9"/>
            <w:vAlign w:val="center"/>
          </w:tcPr>
          <w:p w14:paraId="4400EB24" w14:textId="77777777" w:rsidR="00944C30" w:rsidRPr="00306115" w:rsidRDefault="00944C30" w:rsidP="00944C30">
            <w:pPr>
              <w:spacing w:before="60" w:after="60"/>
              <w:ind w:left="142" w:right="142"/>
              <w:jc w:val="center"/>
              <w:rPr>
                <w:color w:val="000000" w:themeColor="text1"/>
                <w:szCs w:val="24"/>
              </w:rPr>
            </w:pPr>
            <w:r w:rsidRPr="00306115">
              <w:rPr>
                <w:color w:val="000000" w:themeColor="text1"/>
                <w:szCs w:val="24"/>
              </w:rPr>
              <w:lastRenderedPageBreak/>
              <w:t>Peringkat</w:t>
            </w:r>
          </w:p>
        </w:tc>
        <w:tc>
          <w:tcPr>
            <w:tcW w:w="6304" w:type="dxa"/>
            <w:shd w:val="clear" w:color="auto" w:fill="D9D9D9"/>
            <w:vAlign w:val="center"/>
          </w:tcPr>
          <w:p w14:paraId="7249A7A8" w14:textId="77777777" w:rsidR="00944C30" w:rsidRPr="00306115" w:rsidRDefault="00944C30" w:rsidP="00944C30">
            <w:pPr>
              <w:spacing w:before="60" w:after="60"/>
              <w:ind w:left="142" w:right="142"/>
              <w:jc w:val="center"/>
              <w:rPr>
                <w:color w:val="000000" w:themeColor="text1"/>
                <w:szCs w:val="24"/>
              </w:rPr>
            </w:pPr>
            <w:r w:rsidRPr="00306115">
              <w:rPr>
                <w:color w:val="000000" w:themeColor="text1"/>
                <w:szCs w:val="24"/>
              </w:rPr>
              <w:t>Definisi Peringkat</w:t>
            </w:r>
          </w:p>
        </w:tc>
      </w:tr>
      <w:tr w:rsidR="00944C30" w:rsidRPr="00306115" w14:paraId="1C5F5A3A" w14:textId="77777777" w:rsidTr="00944C30">
        <w:tc>
          <w:tcPr>
            <w:tcW w:w="1918" w:type="dxa"/>
          </w:tcPr>
          <w:p w14:paraId="544ECF2C" w14:textId="77777777" w:rsidR="00944C30" w:rsidRPr="00306115" w:rsidRDefault="00944C30" w:rsidP="00944C30">
            <w:pPr>
              <w:pStyle w:val="BodyText"/>
              <w:numPr>
                <w:ilvl w:val="0"/>
                <w:numId w:val="0"/>
              </w:numPr>
              <w:ind w:left="142" w:right="142"/>
              <w:jc w:val="center"/>
              <w:rPr>
                <w:color w:val="000000" w:themeColor="text1"/>
              </w:rPr>
            </w:pPr>
            <w:r w:rsidRPr="00306115">
              <w:rPr>
                <w:i/>
                <w:iCs/>
                <w:color w:val="000000" w:themeColor="text1"/>
              </w:rPr>
              <w:t>Strong</w:t>
            </w:r>
            <w:r w:rsidRPr="00306115">
              <w:rPr>
                <w:color w:val="000000" w:themeColor="text1"/>
              </w:rPr>
              <w:t xml:space="preserve"> (1)</w:t>
            </w:r>
          </w:p>
        </w:tc>
        <w:tc>
          <w:tcPr>
            <w:tcW w:w="6304" w:type="dxa"/>
          </w:tcPr>
          <w:p w14:paraId="6E6EA38C" w14:textId="77777777" w:rsidR="00944C30" w:rsidRPr="00306115" w:rsidRDefault="00944C30" w:rsidP="00944C30">
            <w:pPr>
              <w:ind w:left="142" w:right="142"/>
              <w:rPr>
                <w:b/>
                <w:bCs/>
                <w:color w:val="000000" w:themeColor="text1"/>
                <w:szCs w:val="24"/>
              </w:rPr>
            </w:pPr>
            <w:r w:rsidRPr="00306115">
              <w:rPr>
                <w:color w:val="000000" w:themeColor="text1"/>
                <w:szCs w:val="24"/>
              </w:rPr>
              <w:t>Kualitas penerapan Manajemen Risiko untuk Risiko Kredit sangat memadai. Meskipun terdapat kelemahan minor, tetapi kelemahan tersebut tidak signifikan sehingga dapat diabaikan.</w:t>
            </w:r>
          </w:p>
          <w:p w14:paraId="25852686" w14:textId="427C54C4" w:rsidR="00944C30" w:rsidRPr="00306115" w:rsidRDefault="00944C30" w:rsidP="00944C30">
            <w:pPr>
              <w:ind w:left="142" w:right="142"/>
              <w:rPr>
                <w:color w:val="000000" w:themeColor="text1"/>
                <w:szCs w:val="24"/>
              </w:rPr>
            </w:pPr>
            <w:r w:rsidRPr="00306115">
              <w:rPr>
                <w:color w:val="000000" w:themeColor="text1"/>
                <w:szCs w:val="24"/>
              </w:rPr>
              <w:t xml:space="preserve">Contoh </w:t>
            </w:r>
            <w:r w:rsidR="00764ECF" w:rsidRPr="00306115">
              <w:rPr>
                <w:color w:val="000000" w:themeColor="text1"/>
                <w:szCs w:val="24"/>
              </w:rPr>
              <w:t>karakteristik/kondisi</w:t>
            </w:r>
            <w:r w:rsidRPr="00306115">
              <w:rPr>
                <w:color w:val="000000" w:themeColor="text1"/>
                <w:szCs w:val="24"/>
              </w:rPr>
              <w:t xml:space="preserve"> Manajer Investasi yang termasuk dalam peringkat </w:t>
            </w:r>
            <w:r w:rsidRPr="00306115">
              <w:rPr>
                <w:i/>
                <w:color w:val="000000" w:themeColor="text1"/>
                <w:szCs w:val="24"/>
              </w:rPr>
              <w:t xml:space="preserve">Strong </w:t>
            </w:r>
            <w:r w:rsidRPr="00306115">
              <w:rPr>
                <w:color w:val="000000" w:themeColor="text1"/>
                <w:szCs w:val="24"/>
              </w:rPr>
              <w:t>(1) antara lain sebagai berikut:</w:t>
            </w:r>
          </w:p>
          <w:p w14:paraId="0023B57B" w14:textId="77777777" w:rsidR="00944C30" w:rsidRPr="00306115" w:rsidRDefault="00944C30">
            <w:pPr>
              <w:pStyle w:val="ListParagraph"/>
              <w:numPr>
                <w:ilvl w:val="0"/>
                <w:numId w:val="347"/>
              </w:numPr>
              <w:ind w:left="709" w:right="142" w:hanging="567"/>
              <w:contextualSpacing w:val="0"/>
              <w:rPr>
                <w:color w:val="000000" w:themeColor="text1"/>
                <w:szCs w:val="24"/>
              </w:rPr>
            </w:pPr>
            <w:r w:rsidRPr="00306115">
              <w:rPr>
                <w:color w:val="000000" w:themeColor="text1"/>
                <w:szCs w:val="24"/>
              </w:rPr>
              <w:t>Perumusan tingkat risiko yang akan diambil (</w:t>
            </w:r>
            <w:r w:rsidRPr="00306115">
              <w:rPr>
                <w:i/>
                <w:color w:val="000000" w:themeColor="text1"/>
                <w:szCs w:val="24"/>
              </w:rPr>
              <w:t>risk appetite</w:t>
            </w:r>
            <w:r w:rsidRPr="00306115">
              <w:rPr>
                <w:color w:val="000000" w:themeColor="text1"/>
                <w:szCs w:val="24"/>
              </w:rPr>
              <w:t>) dan toleransi (</w:t>
            </w:r>
            <w:r w:rsidRPr="00306115">
              <w:rPr>
                <w:i/>
                <w:color w:val="000000" w:themeColor="text1"/>
                <w:szCs w:val="24"/>
              </w:rPr>
              <w:t>risk tolerance</w:t>
            </w:r>
            <w:r w:rsidRPr="00306115">
              <w:rPr>
                <w:color w:val="000000" w:themeColor="text1"/>
                <w:szCs w:val="24"/>
              </w:rPr>
              <w:t>) Risiko Kredit sangat memadai dan telah sejalan dengan strategi dan tujuan bisnis secara keseluruhan.</w:t>
            </w:r>
          </w:p>
          <w:p w14:paraId="74F5D824" w14:textId="77777777" w:rsidR="00944C30" w:rsidRPr="00306115" w:rsidRDefault="00944C30">
            <w:pPr>
              <w:pStyle w:val="ListParagraph"/>
              <w:numPr>
                <w:ilvl w:val="0"/>
                <w:numId w:val="347"/>
              </w:numPr>
              <w:ind w:left="709" w:right="142" w:hanging="567"/>
              <w:contextualSpacing w:val="0"/>
              <w:rPr>
                <w:color w:val="000000" w:themeColor="text1"/>
                <w:szCs w:val="24"/>
              </w:rPr>
            </w:pPr>
            <w:r w:rsidRPr="00306115">
              <w:rPr>
                <w:color w:val="000000" w:themeColor="text1"/>
                <w:szCs w:val="24"/>
              </w:rPr>
              <w:t>Kesadaran (</w:t>
            </w:r>
            <w:r w:rsidRPr="00306115">
              <w:rPr>
                <w:i/>
                <w:color w:val="000000" w:themeColor="text1"/>
                <w:szCs w:val="24"/>
              </w:rPr>
              <w:t>awareness</w:t>
            </w:r>
            <w:r w:rsidRPr="00306115">
              <w:rPr>
                <w:color w:val="000000" w:themeColor="text1"/>
                <w:szCs w:val="24"/>
              </w:rPr>
              <w:t>) dan pemahaman Direksi dan Dewan Komisaris sangat tinggi atau sangat memadai mengenai pelaksanaan Manajemen Risiko, terutama terkait jenis dan tingkat risiko untuk Risiko Kredit.</w:t>
            </w:r>
          </w:p>
          <w:p w14:paraId="1671E095" w14:textId="77777777" w:rsidR="00944C30" w:rsidRPr="00306115" w:rsidRDefault="00944C30">
            <w:pPr>
              <w:pStyle w:val="ListParagraph"/>
              <w:numPr>
                <w:ilvl w:val="0"/>
                <w:numId w:val="347"/>
              </w:numPr>
              <w:ind w:left="709" w:right="142" w:hanging="567"/>
              <w:contextualSpacing w:val="0"/>
              <w:rPr>
                <w:color w:val="000000" w:themeColor="text1"/>
                <w:szCs w:val="24"/>
              </w:rPr>
            </w:pPr>
            <w:r w:rsidRPr="00306115">
              <w:rPr>
                <w:color w:val="000000" w:themeColor="text1"/>
                <w:szCs w:val="24"/>
              </w:rPr>
              <w:t>Budaya Manajemen Risiko untuk Risiko Kredit sangat kuat dan telah diinternalisasikan dengan sangat baik pada seluruh level organisasi.</w:t>
            </w:r>
          </w:p>
          <w:p w14:paraId="29C16D9A" w14:textId="77777777" w:rsidR="00944C30" w:rsidRPr="00306115" w:rsidRDefault="00944C30">
            <w:pPr>
              <w:pStyle w:val="ListParagraph"/>
              <w:numPr>
                <w:ilvl w:val="0"/>
                <w:numId w:val="347"/>
              </w:numPr>
              <w:ind w:left="709" w:right="142" w:hanging="567"/>
              <w:contextualSpacing w:val="0"/>
              <w:rPr>
                <w:color w:val="000000" w:themeColor="text1"/>
                <w:szCs w:val="24"/>
              </w:rPr>
            </w:pPr>
            <w:r w:rsidRPr="00306115">
              <w:rPr>
                <w:color w:val="000000" w:themeColor="text1"/>
                <w:szCs w:val="24"/>
              </w:rPr>
              <w:t>Pelaksanaan tugas Direksi dan Dewan Komisaris secara keseluruhan sangat memadai.</w:t>
            </w:r>
          </w:p>
          <w:p w14:paraId="7C966CA2" w14:textId="77777777" w:rsidR="00944C30" w:rsidRPr="00306115" w:rsidRDefault="00944C30">
            <w:pPr>
              <w:pStyle w:val="ListParagraph"/>
              <w:numPr>
                <w:ilvl w:val="0"/>
                <w:numId w:val="347"/>
              </w:numPr>
              <w:ind w:left="709" w:right="142" w:hanging="567"/>
              <w:contextualSpacing w:val="0"/>
              <w:rPr>
                <w:color w:val="000000" w:themeColor="text1"/>
                <w:szCs w:val="24"/>
              </w:rPr>
            </w:pPr>
            <w:r w:rsidRPr="00306115">
              <w:rPr>
                <w:color w:val="000000" w:themeColor="text1"/>
                <w:szCs w:val="24"/>
              </w:rPr>
              <w:t>Fungsi Manajemen Risiko untuk Risiko Kredit independen, memiliki tugas dan tanggung jawab yang jelas, dan telah berjalan dengan sangat baik.</w:t>
            </w:r>
          </w:p>
          <w:p w14:paraId="31D26BD4" w14:textId="77777777" w:rsidR="00944C30" w:rsidRPr="00306115" w:rsidRDefault="00944C30">
            <w:pPr>
              <w:pStyle w:val="ListParagraph"/>
              <w:numPr>
                <w:ilvl w:val="0"/>
                <w:numId w:val="347"/>
              </w:numPr>
              <w:ind w:left="709" w:right="142" w:hanging="567"/>
              <w:contextualSpacing w:val="0"/>
              <w:rPr>
                <w:color w:val="000000" w:themeColor="text1"/>
                <w:szCs w:val="24"/>
              </w:rPr>
            </w:pPr>
            <w:r w:rsidRPr="00306115">
              <w:rPr>
                <w:color w:val="000000" w:themeColor="text1"/>
                <w:szCs w:val="24"/>
              </w:rPr>
              <w:t>Kerangka pedelegasian wewenang sangat memadai.</w:t>
            </w:r>
          </w:p>
          <w:p w14:paraId="707F69EC" w14:textId="77777777" w:rsidR="00944C30" w:rsidRPr="00306115" w:rsidRDefault="00944C30">
            <w:pPr>
              <w:pStyle w:val="ListParagraph"/>
              <w:numPr>
                <w:ilvl w:val="0"/>
                <w:numId w:val="347"/>
              </w:numPr>
              <w:ind w:left="709" w:right="142" w:hanging="567"/>
              <w:contextualSpacing w:val="0"/>
              <w:rPr>
                <w:color w:val="000000" w:themeColor="text1"/>
                <w:szCs w:val="24"/>
              </w:rPr>
            </w:pPr>
            <w:r w:rsidRPr="00306115">
              <w:rPr>
                <w:color w:val="000000" w:themeColor="text1"/>
                <w:szCs w:val="24"/>
              </w:rPr>
              <w:t>Kebijakan dan prosedur Manajemen Risiko serta penetapan limit Risiko Kredit sangat memadai, diterapkan dengan sangat baik, dan dipahami dengan sangat baik oleh pegawai.</w:t>
            </w:r>
          </w:p>
          <w:p w14:paraId="630F6EA1" w14:textId="77777777" w:rsidR="00944C30" w:rsidRPr="00306115" w:rsidRDefault="00944C30">
            <w:pPr>
              <w:pStyle w:val="ListParagraph"/>
              <w:numPr>
                <w:ilvl w:val="0"/>
                <w:numId w:val="347"/>
              </w:numPr>
              <w:ind w:left="709" w:right="142" w:hanging="567"/>
              <w:contextualSpacing w:val="0"/>
              <w:rPr>
                <w:color w:val="000000" w:themeColor="text1"/>
                <w:szCs w:val="24"/>
              </w:rPr>
            </w:pPr>
            <w:r w:rsidRPr="00306115">
              <w:rPr>
                <w:color w:val="000000" w:themeColor="text1"/>
                <w:szCs w:val="24"/>
              </w:rPr>
              <w:t>Strategi Manajemen Risiko untuk Risiko Kredit sangat memadai dan sangat sejalan dengan tingkat risiko yang akan diambil dan toleransi Risiko Kredit.</w:t>
            </w:r>
          </w:p>
          <w:p w14:paraId="621405E8" w14:textId="77777777" w:rsidR="00944C30" w:rsidRPr="00306115" w:rsidRDefault="00944C30">
            <w:pPr>
              <w:pStyle w:val="ListParagraph"/>
              <w:numPr>
                <w:ilvl w:val="0"/>
                <w:numId w:val="347"/>
              </w:numPr>
              <w:ind w:left="709" w:right="142" w:hanging="567"/>
              <w:contextualSpacing w:val="0"/>
              <w:rPr>
                <w:color w:val="000000" w:themeColor="text1"/>
                <w:szCs w:val="24"/>
              </w:rPr>
            </w:pPr>
            <w:r w:rsidRPr="00306115">
              <w:rPr>
                <w:color w:val="000000" w:themeColor="text1"/>
                <w:szCs w:val="24"/>
              </w:rPr>
              <w:t>Proses Manajemen Risiko untuk Risiko Kredit sangat memadai dalam mengidentifikasi, mengukur, memantau, dan mengendalikan Risiko Kredit.</w:t>
            </w:r>
          </w:p>
          <w:p w14:paraId="353372F1" w14:textId="77777777" w:rsidR="00944C30" w:rsidRPr="00306115" w:rsidRDefault="00944C30">
            <w:pPr>
              <w:pStyle w:val="ListParagraph"/>
              <w:numPr>
                <w:ilvl w:val="0"/>
                <w:numId w:val="347"/>
              </w:numPr>
              <w:ind w:left="709" w:right="142" w:hanging="567"/>
              <w:contextualSpacing w:val="0"/>
              <w:rPr>
                <w:color w:val="000000" w:themeColor="text1"/>
                <w:szCs w:val="24"/>
              </w:rPr>
            </w:pPr>
            <w:r w:rsidRPr="00306115">
              <w:rPr>
                <w:color w:val="000000" w:themeColor="text1"/>
                <w:szCs w:val="24"/>
              </w:rPr>
              <w:t xml:space="preserve">Pelaksanaan kaji ulang terhadap kondisi, kredibilitas, dan kemampuan membayar kembali </w:t>
            </w:r>
            <w:r w:rsidRPr="00306115">
              <w:rPr>
                <w:i/>
                <w:iCs/>
                <w:color w:val="000000" w:themeColor="text1"/>
                <w:szCs w:val="24"/>
              </w:rPr>
              <w:t>counterparty</w:t>
            </w:r>
            <w:r w:rsidRPr="00306115">
              <w:rPr>
                <w:color w:val="000000" w:themeColor="text1"/>
                <w:szCs w:val="24"/>
              </w:rPr>
              <w:t xml:space="preserve"> dalam rangka penyesuaian kembali strategi investasi sangat memadai dan dilakukan secara berkala.</w:t>
            </w:r>
          </w:p>
          <w:p w14:paraId="11CD6357" w14:textId="77777777" w:rsidR="00944C30" w:rsidRPr="00306115" w:rsidRDefault="00944C30">
            <w:pPr>
              <w:pStyle w:val="ListParagraph"/>
              <w:numPr>
                <w:ilvl w:val="0"/>
                <w:numId w:val="347"/>
              </w:numPr>
              <w:ind w:left="709" w:right="142" w:hanging="567"/>
              <w:contextualSpacing w:val="0"/>
              <w:rPr>
                <w:color w:val="000000" w:themeColor="text1"/>
                <w:szCs w:val="24"/>
              </w:rPr>
            </w:pPr>
            <w:r w:rsidRPr="00306115">
              <w:rPr>
                <w:color w:val="000000" w:themeColor="text1"/>
                <w:szCs w:val="24"/>
              </w:rPr>
              <w:t xml:space="preserve">Sistem Informasi Manajemen Risiko untuk Risiko Kredit sangat baik dalam </w:t>
            </w:r>
            <w:r w:rsidRPr="00306115">
              <w:rPr>
                <w:color w:val="000000" w:themeColor="text1"/>
                <w:szCs w:val="24"/>
              </w:rPr>
              <w:lastRenderedPageBreak/>
              <w:t>menghasilkan informasi dan laporan Risiko Kredit yang komprehensif.</w:t>
            </w:r>
          </w:p>
          <w:p w14:paraId="0F68C7A4" w14:textId="451F7CAD" w:rsidR="00944C30" w:rsidRPr="00306115" w:rsidRDefault="00944C30">
            <w:pPr>
              <w:pStyle w:val="ListParagraph"/>
              <w:numPr>
                <w:ilvl w:val="0"/>
                <w:numId w:val="347"/>
              </w:numPr>
              <w:ind w:left="709" w:right="142" w:hanging="567"/>
              <w:contextualSpacing w:val="0"/>
              <w:rPr>
                <w:color w:val="000000" w:themeColor="text1"/>
                <w:szCs w:val="24"/>
              </w:rPr>
            </w:pPr>
            <w:r w:rsidRPr="00306115">
              <w:rPr>
                <w:color w:val="000000" w:themeColor="text1"/>
                <w:szCs w:val="24"/>
              </w:rPr>
              <w:t xml:space="preserve">Secara umum sumber daya manusia sangat memadai baik dari sisi jumlah maupun kompetensi pada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untuk Risiko Kredit.</w:t>
            </w:r>
          </w:p>
          <w:p w14:paraId="41BF998C" w14:textId="77777777" w:rsidR="00944C30" w:rsidRPr="00306115" w:rsidRDefault="00944C30">
            <w:pPr>
              <w:pStyle w:val="ListParagraph"/>
              <w:numPr>
                <w:ilvl w:val="0"/>
                <w:numId w:val="347"/>
              </w:numPr>
              <w:ind w:left="709" w:right="142" w:hanging="567"/>
              <w:contextualSpacing w:val="0"/>
              <w:rPr>
                <w:color w:val="000000" w:themeColor="text1"/>
                <w:szCs w:val="24"/>
              </w:rPr>
            </w:pPr>
            <w:r w:rsidRPr="00306115">
              <w:rPr>
                <w:color w:val="000000" w:themeColor="text1"/>
                <w:szCs w:val="24"/>
              </w:rPr>
              <w:t>Sistem pengendalian internal sangat efektif dalam mendukung pelaksanaan Manajemen Risiko untuk Risiko Kredit.</w:t>
            </w:r>
          </w:p>
          <w:p w14:paraId="6E7267D3" w14:textId="33CDBCE6" w:rsidR="00944C30" w:rsidRPr="00306115" w:rsidRDefault="00944C30">
            <w:pPr>
              <w:pStyle w:val="ListParagraph"/>
              <w:numPr>
                <w:ilvl w:val="0"/>
                <w:numId w:val="347"/>
              </w:numPr>
              <w:ind w:left="709" w:right="142" w:hanging="567"/>
              <w:contextualSpacing w:val="0"/>
              <w:rPr>
                <w:color w:val="000000" w:themeColor="text1"/>
                <w:szCs w:val="24"/>
              </w:rPr>
            </w:pPr>
            <w:r w:rsidRPr="00306115">
              <w:rPr>
                <w:color w:val="000000" w:themeColor="text1"/>
                <w:szCs w:val="24"/>
              </w:rPr>
              <w:t xml:space="preserve">Pelaksanaan kaji ulang oleh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dan fungsi audit internal sangat memadai baik dari sisi metodologi, frekuensi, maupun pelaporan kepada Direksi dan Dewan Komisaris.</w:t>
            </w:r>
          </w:p>
          <w:p w14:paraId="3605ECEF" w14:textId="77777777" w:rsidR="00944C30" w:rsidRPr="00306115" w:rsidRDefault="00944C30">
            <w:pPr>
              <w:pStyle w:val="ListParagraph"/>
              <w:numPr>
                <w:ilvl w:val="0"/>
                <w:numId w:val="347"/>
              </w:numPr>
              <w:ind w:left="709" w:right="142" w:hanging="567"/>
              <w:contextualSpacing w:val="0"/>
              <w:rPr>
                <w:i/>
                <w:iCs/>
                <w:color w:val="000000" w:themeColor="text1"/>
                <w:szCs w:val="24"/>
              </w:rPr>
            </w:pPr>
            <w:r w:rsidRPr="00306115">
              <w:rPr>
                <w:color w:val="000000" w:themeColor="text1"/>
                <w:szCs w:val="24"/>
              </w:rPr>
              <w:t>Tindak lanjut atas kaji ulang telah dilaksanakan dengan sangat memadai.</w:t>
            </w:r>
          </w:p>
        </w:tc>
      </w:tr>
      <w:tr w:rsidR="00944C30" w:rsidRPr="00306115" w14:paraId="1F28F5E3" w14:textId="77777777" w:rsidTr="00944C30">
        <w:tc>
          <w:tcPr>
            <w:tcW w:w="1918" w:type="dxa"/>
          </w:tcPr>
          <w:p w14:paraId="11152EE7" w14:textId="77777777" w:rsidR="00944C30" w:rsidRPr="00306115" w:rsidRDefault="00944C30" w:rsidP="00944C30">
            <w:pPr>
              <w:pStyle w:val="BodyText"/>
              <w:numPr>
                <w:ilvl w:val="0"/>
                <w:numId w:val="0"/>
              </w:numPr>
              <w:ind w:left="142" w:right="142"/>
              <w:jc w:val="center"/>
              <w:rPr>
                <w:color w:val="000000" w:themeColor="text1"/>
              </w:rPr>
            </w:pPr>
            <w:r w:rsidRPr="00306115">
              <w:rPr>
                <w:i/>
                <w:iCs/>
                <w:color w:val="000000" w:themeColor="text1"/>
              </w:rPr>
              <w:lastRenderedPageBreak/>
              <w:t>Satisfactory</w:t>
            </w:r>
            <w:r w:rsidRPr="00306115">
              <w:rPr>
                <w:color w:val="000000" w:themeColor="text1"/>
              </w:rPr>
              <w:t xml:space="preserve"> (2)</w:t>
            </w:r>
          </w:p>
        </w:tc>
        <w:tc>
          <w:tcPr>
            <w:tcW w:w="6304" w:type="dxa"/>
          </w:tcPr>
          <w:p w14:paraId="74B5007F" w14:textId="77777777" w:rsidR="00944C30" w:rsidRPr="00306115" w:rsidRDefault="00944C30" w:rsidP="00944C30">
            <w:pPr>
              <w:ind w:left="142" w:right="142"/>
              <w:rPr>
                <w:b/>
                <w:bCs/>
                <w:color w:val="000000" w:themeColor="text1"/>
                <w:szCs w:val="24"/>
              </w:rPr>
            </w:pPr>
            <w:r w:rsidRPr="00306115">
              <w:rPr>
                <w:color w:val="000000" w:themeColor="text1"/>
                <w:szCs w:val="24"/>
              </w:rPr>
              <w:t>Kualitas penerapan Manajemen Risiko untuk Risiko Kredit memadai. Terdapat beberapa kelemahan minor, tetapi kelemahan tersebut dapat diselesaikan pada aktivitas kegiatan usaha normal.</w:t>
            </w:r>
          </w:p>
          <w:p w14:paraId="5EE10B42" w14:textId="64FC1D81" w:rsidR="00944C30" w:rsidRPr="00306115" w:rsidRDefault="00944C30" w:rsidP="00944C30">
            <w:pPr>
              <w:ind w:left="142" w:right="142"/>
              <w:rPr>
                <w:color w:val="000000" w:themeColor="text1"/>
                <w:szCs w:val="24"/>
              </w:rPr>
            </w:pPr>
            <w:r w:rsidRPr="00306115">
              <w:rPr>
                <w:color w:val="000000" w:themeColor="text1"/>
                <w:szCs w:val="24"/>
              </w:rPr>
              <w:t xml:space="preserve">Contoh </w:t>
            </w:r>
            <w:r w:rsidR="00764ECF" w:rsidRPr="00306115">
              <w:rPr>
                <w:color w:val="000000" w:themeColor="text1"/>
                <w:szCs w:val="24"/>
              </w:rPr>
              <w:t>karakteristik/kondisi</w:t>
            </w:r>
            <w:r w:rsidRPr="00306115">
              <w:rPr>
                <w:color w:val="000000" w:themeColor="text1"/>
                <w:szCs w:val="24"/>
              </w:rPr>
              <w:t xml:space="preserve"> Manajer Investasi yang termasuk dalam peringkat </w:t>
            </w:r>
            <w:r w:rsidRPr="00306115">
              <w:rPr>
                <w:i/>
                <w:color w:val="000000" w:themeColor="text1"/>
                <w:szCs w:val="24"/>
              </w:rPr>
              <w:t xml:space="preserve">Satisfactory </w:t>
            </w:r>
            <w:r w:rsidRPr="00306115">
              <w:rPr>
                <w:color w:val="000000" w:themeColor="text1"/>
                <w:szCs w:val="24"/>
              </w:rPr>
              <w:t>(2) antara lain sebagai berikut:</w:t>
            </w:r>
          </w:p>
          <w:p w14:paraId="7A79DE61" w14:textId="77777777" w:rsidR="00944C30" w:rsidRPr="00306115" w:rsidRDefault="00944C30">
            <w:pPr>
              <w:pStyle w:val="ListParagraph"/>
              <w:numPr>
                <w:ilvl w:val="0"/>
                <w:numId w:val="348"/>
              </w:numPr>
              <w:ind w:left="709" w:right="142" w:hanging="567"/>
              <w:contextualSpacing w:val="0"/>
              <w:rPr>
                <w:color w:val="000000" w:themeColor="text1"/>
                <w:szCs w:val="24"/>
              </w:rPr>
            </w:pPr>
            <w:r w:rsidRPr="00306115">
              <w:rPr>
                <w:color w:val="000000" w:themeColor="text1"/>
                <w:szCs w:val="24"/>
              </w:rPr>
              <w:t>Perumusan tingkat risiko yang akan diambil (</w:t>
            </w:r>
            <w:r w:rsidRPr="00306115">
              <w:rPr>
                <w:i/>
                <w:color w:val="000000" w:themeColor="text1"/>
                <w:szCs w:val="24"/>
              </w:rPr>
              <w:t>risk appetite</w:t>
            </w:r>
            <w:r w:rsidRPr="00306115">
              <w:rPr>
                <w:color w:val="000000" w:themeColor="text1"/>
                <w:szCs w:val="24"/>
              </w:rPr>
              <w:t>) dan toleransi (</w:t>
            </w:r>
            <w:r w:rsidRPr="00306115">
              <w:rPr>
                <w:i/>
                <w:color w:val="000000" w:themeColor="text1"/>
                <w:szCs w:val="24"/>
              </w:rPr>
              <w:t>risk tolerance</w:t>
            </w:r>
            <w:r w:rsidRPr="00306115">
              <w:rPr>
                <w:color w:val="000000" w:themeColor="text1"/>
                <w:szCs w:val="24"/>
              </w:rPr>
              <w:t>) Risiko Kredit memadai dan telah sejalan dengan strategi dan tujuan bisnis secara keseluruhan.</w:t>
            </w:r>
          </w:p>
          <w:p w14:paraId="305535A9" w14:textId="77777777" w:rsidR="00944C30" w:rsidRPr="00306115" w:rsidRDefault="00944C30">
            <w:pPr>
              <w:pStyle w:val="ListParagraph"/>
              <w:numPr>
                <w:ilvl w:val="0"/>
                <w:numId w:val="348"/>
              </w:numPr>
              <w:ind w:left="709" w:right="142" w:hanging="567"/>
              <w:contextualSpacing w:val="0"/>
              <w:rPr>
                <w:color w:val="000000" w:themeColor="text1"/>
                <w:szCs w:val="24"/>
              </w:rPr>
            </w:pPr>
            <w:r w:rsidRPr="00306115">
              <w:rPr>
                <w:color w:val="000000" w:themeColor="text1"/>
                <w:szCs w:val="24"/>
              </w:rPr>
              <w:t>Kesadaran (</w:t>
            </w:r>
            <w:r w:rsidRPr="00306115">
              <w:rPr>
                <w:i/>
                <w:color w:val="000000" w:themeColor="text1"/>
                <w:szCs w:val="24"/>
              </w:rPr>
              <w:t>awareness</w:t>
            </w:r>
            <w:r w:rsidRPr="00306115">
              <w:rPr>
                <w:color w:val="000000" w:themeColor="text1"/>
                <w:szCs w:val="24"/>
              </w:rPr>
              <w:t>) dan pemahaman Direksi dan Dewan Komisaris tinggi atau memadai mengenai pelaksanaan Manajemen Risiko, terutama terkait jenis dan tingkat risiko untuk Risiko Kredit.</w:t>
            </w:r>
          </w:p>
          <w:p w14:paraId="4FF86923" w14:textId="77777777" w:rsidR="00944C30" w:rsidRPr="00306115" w:rsidRDefault="00944C30">
            <w:pPr>
              <w:pStyle w:val="ListParagraph"/>
              <w:numPr>
                <w:ilvl w:val="0"/>
                <w:numId w:val="348"/>
              </w:numPr>
              <w:ind w:left="709" w:right="142" w:hanging="567"/>
              <w:contextualSpacing w:val="0"/>
              <w:rPr>
                <w:color w:val="000000" w:themeColor="text1"/>
                <w:szCs w:val="24"/>
              </w:rPr>
            </w:pPr>
            <w:r w:rsidRPr="00306115">
              <w:rPr>
                <w:color w:val="000000" w:themeColor="text1"/>
                <w:szCs w:val="24"/>
              </w:rPr>
              <w:t>Budaya Manajemen Risiko untuk Risiko Kredit kuat dan telah diinternalisasikan dengan baik pada seluruh level organisasi.</w:t>
            </w:r>
          </w:p>
          <w:p w14:paraId="07E64E44" w14:textId="77777777" w:rsidR="00944C30" w:rsidRPr="00306115" w:rsidRDefault="00944C30">
            <w:pPr>
              <w:pStyle w:val="ListParagraph"/>
              <w:numPr>
                <w:ilvl w:val="0"/>
                <w:numId w:val="348"/>
              </w:numPr>
              <w:ind w:left="709" w:right="142" w:hanging="567"/>
              <w:contextualSpacing w:val="0"/>
              <w:rPr>
                <w:color w:val="000000" w:themeColor="text1"/>
                <w:szCs w:val="24"/>
              </w:rPr>
            </w:pPr>
            <w:r w:rsidRPr="00306115">
              <w:rPr>
                <w:color w:val="000000" w:themeColor="text1"/>
                <w:szCs w:val="24"/>
              </w:rPr>
              <w:t>Pelaksanaan tugas Direksi dan Dewan Komisaris secara keseluruhan memadai. Terdapat beberapa kelemahan yang tidak signifikan dan dapat diperbaiki dengan segera.</w:t>
            </w:r>
          </w:p>
          <w:p w14:paraId="2955456B" w14:textId="77777777" w:rsidR="00944C30" w:rsidRPr="00306115" w:rsidRDefault="00944C30">
            <w:pPr>
              <w:pStyle w:val="ListParagraph"/>
              <w:numPr>
                <w:ilvl w:val="0"/>
                <w:numId w:val="348"/>
              </w:numPr>
              <w:ind w:left="709" w:right="142" w:hanging="567"/>
              <w:contextualSpacing w:val="0"/>
              <w:rPr>
                <w:color w:val="000000" w:themeColor="text1"/>
                <w:szCs w:val="24"/>
              </w:rPr>
            </w:pPr>
            <w:r w:rsidRPr="00306115">
              <w:rPr>
                <w:color w:val="000000" w:themeColor="text1"/>
                <w:szCs w:val="24"/>
              </w:rPr>
              <w:t>Fungsi Manajemen Risiko untuk Risiko Kredit independen, memiliki tugas dan tanggung jawab yang jelas, dan telah berjalan dengan baik. Terdapat kelemahan minor yang dapat diselesaikan pada aktivitas kegiatan usaha normal.</w:t>
            </w:r>
          </w:p>
          <w:p w14:paraId="4754F4FC" w14:textId="77777777" w:rsidR="00944C30" w:rsidRPr="00306115" w:rsidRDefault="00944C30">
            <w:pPr>
              <w:pStyle w:val="ListParagraph"/>
              <w:numPr>
                <w:ilvl w:val="0"/>
                <w:numId w:val="348"/>
              </w:numPr>
              <w:ind w:left="709" w:right="142" w:hanging="567"/>
              <w:contextualSpacing w:val="0"/>
              <w:rPr>
                <w:color w:val="000000" w:themeColor="text1"/>
                <w:szCs w:val="24"/>
              </w:rPr>
            </w:pPr>
            <w:r w:rsidRPr="00306115">
              <w:rPr>
                <w:color w:val="000000" w:themeColor="text1"/>
                <w:szCs w:val="24"/>
              </w:rPr>
              <w:t>Kerangka pedelegasian wewenang memadai.</w:t>
            </w:r>
          </w:p>
          <w:p w14:paraId="21473C98" w14:textId="77777777" w:rsidR="00944C30" w:rsidRPr="00306115" w:rsidRDefault="00944C30">
            <w:pPr>
              <w:pStyle w:val="ListParagraph"/>
              <w:numPr>
                <w:ilvl w:val="0"/>
                <w:numId w:val="348"/>
              </w:numPr>
              <w:ind w:left="709" w:right="142" w:hanging="567"/>
              <w:contextualSpacing w:val="0"/>
              <w:rPr>
                <w:color w:val="000000" w:themeColor="text1"/>
                <w:szCs w:val="24"/>
              </w:rPr>
            </w:pPr>
            <w:r w:rsidRPr="00306115">
              <w:rPr>
                <w:color w:val="000000" w:themeColor="text1"/>
                <w:szCs w:val="24"/>
              </w:rPr>
              <w:t>Kebijakan dan prosedur Manajemen Risiko serta penetapan limit Risiko Kredit memadai, diterapkan dengan baik, dan dipahami dengan baik oleh pegawai.</w:t>
            </w:r>
          </w:p>
          <w:p w14:paraId="44EC4CEA" w14:textId="77777777" w:rsidR="00944C30" w:rsidRPr="00306115" w:rsidRDefault="00944C30">
            <w:pPr>
              <w:pStyle w:val="ListParagraph"/>
              <w:numPr>
                <w:ilvl w:val="0"/>
                <w:numId w:val="348"/>
              </w:numPr>
              <w:ind w:left="709" w:right="142" w:hanging="567"/>
              <w:contextualSpacing w:val="0"/>
              <w:rPr>
                <w:color w:val="000000" w:themeColor="text1"/>
                <w:szCs w:val="24"/>
              </w:rPr>
            </w:pPr>
            <w:r w:rsidRPr="00306115">
              <w:rPr>
                <w:color w:val="000000" w:themeColor="text1"/>
                <w:szCs w:val="24"/>
              </w:rPr>
              <w:lastRenderedPageBreak/>
              <w:t>Strategi Manajemen Risiko untuk Risiko Kredit memadai dan sejalan dengan tingkat risiko yang akan diambil dan toleransi Risiko Kredit.</w:t>
            </w:r>
          </w:p>
          <w:p w14:paraId="384F819A" w14:textId="77777777" w:rsidR="00944C30" w:rsidRPr="00306115" w:rsidRDefault="00944C30">
            <w:pPr>
              <w:pStyle w:val="ListParagraph"/>
              <w:numPr>
                <w:ilvl w:val="0"/>
                <w:numId w:val="348"/>
              </w:numPr>
              <w:ind w:left="709" w:right="142" w:hanging="567"/>
              <w:contextualSpacing w:val="0"/>
              <w:rPr>
                <w:color w:val="000000" w:themeColor="text1"/>
                <w:szCs w:val="24"/>
              </w:rPr>
            </w:pPr>
            <w:r w:rsidRPr="00306115">
              <w:rPr>
                <w:color w:val="000000" w:themeColor="text1"/>
                <w:szCs w:val="24"/>
              </w:rPr>
              <w:t>Proses Manajemen Risiko untuk Risiko Kredit memadai dalam mengidentifikasi, mengukur, memantau, dan mengendalikan Risiko Kredit.</w:t>
            </w:r>
          </w:p>
          <w:p w14:paraId="5D2BCD8E" w14:textId="77777777" w:rsidR="00944C30" w:rsidRPr="00306115" w:rsidRDefault="00944C30">
            <w:pPr>
              <w:pStyle w:val="ListParagraph"/>
              <w:numPr>
                <w:ilvl w:val="0"/>
                <w:numId w:val="348"/>
              </w:numPr>
              <w:ind w:left="709" w:right="142" w:hanging="567"/>
              <w:contextualSpacing w:val="0"/>
              <w:rPr>
                <w:color w:val="000000" w:themeColor="text1"/>
                <w:szCs w:val="24"/>
              </w:rPr>
            </w:pPr>
            <w:r w:rsidRPr="00306115">
              <w:rPr>
                <w:color w:val="000000" w:themeColor="text1"/>
                <w:szCs w:val="24"/>
              </w:rPr>
              <w:t>Pelaksanaan kaji ulang terhadap kondisi, kredibilitas, dan kemampuan membayar kembali counterparty dalam rangka penyesuaian kembali strategi investasi memadai dan dilakukan secara berkala.</w:t>
            </w:r>
          </w:p>
          <w:p w14:paraId="7479ADE7" w14:textId="77777777" w:rsidR="00944C30" w:rsidRPr="00306115" w:rsidRDefault="00944C30">
            <w:pPr>
              <w:pStyle w:val="ListParagraph"/>
              <w:numPr>
                <w:ilvl w:val="0"/>
                <w:numId w:val="348"/>
              </w:numPr>
              <w:ind w:left="709" w:right="142" w:hanging="567"/>
              <w:contextualSpacing w:val="0"/>
              <w:rPr>
                <w:color w:val="000000" w:themeColor="text1"/>
                <w:szCs w:val="24"/>
              </w:rPr>
            </w:pPr>
            <w:r w:rsidRPr="00306115">
              <w:rPr>
                <w:color w:val="000000" w:themeColor="text1"/>
                <w:szCs w:val="24"/>
              </w:rPr>
              <w:t>Sistem Informasi Manajemen Risiko untuk Risiko Kredit baik dalam menghasilkan informasi dan laporan Risiko Kredit yang komprehensif.</w:t>
            </w:r>
          </w:p>
          <w:p w14:paraId="7B1177A4" w14:textId="4F89486A" w:rsidR="00944C30" w:rsidRPr="00306115" w:rsidRDefault="00944C30">
            <w:pPr>
              <w:pStyle w:val="ListParagraph"/>
              <w:numPr>
                <w:ilvl w:val="0"/>
                <w:numId w:val="348"/>
              </w:numPr>
              <w:ind w:left="709" w:right="142" w:hanging="567"/>
              <w:contextualSpacing w:val="0"/>
              <w:rPr>
                <w:color w:val="000000" w:themeColor="text1"/>
                <w:szCs w:val="24"/>
              </w:rPr>
            </w:pPr>
            <w:r w:rsidRPr="00306115">
              <w:rPr>
                <w:color w:val="000000" w:themeColor="text1"/>
                <w:szCs w:val="24"/>
              </w:rPr>
              <w:t xml:space="preserve">Secara umum sumber daya manusia memadai baik dari sisi jumlah maupun kompetensi pada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untuk Risiko Kredit.</w:t>
            </w:r>
          </w:p>
          <w:p w14:paraId="6827D12D" w14:textId="77777777" w:rsidR="00944C30" w:rsidRPr="00306115" w:rsidRDefault="00944C30">
            <w:pPr>
              <w:pStyle w:val="ListParagraph"/>
              <w:numPr>
                <w:ilvl w:val="0"/>
                <w:numId w:val="348"/>
              </w:numPr>
              <w:ind w:left="709" w:right="142" w:hanging="567"/>
              <w:contextualSpacing w:val="0"/>
              <w:rPr>
                <w:color w:val="000000" w:themeColor="text1"/>
                <w:szCs w:val="24"/>
              </w:rPr>
            </w:pPr>
            <w:r w:rsidRPr="00306115">
              <w:rPr>
                <w:color w:val="000000" w:themeColor="text1"/>
                <w:szCs w:val="24"/>
              </w:rPr>
              <w:t>Sistem pengendalian internal efektif dalam mendukung pelaksanaan Manajemen Risiko untuk Risiko Kredit.</w:t>
            </w:r>
          </w:p>
          <w:p w14:paraId="5A909C43" w14:textId="26726564" w:rsidR="00944C30" w:rsidRPr="00306115" w:rsidRDefault="00944C30">
            <w:pPr>
              <w:pStyle w:val="ListParagraph"/>
              <w:numPr>
                <w:ilvl w:val="0"/>
                <w:numId w:val="348"/>
              </w:numPr>
              <w:ind w:left="709" w:right="142" w:hanging="567"/>
              <w:contextualSpacing w:val="0"/>
              <w:rPr>
                <w:color w:val="000000" w:themeColor="text1"/>
                <w:szCs w:val="24"/>
              </w:rPr>
            </w:pPr>
            <w:r w:rsidRPr="00306115">
              <w:rPr>
                <w:color w:val="000000" w:themeColor="text1"/>
                <w:szCs w:val="24"/>
              </w:rPr>
              <w:t xml:space="preserve">Pelaksanaan kaji ulang oleh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dan fungsi audit internal memadai baik dari sisi metodologi, frekuensi, maupun pelaporan kepada Direksi dan Dewan Komisaris.</w:t>
            </w:r>
          </w:p>
          <w:p w14:paraId="78C7AC46" w14:textId="77777777" w:rsidR="00944C30" w:rsidRPr="00306115" w:rsidRDefault="00944C30">
            <w:pPr>
              <w:pStyle w:val="ListParagraph"/>
              <w:numPr>
                <w:ilvl w:val="0"/>
                <w:numId w:val="348"/>
              </w:numPr>
              <w:ind w:left="709" w:right="142" w:hanging="567"/>
              <w:contextualSpacing w:val="0"/>
              <w:rPr>
                <w:color w:val="000000" w:themeColor="text1"/>
                <w:szCs w:val="24"/>
              </w:rPr>
            </w:pPr>
            <w:r w:rsidRPr="00306115">
              <w:rPr>
                <w:color w:val="000000" w:themeColor="text1"/>
                <w:szCs w:val="24"/>
              </w:rPr>
              <w:t>Tindak lanjut atas kaji ulang telah dilaksanakan dengan memadai.</w:t>
            </w:r>
          </w:p>
        </w:tc>
      </w:tr>
      <w:tr w:rsidR="00944C30" w:rsidRPr="00306115" w14:paraId="669BE012" w14:textId="77777777" w:rsidTr="00944C30">
        <w:tc>
          <w:tcPr>
            <w:tcW w:w="1918" w:type="dxa"/>
          </w:tcPr>
          <w:p w14:paraId="016DD412" w14:textId="77777777" w:rsidR="00944C30" w:rsidRPr="00306115" w:rsidRDefault="00944C30" w:rsidP="006F1F46">
            <w:pPr>
              <w:pStyle w:val="BodyText"/>
              <w:numPr>
                <w:ilvl w:val="0"/>
                <w:numId w:val="0"/>
              </w:numPr>
              <w:ind w:left="142" w:right="142"/>
              <w:jc w:val="center"/>
              <w:rPr>
                <w:color w:val="000000" w:themeColor="text1"/>
              </w:rPr>
            </w:pPr>
            <w:r w:rsidRPr="00306115">
              <w:rPr>
                <w:i/>
                <w:iCs/>
                <w:color w:val="000000" w:themeColor="text1"/>
              </w:rPr>
              <w:lastRenderedPageBreak/>
              <w:t>Fair</w:t>
            </w:r>
            <w:r w:rsidRPr="00306115">
              <w:rPr>
                <w:color w:val="000000" w:themeColor="text1"/>
              </w:rPr>
              <w:t xml:space="preserve"> (3)</w:t>
            </w:r>
          </w:p>
        </w:tc>
        <w:tc>
          <w:tcPr>
            <w:tcW w:w="6304" w:type="dxa"/>
          </w:tcPr>
          <w:p w14:paraId="6D6D5867" w14:textId="77777777" w:rsidR="00944C30" w:rsidRPr="00306115" w:rsidRDefault="00944C30" w:rsidP="00944C30">
            <w:pPr>
              <w:ind w:left="142" w:right="142"/>
              <w:rPr>
                <w:b/>
                <w:bCs/>
                <w:color w:val="000000" w:themeColor="text1"/>
                <w:szCs w:val="24"/>
              </w:rPr>
            </w:pPr>
            <w:r w:rsidRPr="00306115">
              <w:rPr>
                <w:color w:val="000000" w:themeColor="text1"/>
                <w:szCs w:val="24"/>
              </w:rPr>
              <w:t>Kualitas penerapan Manajemen Risiko untuk Risiko Kredit cukup memadai. Meskipun persyaratan minimum terpenuhi, terdapat beberapa kelemahan yang cukup signifikan yang memerlukan perbaikan segera.</w:t>
            </w:r>
          </w:p>
          <w:p w14:paraId="16E56B85" w14:textId="5074A799" w:rsidR="00944C30" w:rsidRPr="00306115" w:rsidRDefault="00944C30" w:rsidP="00944C30">
            <w:pPr>
              <w:ind w:left="142" w:right="142"/>
              <w:rPr>
                <w:color w:val="000000" w:themeColor="text1"/>
                <w:szCs w:val="24"/>
              </w:rPr>
            </w:pPr>
            <w:r w:rsidRPr="00306115">
              <w:rPr>
                <w:color w:val="000000" w:themeColor="text1"/>
                <w:szCs w:val="24"/>
              </w:rPr>
              <w:t xml:space="preserve">Contoh karakteristik </w:t>
            </w:r>
            <w:r w:rsidR="00764ECF" w:rsidRPr="00306115">
              <w:rPr>
                <w:color w:val="000000" w:themeColor="text1"/>
                <w:szCs w:val="24"/>
              </w:rPr>
              <w:t>karakteristik/kondisi</w:t>
            </w:r>
            <w:r w:rsidRPr="00306115">
              <w:rPr>
                <w:color w:val="000000" w:themeColor="text1"/>
                <w:szCs w:val="24"/>
              </w:rPr>
              <w:t xml:space="preserve"> Manajer Investasi yang termasuk dalam peringkat </w:t>
            </w:r>
            <w:r w:rsidRPr="00306115">
              <w:rPr>
                <w:i/>
                <w:color w:val="000000" w:themeColor="text1"/>
                <w:szCs w:val="24"/>
              </w:rPr>
              <w:t xml:space="preserve">Fair </w:t>
            </w:r>
            <w:r w:rsidRPr="00306115">
              <w:rPr>
                <w:color w:val="000000" w:themeColor="text1"/>
                <w:szCs w:val="24"/>
              </w:rPr>
              <w:t>(3) ini antara lain sebagai berikut:</w:t>
            </w:r>
          </w:p>
          <w:p w14:paraId="7A5A9552" w14:textId="77777777" w:rsidR="00944C30" w:rsidRPr="00306115" w:rsidRDefault="00944C30">
            <w:pPr>
              <w:pStyle w:val="ListParagraph"/>
              <w:numPr>
                <w:ilvl w:val="0"/>
                <w:numId w:val="349"/>
              </w:numPr>
              <w:ind w:left="709" w:right="142" w:hanging="567"/>
              <w:contextualSpacing w:val="0"/>
              <w:rPr>
                <w:color w:val="000000" w:themeColor="text1"/>
                <w:szCs w:val="24"/>
              </w:rPr>
            </w:pPr>
            <w:r w:rsidRPr="00306115">
              <w:rPr>
                <w:color w:val="000000" w:themeColor="text1"/>
                <w:szCs w:val="24"/>
              </w:rPr>
              <w:t>Perumusan tingkat risiko yang akan diambil (</w:t>
            </w:r>
            <w:r w:rsidRPr="00306115">
              <w:rPr>
                <w:i/>
                <w:color w:val="000000" w:themeColor="text1"/>
                <w:szCs w:val="24"/>
              </w:rPr>
              <w:t>risk appetite</w:t>
            </w:r>
            <w:r w:rsidRPr="00306115">
              <w:rPr>
                <w:color w:val="000000" w:themeColor="text1"/>
                <w:szCs w:val="24"/>
              </w:rPr>
              <w:t>) dan toleransi (</w:t>
            </w:r>
            <w:r w:rsidRPr="00306115">
              <w:rPr>
                <w:i/>
                <w:color w:val="000000" w:themeColor="text1"/>
                <w:szCs w:val="24"/>
              </w:rPr>
              <w:t>risk tolerance</w:t>
            </w:r>
            <w:r w:rsidRPr="00306115">
              <w:rPr>
                <w:color w:val="000000" w:themeColor="text1"/>
                <w:szCs w:val="24"/>
              </w:rPr>
              <w:t>) Risiko Kredit cukup memadai dan telah sejalan dengan strategi dan tujuan bisnis secara keseluruhan.</w:t>
            </w:r>
          </w:p>
          <w:p w14:paraId="001F59FD" w14:textId="77777777" w:rsidR="00944C30" w:rsidRPr="00306115" w:rsidRDefault="00944C30">
            <w:pPr>
              <w:pStyle w:val="ListParagraph"/>
              <w:numPr>
                <w:ilvl w:val="0"/>
                <w:numId w:val="349"/>
              </w:numPr>
              <w:ind w:left="709" w:right="142" w:hanging="567"/>
              <w:contextualSpacing w:val="0"/>
              <w:rPr>
                <w:color w:val="000000" w:themeColor="text1"/>
                <w:szCs w:val="24"/>
              </w:rPr>
            </w:pPr>
            <w:r w:rsidRPr="00306115">
              <w:rPr>
                <w:color w:val="000000" w:themeColor="text1"/>
                <w:szCs w:val="24"/>
              </w:rPr>
              <w:t>Kesadaran (</w:t>
            </w:r>
            <w:r w:rsidRPr="00306115">
              <w:rPr>
                <w:i/>
                <w:color w:val="000000" w:themeColor="text1"/>
                <w:szCs w:val="24"/>
              </w:rPr>
              <w:t>awareness</w:t>
            </w:r>
            <w:r w:rsidRPr="00306115">
              <w:rPr>
                <w:color w:val="000000" w:themeColor="text1"/>
                <w:szCs w:val="24"/>
              </w:rPr>
              <w:t>) dan pemahaman Direksi dan Dewan Komisaris cukup tinggi atau cukup memadai mengenai pelaksanaan Manajemen Risiko, terutama terkait jenis dan tingkat risiko untuk Risiko Kredit.</w:t>
            </w:r>
          </w:p>
          <w:p w14:paraId="4DCBE14D" w14:textId="77777777" w:rsidR="00944C30" w:rsidRPr="00306115" w:rsidRDefault="00944C30">
            <w:pPr>
              <w:pStyle w:val="ListParagraph"/>
              <w:numPr>
                <w:ilvl w:val="0"/>
                <w:numId w:val="349"/>
              </w:numPr>
              <w:ind w:left="709" w:right="142" w:hanging="567"/>
              <w:contextualSpacing w:val="0"/>
              <w:rPr>
                <w:color w:val="000000" w:themeColor="text1"/>
                <w:szCs w:val="24"/>
              </w:rPr>
            </w:pPr>
            <w:r w:rsidRPr="00306115">
              <w:rPr>
                <w:color w:val="000000" w:themeColor="text1"/>
                <w:szCs w:val="24"/>
              </w:rPr>
              <w:t>Budaya Manajemen Risiko untuk Risiko Kredit cukup kuat dan telah diinternalisasikan dengan cukup baik pada seluruh level organisasi.</w:t>
            </w:r>
          </w:p>
          <w:p w14:paraId="218F2F20" w14:textId="77777777" w:rsidR="00944C30" w:rsidRPr="00306115" w:rsidRDefault="00944C30">
            <w:pPr>
              <w:pStyle w:val="ListParagraph"/>
              <w:numPr>
                <w:ilvl w:val="0"/>
                <w:numId w:val="349"/>
              </w:numPr>
              <w:ind w:left="709" w:right="142" w:hanging="567"/>
              <w:contextualSpacing w:val="0"/>
              <w:rPr>
                <w:color w:val="000000" w:themeColor="text1"/>
                <w:szCs w:val="24"/>
              </w:rPr>
            </w:pPr>
            <w:r w:rsidRPr="00306115">
              <w:rPr>
                <w:color w:val="000000" w:themeColor="text1"/>
                <w:szCs w:val="24"/>
              </w:rPr>
              <w:lastRenderedPageBreak/>
              <w:t>Pelaksanaan tugas Direksi dan Dewan Komisaris secara keseluruhan cukup memadai. Terdapat beberapa kelemahan yang cukup signifikan pada beberapa aspek penilaian yang memerlukan perbaikan segera.</w:t>
            </w:r>
          </w:p>
          <w:p w14:paraId="0D0FB2EC" w14:textId="77777777" w:rsidR="00944C30" w:rsidRPr="00306115" w:rsidRDefault="00944C30">
            <w:pPr>
              <w:pStyle w:val="ListParagraph"/>
              <w:numPr>
                <w:ilvl w:val="0"/>
                <w:numId w:val="349"/>
              </w:numPr>
              <w:ind w:left="709" w:right="142" w:hanging="567"/>
              <w:contextualSpacing w:val="0"/>
              <w:rPr>
                <w:i/>
                <w:iCs/>
                <w:color w:val="000000" w:themeColor="text1"/>
                <w:szCs w:val="24"/>
              </w:rPr>
            </w:pPr>
            <w:r w:rsidRPr="00306115">
              <w:rPr>
                <w:color w:val="000000" w:themeColor="text1"/>
                <w:szCs w:val="24"/>
              </w:rPr>
              <w:t>Fungsi Manajemen Risiko untuk Risiko Kredit independen, memiliki tugas dan tanggung jawab yang jelas, dan telah berjalan dengan cukup baik. Terdapat beberapa kelemahan yang cukup signifikan yang memerlukan perbaikan segera.</w:t>
            </w:r>
          </w:p>
          <w:p w14:paraId="2E4FC879" w14:textId="77777777" w:rsidR="00944C30" w:rsidRPr="00306115" w:rsidRDefault="00944C30">
            <w:pPr>
              <w:pStyle w:val="ListParagraph"/>
              <w:numPr>
                <w:ilvl w:val="0"/>
                <w:numId w:val="349"/>
              </w:numPr>
              <w:ind w:left="709" w:right="142" w:hanging="567"/>
              <w:contextualSpacing w:val="0"/>
              <w:rPr>
                <w:color w:val="000000" w:themeColor="text1"/>
                <w:szCs w:val="24"/>
              </w:rPr>
            </w:pPr>
            <w:r w:rsidRPr="00306115">
              <w:rPr>
                <w:color w:val="000000" w:themeColor="text1"/>
                <w:szCs w:val="24"/>
              </w:rPr>
              <w:t>Kerangka pedelegasian wewenang cukup memadai.</w:t>
            </w:r>
          </w:p>
          <w:p w14:paraId="45CAA166" w14:textId="77777777" w:rsidR="00944C30" w:rsidRPr="00306115" w:rsidRDefault="00944C30">
            <w:pPr>
              <w:pStyle w:val="ListParagraph"/>
              <w:numPr>
                <w:ilvl w:val="0"/>
                <w:numId w:val="349"/>
              </w:numPr>
              <w:ind w:left="709" w:right="142" w:hanging="567"/>
              <w:contextualSpacing w:val="0"/>
              <w:rPr>
                <w:color w:val="000000" w:themeColor="text1"/>
                <w:szCs w:val="24"/>
              </w:rPr>
            </w:pPr>
            <w:r w:rsidRPr="00306115">
              <w:rPr>
                <w:color w:val="000000" w:themeColor="text1"/>
                <w:szCs w:val="24"/>
              </w:rPr>
              <w:t>Kebijakan dan prosedur Manajemen Risiko serta penetapan limit Risiko Kredit cukup memadai, diterapkan dengan cukup baik, dan dipahami dengan cukup baik oleh pegawai.</w:t>
            </w:r>
          </w:p>
          <w:p w14:paraId="099E9EEC" w14:textId="77777777" w:rsidR="00944C30" w:rsidRPr="00306115" w:rsidRDefault="00944C30">
            <w:pPr>
              <w:pStyle w:val="ListParagraph"/>
              <w:numPr>
                <w:ilvl w:val="0"/>
                <w:numId w:val="349"/>
              </w:numPr>
              <w:ind w:left="709" w:right="142" w:hanging="567"/>
              <w:contextualSpacing w:val="0"/>
              <w:rPr>
                <w:color w:val="000000" w:themeColor="text1"/>
                <w:szCs w:val="24"/>
              </w:rPr>
            </w:pPr>
            <w:r w:rsidRPr="00306115">
              <w:rPr>
                <w:color w:val="000000" w:themeColor="text1"/>
                <w:szCs w:val="24"/>
              </w:rPr>
              <w:t>Strategi Manajemen Risiko untuk Risiko Kredit cukup memadai dan cukup sejalan dengan tingkat risiko yang akan diambil dan toleransi Risiko Kredit.</w:t>
            </w:r>
          </w:p>
          <w:p w14:paraId="2543878C" w14:textId="77777777" w:rsidR="00944C30" w:rsidRPr="00306115" w:rsidRDefault="00944C30">
            <w:pPr>
              <w:pStyle w:val="ListParagraph"/>
              <w:numPr>
                <w:ilvl w:val="0"/>
                <w:numId w:val="349"/>
              </w:numPr>
              <w:ind w:left="709" w:right="142" w:hanging="567"/>
              <w:contextualSpacing w:val="0"/>
              <w:rPr>
                <w:color w:val="000000" w:themeColor="text1"/>
                <w:szCs w:val="24"/>
              </w:rPr>
            </w:pPr>
            <w:r w:rsidRPr="00306115">
              <w:rPr>
                <w:color w:val="000000" w:themeColor="text1"/>
                <w:szCs w:val="24"/>
              </w:rPr>
              <w:t>Proses Manajemen Risiko untuk Risiko Kredit cukup memadai dalam mengidentifikasi, mengukur, memantau, dan mengendalikan Risiko Kredit.</w:t>
            </w:r>
          </w:p>
          <w:p w14:paraId="2AB3C819" w14:textId="77777777" w:rsidR="00944C30" w:rsidRPr="00306115" w:rsidRDefault="00944C30">
            <w:pPr>
              <w:pStyle w:val="ListParagraph"/>
              <w:numPr>
                <w:ilvl w:val="0"/>
                <w:numId w:val="349"/>
              </w:numPr>
              <w:ind w:left="709" w:right="142" w:hanging="567"/>
              <w:contextualSpacing w:val="0"/>
              <w:rPr>
                <w:color w:val="000000" w:themeColor="text1"/>
                <w:szCs w:val="24"/>
              </w:rPr>
            </w:pPr>
            <w:r w:rsidRPr="00306115">
              <w:rPr>
                <w:color w:val="000000" w:themeColor="text1"/>
                <w:szCs w:val="24"/>
              </w:rPr>
              <w:t xml:space="preserve">Pelaksanaan kaji ulang terhadap kondisi, kredibilitas, dan kemampuan membayar kembali </w:t>
            </w:r>
            <w:r w:rsidRPr="00306115">
              <w:rPr>
                <w:i/>
                <w:color w:val="000000" w:themeColor="text1"/>
                <w:szCs w:val="24"/>
              </w:rPr>
              <w:t>counterparty</w:t>
            </w:r>
            <w:r w:rsidRPr="00306115">
              <w:rPr>
                <w:color w:val="000000" w:themeColor="text1"/>
                <w:szCs w:val="24"/>
              </w:rPr>
              <w:t xml:space="preserve"> dalam rangka penyesuaian kembali strategi investasi cukup memadai dan tidak dilakukan secara berkala.</w:t>
            </w:r>
          </w:p>
          <w:p w14:paraId="4E103070" w14:textId="77777777" w:rsidR="00944C30" w:rsidRPr="00306115" w:rsidRDefault="00944C30">
            <w:pPr>
              <w:pStyle w:val="ListParagraph"/>
              <w:numPr>
                <w:ilvl w:val="0"/>
                <w:numId w:val="349"/>
              </w:numPr>
              <w:ind w:left="709" w:right="142" w:hanging="567"/>
              <w:contextualSpacing w:val="0"/>
              <w:rPr>
                <w:color w:val="000000" w:themeColor="text1"/>
                <w:szCs w:val="24"/>
              </w:rPr>
            </w:pPr>
            <w:r w:rsidRPr="00306115">
              <w:rPr>
                <w:color w:val="000000" w:themeColor="text1"/>
                <w:szCs w:val="24"/>
              </w:rPr>
              <w:t>Sistem Informasi Manajemen Risiko untuk Risiko Kredit cukup baik dalam menghasilkan informasi dan laporan Risiko Kredit yang komprehensif.</w:t>
            </w:r>
          </w:p>
          <w:p w14:paraId="5E1F0BDB" w14:textId="748E57C6" w:rsidR="00944C30" w:rsidRPr="00306115" w:rsidRDefault="00944C30">
            <w:pPr>
              <w:pStyle w:val="ListParagraph"/>
              <w:numPr>
                <w:ilvl w:val="0"/>
                <w:numId w:val="349"/>
              </w:numPr>
              <w:ind w:left="709" w:right="142" w:hanging="567"/>
              <w:contextualSpacing w:val="0"/>
              <w:rPr>
                <w:color w:val="000000" w:themeColor="text1"/>
                <w:szCs w:val="24"/>
              </w:rPr>
            </w:pPr>
            <w:r w:rsidRPr="00306115">
              <w:rPr>
                <w:color w:val="000000" w:themeColor="text1"/>
                <w:szCs w:val="24"/>
              </w:rPr>
              <w:t xml:space="preserve">Secara umum sumber daya manusia cukup memadai baik dari sisi jumlah maupun kompetensi pada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untuk Risiko Kredit.</w:t>
            </w:r>
          </w:p>
          <w:p w14:paraId="6816C239" w14:textId="77777777" w:rsidR="00944C30" w:rsidRPr="00306115" w:rsidRDefault="00944C30">
            <w:pPr>
              <w:pStyle w:val="ListParagraph"/>
              <w:numPr>
                <w:ilvl w:val="0"/>
                <w:numId w:val="349"/>
              </w:numPr>
              <w:ind w:left="709" w:right="142" w:hanging="567"/>
              <w:contextualSpacing w:val="0"/>
              <w:rPr>
                <w:color w:val="000000" w:themeColor="text1"/>
                <w:szCs w:val="24"/>
              </w:rPr>
            </w:pPr>
            <w:r w:rsidRPr="00306115">
              <w:rPr>
                <w:color w:val="000000" w:themeColor="text1"/>
                <w:szCs w:val="24"/>
              </w:rPr>
              <w:t>Sistem pengendalian internal cukup efektif dalam mendukung pelaksanaan Manajemen Risiko untuk Risiko Kredit.</w:t>
            </w:r>
          </w:p>
          <w:p w14:paraId="4C25F39A" w14:textId="50E2DB0C" w:rsidR="00944C30" w:rsidRPr="00306115" w:rsidRDefault="00944C30">
            <w:pPr>
              <w:pStyle w:val="ListParagraph"/>
              <w:numPr>
                <w:ilvl w:val="0"/>
                <w:numId w:val="349"/>
              </w:numPr>
              <w:ind w:left="709" w:right="142" w:hanging="567"/>
              <w:contextualSpacing w:val="0"/>
              <w:rPr>
                <w:color w:val="000000" w:themeColor="text1"/>
                <w:szCs w:val="24"/>
              </w:rPr>
            </w:pPr>
            <w:r w:rsidRPr="00306115">
              <w:rPr>
                <w:color w:val="000000" w:themeColor="text1"/>
                <w:szCs w:val="24"/>
              </w:rPr>
              <w:t xml:space="preserve">Pelaksanaan kaji ulang oleh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dan fungsi audit internal cukup memadai. Terdapat beberapa kelemahan yang cukup signifikan pada metodologi, frekuensi, maupun pelaporan kepada Direksi dan Dewan Komisaris yang memerlukan perbaikan segera.</w:t>
            </w:r>
          </w:p>
          <w:p w14:paraId="66FF2E30" w14:textId="77777777" w:rsidR="00944C30" w:rsidRPr="00306115" w:rsidRDefault="00944C30">
            <w:pPr>
              <w:pStyle w:val="ListParagraph"/>
              <w:numPr>
                <w:ilvl w:val="0"/>
                <w:numId w:val="349"/>
              </w:numPr>
              <w:ind w:left="709" w:right="142" w:hanging="567"/>
              <w:contextualSpacing w:val="0"/>
              <w:rPr>
                <w:color w:val="000000" w:themeColor="text1"/>
                <w:szCs w:val="24"/>
              </w:rPr>
            </w:pPr>
            <w:r w:rsidRPr="00306115">
              <w:rPr>
                <w:color w:val="000000" w:themeColor="text1"/>
                <w:szCs w:val="24"/>
              </w:rPr>
              <w:t>Tindak lanjut atas kaji ulang telah dilaksanakan dengan cukup memadai.</w:t>
            </w:r>
          </w:p>
        </w:tc>
      </w:tr>
      <w:tr w:rsidR="00944C30" w:rsidRPr="00306115" w14:paraId="7A29775A" w14:textId="77777777" w:rsidTr="00944C30">
        <w:tc>
          <w:tcPr>
            <w:tcW w:w="1918" w:type="dxa"/>
          </w:tcPr>
          <w:p w14:paraId="04EFFD51" w14:textId="77777777" w:rsidR="00944C30" w:rsidRPr="00306115" w:rsidRDefault="00944C30" w:rsidP="006F1F46">
            <w:pPr>
              <w:pStyle w:val="BodyText"/>
              <w:numPr>
                <w:ilvl w:val="0"/>
                <w:numId w:val="0"/>
              </w:numPr>
              <w:ind w:left="142" w:right="142"/>
              <w:jc w:val="center"/>
              <w:rPr>
                <w:color w:val="000000" w:themeColor="text1"/>
              </w:rPr>
            </w:pPr>
            <w:r w:rsidRPr="00306115">
              <w:rPr>
                <w:i/>
                <w:iCs/>
                <w:color w:val="000000" w:themeColor="text1"/>
              </w:rPr>
              <w:lastRenderedPageBreak/>
              <w:t>Marginal</w:t>
            </w:r>
            <w:r w:rsidRPr="00306115">
              <w:rPr>
                <w:color w:val="000000" w:themeColor="text1"/>
              </w:rPr>
              <w:t xml:space="preserve"> (4)</w:t>
            </w:r>
          </w:p>
        </w:tc>
        <w:tc>
          <w:tcPr>
            <w:tcW w:w="6304" w:type="dxa"/>
          </w:tcPr>
          <w:p w14:paraId="05D5B9B0" w14:textId="77777777" w:rsidR="00944C30" w:rsidRPr="00306115" w:rsidRDefault="00944C30" w:rsidP="00944C30">
            <w:pPr>
              <w:ind w:left="142" w:right="142"/>
              <w:rPr>
                <w:b/>
                <w:bCs/>
                <w:color w:val="000000" w:themeColor="text1"/>
                <w:szCs w:val="24"/>
              </w:rPr>
            </w:pPr>
            <w:r w:rsidRPr="00306115">
              <w:rPr>
                <w:color w:val="000000" w:themeColor="text1"/>
                <w:szCs w:val="24"/>
              </w:rPr>
              <w:t>Kualitas penerapan Manajemen Risiko untuk Risiko Kredit kurang memadai. Terdapat kelemahan signifikan pada berbagai aspek Manajemen Risiko untuk Risiko Kredit yang memerlukan perbaikan segera.</w:t>
            </w:r>
          </w:p>
          <w:p w14:paraId="73413D52" w14:textId="2B20C40E" w:rsidR="00944C30" w:rsidRPr="00306115" w:rsidRDefault="00944C30" w:rsidP="00944C30">
            <w:pPr>
              <w:ind w:left="142" w:right="142"/>
              <w:rPr>
                <w:color w:val="000000" w:themeColor="text1"/>
                <w:szCs w:val="24"/>
              </w:rPr>
            </w:pPr>
            <w:r w:rsidRPr="00306115">
              <w:rPr>
                <w:color w:val="000000" w:themeColor="text1"/>
                <w:szCs w:val="24"/>
              </w:rPr>
              <w:t xml:space="preserve">Contoh </w:t>
            </w:r>
            <w:r w:rsidR="00764ECF" w:rsidRPr="00306115">
              <w:rPr>
                <w:color w:val="000000" w:themeColor="text1"/>
                <w:szCs w:val="24"/>
              </w:rPr>
              <w:t>karakteristik/kondisi</w:t>
            </w:r>
            <w:r w:rsidRPr="00306115">
              <w:rPr>
                <w:color w:val="000000" w:themeColor="text1"/>
                <w:szCs w:val="24"/>
              </w:rPr>
              <w:t xml:space="preserve"> Manajer Investasi yang termasuk dalam peringkat </w:t>
            </w:r>
            <w:r w:rsidRPr="00306115">
              <w:rPr>
                <w:i/>
                <w:color w:val="000000" w:themeColor="text1"/>
                <w:szCs w:val="24"/>
              </w:rPr>
              <w:t xml:space="preserve">Marginal </w:t>
            </w:r>
            <w:r w:rsidRPr="00306115">
              <w:rPr>
                <w:color w:val="000000" w:themeColor="text1"/>
                <w:szCs w:val="24"/>
              </w:rPr>
              <w:t>(4) antara lain sebagai berikut:</w:t>
            </w:r>
          </w:p>
          <w:p w14:paraId="28DA6F52" w14:textId="77777777" w:rsidR="00944C30" w:rsidRPr="00306115" w:rsidRDefault="00944C30">
            <w:pPr>
              <w:pStyle w:val="ListParagraph"/>
              <w:numPr>
                <w:ilvl w:val="0"/>
                <w:numId w:val="350"/>
              </w:numPr>
              <w:ind w:left="709" w:right="142" w:hanging="567"/>
              <w:contextualSpacing w:val="0"/>
              <w:rPr>
                <w:color w:val="000000" w:themeColor="text1"/>
                <w:szCs w:val="24"/>
              </w:rPr>
            </w:pPr>
            <w:r w:rsidRPr="00306115">
              <w:rPr>
                <w:color w:val="000000" w:themeColor="text1"/>
                <w:szCs w:val="24"/>
              </w:rPr>
              <w:t>Perumusan tingkat risiko yang akan diambil (</w:t>
            </w:r>
            <w:r w:rsidRPr="00306115">
              <w:rPr>
                <w:i/>
                <w:color w:val="000000" w:themeColor="text1"/>
                <w:szCs w:val="24"/>
              </w:rPr>
              <w:t>risk appetite</w:t>
            </w:r>
            <w:r w:rsidRPr="00306115">
              <w:rPr>
                <w:color w:val="000000" w:themeColor="text1"/>
                <w:szCs w:val="24"/>
              </w:rPr>
              <w:t>) dan toleransi (</w:t>
            </w:r>
            <w:r w:rsidRPr="00306115">
              <w:rPr>
                <w:i/>
                <w:color w:val="000000" w:themeColor="text1"/>
                <w:szCs w:val="24"/>
              </w:rPr>
              <w:t>risk tolerance</w:t>
            </w:r>
            <w:r w:rsidRPr="00306115">
              <w:rPr>
                <w:color w:val="000000" w:themeColor="text1"/>
                <w:szCs w:val="24"/>
              </w:rPr>
              <w:t>) Risiko Kredit kurang memadai serta tidak sejalan dengan strategi dan tujuan bisnis secara keseluruhan.</w:t>
            </w:r>
          </w:p>
          <w:p w14:paraId="5EED726E" w14:textId="77777777" w:rsidR="00944C30" w:rsidRPr="00306115" w:rsidRDefault="00944C30">
            <w:pPr>
              <w:pStyle w:val="ListParagraph"/>
              <w:numPr>
                <w:ilvl w:val="0"/>
                <w:numId w:val="350"/>
              </w:numPr>
              <w:ind w:left="709" w:right="142" w:hanging="567"/>
              <w:contextualSpacing w:val="0"/>
              <w:rPr>
                <w:color w:val="000000" w:themeColor="text1"/>
                <w:szCs w:val="24"/>
              </w:rPr>
            </w:pPr>
            <w:r w:rsidRPr="00306115">
              <w:rPr>
                <w:color w:val="000000" w:themeColor="text1"/>
                <w:szCs w:val="24"/>
              </w:rPr>
              <w:t>Kesadaran (awareness) dan pemahaman Direksi dan Dewan Komisaris rendah atau tidak memadai mengenai pelaksanaan Manajemen Risiko, terutama terkait jenis dan tingkat risiko untuk Risiko Kredit.</w:t>
            </w:r>
          </w:p>
          <w:p w14:paraId="564BD767" w14:textId="77777777" w:rsidR="00944C30" w:rsidRPr="00306115" w:rsidRDefault="00944C30">
            <w:pPr>
              <w:pStyle w:val="ListParagraph"/>
              <w:numPr>
                <w:ilvl w:val="0"/>
                <w:numId w:val="350"/>
              </w:numPr>
              <w:ind w:left="709" w:right="142" w:hanging="567"/>
              <w:contextualSpacing w:val="0"/>
              <w:rPr>
                <w:color w:val="000000" w:themeColor="text1"/>
                <w:szCs w:val="24"/>
              </w:rPr>
            </w:pPr>
            <w:r w:rsidRPr="00306115">
              <w:rPr>
                <w:color w:val="000000" w:themeColor="text1"/>
                <w:szCs w:val="24"/>
              </w:rPr>
              <w:t>Budaya Manajemen Risiko untuk Risiko Kredit kurang kuat dan belum diinternalisasikan dengan baik pada seluruh level organisasi.</w:t>
            </w:r>
          </w:p>
          <w:p w14:paraId="36936468" w14:textId="77777777" w:rsidR="00944C30" w:rsidRPr="00306115" w:rsidRDefault="00944C30">
            <w:pPr>
              <w:pStyle w:val="ListParagraph"/>
              <w:numPr>
                <w:ilvl w:val="0"/>
                <w:numId w:val="350"/>
              </w:numPr>
              <w:ind w:left="709" w:right="142" w:hanging="567"/>
              <w:contextualSpacing w:val="0"/>
              <w:rPr>
                <w:color w:val="000000" w:themeColor="text1"/>
                <w:szCs w:val="24"/>
              </w:rPr>
            </w:pPr>
            <w:r w:rsidRPr="00306115">
              <w:rPr>
                <w:color w:val="000000" w:themeColor="text1"/>
                <w:szCs w:val="24"/>
              </w:rPr>
              <w:t>Pelaksanaan tugas Direksi dan Dewan Komisaris secara keseluruhan kurang memadai. Terdapat beberapa kelemahan signifikan pada beberapa aspek penilaian yang memerlukan perbaikan segera.</w:t>
            </w:r>
          </w:p>
          <w:p w14:paraId="4F7FC964" w14:textId="77777777" w:rsidR="00944C30" w:rsidRPr="00306115" w:rsidRDefault="00944C30">
            <w:pPr>
              <w:pStyle w:val="ListParagraph"/>
              <w:numPr>
                <w:ilvl w:val="0"/>
                <w:numId w:val="350"/>
              </w:numPr>
              <w:ind w:left="709" w:right="142" w:hanging="567"/>
              <w:contextualSpacing w:val="0"/>
              <w:rPr>
                <w:color w:val="000000" w:themeColor="text1"/>
                <w:szCs w:val="24"/>
              </w:rPr>
            </w:pPr>
            <w:r w:rsidRPr="00306115">
              <w:rPr>
                <w:color w:val="000000" w:themeColor="text1"/>
                <w:szCs w:val="24"/>
              </w:rPr>
              <w:t>Fungsi Manajemen Risiko untuk Risiko Kredit belum sepenuhnya independen. Terdapat beberapa kelemahan signifikan yang memerlukan perbaikan segera.</w:t>
            </w:r>
          </w:p>
          <w:p w14:paraId="745DD279" w14:textId="77777777" w:rsidR="00944C30" w:rsidRPr="00306115" w:rsidRDefault="00944C30">
            <w:pPr>
              <w:pStyle w:val="ListParagraph"/>
              <w:numPr>
                <w:ilvl w:val="0"/>
                <w:numId w:val="350"/>
              </w:numPr>
              <w:ind w:left="709" w:right="142" w:hanging="567"/>
              <w:contextualSpacing w:val="0"/>
              <w:rPr>
                <w:color w:val="000000" w:themeColor="text1"/>
                <w:szCs w:val="24"/>
              </w:rPr>
            </w:pPr>
            <w:r w:rsidRPr="00306115">
              <w:rPr>
                <w:color w:val="000000" w:themeColor="text1"/>
                <w:szCs w:val="24"/>
              </w:rPr>
              <w:t>Kerangka pedelegasian wewenang kurang memadai.</w:t>
            </w:r>
          </w:p>
          <w:p w14:paraId="4E60614B" w14:textId="77777777" w:rsidR="00944C30" w:rsidRPr="00306115" w:rsidRDefault="00944C30">
            <w:pPr>
              <w:pStyle w:val="ListParagraph"/>
              <w:numPr>
                <w:ilvl w:val="0"/>
                <w:numId w:val="350"/>
              </w:numPr>
              <w:ind w:left="709" w:right="142" w:hanging="567"/>
              <w:contextualSpacing w:val="0"/>
              <w:rPr>
                <w:color w:val="000000" w:themeColor="text1"/>
                <w:szCs w:val="24"/>
              </w:rPr>
            </w:pPr>
            <w:r w:rsidRPr="00306115">
              <w:rPr>
                <w:color w:val="000000" w:themeColor="text1"/>
                <w:szCs w:val="24"/>
              </w:rPr>
              <w:t>Kebijakan dan prosedur Manajemen Risiko serta penetapan limit Risiko Kredit kurang memadai, diterapkan dengan kurang baik, dan dipahami dengan kurang baik oleh pegawai, sehingga memerlukan perbaikan segera.</w:t>
            </w:r>
          </w:p>
          <w:p w14:paraId="62816577" w14:textId="77777777" w:rsidR="00944C30" w:rsidRPr="00306115" w:rsidRDefault="00944C30">
            <w:pPr>
              <w:pStyle w:val="ListParagraph"/>
              <w:numPr>
                <w:ilvl w:val="0"/>
                <w:numId w:val="350"/>
              </w:numPr>
              <w:ind w:left="709" w:right="142" w:hanging="567"/>
              <w:contextualSpacing w:val="0"/>
              <w:rPr>
                <w:color w:val="000000" w:themeColor="text1"/>
                <w:szCs w:val="24"/>
              </w:rPr>
            </w:pPr>
            <w:r w:rsidRPr="00306115">
              <w:rPr>
                <w:color w:val="000000" w:themeColor="text1"/>
                <w:szCs w:val="24"/>
              </w:rPr>
              <w:t>Strategi Manajemen Risiko untuk Risiko Kredit kurang memadai dan kurang sejalan dengan tingkat risiko yang akan diambil dan toleransi Risiko Kredit.</w:t>
            </w:r>
          </w:p>
          <w:p w14:paraId="191E83AA" w14:textId="77777777" w:rsidR="00944C30" w:rsidRPr="00306115" w:rsidRDefault="00944C30">
            <w:pPr>
              <w:pStyle w:val="ListParagraph"/>
              <w:numPr>
                <w:ilvl w:val="0"/>
                <w:numId w:val="350"/>
              </w:numPr>
              <w:ind w:left="709" w:right="142" w:hanging="567"/>
              <w:contextualSpacing w:val="0"/>
              <w:rPr>
                <w:color w:val="000000" w:themeColor="text1"/>
                <w:szCs w:val="24"/>
              </w:rPr>
            </w:pPr>
            <w:r w:rsidRPr="00306115">
              <w:rPr>
                <w:color w:val="000000" w:themeColor="text1"/>
                <w:szCs w:val="24"/>
              </w:rPr>
              <w:t>Proses Manajemen Risiko untuk Risiko Kredit kurang memadai dalam mengidentifikasi, mengukur, memantau, dan mengendalikan Risiko Kredit.</w:t>
            </w:r>
          </w:p>
          <w:p w14:paraId="42ADC6C8" w14:textId="77777777" w:rsidR="00944C30" w:rsidRPr="00306115" w:rsidRDefault="00944C30">
            <w:pPr>
              <w:pStyle w:val="ListParagraph"/>
              <w:numPr>
                <w:ilvl w:val="0"/>
                <w:numId w:val="350"/>
              </w:numPr>
              <w:ind w:left="709" w:right="142" w:hanging="567"/>
              <w:contextualSpacing w:val="0"/>
              <w:rPr>
                <w:color w:val="000000" w:themeColor="text1"/>
                <w:szCs w:val="24"/>
              </w:rPr>
            </w:pPr>
            <w:r w:rsidRPr="00306115">
              <w:rPr>
                <w:color w:val="000000" w:themeColor="text1"/>
                <w:szCs w:val="24"/>
              </w:rPr>
              <w:t>Pelaksanaan kaji ulang terhadap kondisi, kredibilitas, dan kemampuan membayar kembali counterparty dalam rangka penyesuaian kembali strategi investasi kurang memadai dan tidak dilakukan secara berkala.</w:t>
            </w:r>
          </w:p>
          <w:p w14:paraId="1FAFBF13" w14:textId="77777777" w:rsidR="00944C30" w:rsidRPr="00306115" w:rsidRDefault="00944C30">
            <w:pPr>
              <w:pStyle w:val="ListParagraph"/>
              <w:numPr>
                <w:ilvl w:val="0"/>
                <w:numId w:val="350"/>
              </w:numPr>
              <w:ind w:left="709" w:right="142" w:hanging="567"/>
              <w:contextualSpacing w:val="0"/>
              <w:rPr>
                <w:color w:val="000000" w:themeColor="text1"/>
                <w:szCs w:val="24"/>
              </w:rPr>
            </w:pPr>
            <w:r w:rsidRPr="00306115">
              <w:rPr>
                <w:color w:val="000000" w:themeColor="text1"/>
                <w:szCs w:val="24"/>
              </w:rPr>
              <w:lastRenderedPageBreak/>
              <w:t>Sistem Informasi Manajemen Risiko untuk Risiko Kredit kurang baik dalam menghasilkan informasi dan laporan Risiko Kredit yang komprehensif.</w:t>
            </w:r>
          </w:p>
          <w:p w14:paraId="3441FC44" w14:textId="655F6195" w:rsidR="00944C30" w:rsidRPr="00306115" w:rsidRDefault="00944C30">
            <w:pPr>
              <w:pStyle w:val="ListParagraph"/>
              <w:numPr>
                <w:ilvl w:val="0"/>
                <w:numId w:val="350"/>
              </w:numPr>
              <w:ind w:left="709" w:right="142" w:hanging="567"/>
              <w:contextualSpacing w:val="0"/>
              <w:rPr>
                <w:color w:val="000000" w:themeColor="text1"/>
                <w:szCs w:val="24"/>
              </w:rPr>
            </w:pPr>
            <w:r w:rsidRPr="00306115">
              <w:rPr>
                <w:color w:val="000000" w:themeColor="text1"/>
                <w:szCs w:val="24"/>
              </w:rPr>
              <w:t xml:space="preserve">Sumber daya manusia kurang memadai baik dari sisi jumlah maupun kompetensi pada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untuk Risiko Kredit.</w:t>
            </w:r>
          </w:p>
          <w:p w14:paraId="627797AA" w14:textId="77777777" w:rsidR="00944C30" w:rsidRPr="00306115" w:rsidRDefault="00944C30">
            <w:pPr>
              <w:pStyle w:val="ListParagraph"/>
              <w:numPr>
                <w:ilvl w:val="0"/>
                <w:numId w:val="350"/>
              </w:numPr>
              <w:ind w:left="709" w:right="142" w:hanging="567"/>
              <w:contextualSpacing w:val="0"/>
              <w:rPr>
                <w:color w:val="000000" w:themeColor="text1"/>
                <w:szCs w:val="24"/>
              </w:rPr>
            </w:pPr>
            <w:r w:rsidRPr="00306115">
              <w:rPr>
                <w:color w:val="000000" w:themeColor="text1"/>
                <w:szCs w:val="24"/>
              </w:rPr>
              <w:t>Sistem pengendalian internal kurang efektif dalam mendukung pelaksanaan Manajemen Risiko untuk Risiko Kredit.</w:t>
            </w:r>
          </w:p>
          <w:p w14:paraId="2102423B" w14:textId="4A4FCC0B" w:rsidR="00944C30" w:rsidRPr="00306115" w:rsidRDefault="00944C30">
            <w:pPr>
              <w:pStyle w:val="ListParagraph"/>
              <w:numPr>
                <w:ilvl w:val="0"/>
                <w:numId w:val="350"/>
              </w:numPr>
              <w:ind w:left="709" w:right="142" w:hanging="567"/>
              <w:contextualSpacing w:val="0"/>
              <w:rPr>
                <w:color w:val="000000" w:themeColor="text1"/>
                <w:szCs w:val="24"/>
              </w:rPr>
            </w:pPr>
            <w:r w:rsidRPr="00306115">
              <w:rPr>
                <w:color w:val="000000" w:themeColor="text1"/>
                <w:szCs w:val="24"/>
              </w:rPr>
              <w:t xml:space="preserve">Pelaksanaan kaji ulang oleh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dan fungsi audit internal kurang memadai. Terdapat beberapa kelemahan yang signifikan pada metodologi, frekuensi, maupun pelaporan kepada Direksi dan Dewan Komisaris yang memerlukan perbaikan segera.</w:t>
            </w:r>
          </w:p>
          <w:p w14:paraId="6EB3935E" w14:textId="77777777" w:rsidR="00944C30" w:rsidRPr="00306115" w:rsidRDefault="00944C30">
            <w:pPr>
              <w:pStyle w:val="ListParagraph"/>
              <w:numPr>
                <w:ilvl w:val="0"/>
                <w:numId w:val="350"/>
              </w:numPr>
              <w:ind w:left="709" w:right="142" w:hanging="567"/>
              <w:contextualSpacing w:val="0"/>
              <w:rPr>
                <w:color w:val="000000" w:themeColor="text1"/>
                <w:szCs w:val="24"/>
              </w:rPr>
            </w:pPr>
            <w:r w:rsidRPr="00306115">
              <w:rPr>
                <w:color w:val="000000" w:themeColor="text1"/>
                <w:szCs w:val="24"/>
              </w:rPr>
              <w:t>Tindak lanjut atas kaji ulang kurang memadai.</w:t>
            </w:r>
          </w:p>
        </w:tc>
      </w:tr>
      <w:tr w:rsidR="00944C30" w:rsidRPr="00306115" w14:paraId="159B1EA8" w14:textId="77777777" w:rsidTr="00944C30">
        <w:tc>
          <w:tcPr>
            <w:tcW w:w="1918" w:type="dxa"/>
          </w:tcPr>
          <w:p w14:paraId="23D4C1CA" w14:textId="77777777" w:rsidR="00944C30" w:rsidRPr="00306115" w:rsidRDefault="00944C30" w:rsidP="00441912">
            <w:pPr>
              <w:pStyle w:val="BodyText"/>
              <w:numPr>
                <w:ilvl w:val="0"/>
                <w:numId w:val="0"/>
              </w:numPr>
              <w:jc w:val="center"/>
              <w:rPr>
                <w:color w:val="000000" w:themeColor="text1"/>
              </w:rPr>
            </w:pPr>
            <w:r w:rsidRPr="00306115">
              <w:rPr>
                <w:i/>
                <w:iCs/>
                <w:color w:val="000000" w:themeColor="text1"/>
              </w:rPr>
              <w:lastRenderedPageBreak/>
              <w:t>Unsatisfactory</w:t>
            </w:r>
            <w:r w:rsidRPr="00306115">
              <w:rPr>
                <w:color w:val="000000" w:themeColor="text1"/>
              </w:rPr>
              <w:t xml:space="preserve"> (5)</w:t>
            </w:r>
          </w:p>
        </w:tc>
        <w:tc>
          <w:tcPr>
            <w:tcW w:w="6304" w:type="dxa"/>
          </w:tcPr>
          <w:p w14:paraId="341B333B" w14:textId="77777777" w:rsidR="00944C30" w:rsidRPr="00306115" w:rsidRDefault="00944C30" w:rsidP="00944C30">
            <w:pPr>
              <w:ind w:left="142" w:right="142"/>
              <w:rPr>
                <w:b/>
                <w:bCs/>
                <w:color w:val="000000" w:themeColor="text1"/>
                <w:szCs w:val="24"/>
              </w:rPr>
            </w:pPr>
            <w:r w:rsidRPr="00306115">
              <w:rPr>
                <w:color w:val="000000" w:themeColor="text1"/>
                <w:szCs w:val="24"/>
              </w:rPr>
              <w:t>Kualitas penerapan Manajemen Risiko untuk Risiko Kredit tidak memadai. Terdapat kelemahan signifikan pada berbagai aspek Manajemen Risiko untuk Risiko Kredit yang tindakan penyelesaiannya di luar kemampuan manajemen.</w:t>
            </w:r>
          </w:p>
          <w:p w14:paraId="128937E7" w14:textId="6CEA7274" w:rsidR="00944C30" w:rsidRPr="00306115" w:rsidRDefault="00944C30" w:rsidP="00944C30">
            <w:pPr>
              <w:ind w:left="142" w:right="142"/>
              <w:rPr>
                <w:color w:val="000000" w:themeColor="text1"/>
                <w:szCs w:val="24"/>
              </w:rPr>
            </w:pPr>
            <w:r w:rsidRPr="00306115">
              <w:rPr>
                <w:color w:val="000000" w:themeColor="text1"/>
                <w:szCs w:val="24"/>
              </w:rPr>
              <w:t xml:space="preserve">Contoh </w:t>
            </w:r>
            <w:r w:rsidR="00764ECF" w:rsidRPr="00306115">
              <w:rPr>
                <w:color w:val="000000" w:themeColor="text1"/>
                <w:szCs w:val="24"/>
              </w:rPr>
              <w:t>karakteristik/kondisi</w:t>
            </w:r>
            <w:r w:rsidRPr="00306115">
              <w:rPr>
                <w:color w:val="000000" w:themeColor="text1"/>
                <w:szCs w:val="24"/>
              </w:rPr>
              <w:t xml:space="preserve"> Manajer Investasi yang termasuk dalam peringkat </w:t>
            </w:r>
            <w:r w:rsidRPr="00306115">
              <w:rPr>
                <w:i/>
                <w:color w:val="000000" w:themeColor="text1"/>
                <w:szCs w:val="24"/>
              </w:rPr>
              <w:t xml:space="preserve">Unsatisfactory </w:t>
            </w:r>
            <w:r w:rsidRPr="00306115">
              <w:rPr>
                <w:color w:val="000000" w:themeColor="text1"/>
                <w:szCs w:val="24"/>
              </w:rPr>
              <w:t>(5) ini antara lain sebagai berikut:</w:t>
            </w:r>
          </w:p>
          <w:p w14:paraId="353247C0" w14:textId="77777777" w:rsidR="00944C30" w:rsidRPr="00306115" w:rsidRDefault="00944C30">
            <w:pPr>
              <w:pStyle w:val="ListParagraph"/>
              <w:numPr>
                <w:ilvl w:val="0"/>
                <w:numId w:val="351"/>
              </w:numPr>
              <w:ind w:left="709" w:right="142" w:hanging="567"/>
              <w:contextualSpacing w:val="0"/>
              <w:rPr>
                <w:color w:val="000000" w:themeColor="text1"/>
                <w:szCs w:val="24"/>
              </w:rPr>
            </w:pPr>
            <w:r w:rsidRPr="00306115">
              <w:rPr>
                <w:color w:val="000000" w:themeColor="text1"/>
                <w:szCs w:val="24"/>
              </w:rPr>
              <w:t>Perumusan tingkat risiko yang akan diambil (</w:t>
            </w:r>
            <w:r w:rsidRPr="00306115">
              <w:rPr>
                <w:i/>
                <w:color w:val="000000" w:themeColor="text1"/>
                <w:szCs w:val="24"/>
              </w:rPr>
              <w:t>risk appetite</w:t>
            </w:r>
            <w:r w:rsidRPr="00306115">
              <w:rPr>
                <w:color w:val="000000" w:themeColor="text1"/>
                <w:szCs w:val="24"/>
              </w:rPr>
              <w:t>) dan toleransi (</w:t>
            </w:r>
            <w:r w:rsidRPr="00306115">
              <w:rPr>
                <w:i/>
                <w:color w:val="000000" w:themeColor="text1"/>
                <w:szCs w:val="24"/>
              </w:rPr>
              <w:t>risk tolerance</w:t>
            </w:r>
            <w:r w:rsidRPr="00306115">
              <w:rPr>
                <w:color w:val="000000" w:themeColor="text1"/>
                <w:szCs w:val="24"/>
              </w:rPr>
              <w:t>) Risiko Kredit tidak memadai serta tidak terdapat kaitan dengan strategi dan tujuan bisnis secara keseluruhan.</w:t>
            </w:r>
          </w:p>
          <w:p w14:paraId="64F75861" w14:textId="77777777" w:rsidR="00944C30" w:rsidRPr="00306115" w:rsidRDefault="00944C30">
            <w:pPr>
              <w:pStyle w:val="ListParagraph"/>
              <w:numPr>
                <w:ilvl w:val="0"/>
                <w:numId w:val="351"/>
              </w:numPr>
              <w:ind w:left="709" w:right="142" w:hanging="567"/>
              <w:contextualSpacing w:val="0"/>
              <w:rPr>
                <w:color w:val="000000" w:themeColor="text1"/>
                <w:szCs w:val="24"/>
              </w:rPr>
            </w:pPr>
            <w:r w:rsidRPr="00306115">
              <w:rPr>
                <w:color w:val="000000" w:themeColor="text1"/>
                <w:szCs w:val="24"/>
              </w:rPr>
              <w:t>Kesadaran (awareness) dan pemahaman Direksi dan Dewan Komisaris sangat rendah atau sangat tidak memadai mengenai pelaksanaan Manajemen Risiko, terutama terkait jenis dan tingkat risiko untuk Risiko Kredit.</w:t>
            </w:r>
          </w:p>
          <w:p w14:paraId="000673F5" w14:textId="77777777" w:rsidR="00944C30" w:rsidRPr="00306115" w:rsidRDefault="00944C30">
            <w:pPr>
              <w:pStyle w:val="ListParagraph"/>
              <w:numPr>
                <w:ilvl w:val="0"/>
                <w:numId w:val="351"/>
              </w:numPr>
              <w:ind w:left="709" w:right="142" w:hanging="567"/>
              <w:contextualSpacing w:val="0"/>
              <w:rPr>
                <w:color w:val="000000" w:themeColor="text1"/>
                <w:szCs w:val="24"/>
              </w:rPr>
            </w:pPr>
            <w:r w:rsidRPr="00306115">
              <w:rPr>
                <w:color w:val="000000" w:themeColor="text1"/>
                <w:szCs w:val="24"/>
              </w:rPr>
              <w:t>Budaya Manajemen Risiko untuk Risiko Kredit tidak kuat atau belum ada sama sekali.</w:t>
            </w:r>
          </w:p>
          <w:p w14:paraId="129B3501" w14:textId="77777777" w:rsidR="00944C30" w:rsidRPr="00306115" w:rsidRDefault="00944C30">
            <w:pPr>
              <w:pStyle w:val="ListParagraph"/>
              <w:numPr>
                <w:ilvl w:val="0"/>
                <w:numId w:val="351"/>
              </w:numPr>
              <w:ind w:left="709" w:right="142" w:hanging="567"/>
              <w:contextualSpacing w:val="0"/>
              <w:rPr>
                <w:color w:val="000000" w:themeColor="text1"/>
                <w:szCs w:val="24"/>
              </w:rPr>
            </w:pPr>
            <w:r w:rsidRPr="00306115">
              <w:rPr>
                <w:color w:val="000000" w:themeColor="text1"/>
                <w:szCs w:val="24"/>
              </w:rPr>
              <w:t>Pelaksanaan tugas Direksi dan Dewan Komisaris secara keseluruhan tidak memadai. Terdapat beberapa kelemahan yang signifikan pada hampir seluruh aspek penilaian yang tindakan penyelesaiannya di luar kemampuan manajemen.</w:t>
            </w:r>
          </w:p>
          <w:p w14:paraId="674D2747" w14:textId="77777777" w:rsidR="00944C30" w:rsidRPr="00306115" w:rsidRDefault="00944C30">
            <w:pPr>
              <w:pStyle w:val="ListParagraph"/>
              <w:numPr>
                <w:ilvl w:val="0"/>
                <w:numId w:val="351"/>
              </w:numPr>
              <w:ind w:left="709" w:right="142" w:hanging="567"/>
              <w:contextualSpacing w:val="0"/>
              <w:rPr>
                <w:color w:val="000000" w:themeColor="text1"/>
                <w:szCs w:val="24"/>
              </w:rPr>
            </w:pPr>
            <w:r w:rsidRPr="00306115">
              <w:rPr>
                <w:color w:val="000000" w:themeColor="text1"/>
                <w:szCs w:val="24"/>
              </w:rPr>
              <w:t>Fungsi Manajemen Risiko untuk Risiko Kredit tidak independen, serta terdapat kelemahan signifikan yang memerlukan perbaikan fundamental.</w:t>
            </w:r>
          </w:p>
          <w:p w14:paraId="15E8B3F8" w14:textId="77777777" w:rsidR="00944C30" w:rsidRPr="00306115" w:rsidRDefault="00944C30">
            <w:pPr>
              <w:pStyle w:val="ListParagraph"/>
              <w:numPr>
                <w:ilvl w:val="0"/>
                <w:numId w:val="351"/>
              </w:numPr>
              <w:ind w:left="709" w:right="142" w:hanging="567"/>
              <w:contextualSpacing w:val="0"/>
              <w:rPr>
                <w:color w:val="000000" w:themeColor="text1"/>
                <w:szCs w:val="24"/>
              </w:rPr>
            </w:pPr>
            <w:r w:rsidRPr="00306115">
              <w:rPr>
                <w:color w:val="000000" w:themeColor="text1"/>
                <w:szCs w:val="24"/>
              </w:rPr>
              <w:lastRenderedPageBreak/>
              <w:t>Kerangka pedelegasian wewenang tidak memadai.</w:t>
            </w:r>
          </w:p>
          <w:p w14:paraId="1B4CE4F2" w14:textId="77777777" w:rsidR="00944C30" w:rsidRPr="00306115" w:rsidRDefault="00944C30">
            <w:pPr>
              <w:pStyle w:val="ListParagraph"/>
              <w:numPr>
                <w:ilvl w:val="0"/>
                <w:numId w:val="351"/>
              </w:numPr>
              <w:ind w:left="709" w:right="142" w:hanging="567"/>
              <w:contextualSpacing w:val="0"/>
              <w:rPr>
                <w:color w:val="000000" w:themeColor="text1"/>
                <w:szCs w:val="24"/>
              </w:rPr>
            </w:pPr>
            <w:r w:rsidRPr="00306115">
              <w:rPr>
                <w:color w:val="000000" w:themeColor="text1"/>
                <w:szCs w:val="24"/>
              </w:rPr>
              <w:t>Kebijakan dan prosedur Manajemen Risiko serta penetapan limit Risiko Kredit tidak memadai, tidak diterapkan, dan tidak dipahami oleh pegawai, sehingga memerlukan perbaikan fundamental.</w:t>
            </w:r>
          </w:p>
          <w:p w14:paraId="6FF7E610" w14:textId="77777777" w:rsidR="00944C30" w:rsidRPr="00306115" w:rsidRDefault="00944C30">
            <w:pPr>
              <w:pStyle w:val="ListParagraph"/>
              <w:numPr>
                <w:ilvl w:val="0"/>
                <w:numId w:val="351"/>
              </w:numPr>
              <w:ind w:left="709" w:right="142" w:hanging="567"/>
              <w:contextualSpacing w:val="0"/>
              <w:rPr>
                <w:color w:val="000000" w:themeColor="text1"/>
                <w:szCs w:val="24"/>
              </w:rPr>
            </w:pPr>
            <w:r w:rsidRPr="00306115">
              <w:rPr>
                <w:color w:val="000000" w:themeColor="text1"/>
                <w:szCs w:val="24"/>
              </w:rPr>
              <w:t>Strategi Manajemen Risiko untuk Risiko Kredit tidak memadai dan tidak sejalan dengan tingkat risiko yang akan diambil dan toleransi Risiko Kredit.</w:t>
            </w:r>
          </w:p>
          <w:p w14:paraId="1441DEF7" w14:textId="77777777" w:rsidR="00944C30" w:rsidRPr="00306115" w:rsidRDefault="00944C30">
            <w:pPr>
              <w:pStyle w:val="ListParagraph"/>
              <w:numPr>
                <w:ilvl w:val="0"/>
                <w:numId w:val="351"/>
              </w:numPr>
              <w:ind w:left="709" w:right="142" w:hanging="567"/>
              <w:contextualSpacing w:val="0"/>
              <w:rPr>
                <w:color w:val="000000" w:themeColor="text1"/>
                <w:szCs w:val="24"/>
              </w:rPr>
            </w:pPr>
            <w:r w:rsidRPr="00306115">
              <w:rPr>
                <w:color w:val="000000" w:themeColor="text1"/>
                <w:szCs w:val="24"/>
              </w:rPr>
              <w:t>Proses Manajemen Risiko untuk Risiko Kredit tidak memadai dalam mengidentifikasi, mengukur, memantau, dan mengendalikan Risiko Kredit.</w:t>
            </w:r>
          </w:p>
          <w:p w14:paraId="3E13539E" w14:textId="77777777" w:rsidR="00944C30" w:rsidRPr="00306115" w:rsidRDefault="00944C30">
            <w:pPr>
              <w:pStyle w:val="ListParagraph"/>
              <w:numPr>
                <w:ilvl w:val="0"/>
                <w:numId w:val="351"/>
              </w:numPr>
              <w:ind w:left="709" w:right="142" w:hanging="567"/>
              <w:contextualSpacing w:val="0"/>
              <w:rPr>
                <w:color w:val="000000" w:themeColor="text1"/>
                <w:szCs w:val="24"/>
              </w:rPr>
            </w:pPr>
            <w:r w:rsidRPr="00306115">
              <w:rPr>
                <w:color w:val="000000" w:themeColor="text1"/>
                <w:szCs w:val="24"/>
              </w:rPr>
              <w:t>Tidak</w:t>
            </w:r>
            <w:r w:rsidRPr="00306115">
              <w:rPr>
                <w:bCs/>
                <w:color w:val="000000" w:themeColor="text1"/>
                <w:szCs w:val="24"/>
              </w:rPr>
              <w:t xml:space="preserve"> terdapat pelaksanaan kaji ulang terhadap kondisi, kredibilitas, dan kemampuan membayar kembali </w:t>
            </w:r>
            <w:r w:rsidRPr="00306115">
              <w:rPr>
                <w:color w:val="000000" w:themeColor="text1"/>
                <w:szCs w:val="24"/>
              </w:rPr>
              <w:t>counterparty dalam rangka penyesuaian kembali strategi investasi.</w:t>
            </w:r>
          </w:p>
          <w:p w14:paraId="067B9C7C" w14:textId="77777777" w:rsidR="00944C30" w:rsidRPr="00306115" w:rsidRDefault="00944C30">
            <w:pPr>
              <w:pStyle w:val="ListParagraph"/>
              <w:numPr>
                <w:ilvl w:val="0"/>
                <w:numId w:val="351"/>
              </w:numPr>
              <w:ind w:left="709" w:right="142" w:hanging="567"/>
              <w:contextualSpacing w:val="0"/>
              <w:rPr>
                <w:color w:val="000000" w:themeColor="text1"/>
                <w:szCs w:val="24"/>
              </w:rPr>
            </w:pPr>
            <w:r w:rsidRPr="00306115">
              <w:rPr>
                <w:color w:val="000000" w:themeColor="text1"/>
                <w:szCs w:val="24"/>
              </w:rPr>
              <w:t>Sistem Informasi Manajemen Risiko untuk Risiko Kredit tidak dapat menghasilkan informasi dan laporan Risiko Kredit yang komprehensif.</w:t>
            </w:r>
          </w:p>
          <w:p w14:paraId="4F2EEA7B" w14:textId="5DDD627C" w:rsidR="00944C30" w:rsidRPr="00306115" w:rsidRDefault="00944C30">
            <w:pPr>
              <w:pStyle w:val="ListParagraph"/>
              <w:numPr>
                <w:ilvl w:val="0"/>
                <w:numId w:val="351"/>
              </w:numPr>
              <w:ind w:left="709" w:right="142" w:hanging="567"/>
              <w:contextualSpacing w:val="0"/>
              <w:rPr>
                <w:color w:val="000000" w:themeColor="text1"/>
                <w:szCs w:val="24"/>
              </w:rPr>
            </w:pPr>
            <w:r w:rsidRPr="00306115">
              <w:rPr>
                <w:color w:val="000000" w:themeColor="text1"/>
                <w:szCs w:val="24"/>
              </w:rPr>
              <w:t xml:space="preserve">Sumber daya manusia tidak memadai baik dari sisi jumlah maupun kompetensi pada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untuk Risiko Kredit.</w:t>
            </w:r>
          </w:p>
          <w:p w14:paraId="55E65BAE" w14:textId="77777777" w:rsidR="00944C30" w:rsidRPr="00306115" w:rsidRDefault="00944C30">
            <w:pPr>
              <w:pStyle w:val="ListParagraph"/>
              <w:numPr>
                <w:ilvl w:val="0"/>
                <w:numId w:val="351"/>
              </w:numPr>
              <w:ind w:left="709" w:right="142" w:hanging="567"/>
              <w:contextualSpacing w:val="0"/>
              <w:rPr>
                <w:color w:val="000000" w:themeColor="text1"/>
                <w:szCs w:val="24"/>
              </w:rPr>
            </w:pPr>
            <w:r w:rsidRPr="00306115">
              <w:rPr>
                <w:color w:val="000000" w:themeColor="text1"/>
                <w:szCs w:val="24"/>
              </w:rPr>
              <w:t>Sistem pengendalian internal tidak efektif dalam mendukung pelaksanaan Manajemen Risiko untuk Risiko Kredit.</w:t>
            </w:r>
          </w:p>
          <w:p w14:paraId="01580ABD" w14:textId="5EC4AF7A" w:rsidR="00944C30" w:rsidRPr="00306115" w:rsidRDefault="00944C30">
            <w:pPr>
              <w:pStyle w:val="ListParagraph"/>
              <w:numPr>
                <w:ilvl w:val="0"/>
                <w:numId w:val="351"/>
              </w:numPr>
              <w:ind w:left="709" w:right="142" w:hanging="567"/>
              <w:contextualSpacing w:val="0"/>
              <w:rPr>
                <w:color w:val="000000" w:themeColor="text1"/>
                <w:szCs w:val="24"/>
              </w:rPr>
            </w:pPr>
            <w:r w:rsidRPr="00306115">
              <w:rPr>
                <w:color w:val="000000" w:themeColor="text1"/>
                <w:szCs w:val="24"/>
              </w:rPr>
              <w:t xml:space="preserve">Pelaksanaan kaji ulang oleh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dan fungsi audit internal tidak memadai. Terdapat kelemahan yang signifikan pada metodologi, frekuensi, maupun pelaporan kepada Direksi dan Dewan Komisaris yang memerlukan perbaikan fundamental.</w:t>
            </w:r>
          </w:p>
          <w:p w14:paraId="29A0B70C" w14:textId="77777777" w:rsidR="00944C30" w:rsidRPr="00306115" w:rsidRDefault="00944C30">
            <w:pPr>
              <w:pStyle w:val="ListParagraph"/>
              <w:numPr>
                <w:ilvl w:val="0"/>
                <w:numId w:val="351"/>
              </w:numPr>
              <w:ind w:left="709" w:right="142" w:hanging="567"/>
              <w:contextualSpacing w:val="0"/>
              <w:rPr>
                <w:color w:val="000000" w:themeColor="text1"/>
                <w:szCs w:val="24"/>
              </w:rPr>
            </w:pPr>
            <w:r w:rsidRPr="00306115">
              <w:rPr>
                <w:color w:val="000000" w:themeColor="text1"/>
                <w:szCs w:val="24"/>
              </w:rPr>
              <w:t>Tindak lanjut atas kaji ulang tidak memadai atau tidak ada.</w:t>
            </w:r>
          </w:p>
        </w:tc>
      </w:tr>
    </w:tbl>
    <w:p w14:paraId="6458F6CC" w14:textId="77777777" w:rsidR="00944C30" w:rsidRPr="00306115" w:rsidRDefault="00944C30" w:rsidP="00944C30">
      <w:pPr>
        <w:pStyle w:val="HeadingAwalDaftarIsiLampiran"/>
        <w:numPr>
          <w:ilvl w:val="0"/>
          <w:numId w:val="0"/>
        </w:numPr>
        <w:ind w:left="1134"/>
      </w:pPr>
    </w:p>
    <w:p w14:paraId="0A8B7199" w14:textId="1F8C088B" w:rsidR="001F762D" w:rsidRPr="00306115" w:rsidRDefault="001F762D">
      <w:pPr>
        <w:pStyle w:val="HeadingAwalDaftarIsiLampiran"/>
        <w:numPr>
          <w:ilvl w:val="3"/>
          <w:numId w:val="295"/>
        </w:numPr>
        <w:ind w:left="567" w:hanging="567"/>
      </w:pPr>
      <w:r w:rsidRPr="00306115">
        <w:t>Risiko Konsentrasi Portofolio Efek</w:t>
      </w:r>
    </w:p>
    <w:p w14:paraId="31A38D47" w14:textId="77777777" w:rsidR="00451E35" w:rsidRPr="00306115" w:rsidRDefault="00451E35">
      <w:pPr>
        <w:pStyle w:val="HeadingAwalDaftarIsiLampiran"/>
        <w:numPr>
          <w:ilvl w:val="4"/>
          <w:numId w:val="295"/>
        </w:numPr>
        <w:ind w:left="1134" w:hanging="567"/>
      </w:pPr>
      <w:r w:rsidRPr="00306115">
        <w:t>Matriks Penetapan Tingkat Risiko Inheren</w:t>
      </w:r>
    </w:p>
    <w:tbl>
      <w:tblPr>
        <w:tblW w:w="8222"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6379"/>
      </w:tblGrid>
      <w:tr w:rsidR="00DF5783" w:rsidRPr="00306115" w14:paraId="0ABC15D0" w14:textId="77777777" w:rsidTr="005659D9">
        <w:trPr>
          <w:trHeight w:val="606"/>
          <w:tblHeader/>
        </w:trPr>
        <w:tc>
          <w:tcPr>
            <w:tcW w:w="1843" w:type="dxa"/>
            <w:shd w:val="clear" w:color="auto" w:fill="D9D9D9"/>
          </w:tcPr>
          <w:p w14:paraId="070012EA" w14:textId="77777777" w:rsidR="00DF5783" w:rsidRPr="00306115" w:rsidRDefault="00DF5783" w:rsidP="00F33865">
            <w:pPr>
              <w:pStyle w:val="TableParagraph"/>
              <w:spacing w:before="60" w:after="60"/>
              <w:ind w:left="142" w:right="142"/>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Peringkat</w:t>
            </w:r>
          </w:p>
        </w:tc>
        <w:tc>
          <w:tcPr>
            <w:tcW w:w="6379" w:type="dxa"/>
            <w:shd w:val="clear" w:color="auto" w:fill="D9D9D9"/>
          </w:tcPr>
          <w:p w14:paraId="28E23FF3" w14:textId="77777777" w:rsidR="00DF5783" w:rsidRPr="00306115" w:rsidRDefault="00DF5783" w:rsidP="00B1229E">
            <w:pPr>
              <w:pStyle w:val="TableParagraph"/>
              <w:spacing w:before="60" w:after="60"/>
              <w:ind w:left="142" w:right="142"/>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Definisi Peringkat</w:t>
            </w:r>
          </w:p>
        </w:tc>
      </w:tr>
      <w:tr w:rsidR="00DF5783" w:rsidRPr="00306115" w14:paraId="7DDA9A91" w14:textId="77777777" w:rsidTr="009B4542">
        <w:trPr>
          <w:trHeight w:val="1148"/>
        </w:trPr>
        <w:tc>
          <w:tcPr>
            <w:tcW w:w="1843" w:type="dxa"/>
          </w:tcPr>
          <w:p w14:paraId="6C9D7971" w14:textId="77777777" w:rsidR="00DF5783" w:rsidRPr="00306115" w:rsidRDefault="00DF5783" w:rsidP="00F33865">
            <w:pPr>
              <w:pStyle w:val="TableParagraph"/>
              <w:ind w:left="142" w:right="142"/>
              <w:jc w:val="center"/>
              <w:rPr>
                <w:rFonts w:ascii="Bookman Old Style" w:hAnsi="Bookman Old Style"/>
                <w:color w:val="000000" w:themeColor="text1"/>
                <w:sz w:val="24"/>
                <w:szCs w:val="24"/>
              </w:rPr>
            </w:pPr>
            <w:r w:rsidRPr="00306115">
              <w:rPr>
                <w:rFonts w:ascii="Bookman Old Style" w:hAnsi="Bookman Old Style"/>
                <w:i/>
                <w:color w:val="000000" w:themeColor="text1"/>
                <w:sz w:val="24"/>
                <w:szCs w:val="24"/>
              </w:rPr>
              <w:t xml:space="preserve">Low </w:t>
            </w:r>
            <w:r w:rsidRPr="00306115">
              <w:rPr>
                <w:rFonts w:ascii="Bookman Old Style" w:hAnsi="Bookman Old Style"/>
                <w:color w:val="000000" w:themeColor="text1"/>
                <w:sz w:val="24"/>
                <w:szCs w:val="24"/>
              </w:rPr>
              <w:t>(1)</w:t>
            </w:r>
          </w:p>
        </w:tc>
        <w:tc>
          <w:tcPr>
            <w:tcW w:w="6379" w:type="dxa"/>
          </w:tcPr>
          <w:p w14:paraId="7048DCAF" w14:textId="77777777" w:rsidR="00DF5783" w:rsidRPr="00306115" w:rsidRDefault="00DF5783" w:rsidP="00B1229E">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Dengan mempertimbangkan karakteristik Produk Investasi, kemungkinan timbulnya dampak paparan dari Risiko Konsentrasi Portofolio Efek tergolong sangat rendah selama periode waktu tertentu pada masa datang. </w:t>
            </w:r>
          </w:p>
          <w:p w14:paraId="3647107F" w14:textId="77777777" w:rsidR="00DF5783" w:rsidRPr="00306115" w:rsidRDefault="00DF5783" w:rsidP="00B1229E">
            <w:pPr>
              <w:pStyle w:val="ListParagraph"/>
              <w:spacing w:after="0" w:line="240" w:lineRule="auto"/>
              <w:ind w:left="142" w:right="142"/>
              <w:contextualSpacing w:val="0"/>
              <w:rPr>
                <w:strike/>
                <w:color w:val="000000" w:themeColor="text1"/>
                <w:szCs w:val="24"/>
              </w:rPr>
            </w:pPr>
            <w:r w:rsidRPr="00306115">
              <w:rPr>
                <w:color w:val="000000" w:themeColor="text1"/>
                <w:szCs w:val="24"/>
              </w:rPr>
              <w:t xml:space="preserve">Contoh kondisi yang menunjukkan Risiko Konsentrasi Portofolio Efek termasuk dalam peringkat </w:t>
            </w:r>
            <w:r w:rsidRPr="00306115">
              <w:rPr>
                <w:i/>
                <w:iCs/>
                <w:color w:val="000000" w:themeColor="text1"/>
                <w:szCs w:val="24"/>
              </w:rPr>
              <w:t xml:space="preserve">Low </w:t>
            </w:r>
            <w:r w:rsidRPr="00306115">
              <w:rPr>
                <w:color w:val="000000" w:themeColor="text1"/>
                <w:szCs w:val="24"/>
              </w:rPr>
              <w:t>(1) antara lain sebagai berikut:</w:t>
            </w:r>
          </w:p>
          <w:p w14:paraId="5D9407DC" w14:textId="419F10B1" w:rsidR="00F40217" w:rsidRPr="00306115" w:rsidRDefault="00F40217">
            <w:pPr>
              <w:pStyle w:val="ListParagraph"/>
              <w:numPr>
                <w:ilvl w:val="0"/>
                <w:numId w:val="352"/>
              </w:numPr>
              <w:spacing w:after="0" w:line="240" w:lineRule="auto"/>
              <w:ind w:left="709" w:right="142" w:hanging="567"/>
              <w:contextualSpacing w:val="0"/>
              <w:rPr>
                <w:strike/>
                <w:color w:val="000000" w:themeColor="text1"/>
                <w:szCs w:val="24"/>
              </w:rPr>
            </w:pPr>
            <w:r w:rsidRPr="00306115">
              <w:rPr>
                <w:color w:val="000000" w:themeColor="text1"/>
                <w:szCs w:val="24"/>
              </w:rPr>
              <w:lastRenderedPageBreak/>
              <w:t>Kualitas 5 (lima) Efek Bersifat Ekuitas (Saham) terbesar: seluruh atau hampir seluruh saham memiliki kualitas yang sangat baik, antara lain tercermin dari keikutsertaan dalam indeks unggulan BEI dan/atau indeks global atau ESG, tidak terdapat saham dalam daftar HSC maupun dalam status pengawasan khusus BEI, serta laporan keuangan emiten seluruhnya memperoleh opini Wajar Tanpa Pengecualian (WTP).</w:t>
            </w:r>
          </w:p>
          <w:p w14:paraId="12FE7DBB" w14:textId="78684CC6" w:rsidR="00F40217" w:rsidRPr="00306115" w:rsidRDefault="00F40217">
            <w:pPr>
              <w:pStyle w:val="ListParagraph"/>
              <w:numPr>
                <w:ilvl w:val="0"/>
                <w:numId w:val="352"/>
              </w:numPr>
              <w:spacing w:after="0" w:line="240" w:lineRule="auto"/>
              <w:ind w:left="709" w:right="142" w:hanging="567"/>
              <w:contextualSpacing w:val="0"/>
              <w:rPr>
                <w:color w:val="000000" w:themeColor="text1"/>
                <w:szCs w:val="24"/>
              </w:rPr>
            </w:pPr>
            <w:r w:rsidRPr="00306115">
              <w:rPr>
                <w:color w:val="000000" w:themeColor="text1"/>
                <w:szCs w:val="24"/>
              </w:rPr>
              <w:t xml:space="preserve">Kualitas 5 (lima) EBUS Korporasi terbesar: seluruh atau hampir seluruh EBUS korporasi memiliki rating AAA sampai dengan AA atau setara, </w:t>
            </w:r>
            <w:r w:rsidR="00543A86" w:rsidRPr="00306115">
              <w:rPr>
                <w:i/>
                <w:iCs/>
                <w:color w:val="000000" w:themeColor="text1"/>
                <w:szCs w:val="24"/>
              </w:rPr>
              <w:t>outlook</w:t>
            </w:r>
            <w:r w:rsidRPr="00306115">
              <w:rPr>
                <w:color w:val="000000" w:themeColor="text1"/>
                <w:szCs w:val="24"/>
              </w:rPr>
              <w:t xml:space="preserve"> minimal stabil, tidak memiliki riwayat keterlambatan pembayaran kupon, serta laporan keuangan emiten memperoleh opini WTP.</w:t>
            </w:r>
          </w:p>
          <w:p w14:paraId="482A3D9C" w14:textId="77777777" w:rsidR="00F40217" w:rsidRPr="00306115" w:rsidRDefault="00F40217">
            <w:pPr>
              <w:pStyle w:val="ListParagraph"/>
              <w:numPr>
                <w:ilvl w:val="0"/>
                <w:numId w:val="352"/>
              </w:numPr>
              <w:spacing w:after="0" w:line="240" w:lineRule="auto"/>
              <w:ind w:left="709" w:right="142" w:hanging="567"/>
              <w:contextualSpacing w:val="0"/>
              <w:rPr>
                <w:color w:val="000000" w:themeColor="text1"/>
                <w:szCs w:val="24"/>
              </w:rPr>
            </w:pPr>
            <w:r w:rsidRPr="00306115">
              <w:rPr>
                <w:color w:val="000000" w:themeColor="text1"/>
                <w:szCs w:val="24"/>
              </w:rPr>
              <w:t>Konsentrasi kelompok usaha dan sektor: tidak terdapat konsentrasi yang material pada kelompok usaha atau sektor industri tertentu yang dapat meningkatkan keterpaparan Produk Investasi terhadap risiko spesifik.</w:t>
            </w:r>
          </w:p>
          <w:p w14:paraId="37B6E0CB" w14:textId="601230AD" w:rsidR="00F40217" w:rsidRPr="00306115" w:rsidRDefault="00F40217">
            <w:pPr>
              <w:pStyle w:val="ListParagraph"/>
              <w:numPr>
                <w:ilvl w:val="0"/>
                <w:numId w:val="352"/>
              </w:numPr>
              <w:spacing w:after="0" w:line="240" w:lineRule="auto"/>
              <w:ind w:left="709" w:right="142" w:hanging="567"/>
              <w:contextualSpacing w:val="0"/>
              <w:rPr>
                <w:strike/>
                <w:color w:val="000000" w:themeColor="text1"/>
                <w:szCs w:val="24"/>
              </w:rPr>
            </w:pPr>
            <w:r w:rsidRPr="00306115">
              <w:rPr>
                <w:color w:val="000000" w:themeColor="text1"/>
                <w:szCs w:val="24"/>
              </w:rPr>
              <w:t>Faktor lain yang relevan: tidak terdapat isu negatif, kasus hukum, sanksi regulator, atau kondisi lain yang secara material dapat mempengaruhi nilai, likuiditas, atau kualitas aset yang menjadi konsentrasi portofolio.</w:t>
            </w:r>
          </w:p>
        </w:tc>
      </w:tr>
      <w:tr w:rsidR="00DF5783" w:rsidRPr="00306115" w14:paraId="255F03EC" w14:textId="77777777" w:rsidTr="005659D9">
        <w:trPr>
          <w:trHeight w:val="1974"/>
        </w:trPr>
        <w:tc>
          <w:tcPr>
            <w:tcW w:w="1843" w:type="dxa"/>
          </w:tcPr>
          <w:p w14:paraId="4668B02D" w14:textId="77777777" w:rsidR="00DF5783" w:rsidRPr="00306115" w:rsidRDefault="00DF5783" w:rsidP="00F33865">
            <w:pPr>
              <w:pStyle w:val="TableParagraph"/>
              <w:ind w:left="142" w:right="142"/>
              <w:jc w:val="center"/>
              <w:rPr>
                <w:rFonts w:ascii="Bookman Old Style" w:hAnsi="Bookman Old Style"/>
                <w:color w:val="000000" w:themeColor="text1"/>
                <w:sz w:val="24"/>
                <w:szCs w:val="24"/>
              </w:rPr>
            </w:pPr>
            <w:r w:rsidRPr="00306115">
              <w:rPr>
                <w:rFonts w:ascii="Bookman Old Style" w:hAnsi="Bookman Old Style"/>
                <w:i/>
                <w:color w:val="000000" w:themeColor="text1"/>
                <w:sz w:val="24"/>
                <w:szCs w:val="24"/>
              </w:rPr>
              <w:lastRenderedPageBreak/>
              <w:t xml:space="preserve">Low to Moderate </w:t>
            </w:r>
            <w:r w:rsidRPr="00306115">
              <w:rPr>
                <w:rFonts w:ascii="Bookman Old Style" w:hAnsi="Bookman Old Style"/>
                <w:color w:val="000000" w:themeColor="text1"/>
                <w:sz w:val="24"/>
                <w:szCs w:val="24"/>
              </w:rPr>
              <w:t>(2)</w:t>
            </w:r>
          </w:p>
        </w:tc>
        <w:tc>
          <w:tcPr>
            <w:tcW w:w="6379" w:type="dxa"/>
          </w:tcPr>
          <w:p w14:paraId="393B7FCC" w14:textId="77777777" w:rsidR="00DF5783" w:rsidRPr="00306115" w:rsidRDefault="00DF5783" w:rsidP="00B1229E">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Dengan mempertimbangkan karakteristik Produk Investasi, kemungkinan timbulnya dampak paparan dari Risiko Konsentrasi Portofolio Efek tergolong rendah selama periode waktu tertentu pada masa datang. </w:t>
            </w:r>
          </w:p>
          <w:p w14:paraId="3AA27998" w14:textId="77777777" w:rsidR="00DF5783" w:rsidRPr="00306115" w:rsidRDefault="00DF5783" w:rsidP="00B1229E">
            <w:pPr>
              <w:pStyle w:val="ListParagraph"/>
              <w:spacing w:after="0" w:line="240" w:lineRule="auto"/>
              <w:ind w:left="142" w:right="142"/>
              <w:contextualSpacing w:val="0"/>
              <w:rPr>
                <w:strike/>
                <w:color w:val="000000" w:themeColor="text1"/>
                <w:szCs w:val="24"/>
              </w:rPr>
            </w:pPr>
            <w:r w:rsidRPr="00306115">
              <w:rPr>
                <w:color w:val="000000" w:themeColor="text1"/>
                <w:szCs w:val="24"/>
              </w:rPr>
              <w:t xml:space="preserve">Contoh kondisi yang menunjukkan Risiko Konsentrasi Portofolio Efek termasuk dalam peringkat </w:t>
            </w:r>
            <w:r w:rsidRPr="00306115">
              <w:rPr>
                <w:i/>
                <w:iCs/>
                <w:color w:val="000000" w:themeColor="text1"/>
                <w:szCs w:val="24"/>
              </w:rPr>
              <w:t xml:space="preserve">Low to Moderate </w:t>
            </w:r>
            <w:r w:rsidRPr="00306115">
              <w:rPr>
                <w:color w:val="000000" w:themeColor="text1"/>
                <w:szCs w:val="24"/>
              </w:rPr>
              <w:t>(2) antara lain sebagai berikut:</w:t>
            </w:r>
          </w:p>
          <w:p w14:paraId="26FDFBFE" w14:textId="10B41049" w:rsidR="00C71903" w:rsidRPr="00306115" w:rsidRDefault="00C71903">
            <w:pPr>
              <w:pStyle w:val="ListParagraph"/>
              <w:numPr>
                <w:ilvl w:val="0"/>
                <w:numId w:val="353"/>
              </w:numPr>
              <w:spacing w:after="0" w:line="240" w:lineRule="auto"/>
              <w:ind w:left="709" w:right="142" w:hanging="567"/>
              <w:contextualSpacing w:val="0"/>
              <w:rPr>
                <w:strike/>
                <w:color w:val="000000" w:themeColor="text1"/>
                <w:szCs w:val="24"/>
              </w:rPr>
            </w:pPr>
            <w:r w:rsidRPr="00306115">
              <w:rPr>
                <w:color w:val="000000" w:themeColor="text1"/>
                <w:szCs w:val="24"/>
              </w:rPr>
              <w:t>Kualitas 5 (lima) Efek Bersifat Ekuitas (Saham) terbesar: sebagian besar saham memiliki kualitas baik, dengan paling banyak 1 saham yang tidak masuk indeks unggulan BEI dan/atau indeks global atau ESG, tidak terdapat HSC aktif maupun notasi pengawasan khusus BEI, dan laporan keuangan seluruh emiten memperoleh opini WTP.</w:t>
            </w:r>
          </w:p>
          <w:p w14:paraId="78B8F9F0" w14:textId="0C67DA1F" w:rsidR="00C71903" w:rsidRPr="00306115" w:rsidRDefault="00C71903">
            <w:pPr>
              <w:pStyle w:val="ListParagraph"/>
              <w:numPr>
                <w:ilvl w:val="0"/>
                <w:numId w:val="353"/>
              </w:numPr>
              <w:spacing w:after="0" w:line="240" w:lineRule="auto"/>
              <w:ind w:left="709" w:right="142" w:hanging="567"/>
              <w:contextualSpacing w:val="0"/>
              <w:rPr>
                <w:color w:val="000000" w:themeColor="text1"/>
                <w:szCs w:val="24"/>
              </w:rPr>
            </w:pPr>
            <w:r w:rsidRPr="00306115">
              <w:rPr>
                <w:color w:val="000000" w:themeColor="text1"/>
                <w:szCs w:val="24"/>
              </w:rPr>
              <w:t xml:space="preserve">Kualitas 5 (lima) EBUS Korporasi terbesar: sebagian besar emiten memiliki rating minimal A- atau setara dengan </w:t>
            </w:r>
            <w:r w:rsidR="00543A86" w:rsidRPr="00306115">
              <w:rPr>
                <w:i/>
                <w:iCs/>
                <w:color w:val="000000" w:themeColor="text1"/>
                <w:szCs w:val="24"/>
              </w:rPr>
              <w:t>outlook</w:t>
            </w:r>
            <w:r w:rsidRPr="00306115">
              <w:rPr>
                <w:color w:val="000000" w:themeColor="text1"/>
                <w:szCs w:val="24"/>
              </w:rPr>
              <w:t xml:space="preserve"> stabil, tidak terdapat riwayat keterlambatan pembayaran kupon, terdapat paling banyak 1 emiten dengan rating BBB- atau setara, dan laporan keuangan seluruh emiten memperoleh opini WTP.</w:t>
            </w:r>
          </w:p>
          <w:p w14:paraId="6B597501" w14:textId="77777777" w:rsidR="00C71903" w:rsidRPr="00306115" w:rsidRDefault="00C71903">
            <w:pPr>
              <w:pStyle w:val="ListParagraph"/>
              <w:numPr>
                <w:ilvl w:val="0"/>
                <w:numId w:val="353"/>
              </w:numPr>
              <w:spacing w:after="0" w:line="240" w:lineRule="auto"/>
              <w:ind w:left="709" w:right="142" w:hanging="567"/>
              <w:contextualSpacing w:val="0"/>
              <w:rPr>
                <w:color w:val="000000" w:themeColor="text1"/>
                <w:szCs w:val="24"/>
              </w:rPr>
            </w:pPr>
            <w:r w:rsidRPr="00306115">
              <w:rPr>
                <w:color w:val="000000" w:themeColor="text1"/>
                <w:szCs w:val="24"/>
              </w:rPr>
              <w:t xml:space="preserve">Konsentrasi kelompok usaha dan sektor: terdapat konsentrasi yang masih relatif </w:t>
            </w:r>
            <w:r w:rsidRPr="00306115">
              <w:rPr>
                <w:color w:val="000000" w:themeColor="text1"/>
                <w:szCs w:val="24"/>
              </w:rPr>
              <w:lastRenderedPageBreak/>
              <w:t>terbatas pada kelompok usaha atau sektor industri tertentu, namun belum menunjukkan keterpaparan yang material terhadap risiko spesifik.</w:t>
            </w:r>
          </w:p>
          <w:p w14:paraId="055B9490" w14:textId="6B9E5C88" w:rsidR="00C71903" w:rsidRPr="00306115" w:rsidRDefault="00C71903">
            <w:pPr>
              <w:pStyle w:val="ListParagraph"/>
              <w:numPr>
                <w:ilvl w:val="0"/>
                <w:numId w:val="353"/>
              </w:numPr>
              <w:spacing w:after="0" w:line="240" w:lineRule="auto"/>
              <w:ind w:left="709" w:right="142" w:hanging="567"/>
              <w:contextualSpacing w:val="0"/>
              <w:rPr>
                <w:strike/>
                <w:color w:val="000000" w:themeColor="text1"/>
                <w:szCs w:val="24"/>
              </w:rPr>
            </w:pPr>
            <w:r w:rsidRPr="00306115">
              <w:rPr>
                <w:color w:val="000000" w:themeColor="text1"/>
                <w:szCs w:val="24"/>
              </w:rPr>
              <w:t>Faktor lain yang relevan: terdapat faktor tertentu yang perlu diperhatikan, namun belum menunjukkan potensi material terhadap nilai, likuiditas, atau kualitas aset dalam portofolio.</w:t>
            </w:r>
          </w:p>
        </w:tc>
      </w:tr>
      <w:tr w:rsidR="00DF5783" w:rsidRPr="00306115" w14:paraId="2029C796" w14:textId="77777777" w:rsidTr="005659D9">
        <w:trPr>
          <w:trHeight w:val="346"/>
        </w:trPr>
        <w:tc>
          <w:tcPr>
            <w:tcW w:w="1843" w:type="dxa"/>
          </w:tcPr>
          <w:p w14:paraId="492643A2" w14:textId="77777777" w:rsidR="00DF5783" w:rsidRPr="00306115" w:rsidRDefault="00DF5783" w:rsidP="00F33865">
            <w:pPr>
              <w:pStyle w:val="TableParagraph"/>
              <w:ind w:left="142" w:right="142"/>
              <w:jc w:val="center"/>
              <w:rPr>
                <w:rFonts w:ascii="Bookman Old Style" w:hAnsi="Bookman Old Style"/>
                <w:i/>
                <w:color w:val="000000" w:themeColor="text1"/>
                <w:sz w:val="24"/>
                <w:szCs w:val="24"/>
              </w:rPr>
            </w:pPr>
            <w:r w:rsidRPr="00306115">
              <w:rPr>
                <w:rFonts w:ascii="Bookman Old Style" w:hAnsi="Bookman Old Style"/>
                <w:i/>
                <w:color w:val="000000" w:themeColor="text1"/>
                <w:sz w:val="24"/>
                <w:szCs w:val="24"/>
              </w:rPr>
              <w:lastRenderedPageBreak/>
              <w:t>Moderate</w:t>
            </w:r>
          </w:p>
          <w:p w14:paraId="5BFD81F4" w14:textId="77777777" w:rsidR="00DF5783" w:rsidRPr="00306115" w:rsidRDefault="00DF5783" w:rsidP="00F33865">
            <w:pPr>
              <w:pStyle w:val="TableParagraph"/>
              <w:ind w:left="142" w:right="142"/>
              <w:jc w:val="center"/>
              <w:rPr>
                <w:rFonts w:ascii="Bookman Old Style" w:hAnsi="Bookman Old Style"/>
                <w:iCs/>
                <w:color w:val="000000" w:themeColor="text1"/>
                <w:sz w:val="24"/>
                <w:szCs w:val="24"/>
              </w:rPr>
            </w:pPr>
            <w:r w:rsidRPr="00306115">
              <w:rPr>
                <w:rFonts w:ascii="Bookman Old Style" w:hAnsi="Bookman Old Style"/>
                <w:iCs/>
                <w:color w:val="000000" w:themeColor="text1"/>
                <w:sz w:val="24"/>
                <w:szCs w:val="24"/>
              </w:rPr>
              <w:t>(3)</w:t>
            </w:r>
          </w:p>
        </w:tc>
        <w:tc>
          <w:tcPr>
            <w:tcW w:w="6379" w:type="dxa"/>
          </w:tcPr>
          <w:p w14:paraId="276F6142" w14:textId="77777777" w:rsidR="00DF5783" w:rsidRPr="00306115" w:rsidRDefault="00DF5783" w:rsidP="00B1229E">
            <w:pPr>
              <w:pStyle w:val="ListParagraph"/>
              <w:spacing w:after="0" w:line="240" w:lineRule="auto"/>
              <w:ind w:left="142" w:right="142"/>
              <w:contextualSpacing w:val="0"/>
              <w:rPr>
                <w:dstrike/>
                <w:color w:val="000000" w:themeColor="text1"/>
                <w:szCs w:val="24"/>
              </w:rPr>
            </w:pPr>
            <w:r w:rsidRPr="00306115">
              <w:rPr>
                <w:color w:val="000000" w:themeColor="text1"/>
                <w:szCs w:val="24"/>
              </w:rPr>
              <w:t xml:space="preserve">Dengan mempertimbangkan karakteristik Produk Investasi, kemungkinan timbulnya dampak paparan dari Risiko Konsentrasi Portofolio Efek tergolong cukup tinggi selama periode waktu tertentu pada masa datang. </w:t>
            </w:r>
          </w:p>
          <w:p w14:paraId="76F2DEDD" w14:textId="77777777" w:rsidR="00DF5783" w:rsidRPr="00306115" w:rsidRDefault="00DF5783" w:rsidP="00B1229E">
            <w:pPr>
              <w:pStyle w:val="ListParagraph"/>
              <w:spacing w:after="0" w:line="240" w:lineRule="auto"/>
              <w:ind w:left="142" w:right="142"/>
              <w:contextualSpacing w:val="0"/>
              <w:rPr>
                <w:strike/>
                <w:color w:val="000000" w:themeColor="text1"/>
                <w:szCs w:val="24"/>
              </w:rPr>
            </w:pPr>
            <w:r w:rsidRPr="00306115">
              <w:rPr>
                <w:color w:val="000000" w:themeColor="text1"/>
                <w:szCs w:val="24"/>
              </w:rPr>
              <w:t xml:space="preserve">Contoh kondisi yang menunjukkan Risiko Konsentrasi Portofolio Efek termasuk dalam peringkat </w:t>
            </w:r>
            <w:r w:rsidRPr="00306115">
              <w:rPr>
                <w:i/>
                <w:iCs/>
                <w:color w:val="000000" w:themeColor="text1"/>
                <w:szCs w:val="24"/>
              </w:rPr>
              <w:t xml:space="preserve">Moderate </w:t>
            </w:r>
            <w:r w:rsidRPr="00306115">
              <w:rPr>
                <w:color w:val="000000" w:themeColor="text1"/>
                <w:szCs w:val="24"/>
              </w:rPr>
              <w:t>(3) antara lain sebagai berikut:</w:t>
            </w:r>
          </w:p>
          <w:p w14:paraId="3BDF3412" w14:textId="49EDDE8C" w:rsidR="00674998" w:rsidRPr="00306115" w:rsidRDefault="00674998">
            <w:pPr>
              <w:pStyle w:val="ListParagraph"/>
              <w:numPr>
                <w:ilvl w:val="0"/>
                <w:numId w:val="354"/>
              </w:numPr>
              <w:spacing w:after="0" w:line="240" w:lineRule="auto"/>
              <w:ind w:left="709" w:right="142" w:hanging="567"/>
              <w:contextualSpacing w:val="0"/>
              <w:rPr>
                <w:strike/>
                <w:color w:val="000000" w:themeColor="text1"/>
                <w:szCs w:val="24"/>
              </w:rPr>
            </w:pPr>
            <w:r w:rsidRPr="00306115">
              <w:rPr>
                <w:color w:val="000000" w:themeColor="text1"/>
                <w:szCs w:val="24"/>
              </w:rPr>
              <w:t>Kualitas 5 (lima) Efek Bersifat Ekuitas (Saham) terbesar: terdapat 2 (dua) saham atau lebih yang tidak masuk indeks unggulan BEI, terdapat 1 saham yang masuk daftar HSC atau memiliki status UMA aktif, dan/atau terdapat laporan keuangan dengan opini WTP namun disertai paragraf penekanan atas suatu hal yang material.</w:t>
            </w:r>
          </w:p>
          <w:p w14:paraId="7CDD7A91" w14:textId="12083196" w:rsidR="00674998" w:rsidRPr="00306115" w:rsidRDefault="00674998">
            <w:pPr>
              <w:pStyle w:val="ListParagraph"/>
              <w:numPr>
                <w:ilvl w:val="0"/>
                <w:numId w:val="354"/>
              </w:numPr>
              <w:spacing w:after="0" w:line="240" w:lineRule="auto"/>
              <w:ind w:left="709" w:right="142" w:hanging="567"/>
              <w:contextualSpacing w:val="0"/>
              <w:rPr>
                <w:color w:val="000000" w:themeColor="text1"/>
                <w:szCs w:val="24"/>
              </w:rPr>
            </w:pPr>
            <w:r w:rsidRPr="00306115">
              <w:rPr>
                <w:color w:val="000000" w:themeColor="text1"/>
                <w:szCs w:val="24"/>
              </w:rPr>
              <w:t xml:space="preserve">Kualitas 5 (lima) EBUS Korporasi terbesar: terdapat 1 emiten dengan rating BB+ atau setara, terdapat 1 emiten dengan rating BBB- atau setara dengan </w:t>
            </w:r>
            <w:r w:rsidR="00543A86" w:rsidRPr="00306115">
              <w:rPr>
                <w:i/>
                <w:iCs/>
                <w:color w:val="000000" w:themeColor="text1"/>
                <w:szCs w:val="24"/>
              </w:rPr>
              <w:t>outlook</w:t>
            </w:r>
            <w:r w:rsidRPr="00306115">
              <w:rPr>
                <w:color w:val="000000" w:themeColor="text1"/>
                <w:szCs w:val="24"/>
              </w:rPr>
              <w:t xml:space="preserve"> negatif, terdapat 1 emiten yang memiliki riwayat keterlambatan pembayaran kupon, dan/atau terdapat 1 emiten dengan laporan keuangan beropini WTP namun disertai paragraf penekanan atas suatu hal yang material.</w:t>
            </w:r>
          </w:p>
          <w:p w14:paraId="57B3F952" w14:textId="77777777" w:rsidR="00674998" w:rsidRPr="00306115" w:rsidRDefault="00674998">
            <w:pPr>
              <w:pStyle w:val="ListParagraph"/>
              <w:numPr>
                <w:ilvl w:val="0"/>
                <w:numId w:val="354"/>
              </w:numPr>
              <w:spacing w:after="0" w:line="240" w:lineRule="auto"/>
              <w:ind w:left="709" w:right="142" w:hanging="567"/>
              <w:contextualSpacing w:val="0"/>
              <w:rPr>
                <w:color w:val="000000" w:themeColor="text1"/>
                <w:szCs w:val="24"/>
              </w:rPr>
            </w:pPr>
            <w:r w:rsidRPr="00306115">
              <w:rPr>
                <w:color w:val="000000" w:themeColor="text1"/>
                <w:szCs w:val="24"/>
              </w:rPr>
              <w:t>Konsentrasi kelompok usaha dan sektor: terdapat konsentrasi yang cukup material pada kelompok usaha atau sektor industri tertentu sehingga peningkatan risiko pada kelompok usaha atau sektor tersebut berpotensi memberikan dampak yang cukup signifikan terhadap Produk Investasi.</w:t>
            </w:r>
          </w:p>
          <w:p w14:paraId="34F46DEC" w14:textId="6DF31A32" w:rsidR="00674998" w:rsidRPr="00306115" w:rsidRDefault="00674998">
            <w:pPr>
              <w:pStyle w:val="ListParagraph"/>
              <w:numPr>
                <w:ilvl w:val="0"/>
                <w:numId w:val="354"/>
              </w:numPr>
              <w:spacing w:after="0" w:line="240" w:lineRule="auto"/>
              <w:ind w:left="709" w:right="142" w:hanging="567"/>
              <w:contextualSpacing w:val="0"/>
              <w:rPr>
                <w:strike/>
                <w:color w:val="000000" w:themeColor="text1"/>
                <w:szCs w:val="24"/>
              </w:rPr>
            </w:pPr>
            <w:r w:rsidRPr="00306115">
              <w:rPr>
                <w:color w:val="000000" w:themeColor="text1"/>
                <w:szCs w:val="24"/>
              </w:rPr>
              <w:t>Faktor lain yang relevan: terdapat isu negatif, kasus hukum, sanksi regulator, atau faktor lain yang berpotensi mempengaruhi nilai, likuiditas, atau kualitas sebagian aset yang menjadi konsentrasi portofolio.</w:t>
            </w:r>
          </w:p>
        </w:tc>
      </w:tr>
      <w:tr w:rsidR="00DF5783" w:rsidRPr="00306115" w14:paraId="10836F37" w14:textId="77777777" w:rsidTr="005659D9">
        <w:trPr>
          <w:trHeight w:val="982"/>
        </w:trPr>
        <w:tc>
          <w:tcPr>
            <w:tcW w:w="1843" w:type="dxa"/>
          </w:tcPr>
          <w:p w14:paraId="7DDA7897" w14:textId="77777777" w:rsidR="00DF5783" w:rsidRPr="00306115" w:rsidRDefault="00DF5783" w:rsidP="00F33865">
            <w:pPr>
              <w:pStyle w:val="TableParagraph"/>
              <w:ind w:left="142" w:right="142"/>
              <w:jc w:val="center"/>
              <w:rPr>
                <w:rFonts w:ascii="Bookman Old Style" w:hAnsi="Bookman Old Style"/>
                <w:i/>
                <w:color w:val="000000" w:themeColor="text1"/>
                <w:sz w:val="24"/>
                <w:szCs w:val="24"/>
              </w:rPr>
            </w:pPr>
            <w:r w:rsidRPr="00306115">
              <w:rPr>
                <w:rFonts w:ascii="Bookman Old Style" w:hAnsi="Bookman Old Style"/>
                <w:i/>
                <w:color w:val="000000" w:themeColor="text1"/>
                <w:sz w:val="24"/>
                <w:szCs w:val="24"/>
              </w:rPr>
              <w:t xml:space="preserve">Moderate to High </w:t>
            </w:r>
            <w:r w:rsidRPr="00306115">
              <w:rPr>
                <w:rFonts w:ascii="Bookman Old Style" w:hAnsi="Bookman Old Style"/>
                <w:iCs/>
                <w:color w:val="000000" w:themeColor="text1"/>
                <w:sz w:val="24"/>
                <w:szCs w:val="24"/>
              </w:rPr>
              <w:t>(4)</w:t>
            </w:r>
          </w:p>
        </w:tc>
        <w:tc>
          <w:tcPr>
            <w:tcW w:w="6379" w:type="dxa"/>
          </w:tcPr>
          <w:p w14:paraId="4151346A" w14:textId="77777777" w:rsidR="00DF5783" w:rsidRPr="00306115" w:rsidRDefault="00DF5783" w:rsidP="00B1229E">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Dengan mempertimbangkan karakteristik Produk Investasi, kemungkinan timbulnya dampak paparan dari Risiko Konsentrasi Portofolio Efek tergolong tinggi selama periode waktu tertentu pada masa datang. </w:t>
            </w:r>
          </w:p>
          <w:p w14:paraId="63548E36" w14:textId="77777777" w:rsidR="00DF5783" w:rsidRPr="00306115" w:rsidRDefault="00DF5783" w:rsidP="00B1229E">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Contoh kondisi yang menunjukkan Risiko Konsentrasi Portofolio Efek termasuk dalam </w:t>
            </w:r>
            <w:r w:rsidRPr="00306115">
              <w:rPr>
                <w:color w:val="000000" w:themeColor="text1"/>
                <w:szCs w:val="24"/>
              </w:rPr>
              <w:lastRenderedPageBreak/>
              <w:t xml:space="preserve">peringkat </w:t>
            </w:r>
            <w:r w:rsidRPr="00306115">
              <w:rPr>
                <w:i/>
                <w:iCs/>
                <w:color w:val="000000" w:themeColor="text1"/>
                <w:szCs w:val="24"/>
              </w:rPr>
              <w:t xml:space="preserve">Moderate to High </w:t>
            </w:r>
            <w:r w:rsidRPr="00306115">
              <w:rPr>
                <w:color w:val="000000" w:themeColor="text1"/>
                <w:szCs w:val="24"/>
              </w:rPr>
              <w:t>(4) antara lain sebagai berikut:</w:t>
            </w:r>
          </w:p>
          <w:p w14:paraId="4FD821B2" w14:textId="1F9CA67A" w:rsidR="00C7135C" w:rsidRPr="00306115" w:rsidRDefault="00C7135C">
            <w:pPr>
              <w:pStyle w:val="ListParagraph"/>
              <w:numPr>
                <w:ilvl w:val="0"/>
                <w:numId w:val="355"/>
              </w:numPr>
              <w:spacing w:after="0" w:line="240" w:lineRule="auto"/>
              <w:ind w:left="709" w:right="142" w:hanging="567"/>
              <w:contextualSpacing w:val="0"/>
              <w:rPr>
                <w:strike/>
                <w:color w:val="000000" w:themeColor="text1"/>
                <w:szCs w:val="24"/>
              </w:rPr>
            </w:pPr>
            <w:r w:rsidRPr="00306115">
              <w:rPr>
                <w:color w:val="000000" w:themeColor="text1"/>
                <w:szCs w:val="24"/>
              </w:rPr>
              <w:t>Kualitas 5 (lima) Efek Bersifat Ekuitas (Saham) terbesar: terdapat 2 (dua) saham atau lebih yang masuk daftar HSC, terdapat saham dalam status suspensi atau Papan Pemantauan Khusus (PPK), terdapat laporan keuangan dengan opini Wajar Dengan Pengecualian (WDP), dan/atau terdapat kombinasi beberapa kondisi pada peringkat 3 yang terjadi secara bersamaan.</w:t>
            </w:r>
          </w:p>
          <w:p w14:paraId="3191811B" w14:textId="752E57A6" w:rsidR="00C7135C" w:rsidRPr="00306115" w:rsidRDefault="00C7135C">
            <w:pPr>
              <w:pStyle w:val="ListParagraph"/>
              <w:numPr>
                <w:ilvl w:val="0"/>
                <w:numId w:val="355"/>
              </w:numPr>
              <w:spacing w:after="0" w:line="240" w:lineRule="auto"/>
              <w:ind w:left="709" w:right="142" w:hanging="567"/>
              <w:contextualSpacing w:val="0"/>
              <w:rPr>
                <w:color w:val="000000" w:themeColor="text1"/>
                <w:szCs w:val="24"/>
              </w:rPr>
            </w:pPr>
            <w:r w:rsidRPr="00306115">
              <w:rPr>
                <w:color w:val="000000" w:themeColor="text1"/>
                <w:szCs w:val="24"/>
              </w:rPr>
              <w:t xml:space="preserve">Kualitas 5 (lima) EBUS Korporasi terbesar: terdapat 1 emiten dengan rating B- atau setara, terdapat paling banyak 2 emiten dengan rating BB+ atau setara dengan </w:t>
            </w:r>
            <w:r w:rsidR="00543A86" w:rsidRPr="00306115">
              <w:rPr>
                <w:i/>
                <w:iCs/>
                <w:color w:val="000000" w:themeColor="text1"/>
                <w:szCs w:val="24"/>
              </w:rPr>
              <w:t>outlook</w:t>
            </w:r>
            <w:r w:rsidRPr="00306115">
              <w:rPr>
                <w:color w:val="000000" w:themeColor="text1"/>
                <w:szCs w:val="24"/>
              </w:rPr>
              <w:t xml:space="preserve"> negatif, terdapat 2 emiten yang memiliki riwayat keterlambatan pembayaran kupon, terdapat 1 emiten dengan laporan keuangan beropini WDP, dan/atau terdapat kombinasi beberapa kondisi pada peringkat 3 yang terjadi secara bersamaan.</w:t>
            </w:r>
          </w:p>
          <w:p w14:paraId="3612C1AD" w14:textId="77777777" w:rsidR="00C7135C" w:rsidRPr="00306115" w:rsidRDefault="00C7135C">
            <w:pPr>
              <w:pStyle w:val="ListParagraph"/>
              <w:numPr>
                <w:ilvl w:val="0"/>
                <w:numId w:val="355"/>
              </w:numPr>
              <w:spacing w:after="0" w:line="240" w:lineRule="auto"/>
              <w:ind w:left="709" w:right="142" w:hanging="567"/>
              <w:contextualSpacing w:val="0"/>
              <w:rPr>
                <w:color w:val="000000" w:themeColor="text1"/>
                <w:szCs w:val="24"/>
              </w:rPr>
            </w:pPr>
            <w:r w:rsidRPr="00306115">
              <w:rPr>
                <w:color w:val="000000" w:themeColor="text1"/>
                <w:szCs w:val="24"/>
              </w:rPr>
              <w:t>Konsentrasi kelompok usaha dan sektor: terdapat konsentrasi yang tinggi pada kelompok usaha atau sektor industri tertentu sehingga gangguan atau penurunan kondisi pada kelompok usaha atau sektor tersebut berpotensi memberikan dampak material terhadap nilai atau likuiditas Produk Investasi.</w:t>
            </w:r>
          </w:p>
          <w:p w14:paraId="1B511446" w14:textId="089CCDA9" w:rsidR="00C7135C" w:rsidRPr="00306115" w:rsidRDefault="00C7135C">
            <w:pPr>
              <w:pStyle w:val="ListParagraph"/>
              <w:numPr>
                <w:ilvl w:val="0"/>
                <w:numId w:val="355"/>
              </w:numPr>
              <w:spacing w:after="0" w:line="240" w:lineRule="auto"/>
              <w:ind w:left="709" w:right="142" w:hanging="567"/>
              <w:contextualSpacing w:val="0"/>
              <w:rPr>
                <w:strike/>
                <w:color w:val="000000" w:themeColor="text1"/>
                <w:szCs w:val="24"/>
              </w:rPr>
            </w:pPr>
            <w:r w:rsidRPr="00306115">
              <w:rPr>
                <w:color w:val="000000" w:themeColor="text1"/>
                <w:szCs w:val="24"/>
              </w:rPr>
              <w:t>Faktor lain yang relevan: terdapat beberapa isu negatif, kasus hukum, sanksi regulator, atau kondisi lain yang secara bersamaan meningkatkan potensi dampak terhadap nilai, likuiditas, atau kualitas aset yang terkonsentrasi</w:t>
            </w:r>
          </w:p>
        </w:tc>
      </w:tr>
      <w:tr w:rsidR="00DF5783" w:rsidRPr="00306115" w14:paraId="19250649" w14:textId="77777777" w:rsidTr="005659D9">
        <w:trPr>
          <w:trHeight w:val="982"/>
        </w:trPr>
        <w:tc>
          <w:tcPr>
            <w:tcW w:w="1843" w:type="dxa"/>
          </w:tcPr>
          <w:p w14:paraId="1D4E43C9" w14:textId="77777777" w:rsidR="00DF5783" w:rsidRPr="00306115" w:rsidRDefault="00DF5783" w:rsidP="00F33865">
            <w:pPr>
              <w:pStyle w:val="TableParagraph"/>
              <w:ind w:left="142" w:right="142"/>
              <w:jc w:val="center"/>
              <w:rPr>
                <w:rFonts w:ascii="Bookman Old Style" w:hAnsi="Bookman Old Style"/>
                <w:i/>
                <w:color w:val="000000" w:themeColor="text1"/>
                <w:sz w:val="24"/>
                <w:szCs w:val="24"/>
              </w:rPr>
            </w:pPr>
            <w:r w:rsidRPr="00306115">
              <w:rPr>
                <w:rFonts w:ascii="Bookman Old Style" w:hAnsi="Bookman Old Style"/>
                <w:i/>
                <w:color w:val="000000" w:themeColor="text1"/>
                <w:sz w:val="24"/>
                <w:szCs w:val="24"/>
              </w:rPr>
              <w:lastRenderedPageBreak/>
              <w:t>High</w:t>
            </w:r>
            <w:r w:rsidRPr="00306115">
              <w:rPr>
                <w:rFonts w:ascii="Bookman Old Style" w:hAnsi="Bookman Old Style"/>
                <w:iCs/>
                <w:color w:val="000000" w:themeColor="text1"/>
                <w:sz w:val="24"/>
                <w:szCs w:val="24"/>
              </w:rPr>
              <w:t xml:space="preserve"> (5)</w:t>
            </w:r>
          </w:p>
        </w:tc>
        <w:tc>
          <w:tcPr>
            <w:tcW w:w="6379" w:type="dxa"/>
          </w:tcPr>
          <w:p w14:paraId="5E8B2F57" w14:textId="77777777" w:rsidR="00DF5783" w:rsidRPr="00306115" w:rsidRDefault="00DF5783" w:rsidP="00B1229E">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Dengan mempertimbangkan karakteristik Produk Investasi, kemungkinan timbulnya dampak paparan dari Risiko Konsentrasi Portofolio Efek tergolong sangat tinggi selama periode waktu tertentu pada masa datang. </w:t>
            </w:r>
          </w:p>
          <w:p w14:paraId="1CA3F4B9" w14:textId="77777777" w:rsidR="00DF5783" w:rsidRPr="00306115" w:rsidRDefault="00DF5783" w:rsidP="00B1229E">
            <w:pPr>
              <w:pStyle w:val="ListParagraph"/>
              <w:spacing w:after="0" w:line="240" w:lineRule="auto"/>
              <w:ind w:left="142" w:right="142"/>
              <w:contextualSpacing w:val="0"/>
              <w:rPr>
                <w:strike/>
                <w:color w:val="000000" w:themeColor="text1"/>
                <w:szCs w:val="24"/>
              </w:rPr>
            </w:pPr>
            <w:r w:rsidRPr="00306115">
              <w:rPr>
                <w:color w:val="000000" w:themeColor="text1"/>
                <w:szCs w:val="24"/>
              </w:rPr>
              <w:t xml:space="preserve">Contoh kondisi yang menunjukkan Risiko Konsentrasi Portofolio Efek termasuk dalam peringkat </w:t>
            </w:r>
            <w:r w:rsidRPr="00306115">
              <w:rPr>
                <w:i/>
                <w:iCs/>
                <w:color w:val="000000" w:themeColor="text1"/>
                <w:szCs w:val="24"/>
              </w:rPr>
              <w:t xml:space="preserve">High </w:t>
            </w:r>
            <w:r w:rsidRPr="00306115">
              <w:rPr>
                <w:color w:val="000000" w:themeColor="text1"/>
                <w:szCs w:val="24"/>
              </w:rPr>
              <w:t>(5) antara lain sebagai berikut:</w:t>
            </w:r>
          </w:p>
          <w:p w14:paraId="7C9315D0" w14:textId="77777777" w:rsidR="008F2564" w:rsidRPr="00306115" w:rsidRDefault="008F2564">
            <w:pPr>
              <w:pStyle w:val="ListParagraph"/>
              <w:numPr>
                <w:ilvl w:val="0"/>
                <w:numId w:val="356"/>
              </w:numPr>
              <w:spacing w:after="0" w:line="240" w:lineRule="auto"/>
              <w:ind w:left="709" w:right="142" w:hanging="567"/>
              <w:contextualSpacing w:val="0"/>
              <w:rPr>
                <w:color w:val="000000" w:themeColor="text1"/>
                <w:szCs w:val="24"/>
              </w:rPr>
            </w:pPr>
            <w:r w:rsidRPr="00306115">
              <w:rPr>
                <w:color w:val="000000" w:themeColor="text1"/>
                <w:szCs w:val="24"/>
              </w:rPr>
              <w:t>Kualitas 5 (lima) Efek Bersifat Ekuitas (Saham) terbesar: terdapat saham dalam proses delisting, terdapat laporan keuangan dengan opini Tidak Wajar (Adverse), terdapat saham dengan notasi pailit/PKPU atau notasi going concern, dan/atau terdapat kombinasi kondisi pada peringkat 4 yang terjadi secara dominan.</w:t>
            </w:r>
          </w:p>
          <w:p w14:paraId="3FFF37AF" w14:textId="358F751E" w:rsidR="008F2564" w:rsidRPr="00306115" w:rsidRDefault="008F2564">
            <w:pPr>
              <w:pStyle w:val="ListParagraph"/>
              <w:numPr>
                <w:ilvl w:val="0"/>
                <w:numId w:val="356"/>
              </w:numPr>
              <w:spacing w:after="0" w:line="240" w:lineRule="auto"/>
              <w:ind w:left="709" w:right="142" w:hanging="567"/>
              <w:contextualSpacing w:val="0"/>
              <w:rPr>
                <w:color w:val="000000" w:themeColor="text1"/>
                <w:szCs w:val="24"/>
              </w:rPr>
            </w:pPr>
            <w:r w:rsidRPr="00306115">
              <w:rPr>
                <w:color w:val="000000" w:themeColor="text1"/>
                <w:szCs w:val="24"/>
              </w:rPr>
              <w:t xml:space="preserve">Kualitas 5 (lima) EBUS Korporasi terbesar: terdapat 1 emiten dengan rating di bawah B- atau setara, terdapat 1 emiten dengan rating B- atau setara dengan </w:t>
            </w:r>
            <w:r w:rsidR="00543A86" w:rsidRPr="00306115">
              <w:rPr>
                <w:i/>
                <w:iCs/>
                <w:color w:val="000000" w:themeColor="text1"/>
                <w:szCs w:val="24"/>
              </w:rPr>
              <w:t>outlook</w:t>
            </w:r>
            <w:r w:rsidRPr="00306115">
              <w:rPr>
                <w:color w:val="000000" w:themeColor="text1"/>
                <w:szCs w:val="24"/>
              </w:rPr>
              <w:t xml:space="preserve"> negatif, terdapat 1 emiten yang mengalami default, terdapat </w:t>
            </w:r>
            <w:r w:rsidRPr="00306115">
              <w:rPr>
                <w:color w:val="000000" w:themeColor="text1"/>
                <w:szCs w:val="24"/>
              </w:rPr>
              <w:lastRenderedPageBreak/>
              <w:t>laporan keuangan emiten dengan opini Tidak Wajar (Adverse), dan/atau terdapat kombinasi kondisi pada peringkat 4 yang terjadi secara dominan.</w:t>
            </w:r>
          </w:p>
          <w:p w14:paraId="3D07FE4E" w14:textId="77777777" w:rsidR="008F2564" w:rsidRPr="00306115" w:rsidRDefault="008F2564">
            <w:pPr>
              <w:pStyle w:val="ListParagraph"/>
              <w:numPr>
                <w:ilvl w:val="0"/>
                <w:numId w:val="356"/>
              </w:numPr>
              <w:spacing w:after="0" w:line="240" w:lineRule="auto"/>
              <w:ind w:left="709" w:right="142" w:hanging="567"/>
              <w:contextualSpacing w:val="0"/>
              <w:rPr>
                <w:color w:val="000000" w:themeColor="text1"/>
                <w:szCs w:val="24"/>
              </w:rPr>
            </w:pPr>
            <w:r w:rsidRPr="00306115">
              <w:rPr>
                <w:color w:val="000000" w:themeColor="text1"/>
                <w:szCs w:val="24"/>
              </w:rPr>
              <w:t>Konsentrasi kelompok usaha dan sektor: terdapat konsentrasi yang sangat tinggi pada kelompok usaha atau sektor industri tertentu sehingga penurunan kondisi atau kegagalan pada kelompok usaha atau sektor tersebut berpotensi menimbulkan dampak yang sangat signifikan terhadap nilai dan/atau likuiditas Produk Investasi.</w:t>
            </w:r>
          </w:p>
          <w:p w14:paraId="2A04E72A" w14:textId="7990A1A2" w:rsidR="008F2564" w:rsidRPr="00306115" w:rsidRDefault="008F2564">
            <w:pPr>
              <w:pStyle w:val="ListParagraph"/>
              <w:numPr>
                <w:ilvl w:val="0"/>
                <w:numId w:val="356"/>
              </w:numPr>
              <w:spacing w:after="0" w:line="240" w:lineRule="auto"/>
              <w:ind w:left="709" w:right="142" w:hanging="567"/>
              <w:contextualSpacing w:val="0"/>
              <w:rPr>
                <w:color w:val="000000" w:themeColor="text1"/>
                <w:szCs w:val="24"/>
              </w:rPr>
            </w:pPr>
            <w:r w:rsidRPr="00306115">
              <w:rPr>
                <w:color w:val="000000" w:themeColor="text1"/>
                <w:szCs w:val="24"/>
              </w:rPr>
              <w:t>Faktor lain yang relevan: terdapat isu negatif, kasus hukum, sanksi regulator, atau kondisi lain yang secara material dan bersamaan dapat memperburuk dampak Risiko Konsentrasi terhadap Produk Investasi.</w:t>
            </w:r>
          </w:p>
        </w:tc>
      </w:tr>
    </w:tbl>
    <w:p w14:paraId="76C537F1" w14:textId="77777777" w:rsidR="00DF5783" w:rsidRPr="00306115" w:rsidRDefault="00DF5783" w:rsidP="00DF5783">
      <w:pPr>
        <w:pStyle w:val="HeadingAwalDaftarIsiLampiran"/>
        <w:numPr>
          <w:ilvl w:val="0"/>
          <w:numId w:val="0"/>
        </w:numPr>
        <w:ind w:left="1134"/>
      </w:pPr>
    </w:p>
    <w:p w14:paraId="6A6FB9DA" w14:textId="77777777" w:rsidR="00451E35" w:rsidRPr="00306115" w:rsidRDefault="00451E35">
      <w:pPr>
        <w:pStyle w:val="HeadingAwalDaftarIsiLampiran"/>
        <w:numPr>
          <w:ilvl w:val="4"/>
          <w:numId w:val="295"/>
        </w:numPr>
        <w:ind w:left="1134" w:hanging="567"/>
      </w:pPr>
      <w:r w:rsidRPr="00306115">
        <w:t>Matriks Penetapan Kualitas Penerapan Manajemen Risiko</w:t>
      </w:r>
    </w:p>
    <w:tbl>
      <w:tblPr>
        <w:tblStyle w:val="TableGrid"/>
        <w:tblW w:w="8222" w:type="dxa"/>
        <w:tblInd w:w="1129" w:type="dxa"/>
        <w:tblLayout w:type="fixed"/>
        <w:tblLook w:val="04A0" w:firstRow="1" w:lastRow="0" w:firstColumn="1" w:lastColumn="0" w:noHBand="0" w:noVBand="1"/>
      </w:tblPr>
      <w:tblGrid>
        <w:gridCol w:w="2127"/>
        <w:gridCol w:w="6095"/>
      </w:tblGrid>
      <w:tr w:rsidR="004751E1" w:rsidRPr="00306115" w14:paraId="42D34F0D" w14:textId="77777777" w:rsidTr="008F2564">
        <w:trPr>
          <w:tblHeader/>
        </w:trPr>
        <w:tc>
          <w:tcPr>
            <w:tcW w:w="2127" w:type="dxa"/>
            <w:shd w:val="clear" w:color="auto" w:fill="D9D9D9"/>
            <w:vAlign w:val="center"/>
          </w:tcPr>
          <w:p w14:paraId="39A72533" w14:textId="77777777" w:rsidR="004751E1" w:rsidRPr="00306115" w:rsidRDefault="004751E1" w:rsidP="0041787D">
            <w:pPr>
              <w:spacing w:before="60" w:after="60"/>
              <w:ind w:left="142" w:right="142"/>
              <w:jc w:val="center"/>
              <w:rPr>
                <w:color w:val="000000" w:themeColor="text1"/>
                <w:szCs w:val="24"/>
              </w:rPr>
            </w:pPr>
            <w:r w:rsidRPr="00306115">
              <w:rPr>
                <w:color w:val="000000" w:themeColor="text1"/>
                <w:szCs w:val="24"/>
              </w:rPr>
              <w:t>Peringkat</w:t>
            </w:r>
          </w:p>
        </w:tc>
        <w:tc>
          <w:tcPr>
            <w:tcW w:w="6095" w:type="dxa"/>
            <w:shd w:val="clear" w:color="auto" w:fill="D9D9D9"/>
            <w:vAlign w:val="center"/>
          </w:tcPr>
          <w:p w14:paraId="5C4AF62F" w14:textId="77777777" w:rsidR="004751E1" w:rsidRPr="00306115" w:rsidRDefault="004751E1" w:rsidP="0041787D">
            <w:pPr>
              <w:spacing w:before="60" w:after="60"/>
              <w:ind w:left="142" w:right="142"/>
              <w:jc w:val="center"/>
              <w:rPr>
                <w:color w:val="000000" w:themeColor="text1"/>
                <w:szCs w:val="24"/>
              </w:rPr>
            </w:pPr>
            <w:r w:rsidRPr="00306115">
              <w:rPr>
                <w:color w:val="000000" w:themeColor="text1"/>
                <w:szCs w:val="24"/>
              </w:rPr>
              <w:t>Definisi Peringkat</w:t>
            </w:r>
          </w:p>
        </w:tc>
      </w:tr>
      <w:tr w:rsidR="004751E1" w:rsidRPr="00306115" w14:paraId="10415AEA" w14:textId="77777777" w:rsidTr="008F2564">
        <w:tc>
          <w:tcPr>
            <w:tcW w:w="2127" w:type="dxa"/>
          </w:tcPr>
          <w:p w14:paraId="3F8C87BB" w14:textId="77777777" w:rsidR="004751E1" w:rsidRPr="00306115" w:rsidRDefault="004751E1" w:rsidP="003A0B34">
            <w:pPr>
              <w:pStyle w:val="BodyText"/>
              <w:numPr>
                <w:ilvl w:val="0"/>
                <w:numId w:val="0"/>
              </w:numPr>
              <w:spacing w:before="60" w:after="60"/>
              <w:ind w:left="142" w:right="142"/>
              <w:jc w:val="center"/>
              <w:rPr>
                <w:color w:val="000000" w:themeColor="text1"/>
              </w:rPr>
            </w:pPr>
            <w:r w:rsidRPr="00306115">
              <w:rPr>
                <w:i/>
                <w:iCs/>
                <w:color w:val="000000" w:themeColor="text1"/>
              </w:rPr>
              <w:t>Strong</w:t>
            </w:r>
            <w:r w:rsidRPr="00306115">
              <w:rPr>
                <w:color w:val="000000" w:themeColor="text1"/>
              </w:rPr>
              <w:t xml:space="preserve"> (1)</w:t>
            </w:r>
          </w:p>
        </w:tc>
        <w:tc>
          <w:tcPr>
            <w:tcW w:w="6095" w:type="dxa"/>
          </w:tcPr>
          <w:p w14:paraId="0D3FDAE4" w14:textId="77777777" w:rsidR="004751E1" w:rsidRPr="00306115" w:rsidRDefault="004751E1" w:rsidP="0041787D">
            <w:pPr>
              <w:ind w:left="142" w:right="142"/>
              <w:rPr>
                <w:b/>
                <w:bCs/>
                <w:color w:val="000000" w:themeColor="text1"/>
                <w:szCs w:val="24"/>
              </w:rPr>
            </w:pPr>
            <w:r w:rsidRPr="00306115">
              <w:rPr>
                <w:color w:val="000000" w:themeColor="text1"/>
                <w:szCs w:val="24"/>
              </w:rPr>
              <w:t>Kualitas penerapan Manajemen Risiko untuk Risiko Konsentrasi Portofolio Efek sangat memadai. Meskipun terdapat kelemahan minor, tetapi kelemahan tersebut tidak signifikan sehingga dapat diabaikan.</w:t>
            </w:r>
          </w:p>
          <w:p w14:paraId="65BD1B04" w14:textId="1E970D08" w:rsidR="004751E1" w:rsidRPr="00306115" w:rsidRDefault="004751E1" w:rsidP="0041787D">
            <w:pPr>
              <w:ind w:left="142" w:right="142"/>
              <w:rPr>
                <w:color w:val="000000" w:themeColor="text1"/>
                <w:szCs w:val="24"/>
              </w:rPr>
            </w:pPr>
            <w:r w:rsidRPr="00306115">
              <w:rPr>
                <w:color w:val="000000" w:themeColor="text1"/>
                <w:szCs w:val="24"/>
              </w:rPr>
              <w:t xml:space="preserve">Contoh </w:t>
            </w:r>
            <w:r w:rsidR="00764ECF" w:rsidRPr="00306115">
              <w:rPr>
                <w:color w:val="000000" w:themeColor="text1"/>
                <w:szCs w:val="24"/>
              </w:rPr>
              <w:t>karakteristik/kondisi</w:t>
            </w:r>
            <w:r w:rsidRPr="00306115">
              <w:rPr>
                <w:color w:val="000000" w:themeColor="text1"/>
                <w:szCs w:val="24"/>
              </w:rPr>
              <w:t xml:space="preserve"> Manajer Investasi yang termasuk dalam peringkat </w:t>
            </w:r>
            <w:r w:rsidRPr="00306115">
              <w:rPr>
                <w:i/>
                <w:color w:val="000000" w:themeColor="text1"/>
                <w:szCs w:val="24"/>
              </w:rPr>
              <w:t xml:space="preserve">Strong </w:t>
            </w:r>
            <w:r w:rsidRPr="00306115">
              <w:rPr>
                <w:color w:val="000000" w:themeColor="text1"/>
                <w:szCs w:val="24"/>
              </w:rPr>
              <w:t>(1) antara lain sebagai berikut:</w:t>
            </w:r>
          </w:p>
          <w:p w14:paraId="22C25F84" w14:textId="77777777" w:rsidR="004751E1" w:rsidRPr="00306115" w:rsidRDefault="004751E1">
            <w:pPr>
              <w:pStyle w:val="ListParagraph"/>
              <w:numPr>
                <w:ilvl w:val="0"/>
                <w:numId w:val="357"/>
              </w:numPr>
              <w:ind w:left="709" w:right="142" w:hanging="567"/>
              <w:contextualSpacing w:val="0"/>
              <w:rPr>
                <w:color w:val="000000" w:themeColor="text1"/>
                <w:szCs w:val="24"/>
              </w:rPr>
            </w:pPr>
            <w:r w:rsidRPr="00306115">
              <w:rPr>
                <w:color w:val="000000" w:themeColor="text1"/>
                <w:szCs w:val="24"/>
              </w:rPr>
              <w:t>Perumusan tingkat risiko yang akan diambil (</w:t>
            </w:r>
            <w:r w:rsidRPr="00306115">
              <w:rPr>
                <w:i/>
                <w:color w:val="000000" w:themeColor="text1"/>
                <w:szCs w:val="24"/>
              </w:rPr>
              <w:t>risk appetite</w:t>
            </w:r>
            <w:r w:rsidRPr="00306115">
              <w:rPr>
                <w:color w:val="000000" w:themeColor="text1"/>
                <w:szCs w:val="24"/>
              </w:rPr>
              <w:t>) dan toleransi (</w:t>
            </w:r>
            <w:r w:rsidRPr="00306115">
              <w:rPr>
                <w:i/>
                <w:color w:val="000000" w:themeColor="text1"/>
                <w:szCs w:val="24"/>
              </w:rPr>
              <w:t>risk tolerance</w:t>
            </w:r>
            <w:r w:rsidRPr="00306115">
              <w:rPr>
                <w:color w:val="000000" w:themeColor="text1"/>
                <w:szCs w:val="24"/>
              </w:rPr>
              <w:t>) Risiko Konsentrasi Portofolio Efek sangat memadai dan telah sejalan dengan strategi dan tujuan bisnis secara keseluruhan.</w:t>
            </w:r>
          </w:p>
          <w:p w14:paraId="15D7167C" w14:textId="77777777" w:rsidR="004751E1" w:rsidRPr="00306115" w:rsidRDefault="004751E1">
            <w:pPr>
              <w:pStyle w:val="ListParagraph"/>
              <w:numPr>
                <w:ilvl w:val="0"/>
                <w:numId w:val="357"/>
              </w:numPr>
              <w:ind w:left="709" w:right="142" w:hanging="567"/>
              <w:contextualSpacing w:val="0"/>
              <w:rPr>
                <w:color w:val="000000" w:themeColor="text1"/>
                <w:szCs w:val="24"/>
              </w:rPr>
            </w:pPr>
            <w:r w:rsidRPr="00306115">
              <w:rPr>
                <w:color w:val="000000" w:themeColor="text1"/>
                <w:szCs w:val="24"/>
              </w:rPr>
              <w:t>Kesadaran (</w:t>
            </w:r>
            <w:r w:rsidRPr="00306115">
              <w:rPr>
                <w:i/>
                <w:color w:val="000000" w:themeColor="text1"/>
                <w:szCs w:val="24"/>
              </w:rPr>
              <w:t>awareness</w:t>
            </w:r>
            <w:r w:rsidRPr="00306115">
              <w:rPr>
                <w:color w:val="000000" w:themeColor="text1"/>
                <w:szCs w:val="24"/>
              </w:rPr>
              <w:t>) dan pemahaman Direksi dan Dewan Komisaris sangat tinggi atau sangat memadai mengenai pelaksanaan Manajemen Risiko, terutama terkait jenis dan tingkat risiko untuk Risiko Konsentrasi Portofolio Efek.</w:t>
            </w:r>
          </w:p>
          <w:p w14:paraId="77864A1E" w14:textId="77777777" w:rsidR="004751E1" w:rsidRPr="00306115" w:rsidRDefault="004751E1">
            <w:pPr>
              <w:pStyle w:val="ListParagraph"/>
              <w:numPr>
                <w:ilvl w:val="0"/>
                <w:numId w:val="357"/>
              </w:numPr>
              <w:ind w:left="709" w:right="142" w:hanging="567"/>
              <w:contextualSpacing w:val="0"/>
              <w:rPr>
                <w:color w:val="000000" w:themeColor="text1"/>
                <w:szCs w:val="24"/>
              </w:rPr>
            </w:pPr>
            <w:r w:rsidRPr="00306115">
              <w:rPr>
                <w:color w:val="000000" w:themeColor="text1"/>
                <w:szCs w:val="24"/>
              </w:rPr>
              <w:t>Budaya Manajemen Risiko untuk Risiko Konsentrasi Portofolio Efek sangat kuat dan telah diinternalisasikan dengan sangat baik pada seluruh level organisasi.</w:t>
            </w:r>
          </w:p>
          <w:p w14:paraId="75D64E24" w14:textId="77777777" w:rsidR="004751E1" w:rsidRPr="00306115" w:rsidRDefault="004751E1">
            <w:pPr>
              <w:pStyle w:val="ListParagraph"/>
              <w:numPr>
                <w:ilvl w:val="0"/>
                <w:numId w:val="357"/>
              </w:numPr>
              <w:ind w:left="709" w:right="142" w:hanging="567"/>
              <w:contextualSpacing w:val="0"/>
              <w:rPr>
                <w:color w:val="000000" w:themeColor="text1"/>
                <w:szCs w:val="24"/>
              </w:rPr>
            </w:pPr>
            <w:r w:rsidRPr="00306115">
              <w:rPr>
                <w:color w:val="000000" w:themeColor="text1"/>
                <w:szCs w:val="24"/>
              </w:rPr>
              <w:t>Pelaksanaan tugas Direksi dan Dewan Komisaris secara keseluruhan sangat memadai.</w:t>
            </w:r>
          </w:p>
          <w:p w14:paraId="3980B4FD" w14:textId="77777777" w:rsidR="004751E1" w:rsidRPr="00306115" w:rsidRDefault="004751E1">
            <w:pPr>
              <w:pStyle w:val="ListParagraph"/>
              <w:numPr>
                <w:ilvl w:val="0"/>
                <w:numId w:val="357"/>
              </w:numPr>
              <w:ind w:left="709" w:right="142" w:hanging="567"/>
              <w:contextualSpacing w:val="0"/>
              <w:rPr>
                <w:color w:val="000000" w:themeColor="text1"/>
                <w:szCs w:val="24"/>
              </w:rPr>
            </w:pPr>
            <w:r w:rsidRPr="00306115">
              <w:rPr>
                <w:color w:val="000000" w:themeColor="text1"/>
                <w:szCs w:val="24"/>
              </w:rPr>
              <w:t>Fungsi Manajemen Risiko untuk Risiko Konsentrasi Portofolio Efek independen, memiliki tugas dan tanggung jawab yang jelas, dan telah berjalan dengan sangat baik.</w:t>
            </w:r>
          </w:p>
          <w:p w14:paraId="19AC15C5" w14:textId="77777777" w:rsidR="004751E1" w:rsidRPr="00306115" w:rsidRDefault="004751E1">
            <w:pPr>
              <w:pStyle w:val="ListParagraph"/>
              <w:numPr>
                <w:ilvl w:val="0"/>
                <w:numId w:val="357"/>
              </w:numPr>
              <w:ind w:left="709" w:right="142" w:hanging="567"/>
              <w:contextualSpacing w:val="0"/>
              <w:rPr>
                <w:color w:val="000000" w:themeColor="text1"/>
                <w:szCs w:val="24"/>
              </w:rPr>
            </w:pPr>
            <w:r w:rsidRPr="00306115">
              <w:rPr>
                <w:color w:val="000000" w:themeColor="text1"/>
                <w:szCs w:val="24"/>
              </w:rPr>
              <w:lastRenderedPageBreak/>
              <w:t>Kerangka pedelegasian wewenang sangat memadai.</w:t>
            </w:r>
          </w:p>
          <w:p w14:paraId="79CBE175" w14:textId="77777777" w:rsidR="004751E1" w:rsidRPr="00306115" w:rsidRDefault="004751E1">
            <w:pPr>
              <w:pStyle w:val="ListParagraph"/>
              <w:numPr>
                <w:ilvl w:val="0"/>
                <w:numId w:val="357"/>
              </w:numPr>
              <w:ind w:left="709" w:right="142" w:hanging="567"/>
              <w:contextualSpacing w:val="0"/>
              <w:rPr>
                <w:color w:val="000000" w:themeColor="text1"/>
                <w:szCs w:val="24"/>
              </w:rPr>
            </w:pPr>
            <w:r w:rsidRPr="00306115">
              <w:rPr>
                <w:color w:val="000000" w:themeColor="text1"/>
                <w:szCs w:val="24"/>
              </w:rPr>
              <w:t>Penerapan kebijakan limit eksposur pada jenis aset, instrumen, atau entitas penerbit sangat memadai.</w:t>
            </w:r>
          </w:p>
          <w:p w14:paraId="1D953CDE" w14:textId="77777777" w:rsidR="004751E1" w:rsidRPr="00306115" w:rsidRDefault="004751E1">
            <w:pPr>
              <w:pStyle w:val="ListParagraph"/>
              <w:numPr>
                <w:ilvl w:val="0"/>
                <w:numId w:val="357"/>
              </w:numPr>
              <w:ind w:left="709" w:right="142" w:hanging="567"/>
              <w:contextualSpacing w:val="0"/>
              <w:rPr>
                <w:i/>
                <w:iCs/>
                <w:color w:val="000000" w:themeColor="text1"/>
                <w:szCs w:val="24"/>
              </w:rPr>
            </w:pPr>
            <w:r w:rsidRPr="00306115">
              <w:rPr>
                <w:color w:val="000000" w:themeColor="text1"/>
                <w:szCs w:val="24"/>
              </w:rPr>
              <w:t>Kebijakan dan prosedur Manajemen Risiko serta penetapan limit Risiko Konsentrasi Portofolio Efek sangat memadai, diterapkan dengan sangat baik, dan dipahami dengan sangat baik oleh pegawai.</w:t>
            </w:r>
          </w:p>
          <w:p w14:paraId="014CD1C4" w14:textId="77777777" w:rsidR="004751E1" w:rsidRPr="00306115" w:rsidRDefault="004751E1">
            <w:pPr>
              <w:pStyle w:val="ListParagraph"/>
              <w:numPr>
                <w:ilvl w:val="0"/>
                <w:numId w:val="357"/>
              </w:numPr>
              <w:ind w:left="709" w:right="142" w:hanging="567"/>
              <w:contextualSpacing w:val="0"/>
              <w:rPr>
                <w:color w:val="000000" w:themeColor="text1"/>
                <w:szCs w:val="24"/>
              </w:rPr>
            </w:pPr>
            <w:r w:rsidRPr="00306115">
              <w:rPr>
                <w:color w:val="000000" w:themeColor="text1"/>
                <w:szCs w:val="24"/>
              </w:rPr>
              <w:t>Proses Manajemen Risiko untuk Risiko Konsentrasi Portofolio Efek sangat memadai dalam mengidentifikasi, mengukur, memantau, dan mengendalikan Risiko Konsentrasi Portofolio Efek.</w:t>
            </w:r>
          </w:p>
          <w:p w14:paraId="7B17F9C2" w14:textId="77777777" w:rsidR="004751E1" w:rsidRPr="00306115" w:rsidRDefault="004751E1">
            <w:pPr>
              <w:pStyle w:val="ListParagraph"/>
              <w:numPr>
                <w:ilvl w:val="0"/>
                <w:numId w:val="357"/>
              </w:numPr>
              <w:ind w:left="709" w:right="142" w:hanging="567"/>
              <w:contextualSpacing w:val="0"/>
              <w:rPr>
                <w:color w:val="000000" w:themeColor="text1"/>
                <w:szCs w:val="24"/>
              </w:rPr>
            </w:pPr>
            <w:r w:rsidRPr="00306115">
              <w:rPr>
                <w:color w:val="000000" w:themeColor="text1"/>
                <w:szCs w:val="24"/>
              </w:rPr>
              <w:t>Sistem Informasi Manajemen Risiko untuk Risiko Konsentrasi Portofolio Efek sangat baik dalam menghasilkan informasi dan laporan Risiko Konsentrasi Portofolio Efek yang komprehensif.</w:t>
            </w:r>
          </w:p>
          <w:p w14:paraId="61D57219" w14:textId="423E70D1" w:rsidR="004751E1" w:rsidRPr="00306115" w:rsidRDefault="004751E1">
            <w:pPr>
              <w:pStyle w:val="ListParagraph"/>
              <w:numPr>
                <w:ilvl w:val="0"/>
                <w:numId w:val="357"/>
              </w:numPr>
              <w:ind w:left="709" w:right="142" w:hanging="567"/>
              <w:contextualSpacing w:val="0"/>
              <w:rPr>
                <w:color w:val="000000" w:themeColor="text1"/>
                <w:szCs w:val="24"/>
              </w:rPr>
            </w:pPr>
            <w:r w:rsidRPr="00306115">
              <w:rPr>
                <w:color w:val="000000" w:themeColor="text1"/>
                <w:szCs w:val="24"/>
              </w:rPr>
              <w:t xml:space="preserve">Secara umum sumber daya manusia sangat memadai baik dari sisi jumlah maupun kompetensi pada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untuk Risiko Konsentrasi Portofolio Efek.</w:t>
            </w:r>
          </w:p>
          <w:p w14:paraId="548720BE" w14:textId="77777777" w:rsidR="004751E1" w:rsidRPr="00306115" w:rsidRDefault="004751E1">
            <w:pPr>
              <w:pStyle w:val="ListParagraph"/>
              <w:numPr>
                <w:ilvl w:val="0"/>
                <w:numId w:val="357"/>
              </w:numPr>
              <w:ind w:left="709" w:right="142" w:hanging="567"/>
              <w:contextualSpacing w:val="0"/>
              <w:rPr>
                <w:color w:val="000000" w:themeColor="text1"/>
                <w:szCs w:val="24"/>
              </w:rPr>
            </w:pPr>
            <w:r w:rsidRPr="00306115">
              <w:rPr>
                <w:color w:val="000000" w:themeColor="text1"/>
                <w:szCs w:val="24"/>
              </w:rPr>
              <w:t>Sistem pengendalian internal sangat efektif dalam mendukung pelaksanaan Manajemen Risiko untuk Risiko Konsentrasi Portofolio Efek.</w:t>
            </w:r>
          </w:p>
          <w:p w14:paraId="5EFFF5EF" w14:textId="6B239988" w:rsidR="004751E1" w:rsidRPr="00306115" w:rsidRDefault="004751E1">
            <w:pPr>
              <w:pStyle w:val="ListParagraph"/>
              <w:numPr>
                <w:ilvl w:val="0"/>
                <w:numId w:val="357"/>
              </w:numPr>
              <w:ind w:left="709" w:right="142" w:hanging="567"/>
              <w:contextualSpacing w:val="0"/>
              <w:rPr>
                <w:color w:val="000000" w:themeColor="text1"/>
                <w:szCs w:val="24"/>
              </w:rPr>
            </w:pPr>
            <w:r w:rsidRPr="00306115">
              <w:rPr>
                <w:color w:val="000000" w:themeColor="text1"/>
                <w:szCs w:val="24"/>
              </w:rPr>
              <w:t xml:space="preserve">Pelaksanaan kaji ulang oleh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dan fungsi audit internal sangat memadai baik dari sisi metodologi, frekuensi, maupun pelaporan kepada Direksi dan Dewan Komisaris.</w:t>
            </w:r>
          </w:p>
          <w:p w14:paraId="1C8AB4A8" w14:textId="77777777" w:rsidR="004751E1" w:rsidRPr="00306115" w:rsidRDefault="004751E1">
            <w:pPr>
              <w:pStyle w:val="ListParagraph"/>
              <w:numPr>
                <w:ilvl w:val="0"/>
                <w:numId w:val="357"/>
              </w:numPr>
              <w:ind w:left="709" w:right="142" w:hanging="567"/>
              <w:contextualSpacing w:val="0"/>
              <w:rPr>
                <w:color w:val="000000" w:themeColor="text1"/>
                <w:szCs w:val="24"/>
              </w:rPr>
            </w:pPr>
            <w:r w:rsidRPr="00306115">
              <w:rPr>
                <w:color w:val="000000" w:themeColor="text1"/>
                <w:szCs w:val="24"/>
              </w:rPr>
              <w:t>Tindak lanjut atas kaji ulang telah dilaksanakan dengan sangat memadai.</w:t>
            </w:r>
          </w:p>
        </w:tc>
      </w:tr>
      <w:tr w:rsidR="004751E1" w:rsidRPr="00306115" w14:paraId="333342EB" w14:textId="77777777" w:rsidTr="008F2564">
        <w:tc>
          <w:tcPr>
            <w:tcW w:w="2127" w:type="dxa"/>
          </w:tcPr>
          <w:p w14:paraId="36497A3B" w14:textId="77777777" w:rsidR="004751E1" w:rsidRPr="00306115" w:rsidRDefault="004751E1" w:rsidP="001D5883">
            <w:pPr>
              <w:pStyle w:val="BodyText"/>
              <w:numPr>
                <w:ilvl w:val="0"/>
                <w:numId w:val="0"/>
              </w:numPr>
              <w:spacing w:before="60" w:after="60"/>
              <w:ind w:left="142" w:right="142"/>
              <w:jc w:val="center"/>
              <w:rPr>
                <w:color w:val="000000" w:themeColor="text1"/>
              </w:rPr>
            </w:pPr>
            <w:r w:rsidRPr="00306115">
              <w:rPr>
                <w:i/>
                <w:iCs/>
                <w:color w:val="000000" w:themeColor="text1"/>
              </w:rPr>
              <w:lastRenderedPageBreak/>
              <w:t>Satisfactory</w:t>
            </w:r>
            <w:r w:rsidRPr="00306115">
              <w:rPr>
                <w:color w:val="000000" w:themeColor="text1"/>
              </w:rPr>
              <w:t xml:space="preserve"> (2)</w:t>
            </w:r>
          </w:p>
        </w:tc>
        <w:tc>
          <w:tcPr>
            <w:tcW w:w="6095" w:type="dxa"/>
          </w:tcPr>
          <w:p w14:paraId="3BE2FE41" w14:textId="77777777" w:rsidR="004751E1" w:rsidRPr="00306115" w:rsidRDefault="004751E1" w:rsidP="0041787D">
            <w:pPr>
              <w:ind w:left="142" w:right="142"/>
              <w:rPr>
                <w:b/>
                <w:bCs/>
                <w:color w:val="000000" w:themeColor="text1"/>
                <w:szCs w:val="24"/>
              </w:rPr>
            </w:pPr>
            <w:r w:rsidRPr="00306115">
              <w:rPr>
                <w:color w:val="000000" w:themeColor="text1"/>
                <w:szCs w:val="24"/>
              </w:rPr>
              <w:t>Kualitas penerapan Manajemen Risiko untuk Risiko Konsentrasi Portofolio Efek memadai. Terdapat beberapa kelemahan minor, tetapi kelemahan tersebut dapat diselesaikan pada aktivitas kegiatan usaha normal.</w:t>
            </w:r>
          </w:p>
          <w:p w14:paraId="0E40CEC5" w14:textId="3FF09110" w:rsidR="004751E1" w:rsidRPr="00306115" w:rsidRDefault="004751E1" w:rsidP="0041787D">
            <w:pPr>
              <w:ind w:left="142" w:right="142"/>
              <w:rPr>
                <w:color w:val="000000" w:themeColor="text1"/>
                <w:szCs w:val="24"/>
              </w:rPr>
            </w:pPr>
            <w:r w:rsidRPr="00306115">
              <w:rPr>
                <w:color w:val="000000" w:themeColor="text1"/>
                <w:szCs w:val="24"/>
              </w:rPr>
              <w:t xml:space="preserve">Contoh </w:t>
            </w:r>
            <w:r w:rsidR="00764ECF" w:rsidRPr="00306115">
              <w:rPr>
                <w:color w:val="000000" w:themeColor="text1"/>
                <w:szCs w:val="24"/>
              </w:rPr>
              <w:t>karakteristik/kondisi</w:t>
            </w:r>
            <w:r w:rsidRPr="00306115">
              <w:rPr>
                <w:color w:val="000000" w:themeColor="text1"/>
                <w:szCs w:val="24"/>
              </w:rPr>
              <w:t xml:space="preserve"> Manajer Investasi yang termasuk dalam peringkat </w:t>
            </w:r>
            <w:r w:rsidRPr="00306115">
              <w:rPr>
                <w:i/>
                <w:color w:val="000000" w:themeColor="text1"/>
                <w:szCs w:val="24"/>
              </w:rPr>
              <w:t xml:space="preserve">Satisfactory </w:t>
            </w:r>
            <w:r w:rsidRPr="00306115">
              <w:rPr>
                <w:color w:val="000000" w:themeColor="text1"/>
                <w:szCs w:val="24"/>
              </w:rPr>
              <w:t>(2) antara lain sebagai berikut:</w:t>
            </w:r>
          </w:p>
          <w:p w14:paraId="67491629" w14:textId="77777777" w:rsidR="004751E1" w:rsidRPr="00306115" w:rsidRDefault="004751E1">
            <w:pPr>
              <w:pStyle w:val="ListParagraph"/>
              <w:numPr>
                <w:ilvl w:val="0"/>
                <w:numId w:val="358"/>
              </w:numPr>
              <w:ind w:left="709" w:right="142" w:hanging="567"/>
              <w:contextualSpacing w:val="0"/>
              <w:rPr>
                <w:color w:val="000000" w:themeColor="text1"/>
                <w:szCs w:val="24"/>
              </w:rPr>
            </w:pPr>
            <w:r w:rsidRPr="00306115">
              <w:rPr>
                <w:color w:val="000000" w:themeColor="text1"/>
                <w:szCs w:val="24"/>
              </w:rPr>
              <w:t>Perumusan tingkat risiko yang akan diambil (</w:t>
            </w:r>
            <w:r w:rsidRPr="00306115">
              <w:rPr>
                <w:i/>
                <w:color w:val="000000" w:themeColor="text1"/>
                <w:szCs w:val="24"/>
              </w:rPr>
              <w:t>risk appetite</w:t>
            </w:r>
            <w:r w:rsidRPr="00306115">
              <w:rPr>
                <w:color w:val="000000" w:themeColor="text1"/>
                <w:szCs w:val="24"/>
              </w:rPr>
              <w:t>) dan toleransi (</w:t>
            </w:r>
            <w:r w:rsidRPr="00306115">
              <w:rPr>
                <w:i/>
                <w:color w:val="000000" w:themeColor="text1"/>
                <w:szCs w:val="24"/>
              </w:rPr>
              <w:t>risk tolerance</w:t>
            </w:r>
            <w:r w:rsidRPr="00306115">
              <w:rPr>
                <w:color w:val="000000" w:themeColor="text1"/>
                <w:szCs w:val="24"/>
              </w:rPr>
              <w:t>) Risiko Konsentrasi Portofolio Efek memadai dan telah sejalan dengan strategi dan tujuan bisnis secara keseluruhan.</w:t>
            </w:r>
          </w:p>
          <w:p w14:paraId="79E3FE61" w14:textId="77777777" w:rsidR="004751E1" w:rsidRPr="00306115" w:rsidRDefault="004751E1">
            <w:pPr>
              <w:pStyle w:val="ListParagraph"/>
              <w:numPr>
                <w:ilvl w:val="0"/>
                <w:numId w:val="358"/>
              </w:numPr>
              <w:ind w:left="709" w:right="142" w:hanging="567"/>
              <w:contextualSpacing w:val="0"/>
              <w:rPr>
                <w:color w:val="000000" w:themeColor="text1"/>
                <w:szCs w:val="24"/>
              </w:rPr>
            </w:pPr>
            <w:r w:rsidRPr="00306115">
              <w:rPr>
                <w:color w:val="000000" w:themeColor="text1"/>
                <w:szCs w:val="24"/>
              </w:rPr>
              <w:t>Kesadaran (</w:t>
            </w:r>
            <w:r w:rsidRPr="00306115">
              <w:rPr>
                <w:i/>
                <w:color w:val="000000" w:themeColor="text1"/>
                <w:szCs w:val="24"/>
              </w:rPr>
              <w:t>awareness</w:t>
            </w:r>
            <w:r w:rsidRPr="00306115">
              <w:rPr>
                <w:color w:val="000000" w:themeColor="text1"/>
                <w:szCs w:val="24"/>
              </w:rPr>
              <w:t xml:space="preserve">) dan pemahaman Direksi dan Dewan Komisaris tinggi atau </w:t>
            </w:r>
            <w:r w:rsidRPr="00306115">
              <w:rPr>
                <w:color w:val="000000" w:themeColor="text1"/>
                <w:szCs w:val="24"/>
              </w:rPr>
              <w:lastRenderedPageBreak/>
              <w:t>memadai mengenai pelaksanaan Manajemen Risiko, terutama terkait jenis dan tingkat risiko untuk Risiko Konsentrasi Portofolio Efek.</w:t>
            </w:r>
          </w:p>
          <w:p w14:paraId="3AA2C720" w14:textId="77777777" w:rsidR="004751E1" w:rsidRPr="00306115" w:rsidRDefault="004751E1">
            <w:pPr>
              <w:pStyle w:val="ListParagraph"/>
              <w:numPr>
                <w:ilvl w:val="0"/>
                <w:numId w:val="358"/>
              </w:numPr>
              <w:ind w:left="709" w:right="142" w:hanging="567"/>
              <w:contextualSpacing w:val="0"/>
              <w:rPr>
                <w:color w:val="000000" w:themeColor="text1"/>
                <w:szCs w:val="24"/>
              </w:rPr>
            </w:pPr>
            <w:r w:rsidRPr="00306115">
              <w:rPr>
                <w:color w:val="000000" w:themeColor="text1"/>
                <w:szCs w:val="24"/>
              </w:rPr>
              <w:t>Budaya Manajemen Risiko untuk Risiko Konsentrasi Portofolio Efek kuat dan telah diinternalisasikan dengan baik pada seluruh level organisasi.</w:t>
            </w:r>
          </w:p>
          <w:p w14:paraId="11BDE215" w14:textId="77777777" w:rsidR="004751E1" w:rsidRPr="00306115" w:rsidRDefault="004751E1">
            <w:pPr>
              <w:pStyle w:val="ListParagraph"/>
              <w:numPr>
                <w:ilvl w:val="0"/>
                <w:numId w:val="358"/>
              </w:numPr>
              <w:ind w:left="709" w:right="142" w:hanging="567"/>
              <w:contextualSpacing w:val="0"/>
              <w:rPr>
                <w:color w:val="000000" w:themeColor="text1"/>
                <w:szCs w:val="24"/>
              </w:rPr>
            </w:pPr>
            <w:r w:rsidRPr="00306115">
              <w:rPr>
                <w:color w:val="000000" w:themeColor="text1"/>
                <w:szCs w:val="24"/>
              </w:rPr>
              <w:t>Pelaksanaan tugas Direksi dan Dewan Komisaris secara keseluruhan memadai. Terdapat beberapa kelemahan yang tidak signifikan dan dapat diperbaiki dengan segera.</w:t>
            </w:r>
          </w:p>
          <w:p w14:paraId="3C96EFBC" w14:textId="77777777" w:rsidR="004751E1" w:rsidRPr="00306115" w:rsidRDefault="004751E1">
            <w:pPr>
              <w:pStyle w:val="ListParagraph"/>
              <w:numPr>
                <w:ilvl w:val="0"/>
                <w:numId w:val="358"/>
              </w:numPr>
              <w:ind w:left="709" w:right="142" w:hanging="567"/>
              <w:contextualSpacing w:val="0"/>
              <w:rPr>
                <w:color w:val="000000" w:themeColor="text1"/>
                <w:szCs w:val="24"/>
              </w:rPr>
            </w:pPr>
            <w:r w:rsidRPr="00306115">
              <w:rPr>
                <w:color w:val="000000" w:themeColor="text1"/>
                <w:szCs w:val="24"/>
              </w:rPr>
              <w:t>Fungsi Manajemen Risiko untuk Risiko Konsentrasi Portofolio Efek independen, memiliki tugas dan tanggung jawab yang jelas, dan telah berjalan dengan baik. Terdapat kelemahan minor yang dapat diselesaikan pada aktivitas kegiatan usaha normal.</w:t>
            </w:r>
          </w:p>
          <w:p w14:paraId="0577CA4E" w14:textId="77777777" w:rsidR="004751E1" w:rsidRPr="00306115" w:rsidRDefault="004751E1">
            <w:pPr>
              <w:pStyle w:val="ListParagraph"/>
              <w:numPr>
                <w:ilvl w:val="0"/>
                <w:numId w:val="358"/>
              </w:numPr>
              <w:ind w:left="709" w:right="142" w:hanging="567"/>
              <w:contextualSpacing w:val="0"/>
              <w:rPr>
                <w:color w:val="000000" w:themeColor="text1"/>
                <w:szCs w:val="24"/>
              </w:rPr>
            </w:pPr>
            <w:r w:rsidRPr="00306115">
              <w:rPr>
                <w:color w:val="000000" w:themeColor="text1"/>
                <w:szCs w:val="24"/>
              </w:rPr>
              <w:t>Kerangka pedelegasian wewenang memadai.</w:t>
            </w:r>
          </w:p>
          <w:p w14:paraId="5F98BEFE" w14:textId="77777777" w:rsidR="004751E1" w:rsidRPr="00306115" w:rsidRDefault="004751E1">
            <w:pPr>
              <w:pStyle w:val="ListParagraph"/>
              <w:numPr>
                <w:ilvl w:val="0"/>
                <w:numId w:val="358"/>
              </w:numPr>
              <w:ind w:left="709" w:right="142" w:hanging="567"/>
              <w:contextualSpacing w:val="0"/>
              <w:rPr>
                <w:color w:val="000000" w:themeColor="text1"/>
                <w:szCs w:val="24"/>
              </w:rPr>
            </w:pPr>
            <w:r w:rsidRPr="00306115">
              <w:rPr>
                <w:color w:val="000000" w:themeColor="text1"/>
                <w:szCs w:val="24"/>
              </w:rPr>
              <w:t>Penerapan kebijakan limit eksposur pada jenis aset, instrumen, atau entitas penerbit memadai.</w:t>
            </w:r>
          </w:p>
          <w:p w14:paraId="01E3FA02" w14:textId="77777777" w:rsidR="004751E1" w:rsidRPr="00306115" w:rsidRDefault="004751E1">
            <w:pPr>
              <w:pStyle w:val="ListParagraph"/>
              <w:numPr>
                <w:ilvl w:val="0"/>
                <w:numId w:val="358"/>
              </w:numPr>
              <w:ind w:left="709" w:right="142" w:hanging="567"/>
              <w:contextualSpacing w:val="0"/>
              <w:rPr>
                <w:color w:val="000000" w:themeColor="text1"/>
                <w:szCs w:val="24"/>
              </w:rPr>
            </w:pPr>
            <w:r w:rsidRPr="00306115">
              <w:rPr>
                <w:color w:val="000000" w:themeColor="text1"/>
                <w:szCs w:val="24"/>
              </w:rPr>
              <w:t>Kebijakan dan prosedur Manajemen Risiko serta penetapan limit Risiko Konsentrasi Portofolio Efek memadai, diterapkan dengan baik, dan dipahami dengan baik oleh pegawai.</w:t>
            </w:r>
          </w:p>
          <w:p w14:paraId="21FAC923" w14:textId="77777777" w:rsidR="004751E1" w:rsidRPr="00306115" w:rsidRDefault="004751E1">
            <w:pPr>
              <w:pStyle w:val="ListParagraph"/>
              <w:numPr>
                <w:ilvl w:val="0"/>
                <w:numId w:val="358"/>
              </w:numPr>
              <w:ind w:left="709" w:right="142" w:hanging="567"/>
              <w:contextualSpacing w:val="0"/>
              <w:rPr>
                <w:color w:val="000000" w:themeColor="text1"/>
                <w:szCs w:val="24"/>
              </w:rPr>
            </w:pPr>
            <w:r w:rsidRPr="00306115">
              <w:rPr>
                <w:color w:val="000000" w:themeColor="text1"/>
                <w:szCs w:val="24"/>
              </w:rPr>
              <w:t>Proses Manajemen Risiko untuk Risiko Konsentrasi Portofolio Efek memadai dalam mengidentifikasi, mengukur, memantau, dan mengendalikan Risiko Konsentrasi Portofolio Efek.</w:t>
            </w:r>
          </w:p>
          <w:p w14:paraId="2D031637" w14:textId="77777777" w:rsidR="004751E1" w:rsidRPr="00306115" w:rsidRDefault="004751E1">
            <w:pPr>
              <w:pStyle w:val="ListParagraph"/>
              <w:numPr>
                <w:ilvl w:val="0"/>
                <w:numId w:val="358"/>
              </w:numPr>
              <w:ind w:left="709" w:right="142" w:hanging="567"/>
              <w:contextualSpacing w:val="0"/>
              <w:rPr>
                <w:color w:val="000000" w:themeColor="text1"/>
                <w:szCs w:val="24"/>
              </w:rPr>
            </w:pPr>
            <w:r w:rsidRPr="00306115">
              <w:rPr>
                <w:color w:val="000000" w:themeColor="text1"/>
                <w:szCs w:val="24"/>
              </w:rPr>
              <w:t>Sistem Informasi Manajemen Risiko untuk Risiko Konsentrasi Portofolio Efek baik dalam menghasilkan informasi dan laporan Risiko Konsentrasi Portofolio Efek yang komprehensif.</w:t>
            </w:r>
          </w:p>
          <w:p w14:paraId="6A7805EF" w14:textId="6927FE63" w:rsidR="004751E1" w:rsidRPr="00306115" w:rsidRDefault="004751E1">
            <w:pPr>
              <w:pStyle w:val="ListParagraph"/>
              <w:numPr>
                <w:ilvl w:val="0"/>
                <w:numId w:val="358"/>
              </w:numPr>
              <w:ind w:left="709" w:right="142" w:hanging="567"/>
              <w:contextualSpacing w:val="0"/>
              <w:rPr>
                <w:color w:val="000000" w:themeColor="text1"/>
                <w:szCs w:val="24"/>
              </w:rPr>
            </w:pPr>
            <w:r w:rsidRPr="00306115">
              <w:rPr>
                <w:color w:val="000000" w:themeColor="text1"/>
                <w:szCs w:val="24"/>
              </w:rPr>
              <w:t xml:space="preserve">Secara umum sumber daya manusia memadai baik dari sisi jumlah maupun kompetensi pada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untuk Risiko Konsentrasi Portofolio Efek.</w:t>
            </w:r>
          </w:p>
          <w:p w14:paraId="19888661" w14:textId="77777777" w:rsidR="004751E1" w:rsidRPr="00306115" w:rsidRDefault="004751E1">
            <w:pPr>
              <w:pStyle w:val="ListParagraph"/>
              <w:numPr>
                <w:ilvl w:val="0"/>
                <w:numId w:val="358"/>
              </w:numPr>
              <w:ind w:left="709" w:right="142" w:hanging="567"/>
              <w:contextualSpacing w:val="0"/>
              <w:rPr>
                <w:color w:val="000000" w:themeColor="text1"/>
                <w:szCs w:val="24"/>
              </w:rPr>
            </w:pPr>
            <w:r w:rsidRPr="00306115">
              <w:rPr>
                <w:color w:val="000000" w:themeColor="text1"/>
                <w:szCs w:val="24"/>
              </w:rPr>
              <w:t>Sistem pengendalian internal efektif dalam mendukung pelaksanaan Manajemen Risiko untuk Risiko Konsentrasi Portofolio Efek.</w:t>
            </w:r>
          </w:p>
          <w:p w14:paraId="259807F0" w14:textId="7F7CAADF" w:rsidR="004751E1" w:rsidRPr="00306115" w:rsidRDefault="004751E1">
            <w:pPr>
              <w:pStyle w:val="ListParagraph"/>
              <w:numPr>
                <w:ilvl w:val="0"/>
                <w:numId w:val="358"/>
              </w:numPr>
              <w:ind w:left="709" w:right="142" w:hanging="567"/>
              <w:contextualSpacing w:val="0"/>
              <w:rPr>
                <w:color w:val="000000" w:themeColor="text1"/>
                <w:szCs w:val="24"/>
              </w:rPr>
            </w:pPr>
            <w:r w:rsidRPr="00306115">
              <w:rPr>
                <w:color w:val="000000" w:themeColor="text1"/>
                <w:szCs w:val="24"/>
              </w:rPr>
              <w:t xml:space="preserve">Pelaksanaan kaji ulang oleh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dan fungsi audit internal memadai baik dari sisi metodologi, frekuensi, maupun pelaporan kepada Direksi dan Dewan Komisaris.</w:t>
            </w:r>
          </w:p>
          <w:p w14:paraId="54754DB7" w14:textId="77777777" w:rsidR="004751E1" w:rsidRPr="00306115" w:rsidRDefault="004751E1">
            <w:pPr>
              <w:pStyle w:val="ListParagraph"/>
              <w:numPr>
                <w:ilvl w:val="0"/>
                <w:numId w:val="358"/>
              </w:numPr>
              <w:ind w:left="709" w:right="142" w:hanging="567"/>
              <w:contextualSpacing w:val="0"/>
              <w:rPr>
                <w:color w:val="000000" w:themeColor="text1"/>
                <w:szCs w:val="24"/>
              </w:rPr>
            </w:pPr>
            <w:r w:rsidRPr="00306115">
              <w:rPr>
                <w:color w:val="000000" w:themeColor="text1"/>
                <w:szCs w:val="24"/>
              </w:rPr>
              <w:lastRenderedPageBreak/>
              <w:t>Tindak lanjut atas kaji ulang telah dilaksanakan dengan memadai.</w:t>
            </w:r>
          </w:p>
        </w:tc>
      </w:tr>
      <w:tr w:rsidR="004751E1" w:rsidRPr="00306115" w14:paraId="35DBA00B" w14:textId="77777777" w:rsidTr="008F2564">
        <w:tc>
          <w:tcPr>
            <w:tcW w:w="2127" w:type="dxa"/>
          </w:tcPr>
          <w:p w14:paraId="509AF841" w14:textId="77777777" w:rsidR="004751E1" w:rsidRPr="00306115" w:rsidRDefault="004751E1" w:rsidP="00897E35">
            <w:pPr>
              <w:pStyle w:val="BodyText"/>
              <w:numPr>
                <w:ilvl w:val="0"/>
                <w:numId w:val="0"/>
              </w:numPr>
              <w:spacing w:before="60" w:after="60"/>
              <w:ind w:left="142" w:right="142"/>
              <w:jc w:val="center"/>
              <w:rPr>
                <w:color w:val="000000" w:themeColor="text1"/>
              </w:rPr>
            </w:pPr>
            <w:r w:rsidRPr="00306115">
              <w:rPr>
                <w:i/>
                <w:iCs/>
                <w:color w:val="000000" w:themeColor="text1"/>
              </w:rPr>
              <w:lastRenderedPageBreak/>
              <w:t>Fair</w:t>
            </w:r>
            <w:r w:rsidRPr="00306115">
              <w:rPr>
                <w:color w:val="000000" w:themeColor="text1"/>
              </w:rPr>
              <w:t xml:space="preserve"> (3)</w:t>
            </w:r>
          </w:p>
        </w:tc>
        <w:tc>
          <w:tcPr>
            <w:tcW w:w="6095" w:type="dxa"/>
          </w:tcPr>
          <w:p w14:paraId="6432A902" w14:textId="77777777" w:rsidR="004751E1" w:rsidRPr="00306115" w:rsidRDefault="004751E1" w:rsidP="0041787D">
            <w:pPr>
              <w:ind w:left="142" w:right="142"/>
              <w:rPr>
                <w:b/>
                <w:bCs/>
                <w:color w:val="000000" w:themeColor="text1"/>
                <w:szCs w:val="24"/>
              </w:rPr>
            </w:pPr>
            <w:r w:rsidRPr="00306115">
              <w:rPr>
                <w:color w:val="000000" w:themeColor="text1"/>
                <w:szCs w:val="24"/>
              </w:rPr>
              <w:t>Kualitas penerapan Manajemen Risiko untuk Risiko Konsentrasi Portofolio Efek cukup memadai. Meskipun persyaratan minimum terpenuhi, terdapat beberapa kelemahan yang cukup signifikan yang memerlukan perbaikan segera.</w:t>
            </w:r>
          </w:p>
          <w:p w14:paraId="068A91F0" w14:textId="2DCDF8D0" w:rsidR="004751E1" w:rsidRPr="00306115" w:rsidRDefault="004751E1" w:rsidP="0041787D">
            <w:pPr>
              <w:ind w:left="142" w:right="142"/>
              <w:rPr>
                <w:color w:val="000000" w:themeColor="text1"/>
                <w:szCs w:val="24"/>
              </w:rPr>
            </w:pPr>
            <w:r w:rsidRPr="00306115">
              <w:rPr>
                <w:color w:val="000000" w:themeColor="text1"/>
                <w:szCs w:val="24"/>
              </w:rPr>
              <w:t xml:space="preserve">Contoh karakteristik </w:t>
            </w:r>
            <w:r w:rsidR="00764ECF" w:rsidRPr="00306115">
              <w:rPr>
                <w:color w:val="000000" w:themeColor="text1"/>
                <w:szCs w:val="24"/>
              </w:rPr>
              <w:t>karakteristik/kondisi</w:t>
            </w:r>
            <w:r w:rsidRPr="00306115">
              <w:rPr>
                <w:color w:val="000000" w:themeColor="text1"/>
                <w:szCs w:val="24"/>
              </w:rPr>
              <w:t xml:space="preserve"> Manajer Investasi yang termasuk dalam peringkat </w:t>
            </w:r>
            <w:r w:rsidRPr="00306115">
              <w:rPr>
                <w:i/>
                <w:color w:val="000000" w:themeColor="text1"/>
                <w:szCs w:val="24"/>
              </w:rPr>
              <w:t xml:space="preserve">Fair </w:t>
            </w:r>
            <w:r w:rsidRPr="00306115">
              <w:rPr>
                <w:color w:val="000000" w:themeColor="text1"/>
                <w:szCs w:val="24"/>
              </w:rPr>
              <w:t>(3) ini antara lain sebagai berikut:</w:t>
            </w:r>
          </w:p>
          <w:p w14:paraId="0D0D605C" w14:textId="77777777" w:rsidR="004751E1" w:rsidRPr="00306115" w:rsidRDefault="004751E1">
            <w:pPr>
              <w:pStyle w:val="ListParagraph"/>
              <w:numPr>
                <w:ilvl w:val="0"/>
                <w:numId w:val="359"/>
              </w:numPr>
              <w:ind w:left="709" w:right="142" w:hanging="567"/>
              <w:contextualSpacing w:val="0"/>
              <w:rPr>
                <w:color w:val="000000" w:themeColor="text1"/>
                <w:szCs w:val="24"/>
              </w:rPr>
            </w:pPr>
            <w:r w:rsidRPr="00306115">
              <w:rPr>
                <w:color w:val="000000" w:themeColor="text1"/>
                <w:szCs w:val="24"/>
              </w:rPr>
              <w:t>Perumusan tingkat risiko yang akan diambil (</w:t>
            </w:r>
            <w:r w:rsidRPr="00306115">
              <w:rPr>
                <w:i/>
                <w:color w:val="000000" w:themeColor="text1"/>
                <w:szCs w:val="24"/>
              </w:rPr>
              <w:t>risk appetite</w:t>
            </w:r>
            <w:r w:rsidRPr="00306115">
              <w:rPr>
                <w:color w:val="000000" w:themeColor="text1"/>
                <w:szCs w:val="24"/>
              </w:rPr>
              <w:t>) dan toleransi (</w:t>
            </w:r>
            <w:r w:rsidRPr="00306115">
              <w:rPr>
                <w:i/>
                <w:color w:val="000000" w:themeColor="text1"/>
                <w:szCs w:val="24"/>
              </w:rPr>
              <w:t>risk tolerance</w:t>
            </w:r>
            <w:r w:rsidRPr="00306115">
              <w:rPr>
                <w:color w:val="000000" w:themeColor="text1"/>
                <w:szCs w:val="24"/>
              </w:rPr>
              <w:t>) Risiko Konsentrasi Portofolio Efek cukup memadai dan telah sejalan dengan strategi dan tujuan bisnis secara keseluruhan.</w:t>
            </w:r>
          </w:p>
          <w:p w14:paraId="5536576D" w14:textId="77777777" w:rsidR="004751E1" w:rsidRPr="00306115" w:rsidRDefault="004751E1">
            <w:pPr>
              <w:pStyle w:val="ListParagraph"/>
              <w:numPr>
                <w:ilvl w:val="0"/>
                <w:numId w:val="359"/>
              </w:numPr>
              <w:ind w:left="709" w:right="142" w:hanging="567"/>
              <w:contextualSpacing w:val="0"/>
              <w:rPr>
                <w:color w:val="000000" w:themeColor="text1"/>
                <w:szCs w:val="24"/>
              </w:rPr>
            </w:pPr>
            <w:r w:rsidRPr="00306115">
              <w:rPr>
                <w:color w:val="000000" w:themeColor="text1"/>
                <w:szCs w:val="24"/>
              </w:rPr>
              <w:t>Kesadaran (</w:t>
            </w:r>
            <w:r w:rsidRPr="00306115">
              <w:rPr>
                <w:i/>
                <w:color w:val="000000" w:themeColor="text1"/>
                <w:szCs w:val="24"/>
              </w:rPr>
              <w:t>awareness</w:t>
            </w:r>
            <w:r w:rsidRPr="00306115">
              <w:rPr>
                <w:color w:val="000000" w:themeColor="text1"/>
                <w:szCs w:val="24"/>
              </w:rPr>
              <w:t>) dan pemahaman Direksi dan Dewan Komisaris cukup tinggi atau cukup memadai mengenai pelaksanaan Manajemen Risiko, terutama terkait jenis dan tingkat risiko untuk Risiko Konsentrasi Portofolio Efek.</w:t>
            </w:r>
          </w:p>
          <w:p w14:paraId="20C4DEAB" w14:textId="77777777" w:rsidR="004751E1" w:rsidRPr="00306115" w:rsidRDefault="004751E1">
            <w:pPr>
              <w:pStyle w:val="ListParagraph"/>
              <w:numPr>
                <w:ilvl w:val="0"/>
                <w:numId w:val="359"/>
              </w:numPr>
              <w:ind w:left="709" w:right="142" w:hanging="567"/>
              <w:contextualSpacing w:val="0"/>
              <w:rPr>
                <w:color w:val="000000" w:themeColor="text1"/>
                <w:szCs w:val="24"/>
              </w:rPr>
            </w:pPr>
            <w:r w:rsidRPr="00306115">
              <w:rPr>
                <w:color w:val="000000" w:themeColor="text1"/>
                <w:szCs w:val="24"/>
              </w:rPr>
              <w:t>Budaya Manajemen Risiko untuk Risiko Konsentrasi Portofolio Efek cukup kuat dan telah diinternalisasikan dengan cukup baik pada seluruh level organisasi.</w:t>
            </w:r>
          </w:p>
          <w:p w14:paraId="3B9F1971" w14:textId="77777777" w:rsidR="004751E1" w:rsidRPr="00306115" w:rsidRDefault="004751E1">
            <w:pPr>
              <w:pStyle w:val="ListParagraph"/>
              <w:numPr>
                <w:ilvl w:val="0"/>
                <w:numId w:val="359"/>
              </w:numPr>
              <w:ind w:left="709" w:right="142" w:hanging="567"/>
              <w:contextualSpacing w:val="0"/>
              <w:rPr>
                <w:color w:val="000000" w:themeColor="text1"/>
                <w:szCs w:val="24"/>
              </w:rPr>
            </w:pPr>
            <w:r w:rsidRPr="00306115">
              <w:rPr>
                <w:color w:val="000000" w:themeColor="text1"/>
                <w:szCs w:val="24"/>
              </w:rPr>
              <w:t>Pelaksanaan tugas Direksi dan Dewan Komisaris secara keseluruhan cukup memadai. Terdapat beberapa kelemahan yang cukup signifikan pada beberapa aspek penilaian yang memerlukan perbaikan segera.</w:t>
            </w:r>
          </w:p>
          <w:p w14:paraId="619FDD4A" w14:textId="77777777" w:rsidR="004751E1" w:rsidRPr="00306115" w:rsidRDefault="004751E1">
            <w:pPr>
              <w:pStyle w:val="ListParagraph"/>
              <w:numPr>
                <w:ilvl w:val="0"/>
                <w:numId w:val="359"/>
              </w:numPr>
              <w:ind w:left="709" w:right="142" w:hanging="567"/>
              <w:contextualSpacing w:val="0"/>
              <w:rPr>
                <w:color w:val="000000" w:themeColor="text1"/>
                <w:szCs w:val="24"/>
              </w:rPr>
            </w:pPr>
            <w:r w:rsidRPr="00306115">
              <w:rPr>
                <w:color w:val="000000" w:themeColor="text1"/>
                <w:szCs w:val="24"/>
              </w:rPr>
              <w:t>Fungsi Manajemen Risiko untuk Risiko Konsentrasi Portofolio Efek independen, memiliki tugas dan tanggung jawab yang jelas, dan telah berjalan dengan cukup baik. Terdapat beberapa kelemahan yang cukup signifikan yang memerlukan perbaikan segera.</w:t>
            </w:r>
          </w:p>
          <w:p w14:paraId="4CF94689" w14:textId="77777777" w:rsidR="004751E1" w:rsidRPr="00306115" w:rsidRDefault="004751E1">
            <w:pPr>
              <w:pStyle w:val="ListParagraph"/>
              <w:numPr>
                <w:ilvl w:val="0"/>
                <w:numId w:val="359"/>
              </w:numPr>
              <w:ind w:left="709" w:right="142" w:hanging="567"/>
              <w:contextualSpacing w:val="0"/>
              <w:rPr>
                <w:color w:val="000000" w:themeColor="text1"/>
                <w:szCs w:val="24"/>
              </w:rPr>
            </w:pPr>
            <w:r w:rsidRPr="00306115">
              <w:rPr>
                <w:color w:val="000000" w:themeColor="text1"/>
                <w:szCs w:val="24"/>
              </w:rPr>
              <w:t>Kerangka pedelegasian wewenang cukup memadai.</w:t>
            </w:r>
          </w:p>
          <w:p w14:paraId="1213C9C4" w14:textId="77777777" w:rsidR="004751E1" w:rsidRPr="00306115" w:rsidRDefault="004751E1">
            <w:pPr>
              <w:pStyle w:val="ListParagraph"/>
              <w:numPr>
                <w:ilvl w:val="0"/>
                <w:numId w:val="359"/>
              </w:numPr>
              <w:ind w:left="709" w:right="142" w:hanging="567"/>
              <w:contextualSpacing w:val="0"/>
              <w:rPr>
                <w:color w:val="000000" w:themeColor="text1"/>
                <w:szCs w:val="24"/>
              </w:rPr>
            </w:pPr>
            <w:r w:rsidRPr="00306115">
              <w:rPr>
                <w:color w:val="000000" w:themeColor="text1"/>
                <w:szCs w:val="24"/>
              </w:rPr>
              <w:t>Penerapan kebijakan limit eksposur pada jenis aset, instrumen, atau entitas penerbit cukup memadai.</w:t>
            </w:r>
          </w:p>
          <w:p w14:paraId="1C302F6F" w14:textId="77777777" w:rsidR="004751E1" w:rsidRPr="00306115" w:rsidRDefault="004751E1">
            <w:pPr>
              <w:pStyle w:val="ListParagraph"/>
              <w:numPr>
                <w:ilvl w:val="0"/>
                <w:numId w:val="359"/>
              </w:numPr>
              <w:ind w:left="709" w:right="142" w:hanging="567"/>
              <w:contextualSpacing w:val="0"/>
              <w:rPr>
                <w:color w:val="000000" w:themeColor="text1"/>
                <w:szCs w:val="24"/>
              </w:rPr>
            </w:pPr>
            <w:r w:rsidRPr="00306115">
              <w:rPr>
                <w:color w:val="000000" w:themeColor="text1"/>
                <w:szCs w:val="24"/>
              </w:rPr>
              <w:t>Kebijakan dan prosedur Manajemen Risiko serta penetapan limit Risiko Konsentrasi Portofolio Efek cukup memadai, diterapkan dengan cukup baik, dan dipahami dengan cukup baik oleh pegawai.</w:t>
            </w:r>
          </w:p>
          <w:p w14:paraId="7F9876E2" w14:textId="77777777" w:rsidR="004751E1" w:rsidRPr="00306115" w:rsidRDefault="004751E1">
            <w:pPr>
              <w:pStyle w:val="ListParagraph"/>
              <w:numPr>
                <w:ilvl w:val="0"/>
                <w:numId w:val="359"/>
              </w:numPr>
              <w:ind w:left="709" w:right="142" w:hanging="567"/>
              <w:contextualSpacing w:val="0"/>
              <w:rPr>
                <w:color w:val="000000" w:themeColor="text1"/>
                <w:szCs w:val="24"/>
              </w:rPr>
            </w:pPr>
            <w:r w:rsidRPr="00306115">
              <w:rPr>
                <w:color w:val="000000" w:themeColor="text1"/>
                <w:szCs w:val="24"/>
              </w:rPr>
              <w:t xml:space="preserve">Proses Manajemen Risiko untuk Risiko Konsentrasi Portofolio Efek cukup memadai dalam mengidentifikasi, </w:t>
            </w:r>
            <w:r w:rsidRPr="00306115">
              <w:rPr>
                <w:color w:val="000000" w:themeColor="text1"/>
                <w:szCs w:val="24"/>
              </w:rPr>
              <w:lastRenderedPageBreak/>
              <w:t>mengukur, memantau, dan mengendalikan Risiko Konsentrasi Portofolio Efek.</w:t>
            </w:r>
          </w:p>
          <w:p w14:paraId="1715B9D6" w14:textId="77777777" w:rsidR="004751E1" w:rsidRPr="00306115" w:rsidRDefault="004751E1">
            <w:pPr>
              <w:pStyle w:val="ListParagraph"/>
              <w:numPr>
                <w:ilvl w:val="0"/>
                <w:numId w:val="359"/>
              </w:numPr>
              <w:ind w:left="709" w:right="142" w:hanging="567"/>
              <w:contextualSpacing w:val="0"/>
              <w:rPr>
                <w:color w:val="000000" w:themeColor="text1"/>
                <w:szCs w:val="24"/>
              </w:rPr>
            </w:pPr>
            <w:r w:rsidRPr="00306115">
              <w:rPr>
                <w:color w:val="000000" w:themeColor="text1"/>
                <w:szCs w:val="24"/>
              </w:rPr>
              <w:t>Sistem Informasi Manajemen Risiko untuk Risiko Konsentrasi Portofolio Efek cukup baik dalam menghasilkan informasi dan laporan Risiko Konsentrasi Portofolio Efek yang komprehensif.</w:t>
            </w:r>
          </w:p>
          <w:p w14:paraId="3786F26D" w14:textId="237B2955" w:rsidR="004751E1" w:rsidRPr="00306115" w:rsidRDefault="004751E1">
            <w:pPr>
              <w:pStyle w:val="ListParagraph"/>
              <w:numPr>
                <w:ilvl w:val="0"/>
                <w:numId w:val="359"/>
              </w:numPr>
              <w:ind w:left="709" w:right="142" w:hanging="567"/>
              <w:contextualSpacing w:val="0"/>
              <w:rPr>
                <w:color w:val="000000" w:themeColor="text1"/>
                <w:szCs w:val="24"/>
              </w:rPr>
            </w:pPr>
            <w:r w:rsidRPr="00306115">
              <w:rPr>
                <w:color w:val="000000" w:themeColor="text1"/>
                <w:szCs w:val="24"/>
              </w:rPr>
              <w:t xml:space="preserve">Secara umum sumber daya manusia cukup memadai baik dari sisi jumlah maupun kompetensi pada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untuk Risiko Konsentrasi Portofolio Efek.</w:t>
            </w:r>
          </w:p>
          <w:p w14:paraId="4F0F1577" w14:textId="77777777" w:rsidR="004751E1" w:rsidRPr="00306115" w:rsidRDefault="004751E1">
            <w:pPr>
              <w:pStyle w:val="ListParagraph"/>
              <w:numPr>
                <w:ilvl w:val="0"/>
                <w:numId w:val="359"/>
              </w:numPr>
              <w:ind w:left="709" w:right="142" w:hanging="567"/>
              <w:contextualSpacing w:val="0"/>
              <w:rPr>
                <w:color w:val="000000" w:themeColor="text1"/>
                <w:szCs w:val="24"/>
              </w:rPr>
            </w:pPr>
            <w:r w:rsidRPr="00306115">
              <w:rPr>
                <w:color w:val="000000" w:themeColor="text1"/>
                <w:szCs w:val="24"/>
              </w:rPr>
              <w:t>Sistem pengendalian internal cukup efektif dalam mendukung pelaksanaan Manajemen Risiko untuk Risiko Konsentrasi Portofolio Efek.</w:t>
            </w:r>
          </w:p>
          <w:p w14:paraId="10B75638" w14:textId="37863122" w:rsidR="004751E1" w:rsidRPr="00306115" w:rsidRDefault="004751E1">
            <w:pPr>
              <w:pStyle w:val="ListParagraph"/>
              <w:numPr>
                <w:ilvl w:val="0"/>
                <w:numId w:val="359"/>
              </w:numPr>
              <w:ind w:left="709" w:right="142" w:hanging="567"/>
              <w:contextualSpacing w:val="0"/>
              <w:rPr>
                <w:color w:val="000000" w:themeColor="text1"/>
                <w:szCs w:val="24"/>
              </w:rPr>
            </w:pPr>
            <w:r w:rsidRPr="00306115">
              <w:rPr>
                <w:color w:val="000000" w:themeColor="text1"/>
                <w:szCs w:val="24"/>
              </w:rPr>
              <w:t xml:space="preserve">Pelaksanaan kaji ulang oleh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dan fungsi audit internal cukup memadai. Terdapat beberapa kelemahan yang cukup signifikan pada metodologi, frekuensi, maupun pelaporan kepada Direksi dan Dewan Komisaris yang memerlukan perbaikan segera.</w:t>
            </w:r>
          </w:p>
          <w:p w14:paraId="6473499B" w14:textId="77777777" w:rsidR="004751E1" w:rsidRPr="00306115" w:rsidRDefault="004751E1">
            <w:pPr>
              <w:pStyle w:val="ListParagraph"/>
              <w:numPr>
                <w:ilvl w:val="0"/>
                <w:numId w:val="359"/>
              </w:numPr>
              <w:ind w:left="709" w:right="142" w:hanging="567"/>
              <w:contextualSpacing w:val="0"/>
              <w:rPr>
                <w:color w:val="000000" w:themeColor="text1"/>
                <w:szCs w:val="24"/>
              </w:rPr>
            </w:pPr>
            <w:r w:rsidRPr="00306115">
              <w:rPr>
                <w:color w:val="000000" w:themeColor="text1"/>
                <w:szCs w:val="24"/>
              </w:rPr>
              <w:t>Tindak lanjut atas kaji ulang telah dilaksanakan dengan cukup memadai.</w:t>
            </w:r>
          </w:p>
        </w:tc>
      </w:tr>
      <w:tr w:rsidR="004751E1" w:rsidRPr="00306115" w14:paraId="4E3FC93D" w14:textId="77777777" w:rsidTr="008F2564">
        <w:tc>
          <w:tcPr>
            <w:tcW w:w="2127" w:type="dxa"/>
          </w:tcPr>
          <w:p w14:paraId="45978C94" w14:textId="77777777" w:rsidR="004751E1" w:rsidRPr="00306115" w:rsidRDefault="004751E1" w:rsidP="00897E35">
            <w:pPr>
              <w:pStyle w:val="BodyText"/>
              <w:numPr>
                <w:ilvl w:val="0"/>
                <w:numId w:val="0"/>
              </w:numPr>
              <w:spacing w:before="60" w:after="60"/>
              <w:ind w:left="142" w:right="142"/>
              <w:jc w:val="center"/>
              <w:rPr>
                <w:color w:val="000000" w:themeColor="text1"/>
              </w:rPr>
            </w:pPr>
            <w:r w:rsidRPr="00306115">
              <w:rPr>
                <w:i/>
                <w:iCs/>
                <w:color w:val="000000" w:themeColor="text1"/>
              </w:rPr>
              <w:lastRenderedPageBreak/>
              <w:t>Marginal</w:t>
            </w:r>
            <w:r w:rsidRPr="00306115">
              <w:rPr>
                <w:color w:val="000000" w:themeColor="text1"/>
              </w:rPr>
              <w:t xml:space="preserve"> (4)</w:t>
            </w:r>
          </w:p>
        </w:tc>
        <w:tc>
          <w:tcPr>
            <w:tcW w:w="6095" w:type="dxa"/>
          </w:tcPr>
          <w:p w14:paraId="61F8E7A6" w14:textId="77777777" w:rsidR="004751E1" w:rsidRPr="00306115" w:rsidRDefault="004751E1" w:rsidP="0041787D">
            <w:pPr>
              <w:ind w:left="142" w:right="142"/>
              <w:rPr>
                <w:b/>
                <w:bCs/>
                <w:color w:val="000000" w:themeColor="text1"/>
                <w:szCs w:val="24"/>
              </w:rPr>
            </w:pPr>
            <w:r w:rsidRPr="00306115">
              <w:rPr>
                <w:color w:val="000000" w:themeColor="text1"/>
                <w:szCs w:val="24"/>
              </w:rPr>
              <w:t>Kualitas penerapan Manajemen Risiko untuk Risiko Konsentrasi Portofolio Efek kurang memadai. Terdapat kelemahan signifikan pada berbagai aspek Manajemen Risiko untuk Risiko Konsentrasi Portofolio Efek yang memerlukan perbaikan segera.</w:t>
            </w:r>
          </w:p>
          <w:p w14:paraId="24DBBC00" w14:textId="0D85F9AF" w:rsidR="004751E1" w:rsidRPr="00306115" w:rsidRDefault="004751E1" w:rsidP="0041787D">
            <w:pPr>
              <w:ind w:left="142" w:right="142"/>
              <w:rPr>
                <w:color w:val="000000" w:themeColor="text1"/>
                <w:szCs w:val="24"/>
              </w:rPr>
            </w:pPr>
            <w:r w:rsidRPr="00306115">
              <w:rPr>
                <w:color w:val="000000" w:themeColor="text1"/>
                <w:szCs w:val="24"/>
              </w:rPr>
              <w:t xml:space="preserve">Contoh </w:t>
            </w:r>
            <w:r w:rsidR="00764ECF" w:rsidRPr="00306115">
              <w:rPr>
                <w:color w:val="000000" w:themeColor="text1"/>
                <w:szCs w:val="24"/>
              </w:rPr>
              <w:t>karakteristik/kondisi</w:t>
            </w:r>
            <w:r w:rsidRPr="00306115">
              <w:rPr>
                <w:color w:val="000000" w:themeColor="text1"/>
                <w:szCs w:val="24"/>
              </w:rPr>
              <w:t xml:space="preserve"> Manajer Investasi yang termasuk dalam peringkat </w:t>
            </w:r>
            <w:r w:rsidRPr="00306115">
              <w:rPr>
                <w:i/>
                <w:color w:val="000000" w:themeColor="text1"/>
                <w:szCs w:val="24"/>
              </w:rPr>
              <w:t xml:space="preserve">Marginal </w:t>
            </w:r>
            <w:r w:rsidRPr="00306115">
              <w:rPr>
                <w:color w:val="000000" w:themeColor="text1"/>
                <w:szCs w:val="24"/>
              </w:rPr>
              <w:t>(4) antara lain sebagai berikut:</w:t>
            </w:r>
          </w:p>
          <w:p w14:paraId="1CC806AC" w14:textId="77777777" w:rsidR="004751E1" w:rsidRPr="00306115" w:rsidRDefault="004751E1">
            <w:pPr>
              <w:pStyle w:val="ListParagraph"/>
              <w:numPr>
                <w:ilvl w:val="0"/>
                <w:numId w:val="360"/>
              </w:numPr>
              <w:ind w:left="709" w:right="142" w:hanging="567"/>
              <w:contextualSpacing w:val="0"/>
              <w:rPr>
                <w:color w:val="000000" w:themeColor="text1"/>
                <w:szCs w:val="24"/>
              </w:rPr>
            </w:pPr>
            <w:r w:rsidRPr="00306115">
              <w:rPr>
                <w:color w:val="000000" w:themeColor="text1"/>
                <w:szCs w:val="24"/>
              </w:rPr>
              <w:t>Perumusan tingkat risiko yang akan diambil (</w:t>
            </w:r>
            <w:r w:rsidRPr="00306115">
              <w:rPr>
                <w:i/>
                <w:color w:val="000000" w:themeColor="text1"/>
                <w:szCs w:val="24"/>
              </w:rPr>
              <w:t>risk appetite</w:t>
            </w:r>
            <w:r w:rsidRPr="00306115">
              <w:rPr>
                <w:color w:val="000000" w:themeColor="text1"/>
                <w:szCs w:val="24"/>
              </w:rPr>
              <w:t>) dan toleransi (</w:t>
            </w:r>
            <w:r w:rsidRPr="00306115">
              <w:rPr>
                <w:i/>
                <w:color w:val="000000" w:themeColor="text1"/>
                <w:szCs w:val="24"/>
              </w:rPr>
              <w:t>risk tolerance</w:t>
            </w:r>
            <w:r w:rsidRPr="00306115">
              <w:rPr>
                <w:color w:val="000000" w:themeColor="text1"/>
                <w:szCs w:val="24"/>
              </w:rPr>
              <w:t>) Risiko Konsentrasi Portofolio Efek kurang memadai serta tidak sejalan dengan strategi dan tujuan bisnis secara keseluruhan.</w:t>
            </w:r>
          </w:p>
          <w:p w14:paraId="40B4B094" w14:textId="77777777" w:rsidR="004751E1" w:rsidRPr="00306115" w:rsidRDefault="004751E1">
            <w:pPr>
              <w:pStyle w:val="ListParagraph"/>
              <w:numPr>
                <w:ilvl w:val="0"/>
                <w:numId w:val="360"/>
              </w:numPr>
              <w:ind w:left="709" w:right="142" w:hanging="567"/>
              <w:contextualSpacing w:val="0"/>
              <w:rPr>
                <w:color w:val="000000" w:themeColor="text1"/>
                <w:szCs w:val="24"/>
              </w:rPr>
            </w:pPr>
            <w:r w:rsidRPr="00306115">
              <w:rPr>
                <w:color w:val="000000" w:themeColor="text1"/>
                <w:szCs w:val="24"/>
              </w:rPr>
              <w:t>Kesadaran (</w:t>
            </w:r>
            <w:r w:rsidRPr="00306115">
              <w:rPr>
                <w:i/>
                <w:color w:val="000000" w:themeColor="text1"/>
                <w:szCs w:val="24"/>
              </w:rPr>
              <w:t>awareness</w:t>
            </w:r>
            <w:r w:rsidRPr="00306115">
              <w:rPr>
                <w:color w:val="000000" w:themeColor="text1"/>
                <w:szCs w:val="24"/>
              </w:rPr>
              <w:t>) dan pemahaman Direksi dan Dewan Komisaris rendah atau tidak memadai mengenai pelaksanaan Manajemen Risiko, terutama terkait jenis dan tingkat risiko untuk Risiko Konsentrasi Portofolio Efek.</w:t>
            </w:r>
          </w:p>
          <w:p w14:paraId="6EE6EB2A" w14:textId="77777777" w:rsidR="004751E1" w:rsidRPr="00306115" w:rsidRDefault="004751E1">
            <w:pPr>
              <w:pStyle w:val="ListParagraph"/>
              <w:numPr>
                <w:ilvl w:val="0"/>
                <w:numId w:val="360"/>
              </w:numPr>
              <w:ind w:left="709" w:right="142" w:hanging="567"/>
              <w:contextualSpacing w:val="0"/>
              <w:rPr>
                <w:color w:val="000000" w:themeColor="text1"/>
                <w:szCs w:val="24"/>
              </w:rPr>
            </w:pPr>
            <w:r w:rsidRPr="00306115">
              <w:rPr>
                <w:color w:val="000000" w:themeColor="text1"/>
                <w:szCs w:val="24"/>
              </w:rPr>
              <w:t>Budaya Manajemen Risiko untuk Risiko Konsentrasi Portofolio Efek kurang kuat dan belum diinternalisasikan dengan baik pada seluruh level organisasi.</w:t>
            </w:r>
          </w:p>
          <w:p w14:paraId="2BD89C73" w14:textId="77777777" w:rsidR="004751E1" w:rsidRPr="00306115" w:rsidRDefault="004751E1">
            <w:pPr>
              <w:pStyle w:val="ListParagraph"/>
              <w:numPr>
                <w:ilvl w:val="0"/>
                <w:numId w:val="360"/>
              </w:numPr>
              <w:ind w:left="709" w:right="142" w:hanging="567"/>
              <w:contextualSpacing w:val="0"/>
              <w:rPr>
                <w:color w:val="000000" w:themeColor="text1"/>
                <w:szCs w:val="24"/>
              </w:rPr>
            </w:pPr>
            <w:r w:rsidRPr="00306115">
              <w:rPr>
                <w:color w:val="000000" w:themeColor="text1"/>
                <w:szCs w:val="24"/>
              </w:rPr>
              <w:t xml:space="preserve">Pelaksanaan tugas Direksi dan Dewan Komisaris secara keseluruhan kurang </w:t>
            </w:r>
            <w:r w:rsidRPr="00306115">
              <w:rPr>
                <w:color w:val="000000" w:themeColor="text1"/>
                <w:szCs w:val="24"/>
              </w:rPr>
              <w:lastRenderedPageBreak/>
              <w:t>memadai. Terdapat beberapa kelemahan signifikan pada beberapa aspek penilaian yang memerlukan perbaikan segera.</w:t>
            </w:r>
          </w:p>
          <w:p w14:paraId="2FF6BAB9" w14:textId="77777777" w:rsidR="004751E1" w:rsidRPr="00306115" w:rsidRDefault="004751E1">
            <w:pPr>
              <w:pStyle w:val="ListParagraph"/>
              <w:numPr>
                <w:ilvl w:val="0"/>
                <w:numId w:val="360"/>
              </w:numPr>
              <w:ind w:left="709" w:right="142" w:hanging="567"/>
              <w:contextualSpacing w:val="0"/>
              <w:rPr>
                <w:color w:val="000000" w:themeColor="text1"/>
                <w:szCs w:val="24"/>
              </w:rPr>
            </w:pPr>
            <w:r w:rsidRPr="00306115">
              <w:rPr>
                <w:color w:val="000000" w:themeColor="text1"/>
                <w:szCs w:val="24"/>
              </w:rPr>
              <w:t>Fungsi Manajemen Risiko untuk Risiko Konsentrasi Portofolio Efek belum sepenuhnya independen. Terdapat beberapa kelemahan signifikan yang memerlukan perbaikan segera.</w:t>
            </w:r>
          </w:p>
          <w:p w14:paraId="276627F8" w14:textId="77777777" w:rsidR="004751E1" w:rsidRPr="00306115" w:rsidRDefault="004751E1">
            <w:pPr>
              <w:pStyle w:val="ListParagraph"/>
              <w:numPr>
                <w:ilvl w:val="0"/>
                <w:numId w:val="360"/>
              </w:numPr>
              <w:ind w:left="709" w:right="142" w:hanging="567"/>
              <w:contextualSpacing w:val="0"/>
              <w:rPr>
                <w:color w:val="000000" w:themeColor="text1"/>
                <w:szCs w:val="24"/>
              </w:rPr>
            </w:pPr>
            <w:r w:rsidRPr="00306115">
              <w:rPr>
                <w:color w:val="000000" w:themeColor="text1"/>
                <w:szCs w:val="24"/>
              </w:rPr>
              <w:t>Kerangka pedelegasian wewenang kurang memadai.</w:t>
            </w:r>
          </w:p>
          <w:p w14:paraId="151829FE" w14:textId="77777777" w:rsidR="004751E1" w:rsidRPr="00306115" w:rsidRDefault="004751E1">
            <w:pPr>
              <w:pStyle w:val="ListParagraph"/>
              <w:numPr>
                <w:ilvl w:val="0"/>
                <w:numId w:val="360"/>
              </w:numPr>
              <w:ind w:left="709" w:right="142" w:hanging="567"/>
              <w:contextualSpacing w:val="0"/>
              <w:rPr>
                <w:color w:val="000000" w:themeColor="text1"/>
                <w:szCs w:val="24"/>
              </w:rPr>
            </w:pPr>
            <w:r w:rsidRPr="00306115">
              <w:rPr>
                <w:color w:val="000000" w:themeColor="text1"/>
                <w:szCs w:val="24"/>
              </w:rPr>
              <w:t>Penerapan kebijakan limit eksposur pada jenis aset, instrumen, atau entitas penerbit kurang memadai.</w:t>
            </w:r>
          </w:p>
          <w:p w14:paraId="5B0FA108" w14:textId="77777777" w:rsidR="004751E1" w:rsidRPr="00306115" w:rsidRDefault="004751E1">
            <w:pPr>
              <w:pStyle w:val="ListParagraph"/>
              <w:numPr>
                <w:ilvl w:val="0"/>
                <w:numId w:val="360"/>
              </w:numPr>
              <w:ind w:left="709" w:right="142" w:hanging="567"/>
              <w:contextualSpacing w:val="0"/>
              <w:rPr>
                <w:color w:val="000000" w:themeColor="text1"/>
                <w:szCs w:val="24"/>
              </w:rPr>
            </w:pPr>
            <w:r w:rsidRPr="00306115">
              <w:rPr>
                <w:color w:val="000000" w:themeColor="text1"/>
                <w:szCs w:val="24"/>
              </w:rPr>
              <w:t>Kebijakan dan prosedur Manajemen Risiko serta penetapan limit Risiko Konsentrasi Portofolio Efek kurang memadai, diterapkan dengan kurang baik, dan dipahami dengan kurang baik oleh pegawai, sehingga memerlukan perbaikan segera.</w:t>
            </w:r>
          </w:p>
          <w:p w14:paraId="01A18CBF" w14:textId="77777777" w:rsidR="004751E1" w:rsidRPr="00306115" w:rsidRDefault="004751E1">
            <w:pPr>
              <w:pStyle w:val="ListParagraph"/>
              <w:numPr>
                <w:ilvl w:val="0"/>
                <w:numId w:val="360"/>
              </w:numPr>
              <w:ind w:left="709" w:right="142" w:hanging="567"/>
              <w:contextualSpacing w:val="0"/>
              <w:rPr>
                <w:color w:val="000000" w:themeColor="text1"/>
                <w:szCs w:val="24"/>
              </w:rPr>
            </w:pPr>
            <w:r w:rsidRPr="00306115">
              <w:rPr>
                <w:color w:val="000000" w:themeColor="text1"/>
                <w:szCs w:val="24"/>
              </w:rPr>
              <w:t>Proses Manajemen Risiko untuk Risiko Konsentrasi Portofolio Efek kurang memadai dalam mengidentifikasi, mengukur, memantau, dan mengendalikan Risiko Konsentrasi Portofolio Efek.</w:t>
            </w:r>
          </w:p>
          <w:p w14:paraId="2DA130E3" w14:textId="77777777" w:rsidR="004751E1" w:rsidRPr="00306115" w:rsidRDefault="004751E1">
            <w:pPr>
              <w:pStyle w:val="ListParagraph"/>
              <w:numPr>
                <w:ilvl w:val="0"/>
                <w:numId w:val="360"/>
              </w:numPr>
              <w:ind w:left="709" w:right="142" w:hanging="567"/>
              <w:contextualSpacing w:val="0"/>
              <w:rPr>
                <w:color w:val="000000" w:themeColor="text1"/>
                <w:szCs w:val="24"/>
              </w:rPr>
            </w:pPr>
            <w:r w:rsidRPr="00306115">
              <w:rPr>
                <w:color w:val="000000" w:themeColor="text1"/>
                <w:szCs w:val="24"/>
              </w:rPr>
              <w:t>Sistem Informasi Manajemen Risiko untuk Risiko Konsentrasi Portofolio Efek kurang baik dalam menghasilkan informasi dan laporan Risiko Konsentrasi Portofolio Efek yang komprehensif.</w:t>
            </w:r>
          </w:p>
          <w:p w14:paraId="1BDD4278" w14:textId="73449645" w:rsidR="004751E1" w:rsidRPr="00306115" w:rsidRDefault="004751E1">
            <w:pPr>
              <w:pStyle w:val="ListParagraph"/>
              <w:numPr>
                <w:ilvl w:val="0"/>
                <w:numId w:val="360"/>
              </w:numPr>
              <w:ind w:left="709" w:right="142" w:hanging="567"/>
              <w:contextualSpacing w:val="0"/>
              <w:rPr>
                <w:color w:val="000000" w:themeColor="text1"/>
                <w:szCs w:val="24"/>
              </w:rPr>
            </w:pPr>
            <w:r w:rsidRPr="00306115">
              <w:rPr>
                <w:color w:val="000000" w:themeColor="text1"/>
                <w:szCs w:val="24"/>
              </w:rPr>
              <w:t xml:space="preserve">Sumber daya manusia kurang memadai baik dari sisi jumlah maupun kompetensi pada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untuk Risiko Konsentrasi Portofolio Efek.</w:t>
            </w:r>
          </w:p>
          <w:p w14:paraId="124BB7F2" w14:textId="77777777" w:rsidR="004751E1" w:rsidRPr="00306115" w:rsidRDefault="004751E1">
            <w:pPr>
              <w:pStyle w:val="ListParagraph"/>
              <w:numPr>
                <w:ilvl w:val="0"/>
                <w:numId w:val="360"/>
              </w:numPr>
              <w:ind w:left="709" w:right="142" w:hanging="567"/>
              <w:contextualSpacing w:val="0"/>
              <w:rPr>
                <w:color w:val="000000" w:themeColor="text1"/>
                <w:szCs w:val="24"/>
              </w:rPr>
            </w:pPr>
            <w:r w:rsidRPr="00306115">
              <w:rPr>
                <w:color w:val="000000" w:themeColor="text1"/>
                <w:szCs w:val="24"/>
              </w:rPr>
              <w:t>Sistem pengendalian internal kurang efektif dalam mendukung pelaksanaan Manajemen Risiko untuk Risiko Konsentrasi Portofolio Efek.</w:t>
            </w:r>
          </w:p>
          <w:p w14:paraId="7DDC7F89" w14:textId="72989D56" w:rsidR="004751E1" w:rsidRPr="00306115" w:rsidRDefault="004751E1">
            <w:pPr>
              <w:pStyle w:val="ListParagraph"/>
              <w:numPr>
                <w:ilvl w:val="0"/>
                <w:numId w:val="360"/>
              </w:numPr>
              <w:ind w:left="709" w:right="142" w:hanging="567"/>
              <w:contextualSpacing w:val="0"/>
              <w:rPr>
                <w:color w:val="000000" w:themeColor="text1"/>
                <w:szCs w:val="24"/>
              </w:rPr>
            </w:pPr>
            <w:r w:rsidRPr="00306115">
              <w:rPr>
                <w:color w:val="000000" w:themeColor="text1"/>
                <w:szCs w:val="24"/>
              </w:rPr>
              <w:t xml:space="preserve">Pelaksanaan kaji ulang oleh fungsi </w:t>
            </w:r>
            <w:r w:rsidR="00DA0D2E" w:rsidRPr="00306115">
              <w:rPr>
                <w:color w:val="000000" w:themeColor="text1"/>
              </w:rPr>
              <w:t>Manajemen Risiko</w:t>
            </w:r>
            <w:r w:rsidRPr="00306115">
              <w:rPr>
                <w:color w:val="000000" w:themeColor="text1"/>
                <w:szCs w:val="24"/>
              </w:rPr>
              <w:t xml:space="preserve"> dan fungsi audit internal kurang memadai. Terdapat beberapa kelemahan yang signifikan pada metodologi, frekuensi, maupun pelaporan kepada Direksi dan Dewan Komisaris yang memerlukan perbaikan segera.</w:t>
            </w:r>
          </w:p>
          <w:p w14:paraId="0F15B14E" w14:textId="77777777" w:rsidR="004751E1" w:rsidRPr="00306115" w:rsidRDefault="004751E1">
            <w:pPr>
              <w:pStyle w:val="ListParagraph"/>
              <w:numPr>
                <w:ilvl w:val="0"/>
                <w:numId w:val="360"/>
              </w:numPr>
              <w:ind w:left="709" w:right="142" w:hanging="567"/>
              <w:contextualSpacing w:val="0"/>
              <w:rPr>
                <w:b/>
                <w:bCs/>
                <w:color w:val="000000" w:themeColor="text1"/>
                <w:szCs w:val="24"/>
              </w:rPr>
            </w:pPr>
            <w:r w:rsidRPr="00306115">
              <w:rPr>
                <w:color w:val="000000" w:themeColor="text1"/>
                <w:szCs w:val="24"/>
              </w:rPr>
              <w:t>Tindak lanjut atas kaji ulang kurang memadai.</w:t>
            </w:r>
          </w:p>
        </w:tc>
      </w:tr>
      <w:tr w:rsidR="004751E1" w:rsidRPr="00306115" w14:paraId="2D556BD6" w14:textId="77777777" w:rsidTr="008F2564">
        <w:tc>
          <w:tcPr>
            <w:tcW w:w="2127" w:type="dxa"/>
          </w:tcPr>
          <w:p w14:paraId="00180314" w14:textId="77777777" w:rsidR="004751E1" w:rsidRPr="00306115" w:rsidRDefault="004751E1" w:rsidP="00897E35">
            <w:pPr>
              <w:pStyle w:val="BodyText"/>
              <w:numPr>
                <w:ilvl w:val="0"/>
                <w:numId w:val="0"/>
              </w:numPr>
              <w:spacing w:before="60" w:after="60"/>
              <w:jc w:val="center"/>
              <w:rPr>
                <w:color w:val="000000" w:themeColor="text1"/>
              </w:rPr>
            </w:pPr>
            <w:r w:rsidRPr="00306115">
              <w:rPr>
                <w:i/>
                <w:iCs/>
                <w:color w:val="000000" w:themeColor="text1"/>
              </w:rPr>
              <w:lastRenderedPageBreak/>
              <w:t>Unsatisfactory</w:t>
            </w:r>
            <w:r w:rsidRPr="00306115">
              <w:rPr>
                <w:color w:val="000000" w:themeColor="text1"/>
              </w:rPr>
              <w:t xml:space="preserve"> (5)</w:t>
            </w:r>
          </w:p>
        </w:tc>
        <w:tc>
          <w:tcPr>
            <w:tcW w:w="6095" w:type="dxa"/>
          </w:tcPr>
          <w:p w14:paraId="343AC88B" w14:textId="77777777" w:rsidR="004751E1" w:rsidRPr="00306115" w:rsidRDefault="004751E1" w:rsidP="0041787D">
            <w:pPr>
              <w:ind w:left="142" w:right="142"/>
              <w:rPr>
                <w:b/>
                <w:bCs/>
                <w:color w:val="000000" w:themeColor="text1"/>
                <w:szCs w:val="24"/>
              </w:rPr>
            </w:pPr>
            <w:r w:rsidRPr="00306115">
              <w:rPr>
                <w:color w:val="000000" w:themeColor="text1"/>
                <w:szCs w:val="24"/>
              </w:rPr>
              <w:t xml:space="preserve">Kualitas penerapan Manajemen Risiko untuk Risiko Konsentrasi Portofolio Efek tidak memadai. Terdapat kelemahan signifikan pada berbagai aspek Manajemen Risiko untuk Risiko Konsentrasi Portofolio Efek yang tindakan </w:t>
            </w:r>
            <w:r w:rsidRPr="00306115">
              <w:rPr>
                <w:color w:val="000000" w:themeColor="text1"/>
                <w:szCs w:val="24"/>
              </w:rPr>
              <w:lastRenderedPageBreak/>
              <w:t>penyelesaiannya di luar kemampuan manajemen.</w:t>
            </w:r>
          </w:p>
          <w:p w14:paraId="4E2C51C4" w14:textId="1062FBFF" w:rsidR="004751E1" w:rsidRPr="00306115" w:rsidRDefault="004751E1" w:rsidP="0041787D">
            <w:pPr>
              <w:ind w:left="142" w:right="142"/>
              <w:rPr>
                <w:color w:val="000000" w:themeColor="text1"/>
                <w:szCs w:val="24"/>
              </w:rPr>
            </w:pPr>
            <w:r w:rsidRPr="00306115">
              <w:rPr>
                <w:color w:val="000000" w:themeColor="text1"/>
                <w:szCs w:val="24"/>
              </w:rPr>
              <w:t xml:space="preserve">Contoh </w:t>
            </w:r>
            <w:r w:rsidR="00764ECF" w:rsidRPr="00306115">
              <w:rPr>
                <w:color w:val="000000" w:themeColor="text1"/>
                <w:szCs w:val="24"/>
              </w:rPr>
              <w:t>karakteristik/kondisi</w:t>
            </w:r>
            <w:r w:rsidRPr="00306115">
              <w:rPr>
                <w:color w:val="000000" w:themeColor="text1"/>
                <w:szCs w:val="24"/>
              </w:rPr>
              <w:t xml:space="preserve"> Manajer Investasi yang termasuk dalam peringkat </w:t>
            </w:r>
            <w:r w:rsidRPr="00306115">
              <w:rPr>
                <w:i/>
                <w:color w:val="000000" w:themeColor="text1"/>
                <w:szCs w:val="24"/>
              </w:rPr>
              <w:t xml:space="preserve">Unsatisfactory </w:t>
            </w:r>
            <w:r w:rsidRPr="00306115">
              <w:rPr>
                <w:color w:val="000000" w:themeColor="text1"/>
                <w:szCs w:val="24"/>
              </w:rPr>
              <w:t>(5) ini antara lain sebagai berikut:</w:t>
            </w:r>
          </w:p>
          <w:p w14:paraId="1549A871" w14:textId="77777777" w:rsidR="004751E1" w:rsidRPr="00306115" w:rsidRDefault="004751E1">
            <w:pPr>
              <w:pStyle w:val="ListParagraph"/>
              <w:numPr>
                <w:ilvl w:val="0"/>
                <w:numId w:val="361"/>
              </w:numPr>
              <w:ind w:left="709" w:right="142" w:hanging="567"/>
              <w:contextualSpacing w:val="0"/>
              <w:rPr>
                <w:color w:val="000000" w:themeColor="text1"/>
                <w:szCs w:val="24"/>
              </w:rPr>
            </w:pPr>
            <w:r w:rsidRPr="00306115">
              <w:rPr>
                <w:color w:val="000000" w:themeColor="text1"/>
                <w:szCs w:val="24"/>
              </w:rPr>
              <w:t>Perumusan tingkat risiko yang akan diambil (</w:t>
            </w:r>
            <w:r w:rsidRPr="00306115">
              <w:rPr>
                <w:i/>
                <w:color w:val="000000" w:themeColor="text1"/>
                <w:szCs w:val="24"/>
              </w:rPr>
              <w:t>risk appetite</w:t>
            </w:r>
            <w:r w:rsidRPr="00306115">
              <w:rPr>
                <w:color w:val="000000" w:themeColor="text1"/>
                <w:szCs w:val="24"/>
              </w:rPr>
              <w:t>) dan toleransi (</w:t>
            </w:r>
            <w:r w:rsidRPr="00306115">
              <w:rPr>
                <w:i/>
                <w:color w:val="000000" w:themeColor="text1"/>
                <w:szCs w:val="24"/>
              </w:rPr>
              <w:t>risk tolerance</w:t>
            </w:r>
            <w:r w:rsidRPr="00306115">
              <w:rPr>
                <w:color w:val="000000" w:themeColor="text1"/>
                <w:szCs w:val="24"/>
              </w:rPr>
              <w:t>) Risiko Konsentrasi Portofolio Efek tidak memadai serta tidak terdapat kaitan dengan strategi dan tujuan bisnis secara keseluruhan.</w:t>
            </w:r>
          </w:p>
          <w:p w14:paraId="45CFC188" w14:textId="77777777" w:rsidR="004751E1" w:rsidRPr="00306115" w:rsidRDefault="004751E1">
            <w:pPr>
              <w:pStyle w:val="ListParagraph"/>
              <w:numPr>
                <w:ilvl w:val="0"/>
                <w:numId w:val="361"/>
              </w:numPr>
              <w:ind w:left="709" w:right="142" w:hanging="567"/>
              <w:contextualSpacing w:val="0"/>
              <w:rPr>
                <w:color w:val="000000" w:themeColor="text1"/>
                <w:szCs w:val="24"/>
              </w:rPr>
            </w:pPr>
            <w:r w:rsidRPr="00306115">
              <w:rPr>
                <w:color w:val="000000" w:themeColor="text1"/>
                <w:szCs w:val="24"/>
              </w:rPr>
              <w:t>Kesadaran (awareness) dan pemahaman Direksi dan Dewan Komisaris sangat rendah atau sangat tidak memadai mengenai pelaksanaan Manajemen Risiko, terutama terkait jenis dan tingkat risiko untuk Risiko Konsentrasi Portofolio Efek.</w:t>
            </w:r>
          </w:p>
          <w:p w14:paraId="4E404703" w14:textId="77777777" w:rsidR="004751E1" w:rsidRPr="00306115" w:rsidRDefault="004751E1">
            <w:pPr>
              <w:pStyle w:val="ListParagraph"/>
              <w:numPr>
                <w:ilvl w:val="0"/>
                <w:numId w:val="361"/>
              </w:numPr>
              <w:ind w:left="709" w:right="142" w:hanging="567"/>
              <w:contextualSpacing w:val="0"/>
              <w:rPr>
                <w:color w:val="000000" w:themeColor="text1"/>
                <w:szCs w:val="24"/>
              </w:rPr>
            </w:pPr>
            <w:r w:rsidRPr="00306115">
              <w:rPr>
                <w:color w:val="000000" w:themeColor="text1"/>
                <w:szCs w:val="24"/>
              </w:rPr>
              <w:t>Budaya Manajemen Risiko untuk Risiko Konsentrasi Portofolio Efek tidak kuat atau belum ada sama sekali.</w:t>
            </w:r>
          </w:p>
          <w:p w14:paraId="12F1184E" w14:textId="77777777" w:rsidR="004751E1" w:rsidRPr="00306115" w:rsidRDefault="004751E1">
            <w:pPr>
              <w:pStyle w:val="ListParagraph"/>
              <w:numPr>
                <w:ilvl w:val="0"/>
                <w:numId w:val="361"/>
              </w:numPr>
              <w:ind w:left="709" w:right="142" w:hanging="567"/>
              <w:contextualSpacing w:val="0"/>
              <w:rPr>
                <w:color w:val="000000" w:themeColor="text1"/>
                <w:szCs w:val="24"/>
              </w:rPr>
            </w:pPr>
            <w:r w:rsidRPr="00306115">
              <w:rPr>
                <w:color w:val="000000" w:themeColor="text1"/>
                <w:szCs w:val="24"/>
              </w:rPr>
              <w:t>Pelaksanaan tugas Direksi dan Dewan Komisaris secara keseluruhan tidak memadai. Terdapat beberapa kelemahan yang signifikan pada hampir seluruh aspek penilaian yang tindakan penyelesaiannya di luar kemampuan manajemen.</w:t>
            </w:r>
          </w:p>
          <w:p w14:paraId="463E367C" w14:textId="77777777" w:rsidR="004751E1" w:rsidRPr="00306115" w:rsidRDefault="004751E1">
            <w:pPr>
              <w:pStyle w:val="ListParagraph"/>
              <w:numPr>
                <w:ilvl w:val="0"/>
                <w:numId w:val="361"/>
              </w:numPr>
              <w:ind w:left="709" w:right="142" w:hanging="567"/>
              <w:contextualSpacing w:val="0"/>
              <w:rPr>
                <w:color w:val="000000" w:themeColor="text1"/>
                <w:szCs w:val="24"/>
              </w:rPr>
            </w:pPr>
            <w:r w:rsidRPr="00306115">
              <w:rPr>
                <w:color w:val="000000" w:themeColor="text1"/>
                <w:szCs w:val="24"/>
              </w:rPr>
              <w:t>Fungsi Manajemen Risiko untuk Risiko Konsentrasi Portofolio Efek tidak independen, serta terdapat kelemahan signifikan yang memerlukan perbaikan fundamental.</w:t>
            </w:r>
          </w:p>
          <w:p w14:paraId="5BBD1E31" w14:textId="77777777" w:rsidR="004751E1" w:rsidRPr="00306115" w:rsidRDefault="004751E1">
            <w:pPr>
              <w:pStyle w:val="ListParagraph"/>
              <w:numPr>
                <w:ilvl w:val="0"/>
                <w:numId w:val="361"/>
              </w:numPr>
              <w:ind w:left="709" w:right="142" w:hanging="567"/>
              <w:contextualSpacing w:val="0"/>
              <w:rPr>
                <w:color w:val="000000" w:themeColor="text1"/>
                <w:szCs w:val="24"/>
              </w:rPr>
            </w:pPr>
            <w:r w:rsidRPr="00306115">
              <w:rPr>
                <w:color w:val="000000" w:themeColor="text1"/>
                <w:szCs w:val="24"/>
              </w:rPr>
              <w:t>Kerangka pedelegasian wewenang tidak memadai.</w:t>
            </w:r>
          </w:p>
          <w:p w14:paraId="013C3444" w14:textId="77777777" w:rsidR="004751E1" w:rsidRPr="00306115" w:rsidRDefault="004751E1">
            <w:pPr>
              <w:pStyle w:val="ListParagraph"/>
              <w:numPr>
                <w:ilvl w:val="0"/>
                <w:numId w:val="361"/>
              </w:numPr>
              <w:ind w:left="709" w:right="142" w:hanging="567"/>
              <w:contextualSpacing w:val="0"/>
              <w:rPr>
                <w:color w:val="000000" w:themeColor="text1"/>
                <w:szCs w:val="24"/>
              </w:rPr>
            </w:pPr>
            <w:r w:rsidRPr="00306115">
              <w:rPr>
                <w:color w:val="000000" w:themeColor="text1"/>
                <w:szCs w:val="24"/>
              </w:rPr>
              <w:t>Penerapan kebijakan limit eksposur pada jenis aset, instrumen, atau entitas penerbit tidak memadai.</w:t>
            </w:r>
          </w:p>
          <w:p w14:paraId="7DADCED8" w14:textId="77777777" w:rsidR="004751E1" w:rsidRPr="00306115" w:rsidRDefault="004751E1">
            <w:pPr>
              <w:pStyle w:val="ListParagraph"/>
              <w:numPr>
                <w:ilvl w:val="0"/>
                <w:numId w:val="361"/>
              </w:numPr>
              <w:ind w:left="709" w:right="142" w:hanging="567"/>
              <w:contextualSpacing w:val="0"/>
              <w:rPr>
                <w:color w:val="000000" w:themeColor="text1"/>
                <w:szCs w:val="24"/>
              </w:rPr>
            </w:pPr>
            <w:r w:rsidRPr="00306115">
              <w:rPr>
                <w:color w:val="000000" w:themeColor="text1"/>
                <w:szCs w:val="24"/>
              </w:rPr>
              <w:t>Kebijakan dan prosedur Manajemen Risiko serta penetapan limit Risiko Konsentrasi Portofolio Efek tidak memadai, tidak diterapkan, dan tidak dipahami oleh pegawai, sehingga memerlukan perbaikan fundamental.</w:t>
            </w:r>
          </w:p>
          <w:p w14:paraId="0FE532E1" w14:textId="77777777" w:rsidR="004751E1" w:rsidRPr="00306115" w:rsidRDefault="004751E1">
            <w:pPr>
              <w:pStyle w:val="ListParagraph"/>
              <w:numPr>
                <w:ilvl w:val="0"/>
                <w:numId w:val="361"/>
              </w:numPr>
              <w:ind w:left="709" w:right="142" w:hanging="567"/>
              <w:contextualSpacing w:val="0"/>
              <w:rPr>
                <w:color w:val="000000" w:themeColor="text1"/>
                <w:szCs w:val="24"/>
              </w:rPr>
            </w:pPr>
            <w:r w:rsidRPr="00306115">
              <w:rPr>
                <w:color w:val="000000" w:themeColor="text1"/>
                <w:szCs w:val="24"/>
              </w:rPr>
              <w:t>Proses Manajemen Risiko untuk Risiko Konsentrasi Portofolio Efek tidak memadai dalam mengidentifikasi, mengukur, memantau, dan mengendalikan Risiko Konsentrasi Portofolio Efek.</w:t>
            </w:r>
          </w:p>
          <w:p w14:paraId="66DD8ADF" w14:textId="77777777" w:rsidR="004751E1" w:rsidRPr="00306115" w:rsidRDefault="004751E1">
            <w:pPr>
              <w:pStyle w:val="ListParagraph"/>
              <w:numPr>
                <w:ilvl w:val="0"/>
                <w:numId w:val="361"/>
              </w:numPr>
              <w:ind w:left="709" w:right="142" w:hanging="567"/>
              <w:contextualSpacing w:val="0"/>
              <w:rPr>
                <w:color w:val="000000" w:themeColor="text1"/>
                <w:szCs w:val="24"/>
              </w:rPr>
            </w:pPr>
            <w:r w:rsidRPr="00306115">
              <w:rPr>
                <w:color w:val="000000" w:themeColor="text1"/>
                <w:szCs w:val="24"/>
              </w:rPr>
              <w:t>Sistem Informasi Manajemen Risiko untuk Risiko Konsentrasi Portofolio Efek tidak dapat menghasilkan informasi dan laporan Risiko Konsentrasi Portofolio Efek yang komprehensif.</w:t>
            </w:r>
          </w:p>
          <w:p w14:paraId="5C25827F" w14:textId="599C428A" w:rsidR="004751E1" w:rsidRPr="00306115" w:rsidRDefault="004751E1">
            <w:pPr>
              <w:pStyle w:val="ListParagraph"/>
              <w:numPr>
                <w:ilvl w:val="0"/>
                <w:numId w:val="361"/>
              </w:numPr>
              <w:ind w:left="709" w:right="142" w:hanging="567"/>
              <w:contextualSpacing w:val="0"/>
              <w:rPr>
                <w:color w:val="000000" w:themeColor="text1"/>
                <w:szCs w:val="24"/>
              </w:rPr>
            </w:pPr>
            <w:r w:rsidRPr="00306115">
              <w:rPr>
                <w:color w:val="000000" w:themeColor="text1"/>
                <w:szCs w:val="24"/>
              </w:rPr>
              <w:t xml:space="preserve">Sumber daya manusia tidak memadai baik dari sisi jumlah maupun kompetensi pada </w:t>
            </w:r>
            <w:r w:rsidRPr="00306115">
              <w:rPr>
                <w:color w:val="000000" w:themeColor="text1"/>
                <w:szCs w:val="24"/>
              </w:rPr>
              <w:lastRenderedPageBreak/>
              <w:t xml:space="preserve">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untuk Risiko Konsentrasi Portofolio Efek.</w:t>
            </w:r>
          </w:p>
          <w:p w14:paraId="260C3B26" w14:textId="77777777" w:rsidR="004751E1" w:rsidRPr="00306115" w:rsidRDefault="004751E1">
            <w:pPr>
              <w:pStyle w:val="ListParagraph"/>
              <w:numPr>
                <w:ilvl w:val="0"/>
                <w:numId w:val="361"/>
              </w:numPr>
              <w:ind w:left="709" w:right="142" w:hanging="567"/>
              <w:contextualSpacing w:val="0"/>
              <w:rPr>
                <w:color w:val="000000" w:themeColor="text1"/>
                <w:szCs w:val="24"/>
              </w:rPr>
            </w:pPr>
            <w:r w:rsidRPr="00306115">
              <w:rPr>
                <w:color w:val="000000" w:themeColor="text1"/>
                <w:szCs w:val="24"/>
              </w:rPr>
              <w:t>Sistem pengendalian internal tidak efektif dalam mendukung pelaksanaan Manajemen Risiko untuk Risiko Konsentrasi Portofolio Efek.</w:t>
            </w:r>
          </w:p>
          <w:p w14:paraId="3E45E1B1" w14:textId="08CE217D" w:rsidR="004751E1" w:rsidRPr="00306115" w:rsidRDefault="004751E1">
            <w:pPr>
              <w:pStyle w:val="ListParagraph"/>
              <w:numPr>
                <w:ilvl w:val="0"/>
                <w:numId w:val="361"/>
              </w:numPr>
              <w:ind w:left="709" w:right="142" w:hanging="567"/>
              <w:contextualSpacing w:val="0"/>
              <w:rPr>
                <w:color w:val="000000" w:themeColor="text1"/>
                <w:szCs w:val="24"/>
              </w:rPr>
            </w:pPr>
            <w:r w:rsidRPr="00306115">
              <w:rPr>
                <w:color w:val="000000" w:themeColor="text1"/>
                <w:szCs w:val="24"/>
              </w:rPr>
              <w:t xml:space="preserve">Pelaksanaan kaji ulang oleh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dan fungsi audit internal tidak memadai. Terdapat kelemahan yang signifikan pada metodologi, frekuensi, maupun pelaporan kepada Direksi dan Dewan Komisaris yang memerlukan perbaikan fundamental.</w:t>
            </w:r>
          </w:p>
          <w:p w14:paraId="19F028AE" w14:textId="77777777" w:rsidR="004751E1" w:rsidRPr="00306115" w:rsidRDefault="004751E1">
            <w:pPr>
              <w:pStyle w:val="ListParagraph"/>
              <w:numPr>
                <w:ilvl w:val="0"/>
                <w:numId w:val="361"/>
              </w:numPr>
              <w:ind w:left="709" w:right="142" w:hanging="567"/>
              <w:contextualSpacing w:val="0"/>
              <w:rPr>
                <w:b/>
                <w:bCs/>
                <w:color w:val="000000" w:themeColor="text1"/>
                <w:szCs w:val="24"/>
              </w:rPr>
            </w:pPr>
            <w:r w:rsidRPr="00306115">
              <w:rPr>
                <w:color w:val="000000" w:themeColor="text1"/>
                <w:szCs w:val="24"/>
              </w:rPr>
              <w:t>Tindak lanjut atas kaji ulang tidak memadai atau tidak ada.</w:t>
            </w:r>
          </w:p>
        </w:tc>
      </w:tr>
    </w:tbl>
    <w:p w14:paraId="378D6FF3" w14:textId="77777777" w:rsidR="00E36041" w:rsidRPr="00306115" w:rsidRDefault="00E36041" w:rsidP="00E36041">
      <w:pPr>
        <w:pStyle w:val="HeadingAwalDaftarIsiLampiran"/>
        <w:numPr>
          <w:ilvl w:val="0"/>
          <w:numId w:val="0"/>
        </w:numPr>
        <w:ind w:left="1134"/>
      </w:pPr>
    </w:p>
    <w:p w14:paraId="5D825DA5" w14:textId="33D582B2" w:rsidR="001F762D" w:rsidRPr="00306115" w:rsidRDefault="001F762D">
      <w:pPr>
        <w:pStyle w:val="HeadingAwalDaftarIsiLampiran"/>
        <w:numPr>
          <w:ilvl w:val="3"/>
          <w:numId w:val="295"/>
        </w:numPr>
        <w:ind w:left="567" w:hanging="567"/>
      </w:pPr>
      <w:r w:rsidRPr="00306115">
        <w:t>Risiko Operasional</w:t>
      </w:r>
    </w:p>
    <w:p w14:paraId="5707AC4E" w14:textId="77777777" w:rsidR="00451E35" w:rsidRPr="00306115" w:rsidRDefault="00451E35">
      <w:pPr>
        <w:pStyle w:val="HeadingAwalDaftarIsiLampiran"/>
        <w:numPr>
          <w:ilvl w:val="4"/>
          <w:numId w:val="295"/>
        </w:numPr>
        <w:ind w:left="1134" w:hanging="567"/>
      </w:pPr>
      <w:r w:rsidRPr="00306115">
        <w:t>Matriks Penetapan Tingkat Risiko Inheren</w:t>
      </w:r>
    </w:p>
    <w:tbl>
      <w:tblPr>
        <w:tblpPr w:leftFromText="180" w:rightFromText="180" w:vertAnchor="text" w:tblpX="1129" w:tblpY="1"/>
        <w:tblOverlap w:val="never"/>
        <w:tblW w:w="8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7"/>
        <w:gridCol w:w="6090"/>
      </w:tblGrid>
      <w:tr w:rsidR="003A0B34" w:rsidRPr="00306115" w14:paraId="73D9FC3C" w14:textId="77777777" w:rsidTr="008F2564">
        <w:trPr>
          <w:trHeight w:val="606"/>
          <w:tblHeader/>
        </w:trPr>
        <w:tc>
          <w:tcPr>
            <w:tcW w:w="2127" w:type="dxa"/>
            <w:shd w:val="clear" w:color="auto" w:fill="D9D9D9"/>
          </w:tcPr>
          <w:p w14:paraId="47748791" w14:textId="77777777" w:rsidR="003A0B34" w:rsidRPr="00306115" w:rsidRDefault="003A0B34" w:rsidP="003A0B34">
            <w:pPr>
              <w:pStyle w:val="TableParagraph"/>
              <w:spacing w:before="60" w:after="60"/>
              <w:ind w:left="142" w:right="142"/>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Peringkat</w:t>
            </w:r>
          </w:p>
        </w:tc>
        <w:tc>
          <w:tcPr>
            <w:tcW w:w="6090" w:type="dxa"/>
            <w:shd w:val="clear" w:color="auto" w:fill="D9D9D9"/>
          </w:tcPr>
          <w:p w14:paraId="5C819FBD" w14:textId="77777777" w:rsidR="003A0B34" w:rsidRPr="00306115" w:rsidRDefault="003A0B34" w:rsidP="003A0B34">
            <w:pPr>
              <w:pStyle w:val="TableParagraph"/>
              <w:spacing w:before="60" w:after="60"/>
              <w:ind w:left="142" w:right="142"/>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Definisi Peringkat</w:t>
            </w:r>
          </w:p>
        </w:tc>
      </w:tr>
      <w:tr w:rsidR="003A0B34" w:rsidRPr="00306115" w14:paraId="6B044B7B" w14:textId="77777777" w:rsidTr="008F2564">
        <w:trPr>
          <w:trHeight w:val="983"/>
        </w:trPr>
        <w:tc>
          <w:tcPr>
            <w:tcW w:w="2127" w:type="dxa"/>
          </w:tcPr>
          <w:p w14:paraId="0CAE7D31" w14:textId="77777777" w:rsidR="003A0B34" w:rsidRPr="00306115" w:rsidRDefault="003A0B34" w:rsidP="003A0B34">
            <w:pPr>
              <w:pStyle w:val="TableParagraph"/>
              <w:spacing w:before="60" w:after="60"/>
              <w:ind w:left="142" w:right="142"/>
              <w:jc w:val="center"/>
              <w:rPr>
                <w:rFonts w:ascii="Bookman Old Style" w:hAnsi="Bookman Old Style"/>
                <w:color w:val="000000" w:themeColor="text1"/>
                <w:sz w:val="24"/>
                <w:szCs w:val="24"/>
              </w:rPr>
            </w:pPr>
            <w:r w:rsidRPr="00306115">
              <w:rPr>
                <w:rFonts w:ascii="Bookman Old Style" w:hAnsi="Bookman Old Style"/>
                <w:i/>
                <w:color w:val="000000" w:themeColor="text1"/>
                <w:sz w:val="24"/>
                <w:szCs w:val="24"/>
              </w:rPr>
              <w:t xml:space="preserve">Low </w:t>
            </w:r>
            <w:r w:rsidRPr="00306115">
              <w:rPr>
                <w:rFonts w:ascii="Bookman Old Style" w:hAnsi="Bookman Old Style"/>
                <w:color w:val="000000" w:themeColor="text1"/>
                <w:sz w:val="24"/>
                <w:szCs w:val="24"/>
              </w:rPr>
              <w:t>(1)</w:t>
            </w:r>
          </w:p>
        </w:tc>
        <w:tc>
          <w:tcPr>
            <w:tcW w:w="6090" w:type="dxa"/>
          </w:tcPr>
          <w:p w14:paraId="1D0569CA" w14:textId="77777777" w:rsidR="003A0B34" w:rsidRPr="00306115" w:rsidRDefault="003A0B34" w:rsidP="003A0B34">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Dengan mempertimbangkan aktivitas kegiatan usaha yang dilakukan Manajer Investasi </w:t>
            </w:r>
            <w:r w:rsidRPr="00306115">
              <w:rPr>
                <w:color w:val="000000" w:themeColor="text1"/>
                <w:szCs w:val="24"/>
                <w:lang w:val="en-US"/>
              </w:rPr>
              <w:t>beserta Produk Investasi yang dikelola</w:t>
            </w:r>
            <w:r w:rsidRPr="00306115">
              <w:rPr>
                <w:color w:val="000000" w:themeColor="text1"/>
                <w:szCs w:val="24"/>
              </w:rPr>
              <w:t xml:space="preserve">, kemungkinan timbulnya dampak paparan dari Risiko Operasional tergolong sangat rendah selama periode waktu tertentu pada masa datang. </w:t>
            </w:r>
          </w:p>
          <w:p w14:paraId="73B82B91" w14:textId="77777777" w:rsidR="003A0B34" w:rsidRPr="00306115" w:rsidRDefault="003A0B34" w:rsidP="003A0B34">
            <w:pPr>
              <w:spacing w:after="0" w:line="240" w:lineRule="auto"/>
              <w:ind w:left="142" w:right="142"/>
              <w:rPr>
                <w:color w:val="000000" w:themeColor="text1"/>
                <w:szCs w:val="24"/>
              </w:rPr>
            </w:pPr>
            <w:r w:rsidRPr="00306115">
              <w:rPr>
                <w:color w:val="000000" w:themeColor="text1"/>
                <w:szCs w:val="24"/>
              </w:rPr>
              <w:t xml:space="preserve">Contoh kondisi yang menunjukkan Risiko Operasional termasuk dalam peringkat </w:t>
            </w:r>
            <w:r w:rsidRPr="00306115">
              <w:rPr>
                <w:i/>
                <w:iCs/>
                <w:color w:val="000000" w:themeColor="text1"/>
                <w:szCs w:val="24"/>
              </w:rPr>
              <w:t xml:space="preserve">Low </w:t>
            </w:r>
            <w:r w:rsidRPr="00306115">
              <w:rPr>
                <w:color w:val="000000" w:themeColor="text1"/>
                <w:szCs w:val="24"/>
              </w:rPr>
              <w:t>(1) antara lain sebagai berikut:</w:t>
            </w:r>
          </w:p>
          <w:p w14:paraId="34D5AF41" w14:textId="0EEB39E2" w:rsidR="00442368" w:rsidRPr="00306115" w:rsidRDefault="00442368">
            <w:pPr>
              <w:pStyle w:val="ListParagraph"/>
              <w:numPr>
                <w:ilvl w:val="0"/>
                <w:numId w:val="362"/>
              </w:numPr>
              <w:spacing w:after="0" w:line="240" w:lineRule="auto"/>
              <w:ind w:left="709" w:right="142" w:hanging="567"/>
              <w:contextualSpacing w:val="0"/>
              <w:rPr>
                <w:color w:val="000000" w:themeColor="text1"/>
                <w:szCs w:val="24"/>
              </w:rPr>
            </w:pPr>
            <w:r w:rsidRPr="00306115">
              <w:rPr>
                <w:color w:val="000000" w:themeColor="text1"/>
                <w:szCs w:val="24"/>
              </w:rPr>
              <w:t xml:space="preserve">Proses internal operasional sangat memadai, ditandai dengan tingkat </w:t>
            </w:r>
            <w:r w:rsidRPr="00306115">
              <w:rPr>
                <w:i/>
                <w:iCs/>
                <w:color w:val="000000" w:themeColor="text1"/>
                <w:szCs w:val="24"/>
              </w:rPr>
              <w:t>operational loss</w:t>
            </w:r>
            <w:r w:rsidRPr="00306115">
              <w:rPr>
                <w:color w:val="000000" w:themeColor="text1"/>
                <w:szCs w:val="24"/>
              </w:rPr>
              <w:t xml:space="preserve"> yang tidak signifikan, dan kesalahan perhitungan NAB yang sangat jarang terjadi.</w:t>
            </w:r>
          </w:p>
          <w:p w14:paraId="06E91CAE" w14:textId="77777777" w:rsidR="003A0B34" w:rsidRPr="00306115" w:rsidRDefault="003A0B34">
            <w:pPr>
              <w:pStyle w:val="ListParagraph"/>
              <w:numPr>
                <w:ilvl w:val="0"/>
                <w:numId w:val="362"/>
              </w:numPr>
              <w:spacing w:after="0" w:line="240" w:lineRule="auto"/>
              <w:ind w:left="709" w:right="142" w:hanging="567"/>
              <w:contextualSpacing w:val="0"/>
              <w:rPr>
                <w:color w:val="000000" w:themeColor="text1"/>
                <w:szCs w:val="24"/>
              </w:rPr>
            </w:pPr>
            <w:r w:rsidRPr="00306115">
              <w:rPr>
                <w:color w:val="000000" w:themeColor="text1"/>
                <w:szCs w:val="24"/>
              </w:rPr>
              <w:t xml:space="preserve">Kualitas sumber daya manusia sangat memadai, ditandai dengan </w:t>
            </w:r>
            <w:r w:rsidRPr="00306115">
              <w:rPr>
                <w:i/>
                <w:iCs/>
                <w:color w:val="000000" w:themeColor="text1"/>
                <w:szCs w:val="24"/>
              </w:rPr>
              <w:t>turnover</w:t>
            </w:r>
            <w:r w:rsidRPr="00306115">
              <w:rPr>
                <w:color w:val="000000" w:themeColor="text1"/>
                <w:szCs w:val="24"/>
              </w:rPr>
              <w:t xml:space="preserve"> pegawai yang memiliki izin WPE sangat rendah, serta tidak terdapat </w:t>
            </w:r>
            <w:r w:rsidRPr="00306115">
              <w:rPr>
                <w:i/>
                <w:iCs/>
                <w:color w:val="000000" w:themeColor="text1"/>
                <w:szCs w:val="24"/>
              </w:rPr>
              <w:t xml:space="preserve">fraud </w:t>
            </w:r>
            <w:r w:rsidRPr="00306115">
              <w:rPr>
                <w:color w:val="000000" w:themeColor="text1"/>
                <w:szCs w:val="24"/>
              </w:rPr>
              <w:t xml:space="preserve">internal dan/atau eksternal. </w:t>
            </w:r>
          </w:p>
          <w:p w14:paraId="49D870C4" w14:textId="255CAB34" w:rsidR="003A0B34" w:rsidRPr="00306115" w:rsidRDefault="003A0B34">
            <w:pPr>
              <w:pStyle w:val="ListParagraph"/>
              <w:numPr>
                <w:ilvl w:val="0"/>
                <w:numId w:val="362"/>
              </w:numPr>
              <w:spacing w:after="0" w:line="240" w:lineRule="auto"/>
              <w:ind w:left="709" w:right="142" w:hanging="567"/>
              <w:contextualSpacing w:val="0"/>
              <w:rPr>
                <w:color w:val="000000" w:themeColor="text1"/>
                <w:szCs w:val="24"/>
              </w:rPr>
            </w:pPr>
            <w:r w:rsidRPr="00306115">
              <w:rPr>
                <w:color w:val="000000" w:themeColor="text1"/>
                <w:szCs w:val="24"/>
              </w:rPr>
              <w:t xml:space="preserve">Kualitas Teknologi Informasi sangat baik, ditandai </w:t>
            </w:r>
            <w:r w:rsidR="00C00E53" w:rsidRPr="00306115">
              <w:rPr>
                <w:color w:val="000000" w:themeColor="text1"/>
                <w:szCs w:val="24"/>
              </w:rPr>
              <w:t xml:space="preserve">tingkat kegagalan </w:t>
            </w:r>
            <w:r w:rsidR="00C00E53" w:rsidRPr="00306115">
              <w:rPr>
                <w:i/>
                <w:iCs/>
                <w:color w:val="000000" w:themeColor="text1"/>
                <w:szCs w:val="24"/>
              </w:rPr>
              <w:t>core system</w:t>
            </w:r>
            <w:r w:rsidR="00C00E53" w:rsidRPr="00306115">
              <w:rPr>
                <w:color w:val="000000" w:themeColor="text1"/>
                <w:szCs w:val="24"/>
              </w:rPr>
              <w:t xml:space="preserve"> yang sangat jarang terjadi, dengan waktu deteksi dan pemulihan insiden yang sangat cepat, serta tingkat otomasi sistem yang sangat tinggi</w:t>
            </w:r>
            <w:r w:rsidRPr="00306115">
              <w:rPr>
                <w:color w:val="000000" w:themeColor="text1"/>
                <w:szCs w:val="24"/>
              </w:rPr>
              <w:t>.</w:t>
            </w:r>
          </w:p>
          <w:p w14:paraId="7F4090EA" w14:textId="1474D53C" w:rsidR="00C00E53" w:rsidRPr="00306115" w:rsidRDefault="00FC5CED">
            <w:pPr>
              <w:pStyle w:val="ListParagraph"/>
              <w:numPr>
                <w:ilvl w:val="0"/>
                <w:numId w:val="362"/>
              </w:numPr>
              <w:spacing w:after="0" w:line="240" w:lineRule="auto"/>
              <w:ind w:left="709" w:right="142" w:hanging="567"/>
              <w:contextualSpacing w:val="0"/>
              <w:rPr>
                <w:color w:val="000000" w:themeColor="text1"/>
                <w:szCs w:val="24"/>
              </w:rPr>
            </w:pPr>
            <w:r w:rsidRPr="00306115">
              <w:rPr>
                <w:color w:val="000000" w:themeColor="text1"/>
                <w:szCs w:val="24"/>
              </w:rPr>
              <w:t>Kondisi keamanan siber menunjukkan tidak terdapat insiden pembobolan sistem maupun kebocoran data yang terkonfirmasi, dengan tingkat temuan kerentanan (Pentest) yang sangat rendah.</w:t>
            </w:r>
          </w:p>
        </w:tc>
      </w:tr>
      <w:tr w:rsidR="003A0B34" w:rsidRPr="00306115" w14:paraId="78050732" w14:textId="77777777" w:rsidTr="008F2564">
        <w:trPr>
          <w:trHeight w:val="366"/>
        </w:trPr>
        <w:tc>
          <w:tcPr>
            <w:tcW w:w="2127" w:type="dxa"/>
          </w:tcPr>
          <w:p w14:paraId="13C15799" w14:textId="77777777" w:rsidR="003A0B34" w:rsidRPr="00306115" w:rsidRDefault="003A0B34" w:rsidP="003A0B34">
            <w:pPr>
              <w:pStyle w:val="TableParagraph"/>
              <w:spacing w:before="60" w:after="60"/>
              <w:ind w:left="142" w:right="142"/>
              <w:jc w:val="center"/>
              <w:rPr>
                <w:rFonts w:ascii="Bookman Old Style" w:hAnsi="Bookman Old Style"/>
                <w:i/>
                <w:color w:val="000000" w:themeColor="text1"/>
                <w:sz w:val="24"/>
                <w:szCs w:val="24"/>
              </w:rPr>
            </w:pPr>
            <w:r w:rsidRPr="00306115">
              <w:rPr>
                <w:rFonts w:ascii="Bookman Old Style" w:hAnsi="Bookman Old Style"/>
                <w:i/>
                <w:color w:val="000000" w:themeColor="text1"/>
                <w:sz w:val="24"/>
                <w:szCs w:val="24"/>
              </w:rPr>
              <w:t xml:space="preserve">Low to </w:t>
            </w:r>
          </w:p>
          <w:p w14:paraId="1ED08BDF" w14:textId="5B096DAC" w:rsidR="003A0B34" w:rsidRPr="00306115" w:rsidRDefault="003A0B34" w:rsidP="003A0B34">
            <w:pPr>
              <w:pStyle w:val="TableParagraph"/>
              <w:spacing w:before="60" w:after="60"/>
              <w:ind w:left="142" w:right="142"/>
              <w:jc w:val="center"/>
              <w:rPr>
                <w:rFonts w:ascii="Bookman Old Style" w:hAnsi="Bookman Old Style"/>
                <w:color w:val="000000" w:themeColor="text1"/>
                <w:sz w:val="24"/>
                <w:szCs w:val="24"/>
              </w:rPr>
            </w:pPr>
            <w:r w:rsidRPr="00306115">
              <w:rPr>
                <w:rFonts w:ascii="Bookman Old Style" w:hAnsi="Bookman Old Style"/>
                <w:i/>
                <w:color w:val="000000" w:themeColor="text1"/>
                <w:sz w:val="24"/>
                <w:szCs w:val="24"/>
              </w:rPr>
              <w:t xml:space="preserve">Moderate </w:t>
            </w:r>
            <w:r w:rsidRPr="00306115">
              <w:rPr>
                <w:rFonts w:ascii="Bookman Old Style" w:hAnsi="Bookman Old Style"/>
                <w:color w:val="000000" w:themeColor="text1"/>
                <w:sz w:val="24"/>
                <w:szCs w:val="24"/>
              </w:rPr>
              <w:t>(2)</w:t>
            </w:r>
          </w:p>
        </w:tc>
        <w:tc>
          <w:tcPr>
            <w:tcW w:w="6090" w:type="dxa"/>
          </w:tcPr>
          <w:p w14:paraId="4192A9ED" w14:textId="77777777" w:rsidR="003A0B34" w:rsidRPr="00306115" w:rsidRDefault="003A0B34" w:rsidP="003A0B34">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Dengan mempertimbangkan aktivitas kegiatan usaha yang dilakukan Manajer Investasi </w:t>
            </w:r>
            <w:r w:rsidRPr="00306115">
              <w:rPr>
                <w:color w:val="000000" w:themeColor="text1"/>
                <w:szCs w:val="24"/>
                <w:lang w:val="en-US"/>
              </w:rPr>
              <w:t>beserta Produk Investasi yang dikelola</w:t>
            </w:r>
            <w:r w:rsidRPr="00306115">
              <w:rPr>
                <w:color w:val="000000" w:themeColor="text1"/>
                <w:szCs w:val="24"/>
              </w:rPr>
              <w:t xml:space="preserve">, kemungkinan timbulnya dampak paparan dari Risiko </w:t>
            </w:r>
            <w:r w:rsidRPr="00306115">
              <w:rPr>
                <w:color w:val="000000" w:themeColor="text1"/>
                <w:szCs w:val="24"/>
              </w:rPr>
              <w:lastRenderedPageBreak/>
              <w:t xml:space="preserve">Operasional tergolong rendah selama periode waktu tertentu pada masa datang.  </w:t>
            </w:r>
          </w:p>
          <w:p w14:paraId="328DC09D" w14:textId="77777777" w:rsidR="003A0B34" w:rsidRPr="00306115" w:rsidRDefault="003A0B34" w:rsidP="003A0B34">
            <w:pPr>
              <w:spacing w:after="0" w:line="240" w:lineRule="auto"/>
              <w:ind w:left="142" w:right="142"/>
              <w:rPr>
                <w:strike/>
                <w:color w:val="000000" w:themeColor="text1"/>
                <w:szCs w:val="24"/>
              </w:rPr>
            </w:pPr>
            <w:r w:rsidRPr="00306115">
              <w:rPr>
                <w:color w:val="000000" w:themeColor="text1"/>
                <w:szCs w:val="24"/>
              </w:rPr>
              <w:t xml:space="preserve">Contoh kondisi yang menunjukkan Risiko Operasional termasuk dalam peringkat </w:t>
            </w:r>
            <w:r w:rsidRPr="00306115">
              <w:rPr>
                <w:i/>
                <w:iCs/>
                <w:color w:val="000000" w:themeColor="text1"/>
                <w:szCs w:val="24"/>
              </w:rPr>
              <w:t xml:space="preserve">Low to Moderate </w:t>
            </w:r>
            <w:r w:rsidRPr="00306115">
              <w:rPr>
                <w:color w:val="000000" w:themeColor="text1"/>
                <w:szCs w:val="24"/>
              </w:rPr>
              <w:t>(2) antara lain sebagai berikut:</w:t>
            </w:r>
          </w:p>
          <w:p w14:paraId="6160FA2C" w14:textId="601C5896" w:rsidR="00995BCB" w:rsidRPr="00306115" w:rsidRDefault="00995BCB">
            <w:pPr>
              <w:pStyle w:val="ListParagraph"/>
              <w:numPr>
                <w:ilvl w:val="0"/>
                <w:numId w:val="363"/>
              </w:numPr>
              <w:spacing w:after="0" w:line="240" w:lineRule="auto"/>
              <w:ind w:left="709" w:right="142" w:hanging="567"/>
              <w:contextualSpacing w:val="0"/>
              <w:rPr>
                <w:color w:val="000000" w:themeColor="text1"/>
                <w:szCs w:val="24"/>
              </w:rPr>
            </w:pPr>
            <w:r w:rsidRPr="00306115">
              <w:rPr>
                <w:color w:val="000000" w:themeColor="text1"/>
                <w:szCs w:val="24"/>
              </w:rPr>
              <w:t xml:space="preserve">Proses internal operasional memadai, ditandai dengan tingkat </w:t>
            </w:r>
            <w:r w:rsidRPr="00306115">
              <w:rPr>
                <w:i/>
                <w:iCs/>
                <w:color w:val="000000" w:themeColor="text1"/>
                <w:szCs w:val="24"/>
              </w:rPr>
              <w:t>operational loss</w:t>
            </w:r>
            <w:r w:rsidRPr="00306115">
              <w:rPr>
                <w:color w:val="000000" w:themeColor="text1"/>
                <w:szCs w:val="24"/>
              </w:rPr>
              <w:t xml:space="preserve"> yang rendah, dan kesalahan perhitungan NAB yang jarang terjadi.</w:t>
            </w:r>
          </w:p>
          <w:p w14:paraId="7696F8B3" w14:textId="17475D17" w:rsidR="003A0B34" w:rsidRPr="00306115" w:rsidRDefault="003A0B34">
            <w:pPr>
              <w:pStyle w:val="ListParagraph"/>
              <w:numPr>
                <w:ilvl w:val="0"/>
                <w:numId w:val="363"/>
              </w:numPr>
              <w:spacing w:after="0" w:line="240" w:lineRule="auto"/>
              <w:ind w:left="709" w:right="142" w:hanging="567"/>
              <w:contextualSpacing w:val="0"/>
              <w:rPr>
                <w:color w:val="000000" w:themeColor="text1"/>
                <w:szCs w:val="24"/>
              </w:rPr>
            </w:pPr>
            <w:r w:rsidRPr="00306115">
              <w:rPr>
                <w:color w:val="000000" w:themeColor="text1"/>
                <w:szCs w:val="24"/>
              </w:rPr>
              <w:t xml:space="preserve">Kualitas sumber daya manusia memadai, ditandai dengan </w:t>
            </w:r>
            <w:r w:rsidRPr="00306115">
              <w:rPr>
                <w:i/>
                <w:iCs/>
                <w:color w:val="000000" w:themeColor="text1"/>
                <w:szCs w:val="24"/>
              </w:rPr>
              <w:t xml:space="preserve">turnover </w:t>
            </w:r>
            <w:r w:rsidRPr="00306115">
              <w:rPr>
                <w:color w:val="000000" w:themeColor="text1"/>
                <w:szCs w:val="24"/>
              </w:rPr>
              <w:t xml:space="preserve">pegawai yang memiliki izin WPE rendah, serta frekuensi </w:t>
            </w:r>
            <w:r w:rsidRPr="00306115">
              <w:rPr>
                <w:i/>
                <w:iCs/>
                <w:color w:val="000000" w:themeColor="text1"/>
                <w:szCs w:val="24"/>
              </w:rPr>
              <w:t xml:space="preserve">fraud </w:t>
            </w:r>
            <w:r w:rsidRPr="00306115">
              <w:rPr>
                <w:color w:val="000000" w:themeColor="text1"/>
                <w:szCs w:val="24"/>
              </w:rPr>
              <w:t xml:space="preserve">internal dan/atau eksternal </w:t>
            </w:r>
            <w:r w:rsidR="008D2DC8" w:rsidRPr="00306115">
              <w:rPr>
                <w:color w:val="000000" w:themeColor="text1"/>
                <w:szCs w:val="24"/>
              </w:rPr>
              <w:t xml:space="preserve">yang </w:t>
            </w:r>
            <w:r w:rsidR="00A30F45" w:rsidRPr="00306115">
              <w:rPr>
                <w:color w:val="000000" w:themeColor="text1"/>
                <w:szCs w:val="24"/>
              </w:rPr>
              <w:t>tidak signifikan</w:t>
            </w:r>
            <w:r w:rsidRPr="00306115">
              <w:rPr>
                <w:color w:val="000000" w:themeColor="text1"/>
                <w:szCs w:val="24"/>
              </w:rPr>
              <w:t>.</w:t>
            </w:r>
          </w:p>
          <w:p w14:paraId="7F0A8D70" w14:textId="77777777" w:rsidR="00C4347D" w:rsidRPr="00306115" w:rsidRDefault="00C4347D">
            <w:pPr>
              <w:pStyle w:val="ListParagraph"/>
              <w:numPr>
                <w:ilvl w:val="0"/>
                <w:numId w:val="363"/>
              </w:numPr>
              <w:spacing w:after="0" w:line="240" w:lineRule="auto"/>
              <w:ind w:left="709" w:right="142" w:hanging="567"/>
              <w:contextualSpacing w:val="0"/>
              <w:rPr>
                <w:color w:val="000000" w:themeColor="text1"/>
                <w:szCs w:val="24"/>
              </w:rPr>
            </w:pPr>
            <w:r w:rsidRPr="00306115">
              <w:rPr>
                <w:color w:val="000000" w:themeColor="text1"/>
                <w:szCs w:val="24"/>
              </w:rPr>
              <w:t xml:space="preserve">Kualitas Teknologi Informasi baik, ditandai dengan tingkat kegagalan </w:t>
            </w:r>
            <w:r w:rsidRPr="00306115">
              <w:rPr>
                <w:i/>
                <w:iCs/>
                <w:color w:val="000000" w:themeColor="text1"/>
                <w:szCs w:val="24"/>
              </w:rPr>
              <w:t>core system</w:t>
            </w:r>
            <w:r w:rsidRPr="00306115">
              <w:rPr>
                <w:color w:val="000000" w:themeColor="text1"/>
                <w:szCs w:val="24"/>
              </w:rPr>
              <w:t xml:space="preserve"> yang jarang terjadi, dengan waktu deteksi dan pemulihan insiden yang cepat, serta tingkat otomasi sistem yang tinggi</w:t>
            </w:r>
            <w:r w:rsidR="008D2DC8" w:rsidRPr="00306115">
              <w:rPr>
                <w:color w:val="000000" w:themeColor="text1"/>
                <w:szCs w:val="24"/>
              </w:rPr>
              <w:t>.</w:t>
            </w:r>
          </w:p>
          <w:p w14:paraId="18CFD402" w14:textId="6A7EE650" w:rsidR="008D2DC8" w:rsidRPr="00306115" w:rsidRDefault="008D2DC8">
            <w:pPr>
              <w:pStyle w:val="ListParagraph"/>
              <w:numPr>
                <w:ilvl w:val="0"/>
                <w:numId w:val="363"/>
              </w:numPr>
              <w:spacing w:after="0" w:line="240" w:lineRule="auto"/>
              <w:ind w:left="709" w:right="142" w:hanging="567"/>
              <w:contextualSpacing w:val="0"/>
              <w:rPr>
                <w:color w:val="000000" w:themeColor="text1"/>
                <w:szCs w:val="24"/>
              </w:rPr>
            </w:pPr>
            <w:r w:rsidRPr="00306115">
              <w:rPr>
                <w:color w:val="000000" w:themeColor="text1"/>
                <w:szCs w:val="24"/>
              </w:rPr>
              <w:t>Kondisi keamanan siber menunjukkan terdapat insiden pembobolan sistem, dengan tingkat temuan kerentanan (Pentest) yang rendah.</w:t>
            </w:r>
          </w:p>
        </w:tc>
      </w:tr>
      <w:tr w:rsidR="003A0B34" w:rsidRPr="00306115" w14:paraId="73E5F441" w14:textId="77777777" w:rsidTr="008F2564">
        <w:trPr>
          <w:trHeight w:val="1974"/>
        </w:trPr>
        <w:tc>
          <w:tcPr>
            <w:tcW w:w="2127" w:type="dxa"/>
          </w:tcPr>
          <w:p w14:paraId="73F20B63" w14:textId="77777777" w:rsidR="003A0B34" w:rsidRPr="00306115" w:rsidRDefault="003A0B34" w:rsidP="003A0B34">
            <w:pPr>
              <w:pStyle w:val="TableParagraph"/>
              <w:spacing w:before="60" w:after="60"/>
              <w:ind w:left="142" w:right="142"/>
              <w:jc w:val="center"/>
              <w:rPr>
                <w:rFonts w:ascii="Bookman Old Style" w:hAnsi="Bookman Old Style"/>
                <w:i/>
                <w:color w:val="000000" w:themeColor="text1"/>
                <w:sz w:val="24"/>
                <w:szCs w:val="24"/>
              </w:rPr>
            </w:pPr>
            <w:r w:rsidRPr="00306115">
              <w:rPr>
                <w:rFonts w:ascii="Bookman Old Style" w:hAnsi="Bookman Old Style"/>
                <w:i/>
                <w:color w:val="000000" w:themeColor="text1"/>
                <w:sz w:val="24"/>
                <w:szCs w:val="24"/>
              </w:rPr>
              <w:lastRenderedPageBreak/>
              <w:t>Moderate</w:t>
            </w:r>
          </w:p>
          <w:p w14:paraId="27ABC97B" w14:textId="77777777" w:rsidR="003A0B34" w:rsidRPr="00306115" w:rsidRDefault="003A0B34" w:rsidP="003A0B34">
            <w:pPr>
              <w:pStyle w:val="TableParagraph"/>
              <w:spacing w:before="60" w:after="60"/>
              <w:ind w:left="142" w:right="142"/>
              <w:jc w:val="center"/>
              <w:rPr>
                <w:rFonts w:ascii="Bookman Old Style" w:hAnsi="Bookman Old Style"/>
                <w:iCs/>
                <w:color w:val="000000" w:themeColor="text1"/>
                <w:sz w:val="24"/>
                <w:szCs w:val="24"/>
              </w:rPr>
            </w:pPr>
            <w:r w:rsidRPr="00306115">
              <w:rPr>
                <w:rFonts w:ascii="Bookman Old Style" w:hAnsi="Bookman Old Style"/>
                <w:iCs/>
                <w:color w:val="000000" w:themeColor="text1"/>
                <w:sz w:val="24"/>
                <w:szCs w:val="24"/>
              </w:rPr>
              <w:t>(3)</w:t>
            </w:r>
          </w:p>
        </w:tc>
        <w:tc>
          <w:tcPr>
            <w:tcW w:w="6090" w:type="dxa"/>
          </w:tcPr>
          <w:p w14:paraId="045D388C" w14:textId="77777777" w:rsidR="003A0B34" w:rsidRPr="00306115" w:rsidRDefault="003A0B34" w:rsidP="003A0B34">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Dengan mempertimbangkan aktivitas kegiatan usaha yang dilakukan Manajer Investasi </w:t>
            </w:r>
            <w:r w:rsidRPr="00306115">
              <w:rPr>
                <w:color w:val="000000" w:themeColor="text1"/>
                <w:szCs w:val="24"/>
                <w:lang w:val="en-US"/>
              </w:rPr>
              <w:t>beserta Produk Investasi yang dikelola</w:t>
            </w:r>
            <w:r w:rsidRPr="00306115">
              <w:rPr>
                <w:color w:val="000000" w:themeColor="text1"/>
                <w:szCs w:val="24"/>
              </w:rPr>
              <w:t>, kemungkinan timbulnya dampak paparan dari Risiko Operasional tergolong cukup tinggi selama periode waktu tertentu pada masa datang.</w:t>
            </w:r>
          </w:p>
          <w:p w14:paraId="074F0391" w14:textId="77777777" w:rsidR="003A0B34" w:rsidRPr="00306115" w:rsidRDefault="003A0B34" w:rsidP="003A0B34">
            <w:pPr>
              <w:spacing w:after="0" w:line="240" w:lineRule="auto"/>
              <w:ind w:left="142" w:right="142"/>
              <w:rPr>
                <w:strike/>
                <w:color w:val="000000" w:themeColor="text1"/>
                <w:szCs w:val="24"/>
              </w:rPr>
            </w:pPr>
            <w:r w:rsidRPr="00306115">
              <w:rPr>
                <w:color w:val="000000" w:themeColor="text1"/>
                <w:szCs w:val="24"/>
              </w:rPr>
              <w:t xml:space="preserve">Contoh kondisi yang menunjukkan Risiko Operasional termasuk dalam peringkat </w:t>
            </w:r>
            <w:r w:rsidRPr="00306115">
              <w:rPr>
                <w:i/>
                <w:iCs/>
                <w:color w:val="000000" w:themeColor="text1"/>
                <w:szCs w:val="24"/>
              </w:rPr>
              <w:t xml:space="preserve">Moderate </w:t>
            </w:r>
            <w:r w:rsidRPr="00306115">
              <w:rPr>
                <w:color w:val="000000" w:themeColor="text1"/>
                <w:szCs w:val="24"/>
              </w:rPr>
              <w:t>(peringkat 3) antara lain sebagai berikut:</w:t>
            </w:r>
          </w:p>
          <w:p w14:paraId="12A65B7F" w14:textId="6034FF7B" w:rsidR="002D233D" w:rsidRPr="00306115" w:rsidRDefault="002D233D">
            <w:pPr>
              <w:pStyle w:val="ListParagraph"/>
              <w:numPr>
                <w:ilvl w:val="0"/>
                <w:numId w:val="364"/>
              </w:numPr>
              <w:spacing w:after="0" w:line="240" w:lineRule="auto"/>
              <w:ind w:left="709" w:right="142" w:hanging="567"/>
              <w:contextualSpacing w:val="0"/>
              <w:rPr>
                <w:color w:val="000000" w:themeColor="text1"/>
                <w:szCs w:val="24"/>
              </w:rPr>
            </w:pPr>
            <w:r w:rsidRPr="00306115">
              <w:rPr>
                <w:color w:val="000000" w:themeColor="text1"/>
                <w:szCs w:val="24"/>
              </w:rPr>
              <w:t xml:space="preserve">Proses internal operasional cukup memadai, ditandai dengan tingkat </w:t>
            </w:r>
            <w:r w:rsidRPr="00306115">
              <w:rPr>
                <w:i/>
                <w:iCs/>
                <w:color w:val="000000" w:themeColor="text1"/>
                <w:szCs w:val="24"/>
              </w:rPr>
              <w:t>operational loss</w:t>
            </w:r>
            <w:r w:rsidRPr="00306115">
              <w:rPr>
                <w:color w:val="000000" w:themeColor="text1"/>
                <w:szCs w:val="24"/>
              </w:rPr>
              <w:t xml:space="preserve"> yang cukup tinggi, dan jumlah kesalahan perhitungan NAB cukup tinggi.</w:t>
            </w:r>
          </w:p>
          <w:p w14:paraId="2A73CD85" w14:textId="671BFFEE" w:rsidR="00B3550E" w:rsidRPr="00306115" w:rsidRDefault="00B3550E">
            <w:pPr>
              <w:pStyle w:val="ListParagraph"/>
              <w:numPr>
                <w:ilvl w:val="0"/>
                <w:numId w:val="364"/>
              </w:numPr>
              <w:spacing w:after="0" w:line="240" w:lineRule="auto"/>
              <w:ind w:left="709" w:right="142" w:hanging="567"/>
              <w:contextualSpacing w:val="0"/>
              <w:rPr>
                <w:strike/>
                <w:color w:val="000000" w:themeColor="text1"/>
                <w:szCs w:val="24"/>
              </w:rPr>
            </w:pPr>
            <w:r w:rsidRPr="00306115">
              <w:rPr>
                <w:color w:val="000000" w:themeColor="text1"/>
                <w:szCs w:val="24"/>
              </w:rPr>
              <w:t xml:space="preserve">Kualitas sumber daya manusia cukup memadai, ditandai dengan </w:t>
            </w:r>
            <w:r w:rsidRPr="00306115">
              <w:rPr>
                <w:i/>
                <w:iCs/>
                <w:color w:val="000000" w:themeColor="text1"/>
                <w:szCs w:val="24"/>
              </w:rPr>
              <w:t>turnover</w:t>
            </w:r>
            <w:r w:rsidRPr="00306115">
              <w:rPr>
                <w:color w:val="000000" w:themeColor="text1"/>
                <w:szCs w:val="24"/>
              </w:rPr>
              <w:t xml:space="preserve"> pegawai yang memiliki izin WPE cukup tinggi, serta frekuensi </w:t>
            </w:r>
            <w:r w:rsidRPr="00306115">
              <w:rPr>
                <w:i/>
                <w:iCs/>
                <w:color w:val="000000" w:themeColor="text1"/>
                <w:szCs w:val="24"/>
              </w:rPr>
              <w:t>fraud</w:t>
            </w:r>
            <w:r w:rsidRPr="00306115">
              <w:rPr>
                <w:color w:val="000000" w:themeColor="text1"/>
                <w:szCs w:val="24"/>
              </w:rPr>
              <w:t xml:space="preserve"> internal dan/atau eksternal yang cukup signifikan.</w:t>
            </w:r>
          </w:p>
          <w:p w14:paraId="74341040" w14:textId="77777777" w:rsidR="006B5711" w:rsidRPr="00306115" w:rsidRDefault="006B5711">
            <w:pPr>
              <w:pStyle w:val="ListParagraph"/>
              <w:numPr>
                <w:ilvl w:val="0"/>
                <w:numId w:val="364"/>
              </w:numPr>
              <w:spacing w:after="0" w:line="240" w:lineRule="auto"/>
              <w:ind w:left="709" w:right="142" w:hanging="567"/>
              <w:contextualSpacing w:val="0"/>
              <w:rPr>
                <w:color w:val="000000" w:themeColor="text1"/>
                <w:szCs w:val="24"/>
              </w:rPr>
            </w:pPr>
            <w:r w:rsidRPr="00306115">
              <w:rPr>
                <w:color w:val="000000" w:themeColor="text1"/>
                <w:szCs w:val="24"/>
              </w:rPr>
              <w:t xml:space="preserve">Kualitas Teknologi Informasi cukup baik, ditandai dengan tingkat kegagalan </w:t>
            </w:r>
            <w:r w:rsidRPr="00306115">
              <w:rPr>
                <w:i/>
                <w:iCs/>
                <w:color w:val="000000" w:themeColor="text1"/>
                <w:szCs w:val="24"/>
              </w:rPr>
              <w:t>core system</w:t>
            </w:r>
            <w:r w:rsidRPr="00306115">
              <w:rPr>
                <w:color w:val="000000" w:themeColor="text1"/>
                <w:szCs w:val="24"/>
              </w:rPr>
              <w:t xml:space="preserve"> yang mulai sering terjadi, dengan waktu deteksi dan pemulihan insiden yang cukup lama, serta tingkat otomasi sistem yang moderat.</w:t>
            </w:r>
          </w:p>
          <w:p w14:paraId="7E85F3C6" w14:textId="6774C9D9" w:rsidR="006B5711" w:rsidRPr="00306115" w:rsidRDefault="00A3020A">
            <w:pPr>
              <w:pStyle w:val="ListParagraph"/>
              <w:numPr>
                <w:ilvl w:val="0"/>
                <w:numId w:val="364"/>
              </w:numPr>
              <w:spacing w:after="0" w:line="240" w:lineRule="auto"/>
              <w:ind w:left="709" w:right="142" w:hanging="567"/>
              <w:contextualSpacing w:val="0"/>
              <w:rPr>
                <w:color w:val="000000" w:themeColor="text1"/>
                <w:szCs w:val="24"/>
              </w:rPr>
            </w:pPr>
            <w:r w:rsidRPr="00306115">
              <w:rPr>
                <w:color w:val="000000" w:themeColor="text1"/>
                <w:szCs w:val="24"/>
              </w:rPr>
              <w:t>Kondisi keamanan siber menunjukkan terdapat 2 (dua) insiden pembobolan sistem yang terkonfirmasi, dengan tingkat temuan kerentanan (Pentest) yang cukup tinggi.</w:t>
            </w:r>
          </w:p>
        </w:tc>
      </w:tr>
      <w:tr w:rsidR="003A0B34" w:rsidRPr="00306115" w14:paraId="794F8241" w14:textId="77777777" w:rsidTr="008F2564">
        <w:trPr>
          <w:trHeight w:val="982"/>
        </w:trPr>
        <w:tc>
          <w:tcPr>
            <w:tcW w:w="2127" w:type="dxa"/>
          </w:tcPr>
          <w:p w14:paraId="57D84F3B" w14:textId="77777777" w:rsidR="003A0B34" w:rsidRPr="00306115" w:rsidRDefault="003A0B34" w:rsidP="003A0B34">
            <w:pPr>
              <w:pStyle w:val="TableParagraph"/>
              <w:spacing w:before="60" w:after="60"/>
              <w:ind w:left="142" w:right="142"/>
              <w:jc w:val="center"/>
              <w:rPr>
                <w:rFonts w:ascii="Bookman Old Style" w:hAnsi="Bookman Old Style"/>
                <w:i/>
                <w:color w:val="000000" w:themeColor="text1"/>
                <w:sz w:val="24"/>
                <w:szCs w:val="24"/>
              </w:rPr>
            </w:pPr>
            <w:r w:rsidRPr="00306115">
              <w:rPr>
                <w:rFonts w:ascii="Bookman Old Style" w:hAnsi="Bookman Old Style"/>
                <w:i/>
                <w:color w:val="000000" w:themeColor="text1"/>
                <w:sz w:val="24"/>
                <w:szCs w:val="24"/>
              </w:rPr>
              <w:lastRenderedPageBreak/>
              <w:t xml:space="preserve">Moderate to High </w:t>
            </w:r>
            <w:r w:rsidRPr="00306115">
              <w:rPr>
                <w:rFonts w:ascii="Bookman Old Style" w:hAnsi="Bookman Old Style"/>
                <w:iCs/>
                <w:color w:val="000000" w:themeColor="text1"/>
                <w:sz w:val="24"/>
                <w:szCs w:val="24"/>
              </w:rPr>
              <w:t>(4)</w:t>
            </w:r>
          </w:p>
        </w:tc>
        <w:tc>
          <w:tcPr>
            <w:tcW w:w="6090" w:type="dxa"/>
          </w:tcPr>
          <w:p w14:paraId="206480BF" w14:textId="77777777" w:rsidR="003A0B34" w:rsidRPr="00306115" w:rsidRDefault="003A0B34" w:rsidP="003A0B34">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Dengan mempertimbangkan aktivitas kegiatan usaha yang dilakukan Manajer Investasi </w:t>
            </w:r>
            <w:r w:rsidRPr="00306115">
              <w:rPr>
                <w:color w:val="000000" w:themeColor="text1"/>
                <w:szCs w:val="24"/>
                <w:lang w:val="en-US"/>
              </w:rPr>
              <w:t>beserta Produk Investasi yang dikelola</w:t>
            </w:r>
            <w:r w:rsidRPr="00306115">
              <w:rPr>
                <w:color w:val="000000" w:themeColor="text1"/>
                <w:szCs w:val="24"/>
              </w:rPr>
              <w:t xml:space="preserve">, kemungkinan timbulnya dampak paparan dari Risiko Operasional tergolong tinggi selama periode waktu tertentu pada masa datang. </w:t>
            </w:r>
          </w:p>
          <w:p w14:paraId="4AABF1F5" w14:textId="77777777" w:rsidR="003A0B34" w:rsidRPr="00306115" w:rsidRDefault="003A0B34" w:rsidP="003A0B34">
            <w:pPr>
              <w:spacing w:after="0" w:line="240" w:lineRule="auto"/>
              <w:ind w:left="142" w:right="142"/>
              <w:rPr>
                <w:strike/>
                <w:color w:val="000000" w:themeColor="text1"/>
                <w:szCs w:val="24"/>
              </w:rPr>
            </w:pPr>
            <w:r w:rsidRPr="00306115">
              <w:rPr>
                <w:color w:val="000000" w:themeColor="text1"/>
                <w:szCs w:val="24"/>
              </w:rPr>
              <w:t xml:space="preserve">Contoh kondisi yang menunjukkan Risiko Operasional termasuk dalam peringkat </w:t>
            </w:r>
            <w:r w:rsidRPr="00306115">
              <w:rPr>
                <w:i/>
                <w:iCs/>
                <w:color w:val="000000" w:themeColor="text1"/>
                <w:szCs w:val="24"/>
              </w:rPr>
              <w:t xml:space="preserve">Moderate to High </w:t>
            </w:r>
            <w:r w:rsidRPr="00306115">
              <w:rPr>
                <w:color w:val="000000" w:themeColor="text1"/>
                <w:szCs w:val="24"/>
              </w:rPr>
              <w:t>(peringkat 4) antara lain sebagai berikut:</w:t>
            </w:r>
          </w:p>
          <w:p w14:paraId="6A4A29FF" w14:textId="49BDE65F" w:rsidR="00F5245B" w:rsidRPr="00306115" w:rsidRDefault="00F5245B">
            <w:pPr>
              <w:pStyle w:val="ListParagraph"/>
              <w:numPr>
                <w:ilvl w:val="0"/>
                <w:numId w:val="365"/>
              </w:numPr>
              <w:spacing w:after="0" w:line="240" w:lineRule="auto"/>
              <w:ind w:left="709" w:right="142" w:hanging="567"/>
              <w:contextualSpacing w:val="0"/>
              <w:rPr>
                <w:strike/>
                <w:color w:val="000000" w:themeColor="text1"/>
                <w:szCs w:val="24"/>
              </w:rPr>
            </w:pPr>
            <w:r w:rsidRPr="00306115">
              <w:rPr>
                <w:color w:val="000000" w:themeColor="text1"/>
                <w:szCs w:val="24"/>
              </w:rPr>
              <w:t xml:space="preserve">Proses internal operasional kurang memadai, ditandai dengan tingkat </w:t>
            </w:r>
            <w:r w:rsidRPr="00306115">
              <w:rPr>
                <w:i/>
                <w:iCs/>
                <w:color w:val="000000" w:themeColor="text1"/>
                <w:szCs w:val="24"/>
              </w:rPr>
              <w:t>operational loss</w:t>
            </w:r>
            <w:r w:rsidRPr="00306115">
              <w:rPr>
                <w:color w:val="000000" w:themeColor="text1"/>
                <w:szCs w:val="24"/>
              </w:rPr>
              <w:t xml:space="preserve"> yang signifikan, dan kesalahan perhitungan NAB yang sering terjadi.</w:t>
            </w:r>
          </w:p>
          <w:p w14:paraId="2DB7EFE0" w14:textId="047A2FE8" w:rsidR="0076341F" w:rsidRPr="00306115" w:rsidRDefault="0076341F">
            <w:pPr>
              <w:pStyle w:val="ListParagraph"/>
              <w:numPr>
                <w:ilvl w:val="0"/>
                <w:numId w:val="365"/>
              </w:numPr>
              <w:spacing w:after="0" w:line="240" w:lineRule="auto"/>
              <w:ind w:left="709" w:right="142" w:hanging="567"/>
              <w:contextualSpacing w:val="0"/>
              <w:rPr>
                <w:color w:val="000000" w:themeColor="text1"/>
                <w:szCs w:val="24"/>
              </w:rPr>
            </w:pPr>
            <w:r w:rsidRPr="00306115">
              <w:rPr>
                <w:color w:val="000000" w:themeColor="text1"/>
                <w:szCs w:val="24"/>
              </w:rPr>
              <w:t xml:space="preserve">Kualitas sumber daya manusia kurang memadai, ditandai dengan </w:t>
            </w:r>
            <w:r w:rsidRPr="00306115">
              <w:rPr>
                <w:i/>
                <w:iCs/>
                <w:color w:val="000000" w:themeColor="text1"/>
                <w:szCs w:val="24"/>
              </w:rPr>
              <w:t>turnover</w:t>
            </w:r>
            <w:r w:rsidRPr="00306115">
              <w:rPr>
                <w:color w:val="000000" w:themeColor="text1"/>
                <w:szCs w:val="24"/>
              </w:rPr>
              <w:t xml:space="preserve"> pegawai yang memiliki izin WPE tinggi, serta frekuensi </w:t>
            </w:r>
            <w:r w:rsidRPr="00306115">
              <w:rPr>
                <w:i/>
                <w:iCs/>
                <w:color w:val="000000" w:themeColor="text1"/>
                <w:szCs w:val="24"/>
              </w:rPr>
              <w:t>fraud</w:t>
            </w:r>
            <w:r w:rsidRPr="00306115">
              <w:rPr>
                <w:color w:val="000000" w:themeColor="text1"/>
                <w:szCs w:val="24"/>
              </w:rPr>
              <w:t xml:space="preserve"> internal dan/atau eksternal yang signifikan</w:t>
            </w:r>
          </w:p>
          <w:p w14:paraId="3D9D91C2" w14:textId="3043504E" w:rsidR="00931944" w:rsidRPr="00306115" w:rsidRDefault="00931944">
            <w:pPr>
              <w:pStyle w:val="ListParagraph"/>
              <w:numPr>
                <w:ilvl w:val="0"/>
                <w:numId w:val="365"/>
              </w:numPr>
              <w:spacing w:after="0" w:line="240" w:lineRule="auto"/>
              <w:ind w:left="709" w:right="142" w:hanging="567"/>
              <w:contextualSpacing w:val="0"/>
              <w:rPr>
                <w:color w:val="000000" w:themeColor="text1"/>
                <w:szCs w:val="24"/>
              </w:rPr>
            </w:pPr>
            <w:r w:rsidRPr="00306115">
              <w:rPr>
                <w:color w:val="000000" w:themeColor="text1"/>
                <w:szCs w:val="24"/>
              </w:rPr>
              <w:t xml:space="preserve">Kualitas Teknologi Informasi kurang baik, ditandai dengan tingkat kegagalan </w:t>
            </w:r>
            <w:r w:rsidRPr="00306115">
              <w:rPr>
                <w:i/>
                <w:iCs/>
                <w:color w:val="000000" w:themeColor="text1"/>
                <w:szCs w:val="24"/>
              </w:rPr>
              <w:t>core system</w:t>
            </w:r>
            <w:r w:rsidRPr="00306115">
              <w:rPr>
                <w:color w:val="000000" w:themeColor="text1"/>
                <w:szCs w:val="24"/>
              </w:rPr>
              <w:t xml:space="preserve"> yang sering terjadi, dengan waktu deteksi dan pemulihan insiden yang lama, serta tingkat otomasi sistem yang rendah.</w:t>
            </w:r>
          </w:p>
          <w:p w14:paraId="09220611" w14:textId="5E74C13E" w:rsidR="00931944" w:rsidRPr="00306115" w:rsidRDefault="00931944">
            <w:pPr>
              <w:pStyle w:val="ListParagraph"/>
              <w:numPr>
                <w:ilvl w:val="0"/>
                <w:numId w:val="365"/>
              </w:numPr>
              <w:spacing w:after="0" w:line="240" w:lineRule="auto"/>
              <w:ind w:left="709" w:right="142" w:hanging="567"/>
              <w:contextualSpacing w:val="0"/>
              <w:rPr>
                <w:color w:val="000000" w:themeColor="text1"/>
                <w:szCs w:val="24"/>
              </w:rPr>
            </w:pPr>
            <w:r w:rsidRPr="00306115">
              <w:rPr>
                <w:color w:val="000000" w:themeColor="text1"/>
                <w:szCs w:val="24"/>
              </w:rPr>
              <w:t>Kondisi keamanan siber menunjukkan insiden pembobolan sistem yang signifikan, dengan tingkat temuan kerentanan (Pentest) yang tinggi.</w:t>
            </w:r>
          </w:p>
        </w:tc>
      </w:tr>
      <w:tr w:rsidR="003A0B34" w:rsidRPr="00306115" w14:paraId="571B0988" w14:textId="77777777" w:rsidTr="008F2564">
        <w:trPr>
          <w:trHeight w:val="982"/>
        </w:trPr>
        <w:tc>
          <w:tcPr>
            <w:tcW w:w="2127" w:type="dxa"/>
          </w:tcPr>
          <w:p w14:paraId="7A44EDC6" w14:textId="77777777" w:rsidR="003A0B34" w:rsidRPr="00306115" w:rsidRDefault="003A0B34" w:rsidP="003A0B34">
            <w:pPr>
              <w:pStyle w:val="TableParagraph"/>
              <w:spacing w:before="60" w:after="60"/>
              <w:ind w:left="142" w:right="142"/>
              <w:jc w:val="center"/>
              <w:rPr>
                <w:rFonts w:ascii="Bookman Old Style" w:hAnsi="Bookman Old Style"/>
                <w:i/>
                <w:color w:val="000000" w:themeColor="text1"/>
                <w:sz w:val="24"/>
                <w:szCs w:val="24"/>
              </w:rPr>
            </w:pPr>
            <w:r w:rsidRPr="00306115">
              <w:rPr>
                <w:rFonts w:ascii="Bookman Old Style" w:hAnsi="Bookman Old Style"/>
                <w:i/>
                <w:color w:val="000000" w:themeColor="text1"/>
                <w:sz w:val="24"/>
                <w:szCs w:val="24"/>
              </w:rPr>
              <w:t>High</w:t>
            </w:r>
            <w:r w:rsidRPr="00306115">
              <w:rPr>
                <w:rFonts w:ascii="Bookman Old Style" w:hAnsi="Bookman Old Style"/>
                <w:iCs/>
                <w:color w:val="000000" w:themeColor="text1"/>
                <w:sz w:val="24"/>
                <w:szCs w:val="24"/>
              </w:rPr>
              <w:t xml:space="preserve"> (5)</w:t>
            </w:r>
          </w:p>
        </w:tc>
        <w:tc>
          <w:tcPr>
            <w:tcW w:w="6090" w:type="dxa"/>
          </w:tcPr>
          <w:p w14:paraId="4162B001" w14:textId="77777777" w:rsidR="003A0B34" w:rsidRPr="00306115" w:rsidRDefault="003A0B34" w:rsidP="003A0B34">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Dengan mempertimbangkan aktivitas kegiatan usaha yang dilakukan Manajer Investasi </w:t>
            </w:r>
            <w:r w:rsidRPr="00306115">
              <w:rPr>
                <w:color w:val="000000" w:themeColor="text1"/>
                <w:szCs w:val="24"/>
                <w:lang w:val="en-US"/>
              </w:rPr>
              <w:t>beserta Produk Investasi yang dikelola</w:t>
            </w:r>
            <w:r w:rsidRPr="00306115">
              <w:rPr>
                <w:color w:val="000000" w:themeColor="text1"/>
                <w:szCs w:val="24"/>
              </w:rPr>
              <w:t>, kemungkinan timbulnya dampak paparan dari Risiko Operasional tergolong sangat tinggi selama periode waktu tertentu pada masa datang.</w:t>
            </w:r>
          </w:p>
          <w:p w14:paraId="0206DF93" w14:textId="77777777" w:rsidR="003A0B34" w:rsidRPr="00306115" w:rsidRDefault="003A0B34" w:rsidP="003A0B34">
            <w:pPr>
              <w:pStyle w:val="ListParagraph"/>
              <w:spacing w:after="0" w:line="240" w:lineRule="auto"/>
              <w:ind w:left="142" w:right="142"/>
              <w:contextualSpacing w:val="0"/>
              <w:rPr>
                <w:strike/>
                <w:color w:val="000000" w:themeColor="text1"/>
                <w:szCs w:val="24"/>
              </w:rPr>
            </w:pPr>
            <w:r w:rsidRPr="00306115">
              <w:rPr>
                <w:color w:val="000000" w:themeColor="text1"/>
                <w:szCs w:val="24"/>
              </w:rPr>
              <w:t xml:space="preserve">Contoh kondisi yang menunjukkan Risiko Operasional termasuk dalam peringkat </w:t>
            </w:r>
            <w:r w:rsidRPr="00306115">
              <w:rPr>
                <w:i/>
                <w:iCs/>
                <w:color w:val="000000" w:themeColor="text1"/>
                <w:szCs w:val="24"/>
              </w:rPr>
              <w:t xml:space="preserve">High </w:t>
            </w:r>
            <w:r w:rsidRPr="00306115">
              <w:rPr>
                <w:color w:val="000000" w:themeColor="text1"/>
                <w:szCs w:val="24"/>
              </w:rPr>
              <w:t>(peringkat 5) antara lain sebagai berikut:</w:t>
            </w:r>
          </w:p>
          <w:p w14:paraId="1E9227B7" w14:textId="462DE17C" w:rsidR="0095556A" w:rsidRPr="00306115" w:rsidRDefault="0095556A">
            <w:pPr>
              <w:pStyle w:val="ListParagraph"/>
              <w:numPr>
                <w:ilvl w:val="0"/>
                <w:numId w:val="366"/>
              </w:numPr>
              <w:spacing w:after="0" w:line="240" w:lineRule="auto"/>
              <w:ind w:left="709" w:right="142" w:hanging="567"/>
              <w:contextualSpacing w:val="0"/>
              <w:rPr>
                <w:color w:val="000000" w:themeColor="text1"/>
                <w:szCs w:val="24"/>
              </w:rPr>
            </w:pPr>
            <w:r w:rsidRPr="00306115">
              <w:rPr>
                <w:color w:val="000000" w:themeColor="text1"/>
                <w:szCs w:val="24"/>
              </w:rPr>
              <w:t xml:space="preserve">Proses internal operasional tidak memadai, ditandai dengan tingkat </w:t>
            </w:r>
            <w:r w:rsidRPr="00306115">
              <w:rPr>
                <w:i/>
                <w:iCs/>
                <w:color w:val="000000" w:themeColor="text1"/>
                <w:szCs w:val="24"/>
              </w:rPr>
              <w:t>operational loss</w:t>
            </w:r>
            <w:r w:rsidRPr="00306115">
              <w:rPr>
                <w:color w:val="000000" w:themeColor="text1"/>
                <w:szCs w:val="24"/>
              </w:rPr>
              <w:t xml:space="preserve"> yang sangat signifikan atau telah mengganggu kelangsungan usaha (</w:t>
            </w:r>
            <w:r w:rsidRPr="00306115">
              <w:rPr>
                <w:i/>
                <w:iCs/>
                <w:color w:val="000000" w:themeColor="text1"/>
                <w:szCs w:val="24"/>
              </w:rPr>
              <w:t>going concern</w:t>
            </w:r>
            <w:r w:rsidRPr="00306115">
              <w:rPr>
                <w:color w:val="000000" w:themeColor="text1"/>
                <w:szCs w:val="24"/>
              </w:rPr>
              <w:t>) Manajer Investasi, dan kesalahan perhitungan NAB yang sangat sering terjadi.</w:t>
            </w:r>
          </w:p>
          <w:p w14:paraId="0C52BF72" w14:textId="20D19C2C" w:rsidR="0095556A" w:rsidRPr="00306115" w:rsidRDefault="00995AB2">
            <w:pPr>
              <w:pStyle w:val="ListParagraph"/>
              <w:numPr>
                <w:ilvl w:val="0"/>
                <w:numId w:val="366"/>
              </w:numPr>
              <w:spacing w:after="0" w:line="240" w:lineRule="auto"/>
              <w:ind w:left="709" w:right="142" w:hanging="567"/>
              <w:contextualSpacing w:val="0"/>
              <w:rPr>
                <w:color w:val="000000" w:themeColor="text1"/>
                <w:szCs w:val="24"/>
              </w:rPr>
            </w:pPr>
            <w:r w:rsidRPr="00306115">
              <w:rPr>
                <w:color w:val="000000" w:themeColor="text1"/>
                <w:szCs w:val="24"/>
              </w:rPr>
              <w:t xml:space="preserve">Kualitas sumber daya manusia tidak memadai, ditandai dengan </w:t>
            </w:r>
            <w:r w:rsidRPr="00306115">
              <w:rPr>
                <w:i/>
                <w:iCs/>
                <w:color w:val="000000" w:themeColor="text1"/>
                <w:szCs w:val="24"/>
              </w:rPr>
              <w:t>turnover</w:t>
            </w:r>
            <w:r w:rsidRPr="00306115">
              <w:rPr>
                <w:color w:val="000000" w:themeColor="text1"/>
                <w:szCs w:val="24"/>
              </w:rPr>
              <w:t xml:space="preserve"> pegawai yang memiliki izin WPE sangat tinggi, serta frekuensi </w:t>
            </w:r>
            <w:r w:rsidRPr="00306115">
              <w:rPr>
                <w:i/>
                <w:iCs/>
                <w:color w:val="000000" w:themeColor="text1"/>
                <w:szCs w:val="24"/>
              </w:rPr>
              <w:t>fraud</w:t>
            </w:r>
            <w:r w:rsidRPr="00306115">
              <w:rPr>
                <w:color w:val="000000" w:themeColor="text1"/>
                <w:szCs w:val="24"/>
              </w:rPr>
              <w:t xml:space="preserve"> internal dan/atau eksternal yang sangat tinggi, atau terdapat kasus fraud yang melibatkan Direksi/Dewan Komisaris</w:t>
            </w:r>
          </w:p>
          <w:p w14:paraId="57C125A0" w14:textId="77777777" w:rsidR="00E52489" w:rsidRPr="00306115" w:rsidRDefault="00E52489">
            <w:pPr>
              <w:pStyle w:val="ListParagraph"/>
              <w:numPr>
                <w:ilvl w:val="0"/>
                <w:numId w:val="366"/>
              </w:numPr>
              <w:spacing w:after="0" w:line="240" w:lineRule="auto"/>
              <w:ind w:left="709" w:right="142" w:hanging="567"/>
              <w:contextualSpacing w:val="0"/>
              <w:rPr>
                <w:color w:val="000000" w:themeColor="text1"/>
                <w:szCs w:val="24"/>
              </w:rPr>
            </w:pPr>
            <w:r w:rsidRPr="00306115">
              <w:rPr>
                <w:color w:val="000000" w:themeColor="text1"/>
                <w:szCs w:val="24"/>
              </w:rPr>
              <w:t xml:space="preserve">Kualitas Teknologi Informasi tidak baik, ditandai dengan tingkat kegagalan </w:t>
            </w:r>
            <w:r w:rsidRPr="00306115">
              <w:rPr>
                <w:i/>
                <w:iCs/>
                <w:color w:val="000000" w:themeColor="text1"/>
                <w:szCs w:val="24"/>
              </w:rPr>
              <w:t>core system</w:t>
            </w:r>
            <w:r w:rsidRPr="00306115">
              <w:rPr>
                <w:color w:val="000000" w:themeColor="text1"/>
                <w:szCs w:val="24"/>
              </w:rPr>
              <w:t xml:space="preserve"> yang sangat sering terjadi, dengan waktu deteksi dan pemulihan insiden yang </w:t>
            </w:r>
            <w:r w:rsidRPr="00306115">
              <w:rPr>
                <w:color w:val="000000" w:themeColor="text1"/>
                <w:szCs w:val="24"/>
              </w:rPr>
              <w:lastRenderedPageBreak/>
              <w:t>sangat lama, serta tingkat otomasi sistem yang sangat rendah.</w:t>
            </w:r>
          </w:p>
          <w:p w14:paraId="5AA7169A" w14:textId="55B6900D" w:rsidR="00E52489" w:rsidRPr="00306115" w:rsidRDefault="00E52489">
            <w:pPr>
              <w:pStyle w:val="ListParagraph"/>
              <w:numPr>
                <w:ilvl w:val="0"/>
                <w:numId w:val="366"/>
              </w:numPr>
              <w:spacing w:after="0" w:line="240" w:lineRule="auto"/>
              <w:ind w:left="709" w:right="142" w:hanging="567"/>
              <w:contextualSpacing w:val="0"/>
              <w:rPr>
                <w:color w:val="000000" w:themeColor="text1"/>
                <w:szCs w:val="24"/>
              </w:rPr>
            </w:pPr>
            <w:r w:rsidRPr="00306115">
              <w:rPr>
                <w:color w:val="000000" w:themeColor="text1"/>
                <w:szCs w:val="24"/>
              </w:rPr>
              <w:t>Kondisi keamanan siber menunjukkan insiden pembobolan sistem yang sangat signifikan, dengan tingkat temuan kerentanan (Pentest) yang sangat tinggi.</w:t>
            </w:r>
          </w:p>
        </w:tc>
      </w:tr>
    </w:tbl>
    <w:p w14:paraId="61063D8F" w14:textId="77777777" w:rsidR="003A0B34" w:rsidRPr="00306115" w:rsidRDefault="003A0B34" w:rsidP="003A0B34">
      <w:pPr>
        <w:pStyle w:val="HeadingAwalDaftarIsiLampiran"/>
        <w:numPr>
          <w:ilvl w:val="0"/>
          <w:numId w:val="0"/>
        </w:numPr>
        <w:ind w:left="1134"/>
      </w:pPr>
    </w:p>
    <w:p w14:paraId="5C6A2040" w14:textId="77777777" w:rsidR="00451E35" w:rsidRPr="00306115" w:rsidRDefault="00451E35">
      <w:pPr>
        <w:pStyle w:val="HeadingAwalDaftarIsiLampiran"/>
        <w:numPr>
          <w:ilvl w:val="4"/>
          <w:numId w:val="295"/>
        </w:numPr>
        <w:ind w:left="1134" w:hanging="567"/>
      </w:pPr>
      <w:r w:rsidRPr="00306115">
        <w:t>Matriks Penetapan Kualitas Penerapan Manajemen Risiko</w:t>
      </w:r>
    </w:p>
    <w:tbl>
      <w:tblPr>
        <w:tblStyle w:val="TableGrid"/>
        <w:tblW w:w="8222" w:type="dxa"/>
        <w:tblInd w:w="1129" w:type="dxa"/>
        <w:tblLook w:val="04A0" w:firstRow="1" w:lastRow="0" w:firstColumn="1" w:lastColumn="0" w:noHBand="0" w:noVBand="1"/>
      </w:tblPr>
      <w:tblGrid>
        <w:gridCol w:w="2176"/>
        <w:gridCol w:w="6046"/>
      </w:tblGrid>
      <w:tr w:rsidR="0006568D" w:rsidRPr="00306115" w14:paraId="0DB2BFE2" w14:textId="77777777" w:rsidTr="00E52489">
        <w:trPr>
          <w:tblHeader/>
        </w:trPr>
        <w:tc>
          <w:tcPr>
            <w:tcW w:w="2176" w:type="dxa"/>
            <w:shd w:val="clear" w:color="auto" w:fill="D9D9D9"/>
            <w:vAlign w:val="center"/>
          </w:tcPr>
          <w:p w14:paraId="7FFA9B5B" w14:textId="77777777" w:rsidR="0006568D" w:rsidRPr="00306115" w:rsidRDefault="0006568D" w:rsidP="00EE7D58">
            <w:pPr>
              <w:spacing w:before="60" w:after="60"/>
              <w:ind w:left="142" w:right="142"/>
              <w:jc w:val="center"/>
              <w:rPr>
                <w:color w:val="000000" w:themeColor="text1"/>
                <w:szCs w:val="24"/>
              </w:rPr>
            </w:pPr>
            <w:r w:rsidRPr="00306115">
              <w:rPr>
                <w:color w:val="000000" w:themeColor="text1"/>
                <w:szCs w:val="24"/>
              </w:rPr>
              <w:t>Peringkat</w:t>
            </w:r>
          </w:p>
        </w:tc>
        <w:tc>
          <w:tcPr>
            <w:tcW w:w="6046" w:type="dxa"/>
            <w:shd w:val="clear" w:color="auto" w:fill="D9D9D9"/>
            <w:vAlign w:val="center"/>
          </w:tcPr>
          <w:p w14:paraId="4C26F5DB" w14:textId="77777777" w:rsidR="0006568D" w:rsidRPr="00306115" w:rsidRDefault="0006568D" w:rsidP="00EE7D58">
            <w:pPr>
              <w:spacing w:before="60" w:after="60"/>
              <w:ind w:left="142" w:right="142"/>
              <w:jc w:val="center"/>
              <w:rPr>
                <w:color w:val="000000" w:themeColor="text1"/>
                <w:szCs w:val="24"/>
              </w:rPr>
            </w:pPr>
            <w:r w:rsidRPr="00306115">
              <w:rPr>
                <w:color w:val="000000" w:themeColor="text1"/>
                <w:szCs w:val="24"/>
              </w:rPr>
              <w:t>Definisi Peringkat</w:t>
            </w:r>
          </w:p>
        </w:tc>
      </w:tr>
      <w:tr w:rsidR="0006568D" w:rsidRPr="00306115" w14:paraId="2B1444EF" w14:textId="77777777" w:rsidTr="00E52489">
        <w:tc>
          <w:tcPr>
            <w:tcW w:w="2176" w:type="dxa"/>
          </w:tcPr>
          <w:p w14:paraId="1D77F51B" w14:textId="77777777" w:rsidR="0006568D" w:rsidRPr="00306115" w:rsidRDefault="0006568D" w:rsidP="00EE7D58">
            <w:pPr>
              <w:pStyle w:val="BodyText"/>
              <w:numPr>
                <w:ilvl w:val="0"/>
                <w:numId w:val="0"/>
              </w:numPr>
              <w:spacing w:before="60" w:after="60"/>
              <w:ind w:left="142" w:right="142"/>
              <w:jc w:val="center"/>
              <w:rPr>
                <w:color w:val="000000" w:themeColor="text1"/>
              </w:rPr>
            </w:pPr>
            <w:r w:rsidRPr="00306115">
              <w:rPr>
                <w:i/>
                <w:iCs/>
                <w:color w:val="000000" w:themeColor="text1"/>
              </w:rPr>
              <w:t>Strong</w:t>
            </w:r>
            <w:r w:rsidRPr="00306115">
              <w:rPr>
                <w:color w:val="000000" w:themeColor="text1"/>
              </w:rPr>
              <w:t xml:space="preserve"> (1)</w:t>
            </w:r>
          </w:p>
        </w:tc>
        <w:tc>
          <w:tcPr>
            <w:tcW w:w="6046" w:type="dxa"/>
          </w:tcPr>
          <w:p w14:paraId="1E02C289" w14:textId="77777777" w:rsidR="0006568D" w:rsidRPr="00306115" w:rsidRDefault="0006568D" w:rsidP="00EE7D58">
            <w:pPr>
              <w:ind w:left="142" w:right="142"/>
              <w:rPr>
                <w:b/>
                <w:bCs/>
                <w:color w:val="000000" w:themeColor="text1"/>
                <w:szCs w:val="24"/>
              </w:rPr>
            </w:pPr>
            <w:r w:rsidRPr="00306115">
              <w:rPr>
                <w:color w:val="000000" w:themeColor="text1"/>
                <w:szCs w:val="24"/>
              </w:rPr>
              <w:t>Kualitas penerapan Manajemen Risiko untuk Risiko Operasional sangat memadai. Meskipun terdapat kelemahan minor, tetapi kelemahan tersebut tidak signifikan sehingga dapat diabaikan.</w:t>
            </w:r>
          </w:p>
          <w:p w14:paraId="6AEDBE4F" w14:textId="2E452926" w:rsidR="0006568D" w:rsidRPr="00306115" w:rsidRDefault="0006568D" w:rsidP="00EE7D58">
            <w:pPr>
              <w:ind w:left="142" w:right="142"/>
              <w:rPr>
                <w:color w:val="000000" w:themeColor="text1"/>
                <w:szCs w:val="24"/>
              </w:rPr>
            </w:pPr>
            <w:r w:rsidRPr="00306115">
              <w:rPr>
                <w:color w:val="000000" w:themeColor="text1"/>
                <w:szCs w:val="24"/>
              </w:rPr>
              <w:t xml:space="preserve">Contoh karakteristik/kondisi Manajer Investasi yang termasuk dalam peringkat </w:t>
            </w:r>
            <w:r w:rsidRPr="00306115">
              <w:rPr>
                <w:i/>
                <w:color w:val="000000" w:themeColor="text1"/>
                <w:szCs w:val="24"/>
              </w:rPr>
              <w:t xml:space="preserve">Strong </w:t>
            </w:r>
            <w:r w:rsidRPr="00306115">
              <w:rPr>
                <w:color w:val="000000" w:themeColor="text1"/>
                <w:szCs w:val="24"/>
              </w:rPr>
              <w:t>(1) antara lain sebagai berikut:</w:t>
            </w:r>
          </w:p>
          <w:p w14:paraId="3DAAD3E9" w14:textId="77777777" w:rsidR="0006568D" w:rsidRPr="00306115" w:rsidRDefault="0006568D">
            <w:pPr>
              <w:pStyle w:val="ListParagraph"/>
              <w:numPr>
                <w:ilvl w:val="0"/>
                <w:numId w:val="367"/>
              </w:numPr>
              <w:ind w:left="709" w:right="142" w:hanging="567"/>
              <w:contextualSpacing w:val="0"/>
              <w:rPr>
                <w:b/>
                <w:bCs/>
                <w:color w:val="000000" w:themeColor="text1"/>
                <w:szCs w:val="24"/>
              </w:rPr>
            </w:pPr>
            <w:r w:rsidRPr="00306115">
              <w:rPr>
                <w:color w:val="000000" w:themeColor="text1"/>
                <w:szCs w:val="24"/>
              </w:rPr>
              <w:t>Perumusan tingkat risiko yang akan diambil (</w:t>
            </w:r>
            <w:r w:rsidRPr="00306115">
              <w:rPr>
                <w:i/>
                <w:color w:val="000000" w:themeColor="text1"/>
                <w:szCs w:val="24"/>
              </w:rPr>
              <w:t>risk appetite</w:t>
            </w:r>
            <w:r w:rsidRPr="00306115">
              <w:rPr>
                <w:color w:val="000000" w:themeColor="text1"/>
                <w:szCs w:val="24"/>
              </w:rPr>
              <w:t>) dan toleransi (</w:t>
            </w:r>
            <w:r w:rsidRPr="00306115">
              <w:rPr>
                <w:i/>
                <w:color w:val="000000" w:themeColor="text1"/>
                <w:szCs w:val="24"/>
              </w:rPr>
              <w:t>risk tolerance</w:t>
            </w:r>
            <w:r w:rsidRPr="00306115">
              <w:rPr>
                <w:color w:val="000000" w:themeColor="text1"/>
                <w:szCs w:val="24"/>
              </w:rPr>
              <w:t>) Risiko Operasional sangat memadai dan telah sejalan dengan strategi dan tujuan bisnis secara keseluruhan.</w:t>
            </w:r>
          </w:p>
          <w:p w14:paraId="5D906B2F" w14:textId="77777777" w:rsidR="0006568D" w:rsidRPr="00306115" w:rsidRDefault="0006568D">
            <w:pPr>
              <w:pStyle w:val="ListParagraph"/>
              <w:numPr>
                <w:ilvl w:val="0"/>
                <w:numId w:val="367"/>
              </w:numPr>
              <w:ind w:left="709" w:right="142" w:hanging="567"/>
              <w:contextualSpacing w:val="0"/>
              <w:rPr>
                <w:color w:val="000000" w:themeColor="text1"/>
                <w:szCs w:val="24"/>
              </w:rPr>
            </w:pPr>
            <w:r w:rsidRPr="00306115">
              <w:rPr>
                <w:color w:val="000000" w:themeColor="text1"/>
                <w:szCs w:val="24"/>
              </w:rPr>
              <w:t>Kesadaran (</w:t>
            </w:r>
            <w:r w:rsidRPr="00306115">
              <w:rPr>
                <w:i/>
                <w:color w:val="000000" w:themeColor="text1"/>
                <w:szCs w:val="24"/>
              </w:rPr>
              <w:t>awareness</w:t>
            </w:r>
            <w:r w:rsidRPr="00306115">
              <w:rPr>
                <w:color w:val="000000" w:themeColor="text1"/>
                <w:szCs w:val="24"/>
              </w:rPr>
              <w:t>) dan pemahaman Direksi dan Dewan Komisaris sangat tinggi atau sangat memadai mengenai pelaksanaan Manajemen Risiko, terutama terkait jenis dan tingkat risiko untuk Risiko Operasional.</w:t>
            </w:r>
          </w:p>
          <w:p w14:paraId="086CC63D" w14:textId="77777777" w:rsidR="0006568D" w:rsidRPr="00306115" w:rsidRDefault="0006568D">
            <w:pPr>
              <w:pStyle w:val="ListParagraph"/>
              <w:numPr>
                <w:ilvl w:val="0"/>
                <w:numId w:val="367"/>
              </w:numPr>
              <w:ind w:left="709" w:right="142" w:hanging="567"/>
              <w:contextualSpacing w:val="0"/>
              <w:rPr>
                <w:color w:val="000000" w:themeColor="text1"/>
                <w:szCs w:val="24"/>
              </w:rPr>
            </w:pPr>
            <w:r w:rsidRPr="00306115">
              <w:rPr>
                <w:color w:val="000000" w:themeColor="text1"/>
                <w:szCs w:val="24"/>
              </w:rPr>
              <w:t>Budaya Manajemen Risiko untuk Risiko Operasional sangat kuat dan telah diinternalisasikan dengan sangat baik pada seluruh level organisasi.</w:t>
            </w:r>
          </w:p>
          <w:p w14:paraId="4FFDD5AB" w14:textId="77777777" w:rsidR="0006568D" w:rsidRPr="00306115" w:rsidRDefault="0006568D">
            <w:pPr>
              <w:pStyle w:val="ListParagraph"/>
              <w:numPr>
                <w:ilvl w:val="0"/>
                <w:numId w:val="367"/>
              </w:numPr>
              <w:ind w:left="709" w:right="142" w:hanging="567"/>
              <w:contextualSpacing w:val="0"/>
              <w:rPr>
                <w:color w:val="000000" w:themeColor="text1"/>
                <w:szCs w:val="24"/>
              </w:rPr>
            </w:pPr>
            <w:r w:rsidRPr="00306115">
              <w:rPr>
                <w:color w:val="000000" w:themeColor="text1"/>
                <w:szCs w:val="24"/>
              </w:rPr>
              <w:t>Pelaksanaan tugas Direksi dan Dewan Komisaris secara keseluruhan sangat memadai.</w:t>
            </w:r>
          </w:p>
          <w:p w14:paraId="57FAF436" w14:textId="77777777" w:rsidR="0006568D" w:rsidRPr="00306115" w:rsidRDefault="0006568D">
            <w:pPr>
              <w:pStyle w:val="ListParagraph"/>
              <w:numPr>
                <w:ilvl w:val="0"/>
                <w:numId w:val="367"/>
              </w:numPr>
              <w:ind w:left="709" w:right="142" w:hanging="567"/>
              <w:contextualSpacing w:val="0"/>
              <w:rPr>
                <w:color w:val="000000" w:themeColor="text1"/>
                <w:szCs w:val="24"/>
              </w:rPr>
            </w:pPr>
            <w:r w:rsidRPr="00306115">
              <w:rPr>
                <w:color w:val="000000" w:themeColor="text1"/>
                <w:szCs w:val="24"/>
              </w:rPr>
              <w:t>Fungsi Manajemen Risiko untuk Risiko Operasional independen, memiliki tugas dan tanggung jawab yang jelas, dan telah berjalan dengan sangat baik.</w:t>
            </w:r>
          </w:p>
          <w:p w14:paraId="51779575" w14:textId="77777777" w:rsidR="0006568D" w:rsidRPr="00306115" w:rsidRDefault="0006568D">
            <w:pPr>
              <w:pStyle w:val="ListParagraph"/>
              <w:numPr>
                <w:ilvl w:val="0"/>
                <w:numId w:val="367"/>
              </w:numPr>
              <w:ind w:left="709" w:right="142" w:hanging="567"/>
              <w:contextualSpacing w:val="0"/>
              <w:rPr>
                <w:b/>
                <w:bCs/>
                <w:color w:val="000000" w:themeColor="text1"/>
                <w:szCs w:val="24"/>
              </w:rPr>
            </w:pPr>
            <w:r w:rsidRPr="00306115">
              <w:rPr>
                <w:color w:val="000000" w:themeColor="text1"/>
                <w:szCs w:val="24"/>
              </w:rPr>
              <w:t>Kerangka pedelegasian wewenang sangat memadai.</w:t>
            </w:r>
          </w:p>
          <w:p w14:paraId="73AD7B2C" w14:textId="77777777" w:rsidR="0006568D" w:rsidRPr="00306115" w:rsidRDefault="0006568D">
            <w:pPr>
              <w:pStyle w:val="ListParagraph"/>
              <w:numPr>
                <w:ilvl w:val="0"/>
                <w:numId w:val="367"/>
              </w:numPr>
              <w:ind w:left="709" w:right="142" w:hanging="567"/>
              <w:contextualSpacing w:val="0"/>
              <w:rPr>
                <w:color w:val="000000" w:themeColor="text1"/>
                <w:szCs w:val="24"/>
              </w:rPr>
            </w:pPr>
            <w:r w:rsidRPr="00306115">
              <w:rPr>
                <w:color w:val="000000" w:themeColor="text1"/>
                <w:szCs w:val="24"/>
              </w:rPr>
              <w:t>Kebijakan dan prosedur Manajemen Risiko serta penetapan limit Risiko Operasional sangat memadai, diterapkan dengan sangat baik, dan dipahami dengan sangat baik oleh pegawai.</w:t>
            </w:r>
          </w:p>
          <w:p w14:paraId="615B46BC" w14:textId="77777777" w:rsidR="0006568D" w:rsidRPr="00306115" w:rsidRDefault="0006568D">
            <w:pPr>
              <w:pStyle w:val="ListParagraph"/>
              <w:numPr>
                <w:ilvl w:val="0"/>
                <w:numId w:val="367"/>
              </w:numPr>
              <w:ind w:left="709" w:right="142" w:hanging="567"/>
              <w:contextualSpacing w:val="0"/>
              <w:rPr>
                <w:color w:val="000000" w:themeColor="text1"/>
                <w:szCs w:val="24"/>
              </w:rPr>
            </w:pPr>
            <w:r w:rsidRPr="00306115">
              <w:rPr>
                <w:color w:val="000000" w:themeColor="text1"/>
                <w:szCs w:val="24"/>
              </w:rPr>
              <w:t>Strategi Manajemen Risiko untuk Risiko Operasional sangat memadai dan sangat sejalan dengan tingkat risiko yang akan diambil dan toleransi Risiko Operasional.</w:t>
            </w:r>
          </w:p>
          <w:p w14:paraId="05B58EF7" w14:textId="77777777" w:rsidR="0006568D" w:rsidRPr="00306115" w:rsidRDefault="0006568D">
            <w:pPr>
              <w:pStyle w:val="ListParagraph"/>
              <w:numPr>
                <w:ilvl w:val="0"/>
                <w:numId w:val="367"/>
              </w:numPr>
              <w:ind w:left="709" w:right="142" w:hanging="567"/>
              <w:contextualSpacing w:val="0"/>
              <w:rPr>
                <w:b/>
                <w:bCs/>
                <w:i/>
                <w:iCs/>
                <w:color w:val="000000" w:themeColor="text1"/>
                <w:szCs w:val="24"/>
              </w:rPr>
            </w:pPr>
            <w:r w:rsidRPr="00306115">
              <w:rPr>
                <w:color w:val="000000" w:themeColor="text1"/>
                <w:szCs w:val="24"/>
              </w:rPr>
              <w:t xml:space="preserve">Proses Manajemen Risiko untuk Risiko Operasional sangat memadai dalam </w:t>
            </w:r>
            <w:r w:rsidRPr="00306115">
              <w:rPr>
                <w:color w:val="000000" w:themeColor="text1"/>
                <w:szCs w:val="24"/>
              </w:rPr>
              <w:lastRenderedPageBreak/>
              <w:t>mengidentifikasi, mengukur, memantau, dan mengendalikan Risiko Operasional</w:t>
            </w:r>
            <w:r w:rsidRPr="00306115">
              <w:rPr>
                <w:i/>
                <w:iCs/>
                <w:color w:val="000000" w:themeColor="text1"/>
                <w:szCs w:val="24"/>
              </w:rPr>
              <w:t>.</w:t>
            </w:r>
          </w:p>
          <w:p w14:paraId="213A4617" w14:textId="77777777" w:rsidR="0006568D" w:rsidRPr="00306115" w:rsidRDefault="0006568D">
            <w:pPr>
              <w:pStyle w:val="ListParagraph"/>
              <w:numPr>
                <w:ilvl w:val="0"/>
                <w:numId w:val="367"/>
              </w:numPr>
              <w:ind w:left="709" w:right="142" w:hanging="567"/>
              <w:contextualSpacing w:val="0"/>
              <w:rPr>
                <w:color w:val="000000" w:themeColor="text1"/>
                <w:szCs w:val="24"/>
              </w:rPr>
            </w:pPr>
            <w:r w:rsidRPr="00306115">
              <w:rPr>
                <w:i/>
                <w:iCs/>
                <w:color w:val="000000" w:themeColor="text1"/>
                <w:szCs w:val="24"/>
              </w:rPr>
              <w:t>Business continuity management</w:t>
            </w:r>
            <w:r w:rsidRPr="00306115">
              <w:rPr>
                <w:color w:val="000000" w:themeColor="text1"/>
                <w:szCs w:val="24"/>
              </w:rPr>
              <w:t xml:space="preserve"> sangat andal dan sangat teruji.</w:t>
            </w:r>
          </w:p>
          <w:p w14:paraId="539FA836" w14:textId="77777777" w:rsidR="0006568D" w:rsidRPr="00306115" w:rsidRDefault="0006568D">
            <w:pPr>
              <w:pStyle w:val="ListParagraph"/>
              <w:numPr>
                <w:ilvl w:val="0"/>
                <w:numId w:val="367"/>
              </w:numPr>
              <w:ind w:left="709" w:right="142" w:hanging="567"/>
              <w:contextualSpacing w:val="0"/>
              <w:rPr>
                <w:color w:val="000000" w:themeColor="text1"/>
                <w:szCs w:val="24"/>
              </w:rPr>
            </w:pPr>
            <w:r w:rsidRPr="00306115">
              <w:rPr>
                <w:color w:val="000000" w:themeColor="text1"/>
                <w:szCs w:val="24"/>
              </w:rPr>
              <w:t>Pengendalian dan pengamanan informasi, data Produk Investasi, dan data operasional kegiatan usaha Manajer Investasi dilakukan dengan sangat baik.</w:t>
            </w:r>
          </w:p>
          <w:p w14:paraId="2F0500E0" w14:textId="77777777" w:rsidR="0006568D" w:rsidRPr="00306115" w:rsidRDefault="0006568D">
            <w:pPr>
              <w:pStyle w:val="ListParagraph"/>
              <w:numPr>
                <w:ilvl w:val="0"/>
                <w:numId w:val="367"/>
              </w:numPr>
              <w:ind w:left="709" w:right="142" w:hanging="567"/>
              <w:contextualSpacing w:val="0"/>
              <w:rPr>
                <w:color w:val="000000" w:themeColor="text1"/>
                <w:szCs w:val="24"/>
              </w:rPr>
            </w:pPr>
            <w:r w:rsidRPr="00306115">
              <w:rPr>
                <w:color w:val="000000" w:themeColor="text1"/>
                <w:szCs w:val="24"/>
              </w:rPr>
              <w:t>Audit atas sistem elektronik untuk transaksi Produk Investasi dilakukan secara berkala dan hasil audit ditindaklanjuti dengan sangat memadai.</w:t>
            </w:r>
          </w:p>
          <w:p w14:paraId="6DFF625F" w14:textId="77777777" w:rsidR="0006568D" w:rsidRPr="00306115" w:rsidRDefault="0006568D">
            <w:pPr>
              <w:pStyle w:val="ListParagraph"/>
              <w:numPr>
                <w:ilvl w:val="0"/>
                <w:numId w:val="367"/>
              </w:numPr>
              <w:ind w:left="709" w:right="142" w:hanging="567"/>
              <w:contextualSpacing w:val="0"/>
              <w:rPr>
                <w:color w:val="000000" w:themeColor="text1"/>
                <w:szCs w:val="24"/>
              </w:rPr>
            </w:pPr>
            <w:r w:rsidRPr="00306115">
              <w:rPr>
                <w:color w:val="000000" w:themeColor="text1"/>
                <w:szCs w:val="24"/>
              </w:rPr>
              <w:t>Sistem Informasi Manajemen Risiko untuk Risiko Operasional sangat baik dalam menghasilkan informasi dan laporan Risiko Operasional yang komprehensif.</w:t>
            </w:r>
          </w:p>
          <w:p w14:paraId="796DBDE9" w14:textId="730E4D6C" w:rsidR="0006568D" w:rsidRPr="00306115" w:rsidRDefault="0006568D">
            <w:pPr>
              <w:pStyle w:val="ListParagraph"/>
              <w:numPr>
                <w:ilvl w:val="0"/>
                <w:numId w:val="367"/>
              </w:numPr>
              <w:ind w:left="709" w:right="142" w:hanging="567"/>
              <w:contextualSpacing w:val="0"/>
              <w:rPr>
                <w:color w:val="000000" w:themeColor="text1"/>
                <w:szCs w:val="24"/>
              </w:rPr>
            </w:pPr>
            <w:r w:rsidRPr="00306115">
              <w:rPr>
                <w:color w:val="000000" w:themeColor="text1"/>
                <w:szCs w:val="24"/>
              </w:rPr>
              <w:t xml:space="preserve">Secara umum sumber daya manusia sangat memadai baik dari sisi jumlah maupun kompetensi pada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untuk Risiko Operasional.</w:t>
            </w:r>
          </w:p>
          <w:p w14:paraId="021B86F7" w14:textId="77777777" w:rsidR="0006568D" w:rsidRPr="00306115" w:rsidRDefault="0006568D">
            <w:pPr>
              <w:pStyle w:val="ListParagraph"/>
              <w:numPr>
                <w:ilvl w:val="0"/>
                <w:numId w:val="367"/>
              </w:numPr>
              <w:ind w:left="709" w:right="142" w:hanging="567"/>
              <w:contextualSpacing w:val="0"/>
              <w:rPr>
                <w:color w:val="000000" w:themeColor="text1"/>
                <w:szCs w:val="24"/>
              </w:rPr>
            </w:pPr>
            <w:r w:rsidRPr="00306115">
              <w:rPr>
                <w:color w:val="000000" w:themeColor="text1"/>
                <w:szCs w:val="24"/>
              </w:rPr>
              <w:t>Sistem pengendalian internal sangat efektif dalam mendukung pelaksanaan Manajemen Risiko untuk Risiko Operasional.</w:t>
            </w:r>
          </w:p>
          <w:p w14:paraId="751553D2" w14:textId="74069550" w:rsidR="0006568D" w:rsidRPr="00306115" w:rsidRDefault="0006568D">
            <w:pPr>
              <w:pStyle w:val="ListParagraph"/>
              <w:numPr>
                <w:ilvl w:val="0"/>
                <w:numId w:val="367"/>
              </w:numPr>
              <w:ind w:left="709" w:right="142" w:hanging="567"/>
              <w:contextualSpacing w:val="0"/>
              <w:rPr>
                <w:color w:val="000000" w:themeColor="text1"/>
                <w:szCs w:val="24"/>
              </w:rPr>
            </w:pPr>
            <w:r w:rsidRPr="00306115">
              <w:rPr>
                <w:color w:val="000000" w:themeColor="text1"/>
                <w:szCs w:val="24"/>
              </w:rPr>
              <w:t xml:space="preserve">Pelaksanaan kaji ulang oleh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dan fungsi audit internal sangat memadai baik dari sisi metodologi, frekuensi, maupun pelaporan kepada Direksi dan Dewan Komisaris.</w:t>
            </w:r>
          </w:p>
          <w:p w14:paraId="4E3D91EE" w14:textId="77777777" w:rsidR="0006568D" w:rsidRPr="00306115" w:rsidRDefault="0006568D">
            <w:pPr>
              <w:pStyle w:val="ListParagraph"/>
              <w:numPr>
                <w:ilvl w:val="0"/>
                <w:numId w:val="367"/>
              </w:numPr>
              <w:ind w:left="709" w:right="142" w:hanging="567"/>
              <w:contextualSpacing w:val="0"/>
              <w:rPr>
                <w:b/>
                <w:bCs/>
                <w:color w:val="000000" w:themeColor="text1"/>
                <w:szCs w:val="24"/>
              </w:rPr>
            </w:pPr>
            <w:r w:rsidRPr="00306115">
              <w:rPr>
                <w:color w:val="000000" w:themeColor="text1"/>
                <w:szCs w:val="24"/>
              </w:rPr>
              <w:t>Tindak lanjut atas kaji ulang telah dilaksanakan dengan sangat memadai.</w:t>
            </w:r>
          </w:p>
        </w:tc>
      </w:tr>
      <w:tr w:rsidR="0006568D" w:rsidRPr="00306115" w14:paraId="49DF50B6" w14:textId="77777777" w:rsidTr="00E52489">
        <w:tc>
          <w:tcPr>
            <w:tcW w:w="2176" w:type="dxa"/>
          </w:tcPr>
          <w:p w14:paraId="43A546C3" w14:textId="77777777" w:rsidR="0006568D" w:rsidRPr="00306115" w:rsidRDefault="0006568D" w:rsidP="00EC6A12">
            <w:pPr>
              <w:pStyle w:val="BodyText"/>
              <w:numPr>
                <w:ilvl w:val="0"/>
                <w:numId w:val="0"/>
              </w:numPr>
              <w:spacing w:before="60" w:after="60"/>
              <w:ind w:left="142" w:right="142"/>
              <w:jc w:val="center"/>
              <w:rPr>
                <w:color w:val="000000" w:themeColor="text1"/>
              </w:rPr>
            </w:pPr>
            <w:r w:rsidRPr="00306115">
              <w:rPr>
                <w:i/>
                <w:iCs/>
                <w:color w:val="000000" w:themeColor="text1"/>
              </w:rPr>
              <w:lastRenderedPageBreak/>
              <w:t>Satisfactory</w:t>
            </w:r>
            <w:r w:rsidRPr="00306115">
              <w:rPr>
                <w:color w:val="000000" w:themeColor="text1"/>
              </w:rPr>
              <w:t xml:space="preserve"> (2)</w:t>
            </w:r>
          </w:p>
        </w:tc>
        <w:tc>
          <w:tcPr>
            <w:tcW w:w="6046" w:type="dxa"/>
          </w:tcPr>
          <w:p w14:paraId="36987AAF" w14:textId="77777777" w:rsidR="0006568D" w:rsidRPr="00306115" w:rsidRDefault="0006568D" w:rsidP="00EE7D58">
            <w:pPr>
              <w:ind w:left="142" w:right="142"/>
              <w:rPr>
                <w:b/>
                <w:bCs/>
                <w:color w:val="000000" w:themeColor="text1"/>
                <w:szCs w:val="24"/>
              </w:rPr>
            </w:pPr>
            <w:r w:rsidRPr="00306115">
              <w:rPr>
                <w:color w:val="000000" w:themeColor="text1"/>
                <w:szCs w:val="24"/>
              </w:rPr>
              <w:t>Kualitas penerapan Manajemen Risiko untuk Risiko Operasional memadai. Terdapat beberapa kelemahan minor, tetapi kelemahan tersebut dapat diselesaikan pada aktivitas kegiatan usaha normal.</w:t>
            </w:r>
          </w:p>
          <w:p w14:paraId="12A76F3B" w14:textId="294D5BB0" w:rsidR="0006568D" w:rsidRPr="00306115" w:rsidRDefault="0006568D" w:rsidP="00EE7D58">
            <w:pPr>
              <w:ind w:left="142" w:right="142"/>
              <w:rPr>
                <w:b/>
                <w:bCs/>
                <w:color w:val="000000" w:themeColor="text1"/>
                <w:szCs w:val="24"/>
              </w:rPr>
            </w:pPr>
            <w:r w:rsidRPr="00306115">
              <w:rPr>
                <w:color w:val="000000" w:themeColor="text1"/>
                <w:szCs w:val="24"/>
              </w:rPr>
              <w:t xml:space="preserve">Contoh karakteristik/kondisi Manajer Investasi yang termasuk dalam peringkat </w:t>
            </w:r>
            <w:r w:rsidRPr="00306115">
              <w:rPr>
                <w:i/>
                <w:color w:val="000000" w:themeColor="text1"/>
                <w:szCs w:val="24"/>
              </w:rPr>
              <w:t xml:space="preserve">Satisfactory </w:t>
            </w:r>
            <w:r w:rsidRPr="00306115">
              <w:rPr>
                <w:color w:val="000000" w:themeColor="text1"/>
                <w:szCs w:val="24"/>
              </w:rPr>
              <w:t>(2) antara lain sebagai berikut:</w:t>
            </w:r>
          </w:p>
          <w:p w14:paraId="3C62F43D" w14:textId="77777777" w:rsidR="0006568D" w:rsidRPr="00306115" w:rsidRDefault="0006568D">
            <w:pPr>
              <w:pStyle w:val="ListParagraph"/>
              <w:numPr>
                <w:ilvl w:val="0"/>
                <w:numId w:val="368"/>
              </w:numPr>
              <w:ind w:left="709" w:right="142" w:hanging="567"/>
              <w:contextualSpacing w:val="0"/>
              <w:rPr>
                <w:b/>
                <w:bCs/>
                <w:color w:val="000000" w:themeColor="text1"/>
                <w:szCs w:val="24"/>
              </w:rPr>
            </w:pPr>
            <w:r w:rsidRPr="00306115">
              <w:rPr>
                <w:color w:val="000000" w:themeColor="text1"/>
                <w:szCs w:val="24"/>
              </w:rPr>
              <w:t>Perumusan tingkat risiko yang akan diambil (</w:t>
            </w:r>
            <w:r w:rsidRPr="00306115">
              <w:rPr>
                <w:i/>
                <w:color w:val="000000" w:themeColor="text1"/>
                <w:szCs w:val="24"/>
              </w:rPr>
              <w:t>risk appetite</w:t>
            </w:r>
            <w:r w:rsidRPr="00306115">
              <w:rPr>
                <w:color w:val="000000" w:themeColor="text1"/>
                <w:szCs w:val="24"/>
              </w:rPr>
              <w:t>) dan toleransi (</w:t>
            </w:r>
            <w:r w:rsidRPr="00306115">
              <w:rPr>
                <w:i/>
                <w:color w:val="000000" w:themeColor="text1"/>
                <w:szCs w:val="24"/>
              </w:rPr>
              <w:t>risk tolerance</w:t>
            </w:r>
            <w:r w:rsidRPr="00306115">
              <w:rPr>
                <w:color w:val="000000" w:themeColor="text1"/>
                <w:szCs w:val="24"/>
              </w:rPr>
              <w:t>) Risiko Operasional memadai dan telah sejalan dengan strategi dan tujuan bisnis secara keseluruhan.</w:t>
            </w:r>
          </w:p>
          <w:p w14:paraId="3B409EC7" w14:textId="77777777" w:rsidR="0006568D" w:rsidRPr="00306115" w:rsidRDefault="0006568D">
            <w:pPr>
              <w:pStyle w:val="ListParagraph"/>
              <w:numPr>
                <w:ilvl w:val="0"/>
                <w:numId w:val="368"/>
              </w:numPr>
              <w:ind w:left="709" w:right="142" w:hanging="567"/>
              <w:contextualSpacing w:val="0"/>
              <w:rPr>
                <w:b/>
                <w:bCs/>
                <w:color w:val="000000" w:themeColor="text1"/>
                <w:szCs w:val="24"/>
              </w:rPr>
            </w:pPr>
            <w:r w:rsidRPr="00306115">
              <w:rPr>
                <w:color w:val="000000" w:themeColor="text1"/>
                <w:szCs w:val="24"/>
              </w:rPr>
              <w:t>Kesadaran (</w:t>
            </w:r>
            <w:r w:rsidRPr="00306115">
              <w:rPr>
                <w:i/>
                <w:color w:val="000000" w:themeColor="text1"/>
                <w:szCs w:val="24"/>
              </w:rPr>
              <w:t>awareness</w:t>
            </w:r>
            <w:r w:rsidRPr="00306115">
              <w:rPr>
                <w:color w:val="000000" w:themeColor="text1"/>
                <w:szCs w:val="24"/>
              </w:rPr>
              <w:t>) dan pemahaman Direksi dan Dewan Komisaris tinggi atau memadai mengenai pelaksanaan Manajemen Risiko, terutama terkait jenis dan tingkat risiko untuk Risiko Operasional.</w:t>
            </w:r>
          </w:p>
          <w:p w14:paraId="3918113C" w14:textId="77777777" w:rsidR="0006568D" w:rsidRPr="00306115" w:rsidRDefault="0006568D">
            <w:pPr>
              <w:pStyle w:val="ListParagraph"/>
              <w:numPr>
                <w:ilvl w:val="0"/>
                <w:numId w:val="368"/>
              </w:numPr>
              <w:ind w:left="709" w:right="142" w:hanging="567"/>
              <w:contextualSpacing w:val="0"/>
              <w:rPr>
                <w:b/>
                <w:bCs/>
                <w:color w:val="000000" w:themeColor="text1"/>
                <w:szCs w:val="24"/>
              </w:rPr>
            </w:pPr>
            <w:r w:rsidRPr="00306115">
              <w:rPr>
                <w:color w:val="000000" w:themeColor="text1"/>
                <w:szCs w:val="24"/>
              </w:rPr>
              <w:t xml:space="preserve">Budaya Manajemen Risiko untuk Risiko Operasional kuat dan telah </w:t>
            </w:r>
            <w:r w:rsidRPr="00306115">
              <w:rPr>
                <w:color w:val="000000" w:themeColor="text1"/>
                <w:szCs w:val="24"/>
              </w:rPr>
              <w:lastRenderedPageBreak/>
              <w:t>diinternalisasikan dengan baik pada seluruh level organisasi.</w:t>
            </w:r>
          </w:p>
          <w:p w14:paraId="6B59F593" w14:textId="77777777" w:rsidR="0006568D" w:rsidRPr="00306115" w:rsidRDefault="0006568D">
            <w:pPr>
              <w:pStyle w:val="ListParagraph"/>
              <w:numPr>
                <w:ilvl w:val="0"/>
                <w:numId w:val="368"/>
              </w:numPr>
              <w:ind w:left="709" w:right="142" w:hanging="567"/>
              <w:contextualSpacing w:val="0"/>
              <w:rPr>
                <w:b/>
                <w:bCs/>
                <w:color w:val="000000" w:themeColor="text1"/>
                <w:szCs w:val="24"/>
              </w:rPr>
            </w:pPr>
            <w:r w:rsidRPr="00306115">
              <w:rPr>
                <w:color w:val="000000" w:themeColor="text1"/>
                <w:szCs w:val="24"/>
              </w:rPr>
              <w:t>Pelaksanaan tugas Direksi dan Dewan Komisaris secara keseluruhan memadai. Terdapat beberapa kelemahan yang tidak signifikan dan dapat diperbaiki dengan segera.</w:t>
            </w:r>
          </w:p>
          <w:p w14:paraId="752EECE1" w14:textId="77777777" w:rsidR="0006568D" w:rsidRPr="00306115" w:rsidRDefault="0006568D">
            <w:pPr>
              <w:pStyle w:val="ListParagraph"/>
              <w:numPr>
                <w:ilvl w:val="0"/>
                <w:numId w:val="368"/>
              </w:numPr>
              <w:ind w:left="709" w:right="142" w:hanging="567"/>
              <w:contextualSpacing w:val="0"/>
              <w:rPr>
                <w:b/>
                <w:bCs/>
                <w:color w:val="000000" w:themeColor="text1"/>
                <w:szCs w:val="24"/>
              </w:rPr>
            </w:pPr>
            <w:r w:rsidRPr="00306115">
              <w:rPr>
                <w:color w:val="000000" w:themeColor="text1"/>
                <w:szCs w:val="24"/>
              </w:rPr>
              <w:t>Fungsi Manajemen Risiko untuk Risiko Operasional independen, memiliki tugas dan tanggung jawab yang jelas, dan telah berjalan dengan baik. Terdapat kelemahan minor yang dapat diselesaikan pada aktivitas kegiatan usaha normal.</w:t>
            </w:r>
          </w:p>
          <w:p w14:paraId="244263E8" w14:textId="77777777" w:rsidR="0006568D" w:rsidRPr="00306115" w:rsidRDefault="0006568D">
            <w:pPr>
              <w:pStyle w:val="ListParagraph"/>
              <w:numPr>
                <w:ilvl w:val="0"/>
                <w:numId w:val="368"/>
              </w:numPr>
              <w:ind w:left="709" w:right="142" w:hanging="567"/>
              <w:contextualSpacing w:val="0"/>
              <w:rPr>
                <w:b/>
                <w:bCs/>
                <w:color w:val="000000" w:themeColor="text1"/>
                <w:szCs w:val="24"/>
              </w:rPr>
            </w:pPr>
            <w:r w:rsidRPr="00306115">
              <w:rPr>
                <w:color w:val="000000" w:themeColor="text1"/>
                <w:szCs w:val="24"/>
              </w:rPr>
              <w:t>Kerangka pedelegasian wewenang memadai.</w:t>
            </w:r>
          </w:p>
          <w:p w14:paraId="21FF91FA" w14:textId="77777777" w:rsidR="0006568D" w:rsidRPr="00306115" w:rsidRDefault="0006568D">
            <w:pPr>
              <w:pStyle w:val="ListParagraph"/>
              <w:numPr>
                <w:ilvl w:val="0"/>
                <w:numId w:val="368"/>
              </w:numPr>
              <w:ind w:left="709" w:right="142" w:hanging="567"/>
              <w:contextualSpacing w:val="0"/>
              <w:rPr>
                <w:color w:val="000000" w:themeColor="text1"/>
                <w:szCs w:val="24"/>
              </w:rPr>
            </w:pPr>
            <w:r w:rsidRPr="00306115">
              <w:rPr>
                <w:color w:val="000000" w:themeColor="text1"/>
                <w:szCs w:val="24"/>
              </w:rPr>
              <w:t>Kebijakan dan prosedur Manajemen Risiko serta penetapan limit Risiko Operasional memadai, diterapkan dengan baik, dan dipahami dengan baik oleh pegawai.</w:t>
            </w:r>
          </w:p>
          <w:p w14:paraId="648FDD5D" w14:textId="77777777" w:rsidR="0006568D" w:rsidRPr="00306115" w:rsidRDefault="0006568D">
            <w:pPr>
              <w:pStyle w:val="ListParagraph"/>
              <w:numPr>
                <w:ilvl w:val="0"/>
                <w:numId w:val="368"/>
              </w:numPr>
              <w:ind w:left="709" w:right="142" w:hanging="567"/>
              <w:contextualSpacing w:val="0"/>
              <w:rPr>
                <w:b/>
                <w:bCs/>
                <w:color w:val="000000" w:themeColor="text1"/>
                <w:szCs w:val="24"/>
              </w:rPr>
            </w:pPr>
            <w:r w:rsidRPr="00306115">
              <w:rPr>
                <w:color w:val="000000" w:themeColor="text1"/>
                <w:szCs w:val="24"/>
              </w:rPr>
              <w:t>Strategi Manajemen Risiko untuk Risiko Operasional memadai dan sejalan dengan tingkat risiko yang akan diambil dan toleransi Risiko Operasional.</w:t>
            </w:r>
          </w:p>
          <w:p w14:paraId="7E2C25CD" w14:textId="77777777" w:rsidR="0006568D" w:rsidRPr="00306115" w:rsidRDefault="0006568D">
            <w:pPr>
              <w:pStyle w:val="ListParagraph"/>
              <w:numPr>
                <w:ilvl w:val="0"/>
                <w:numId w:val="368"/>
              </w:numPr>
              <w:ind w:left="709" w:right="142" w:hanging="567"/>
              <w:contextualSpacing w:val="0"/>
              <w:rPr>
                <w:b/>
                <w:bCs/>
                <w:color w:val="000000" w:themeColor="text1"/>
                <w:szCs w:val="24"/>
              </w:rPr>
            </w:pPr>
            <w:r w:rsidRPr="00306115">
              <w:rPr>
                <w:color w:val="000000" w:themeColor="text1"/>
                <w:szCs w:val="24"/>
              </w:rPr>
              <w:t>Proses Manajemen Risiko untuk Risiko Operasional memadai dalam mengidentifikasi, mengukur, memantau, dan mengendalikan Risiko Operasional.</w:t>
            </w:r>
          </w:p>
          <w:p w14:paraId="7EB334B0" w14:textId="77777777" w:rsidR="0006568D" w:rsidRPr="00306115" w:rsidRDefault="0006568D">
            <w:pPr>
              <w:pStyle w:val="ListParagraph"/>
              <w:numPr>
                <w:ilvl w:val="0"/>
                <w:numId w:val="368"/>
              </w:numPr>
              <w:ind w:left="709" w:right="142" w:hanging="567"/>
              <w:contextualSpacing w:val="0"/>
              <w:rPr>
                <w:color w:val="000000" w:themeColor="text1"/>
                <w:szCs w:val="24"/>
              </w:rPr>
            </w:pPr>
            <w:r w:rsidRPr="00306115">
              <w:rPr>
                <w:i/>
                <w:color w:val="000000" w:themeColor="text1"/>
                <w:szCs w:val="24"/>
              </w:rPr>
              <w:t xml:space="preserve">Business continuity management </w:t>
            </w:r>
            <w:r w:rsidRPr="00306115">
              <w:rPr>
                <w:color w:val="000000" w:themeColor="text1"/>
                <w:szCs w:val="24"/>
              </w:rPr>
              <w:t>andal dan teruji.</w:t>
            </w:r>
          </w:p>
          <w:p w14:paraId="3BF930A9" w14:textId="77777777" w:rsidR="0006568D" w:rsidRPr="00306115" w:rsidRDefault="0006568D">
            <w:pPr>
              <w:pStyle w:val="ListParagraph"/>
              <w:numPr>
                <w:ilvl w:val="0"/>
                <w:numId w:val="368"/>
              </w:numPr>
              <w:ind w:left="709" w:right="142" w:hanging="567"/>
              <w:contextualSpacing w:val="0"/>
              <w:rPr>
                <w:color w:val="000000" w:themeColor="text1"/>
                <w:szCs w:val="24"/>
              </w:rPr>
            </w:pPr>
            <w:r w:rsidRPr="00306115">
              <w:rPr>
                <w:color w:val="000000" w:themeColor="text1"/>
                <w:szCs w:val="24"/>
              </w:rPr>
              <w:t>Pengendalian dan pengamanan informasi, data Produk Investasi, dan data operasional kegiatan usaha Manajer Investasi dilakukan dengan baik.</w:t>
            </w:r>
          </w:p>
          <w:p w14:paraId="61CC8C73" w14:textId="77777777" w:rsidR="0006568D" w:rsidRPr="00306115" w:rsidRDefault="0006568D">
            <w:pPr>
              <w:pStyle w:val="ListParagraph"/>
              <w:numPr>
                <w:ilvl w:val="0"/>
                <w:numId w:val="368"/>
              </w:numPr>
              <w:ind w:left="709" w:right="142" w:hanging="567"/>
              <w:contextualSpacing w:val="0"/>
              <w:rPr>
                <w:color w:val="000000" w:themeColor="text1"/>
                <w:szCs w:val="24"/>
              </w:rPr>
            </w:pPr>
            <w:r w:rsidRPr="00306115">
              <w:rPr>
                <w:color w:val="000000" w:themeColor="text1"/>
                <w:szCs w:val="24"/>
              </w:rPr>
              <w:t>Audit atas sistem elektronik untuk transaksi Produk Investasi dilakukan secara berkala dan hasil audit ditindaklanjuti dengan memadai.</w:t>
            </w:r>
          </w:p>
          <w:p w14:paraId="7F34F56F" w14:textId="77777777" w:rsidR="0006568D" w:rsidRPr="00306115" w:rsidRDefault="0006568D">
            <w:pPr>
              <w:pStyle w:val="ListParagraph"/>
              <w:numPr>
                <w:ilvl w:val="0"/>
                <w:numId w:val="368"/>
              </w:numPr>
              <w:ind w:left="709" w:right="142" w:hanging="567"/>
              <w:contextualSpacing w:val="0"/>
              <w:rPr>
                <w:b/>
                <w:bCs/>
                <w:color w:val="000000" w:themeColor="text1"/>
                <w:szCs w:val="24"/>
              </w:rPr>
            </w:pPr>
            <w:r w:rsidRPr="00306115">
              <w:rPr>
                <w:color w:val="000000" w:themeColor="text1"/>
                <w:szCs w:val="24"/>
              </w:rPr>
              <w:t xml:space="preserve">Sistem Informasi Manajemen Risiko untuk Risiko Operasional baik dalam menghasilkan informasi dan laporan Risiko Operasional yang komprehensif. </w:t>
            </w:r>
          </w:p>
          <w:p w14:paraId="2DB8A57A" w14:textId="48BCAA43" w:rsidR="0006568D" w:rsidRPr="00306115" w:rsidRDefault="0006568D">
            <w:pPr>
              <w:pStyle w:val="ListParagraph"/>
              <w:numPr>
                <w:ilvl w:val="0"/>
                <w:numId w:val="368"/>
              </w:numPr>
              <w:ind w:left="709" w:right="142" w:hanging="567"/>
              <w:contextualSpacing w:val="0"/>
              <w:rPr>
                <w:b/>
                <w:bCs/>
                <w:color w:val="000000" w:themeColor="text1"/>
                <w:szCs w:val="24"/>
              </w:rPr>
            </w:pPr>
            <w:r w:rsidRPr="00306115">
              <w:rPr>
                <w:color w:val="000000" w:themeColor="text1"/>
                <w:szCs w:val="24"/>
              </w:rPr>
              <w:t xml:space="preserve">Secara umum sumber daya manusia memadai baik dari sisi jumlah maupun kompetensi pada fungsi </w:t>
            </w:r>
            <w:r w:rsidR="00DA0D2E" w:rsidRPr="00306115">
              <w:rPr>
                <w:color w:val="000000" w:themeColor="text1"/>
              </w:rPr>
              <w:t>Manajemen Risiko</w:t>
            </w:r>
            <w:r w:rsidRPr="00306115">
              <w:rPr>
                <w:color w:val="000000" w:themeColor="text1"/>
                <w:szCs w:val="24"/>
              </w:rPr>
              <w:t xml:space="preserve"> untuk Risiko Operasional.</w:t>
            </w:r>
          </w:p>
          <w:p w14:paraId="1FB1006E" w14:textId="77777777" w:rsidR="0006568D" w:rsidRPr="00306115" w:rsidRDefault="0006568D">
            <w:pPr>
              <w:pStyle w:val="ListParagraph"/>
              <w:numPr>
                <w:ilvl w:val="0"/>
                <w:numId w:val="368"/>
              </w:numPr>
              <w:ind w:left="709" w:right="142" w:hanging="567"/>
              <w:contextualSpacing w:val="0"/>
              <w:rPr>
                <w:b/>
                <w:bCs/>
                <w:color w:val="000000" w:themeColor="text1"/>
                <w:szCs w:val="24"/>
              </w:rPr>
            </w:pPr>
            <w:r w:rsidRPr="00306115">
              <w:rPr>
                <w:color w:val="000000" w:themeColor="text1"/>
                <w:szCs w:val="24"/>
              </w:rPr>
              <w:t>Sistem pengendalian internal efektif dalam mendukung pelaksanaan Manajemen Risiko untuk Risiko Operasional.</w:t>
            </w:r>
          </w:p>
          <w:p w14:paraId="646A3DE5" w14:textId="2425E941" w:rsidR="0006568D" w:rsidRPr="00306115" w:rsidRDefault="0006568D">
            <w:pPr>
              <w:pStyle w:val="ListParagraph"/>
              <w:numPr>
                <w:ilvl w:val="0"/>
                <w:numId w:val="368"/>
              </w:numPr>
              <w:ind w:left="709" w:right="142" w:hanging="567"/>
              <w:contextualSpacing w:val="0"/>
              <w:rPr>
                <w:b/>
                <w:bCs/>
                <w:color w:val="000000" w:themeColor="text1"/>
                <w:szCs w:val="24"/>
              </w:rPr>
            </w:pPr>
            <w:r w:rsidRPr="00306115">
              <w:rPr>
                <w:color w:val="000000" w:themeColor="text1"/>
                <w:szCs w:val="24"/>
              </w:rPr>
              <w:t xml:space="preserve">Pelaksanaan kaji ulang oleh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dan fungsi audit internal memadai baik dari sisi metodologi, frekuensi, maupun pelaporan kepada Direksi dan Dewan Komisaris.</w:t>
            </w:r>
          </w:p>
          <w:p w14:paraId="5AD57466" w14:textId="77777777" w:rsidR="0006568D" w:rsidRPr="00306115" w:rsidRDefault="0006568D">
            <w:pPr>
              <w:pStyle w:val="ListParagraph"/>
              <w:numPr>
                <w:ilvl w:val="0"/>
                <w:numId w:val="368"/>
              </w:numPr>
              <w:ind w:left="709" w:right="142" w:hanging="567"/>
              <w:contextualSpacing w:val="0"/>
              <w:rPr>
                <w:b/>
                <w:bCs/>
                <w:color w:val="000000" w:themeColor="text1"/>
                <w:szCs w:val="24"/>
              </w:rPr>
            </w:pPr>
            <w:r w:rsidRPr="00306115">
              <w:rPr>
                <w:color w:val="000000" w:themeColor="text1"/>
                <w:szCs w:val="24"/>
              </w:rPr>
              <w:lastRenderedPageBreak/>
              <w:t>Tindak lanjut atas kaji ulang telah dilaksanakan dengan memadai.</w:t>
            </w:r>
          </w:p>
        </w:tc>
      </w:tr>
      <w:tr w:rsidR="0006568D" w:rsidRPr="00306115" w14:paraId="35B13F21" w14:textId="77777777" w:rsidTr="00E52489">
        <w:tc>
          <w:tcPr>
            <w:tcW w:w="2176" w:type="dxa"/>
          </w:tcPr>
          <w:p w14:paraId="17281FED" w14:textId="77777777" w:rsidR="0006568D" w:rsidRPr="00306115" w:rsidRDefault="0006568D" w:rsidP="00EC6A12">
            <w:pPr>
              <w:pStyle w:val="BodyText"/>
              <w:numPr>
                <w:ilvl w:val="0"/>
                <w:numId w:val="0"/>
              </w:numPr>
              <w:spacing w:before="60" w:after="60"/>
              <w:ind w:left="142" w:right="142"/>
              <w:jc w:val="center"/>
              <w:rPr>
                <w:color w:val="000000" w:themeColor="text1"/>
              </w:rPr>
            </w:pPr>
            <w:r w:rsidRPr="00306115">
              <w:rPr>
                <w:i/>
                <w:iCs/>
                <w:color w:val="000000" w:themeColor="text1"/>
              </w:rPr>
              <w:lastRenderedPageBreak/>
              <w:t>Fair</w:t>
            </w:r>
            <w:r w:rsidRPr="00306115">
              <w:rPr>
                <w:color w:val="000000" w:themeColor="text1"/>
              </w:rPr>
              <w:t xml:space="preserve"> (3)</w:t>
            </w:r>
          </w:p>
        </w:tc>
        <w:tc>
          <w:tcPr>
            <w:tcW w:w="6046" w:type="dxa"/>
          </w:tcPr>
          <w:p w14:paraId="795D7759" w14:textId="77777777" w:rsidR="0006568D" w:rsidRPr="00306115" w:rsidRDefault="0006568D" w:rsidP="00EE7D58">
            <w:pPr>
              <w:ind w:left="142" w:right="142"/>
              <w:rPr>
                <w:b/>
                <w:bCs/>
                <w:color w:val="000000" w:themeColor="text1"/>
                <w:szCs w:val="24"/>
              </w:rPr>
            </w:pPr>
            <w:r w:rsidRPr="00306115">
              <w:rPr>
                <w:color w:val="000000" w:themeColor="text1"/>
                <w:szCs w:val="24"/>
              </w:rPr>
              <w:t>Kualitas penerapan Manajemen Risiko untuk Risiko Operasional cukup memadai. Meskipun persyaratan minimum terpenuhi, terdapat beberapa kelemahan yang cukup signifikan yang memerlukan perbaikan segera.</w:t>
            </w:r>
          </w:p>
          <w:p w14:paraId="11B890A3" w14:textId="37A9A48A" w:rsidR="0006568D" w:rsidRPr="00306115" w:rsidRDefault="0006568D" w:rsidP="00EE7D58">
            <w:pPr>
              <w:ind w:left="142" w:right="142"/>
              <w:rPr>
                <w:b/>
                <w:bCs/>
                <w:color w:val="000000" w:themeColor="text1"/>
                <w:szCs w:val="24"/>
              </w:rPr>
            </w:pPr>
            <w:r w:rsidRPr="00306115">
              <w:rPr>
                <w:color w:val="000000" w:themeColor="text1"/>
                <w:szCs w:val="24"/>
              </w:rPr>
              <w:t xml:space="preserve">Contoh karakteristik karakteristik/kondisi Manajer Investasi yang termasuk dalam peringkat </w:t>
            </w:r>
            <w:r w:rsidRPr="00306115">
              <w:rPr>
                <w:i/>
                <w:color w:val="000000" w:themeColor="text1"/>
                <w:szCs w:val="24"/>
              </w:rPr>
              <w:t xml:space="preserve">Fair </w:t>
            </w:r>
            <w:r w:rsidRPr="00306115">
              <w:rPr>
                <w:color w:val="000000" w:themeColor="text1"/>
                <w:szCs w:val="24"/>
              </w:rPr>
              <w:t>(3) ini antara lain sebagai berikut:</w:t>
            </w:r>
          </w:p>
          <w:p w14:paraId="70918811" w14:textId="77777777" w:rsidR="0006568D" w:rsidRPr="00306115" w:rsidRDefault="0006568D">
            <w:pPr>
              <w:pStyle w:val="ListParagraph"/>
              <w:numPr>
                <w:ilvl w:val="0"/>
                <w:numId w:val="369"/>
              </w:numPr>
              <w:ind w:left="709" w:right="142" w:hanging="567"/>
              <w:contextualSpacing w:val="0"/>
              <w:rPr>
                <w:b/>
                <w:bCs/>
                <w:color w:val="000000" w:themeColor="text1"/>
                <w:szCs w:val="24"/>
              </w:rPr>
            </w:pPr>
            <w:r w:rsidRPr="00306115">
              <w:rPr>
                <w:color w:val="000000" w:themeColor="text1"/>
                <w:szCs w:val="24"/>
              </w:rPr>
              <w:t>Perumusan tingkat risiko yang akan diambil (</w:t>
            </w:r>
            <w:r w:rsidRPr="00306115">
              <w:rPr>
                <w:i/>
                <w:color w:val="000000" w:themeColor="text1"/>
                <w:szCs w:val="24"/>
              </w:rPr>
              <w:t>risk appetite</w:t>
            </w:r>
            <w:r w:rsidRPr="00306115">
              <w:rPr>
                <w:color w:val="000000" w:themeColor="text1"/>
                <w:szCs w:val="24"/>
              </w:rPr>
              <w:t>) dan toleransi (</w:t>
            </w:r>
            <w:r w:rsidRPr="00306115">
              <w:rPr>
                <w:i/>
                <w:color w:val="000000" w:themeColor="text1"/>
                <w:szCs w:val="24"/>
              </w:rPr>
              <w:t>risk tolerance</w:t>
            </w:r>
            <w:r w:rsidRPr="00306115">
              <w:rPr>
                <w:color w:val="000000" w:themeColor="text1"/>
                <w:szCs w:val="24"/>
              </w:rPr>
              <w:t>) Risiko Operasional cukup memadai dan telah sejalan dengan strategi dan tujuan bisnis secara keseluruhan.</w:t>
            </w:r>
          </w:p>
          <w:p w14:paraId="1A1DDFA0" w14:textId="77777777" w:rsidR="0006568D" w:rsidRPr="00306115" w:rsidRDefault="0006568D">
            <w:pPr>
              <w:pStyle w:val="ListParagraph"/>
              <w:numPr>
                <w:ilvl w:val="0"/>
                <w:numId w:val="369"/>
              </w:numPr>
              <w:ind w:left="709" w:right="142" w:hanging="567"/>
              <w:contextualSpacing w:val="0"/>
              <w:rPr>
                <w:b/>
                <w:bCs/>
                <w:color w:val="000000" w:themeColor="text1"/>
                <w:szCs w:val="24"/>
              </w:rPr>
            </w:pPr>
            <w:r w:rsidRPr="00306115">
              <w:rPr>
                <w:color w:val="000000" w:themeColor="text1"/>
                <w:szCs w:val="24"/>
              </w:rPr>
              <w:t>Kesadaran (</w:t>
            </w:r>
            <w:r w:rsidRPr="00306115">
              <w:rPr>
                <w:i/>
                <w:color w:val="000000" w:themeColor="text1"/>
                <w:szCs w:val="24"/>
              </w:rPr>
              <w:t>awareness</w:t>
            </w:r>
            <w:r w:rsidRPr="00306115">
              <w:rPr>
                <w:color w:val="000000" w:themeColor="text1"/>
                <w:szCs w:val="24"/>
              </w:rPr>
              <w:t>) dan pemahaman Direksi dan Dewan Komisaris cukup tinggi atau cukup memadai mengenai pelaksanaan Manajemen Risiko, terutama terkait jenis dan tingkat risiko untuk Risiko Operasional.</w:t>
            </w:r>
          </w:p>
          <w:p w14:paraId="0718C2E3" w14:textId="77777777" w:rsidR="0006568D" w:rsidRPr="00306115" w:rsidRDefault="0006568D">
            <w:pPr>
              <w:pStyle w:val="ListParagraph"/>
              <w:numPr>
                <w:ilvl w:val="0"/>
                <w:numId w:val="369"/>
              </w:numPr>
              <w:ind w:left="709" w:right="142" w:hanging="567"/>
              <w:contextualSpacing w:val="0"/>
              <w:rPr>
                <w:b/>
                <w:bCs/>
                <w:color w:val="000000" w:themeColor="text1"/>
                <w:szCs w:val="24"/>
              </w:rPr>
            </w:pPr>
            <w:r w:rsidRPr="00306115">
              <w:rPr>
                <w:color w:val="000000" w:themeColor="text1"/>
                <w:szCs w:val="24"/>
              </w:rPr>
              <w:t>Budaya Manajemen Risiko untuk Risiko Operasional cukup kuat dan telah diinternalisasikan dengan cukup baik pada seluruh level organisasi.</w:t>
            </w:r>
          </w:p>
          <w:p w14:paraId="5BF9360F" w14:textId="77777777" w:rsidR="0006568D" w:rsidRPr="00306115" w:rsidRDefault="0006568D">
            <w:pPr>
              <w:pStyle w:val="ListParagraph"/>
              <w:numPr>
                <w:ilvl w:val="0"/>
                <w:numId w:val="369"/>
              </w:numPr>
              <w:ind w:left="709" w:right="142" w:hanging="567"/>
              <w:contextualSpacing w:val="0"/>
              <w:rPr>
                <w:b/>
                <w:bCs/>
                <w:color w:val="000000" w:themeColor="text1"/>
                <w:szCs w:val="24"/>
              </w:rPr>
            </w:pPr>
            <w:r w:rsidRPr="00306115">
              <w:rPr>
                <w:color w:val="000000" w:themeColor="text1"/>
                <w:szCs w:val="24"/>
              </w:rPr>
              <w:t>Pelaksanaan tugas Direksi dan Dewan Komisaris secara keseluruhan cukup memadai. Terdapat beberapa kelemahan yang cukup signifikan pada beberapa aspek penilaian yang memerlukan perbaikan segera.</w:t>
            </w:r>
          </w:p>
          <w:p w14:paraId="029BD51D" w14:textId="77777777" w:rsidR="0006568D" w:rsidRPr="00306115" w:rsidRDefault="0006568D">
            <w:pPr>
              <w:pStyle w:val="ListParagraph"/>
              <w:numPr>
                <w:ilvl w:val="0"/>
                <w:numId w:val="369"/>
              </w:numPr>
              <w:ind w:left="709" w:right="142" w:hanging="567"/>
              <w:contextualSpacing w:val="0"/>
              <w:rPr>
                <w:b/>
                <w:bCs/>
                <w:color w:val="000000" w:themeColor="text1"/>
                <w:szCs w:val="24"/>
              </w:rPr>
            </w:pPr>
            <w:r w:rsidRPr="00306115">
              <w:rPr>
                <w:color w:val="000000" w:themeColor="text1"/>
                <w:szCs w:val="24"/>
              </w:rPr>
              <w:t>Fungsi Manajemen Risiko untuk Risiko Operasional independen, memiliki tugas dan tanggung jawab yang jelas, dan telah berjalan dengan cukup baik. Terdapat beberapa kelemahan yang cukup signifikan yang memerlukan perbaikan segera.</w:t>
            </w:r>
          </w:p>
          <w:p w14:paraId="2F4B7016" w14:textId="77777777" w:rsidR="0006568D" w:rsidRPr="00306115" w:rsidRDefault="0006568D">
            <w:pPr>
              <w:pStyle w:val="ListParagraph"/>
              <w:numPr>
                <w:ilvl w:val="0"/>
                <w:numId w:val="369"/>
              </w:numPr>
              <w:ind w:left="709" w:right="142" w:hanging="567"/>
              <w:contextualSpacing w:val="0"/>
              <w:rPr>
                <w:b/>
                <w:bCs/>
                <w:color w:val="000000" w:themeColor="text1"/>
                <w:szCs w:val="24"/>
              </w:rPr>
            </w:pPr>
            <w:r w:rsidRPr="00306115">
              <w:rPr>
                <w:color w:val="000000" w:themeColor="text1"/>
                <w:szCs w:val="24"/>
              </w:rPr>
              <w:t>Kerangka pedelegasian wewenang cukup memadai.</w:t>
            </w:r>
          </w:p>
          <w:p w14:paraId="7C17B875" w14:textId="77777777" w:rsidR="0006568D" w:rsidRPr="00306115" w:rsidRDefault="0006568D">
            <w:pPr>
              <w:pStyle w:val="ListParagraph"/>
              <w:numPr>
                <w:ilvl w:val="0"/>
                <w:numId w:val="369"/>
              </w:numPr>
              <w:ind w:left="709" w:right="142" w:hanging="567"/>
              <w:contextualSpacing w:val="0"/>
              <w:rPr>
                <w:color w:val="000000" w:themeColor="text1"/>
                <w:szCs w:val="24"/>
              </w:rPr>
            </w:pPr>
            <w:r w:rsidRPr="00306115">
              <w:rPr>
                <w:color w:val="000000" w:themeColor="text1"/>
                <w:szCs w:val="24"/>
              </w:rPr>
              <w:t>Kebijakan dan prosedur Manajemen Risiko serta penetapan limit Risiko Operasional cukup memadai, diterapkan dengan cukup baik, dan dipahami dengan cukup baik oleh pegawai.</w:t>
            </w:r>
          </w:p>
          <w:p w14:paraId="350C67C0" w14:textId="77777777" w:rsidR="0006568D" w:rsidRPr="00306115" w:rsidRDefault="0006568D">
            <w:pPr>
              <w:pStyle w:val="ListParagraph"/>
              <w:numPr>
                <w:ilvl w:val="0"/>
                <w:numId w:val="369"/>
              </w:numPr>
              <w:ind w:left="709" w:right="142" w:hanging="567"/>
              <w:contextualSpacing w:val="0"/>
              <w:rPr>
                <w:b/>
                <w:bCs/>
                <w:color w:val="000000" w:themeColor="text1"/>
                <w:szCs w:val="24"/>
              </w:rPr>
            </w:pPr>
            <w:r w:rsidRPr="00306115">
              <w:rPr>
                <w:color w:val="000000" w:themeColor="text1"/>
                <w:szCs w:val="24"/>
              </w:rPr>
              <w:t>Strategi Manajemen Risiko untuk Risiko Operasional cukup memadai dan cukup sejalan dengan tingkat risiko yang akan diambil dan toleransi Risiko Operasional.</w:t>
            </w:r>
          </w:p>
          <w:p w14:paraId="37F50558" w14:textId="77777777" w:rsidR="0006568D" w:rsidRPr="00306115" w:rsidRDefault="0006568D">
            <w:pPr>
              <w:pStyle w:val="ListParagraph"/>
              <w:numPr>
                <w:ilvl w:val="0"/>
                <w:numId w:val="369"/>
              </w:numPr>
              <w:ind w:left="709" w:right="142" w:hanging="567"/>
              <w:contextualSpacing w:val="0"/>
              <w:rPr>
                <w:b/>
                <w:bCs/>
                <w:color w:val="000000" w:themeColor="text1"/>
                <w:szCs w:val="24"/>
              </w:rPr>
            </w:pPr>
            <w:r w:rsidRPr="00306115">
              <w:rPr>
                <w:color w:val="000000" w:themeColor="text1"/>
                <w:szCs w:val="24"/>
              </w:rPr>
              <w:t>Proses Manajemen Risiko untuk Risiko Operasional cukup memadai dalam mengidentifikasi, mengukur, memantau, dan mengendalikan Risiko Operasional.</w:t>
            </w:r>
          </w:p>
          <w:p w14:paraId="4DDADD94" w14:textId="77777777" w:rsidR="0006568D" w:rsidRPr="00306115" w:rsidRDefault="0006568D">
            <w:pPr>
              <w:pStyle w:val="ListParagraph"/>
              <w:numPr>
                <w:ilvl w:val="0"/>
                <w:numId w:val="369"/>
              </w:numPr>
              <w:ind w:left="709" w:right="142" w:hanging="567"/>
              <w:contextualSpacing w:val="0"/>
              <w:rPr>
                <w:color w:val="000000" w:themeColor="text1"/>
                <w:szCs w:val="24"/>
              </w:rPr>
            </w:pPr>
            <w:r w:rsidRPr="00306115">
              <w:rPr>
                <w:i/>
                <w:color w:val="000000" w:themeColor="text1"/>
                <w:szCs w:val="24"/>
              </w:rPr>
              <w:lastRenderedPageBreak/>
              <w:t xml:space="preserve">Business continuity management </w:t>
            </w:r>
            <w:r w:rsidRPr="00306115">
              <w:rPr>
                <w:color w:val="000000" w:themeColor="text1"/>
                <w:szCs w:val="24"/>
              </w:rPr>
              <w:t>cukup andal.</w:t>
            </w:r>
          </w:p>
          <w:p w14:paraId="60736416" w14:textId="77777777" w:rsidR="0006568D" w:rsidRPr="00306115" w:rsidRDefault="0006568D">
            <w:pPr>
              <w:pStyle w:val="ListParagraph"/>
              <w:numPr>
                <w:ilvl w:val="0"/>
                <w:numId w:val="369"/>
              </w:numPr>
              <w:ind w:left="709" w:right="142" w:hanging="567"/>
              <w:contextualSpacing w:val="0"/>
              <w:rPr>
                <w:color w:val="000000" w:themeColor="text1"/>
                <w:szCs w:val="24"/>
              </w:rPr>
            </w:pPr>
            <w:r w:rsidRPr="00306115">
              <w:rPr>
                <w:color w:val="000000" w:themeColor="text1"/>
                <w:szCs w:val="24"/>
              </w:rPr>
              <w:t>Pengendalian dan pengamanan informasi, data Produk Investasi, dan data operasional kegiatan usaha Manajer Investasi dilakukan dengan cukup baik.</w:t>
            </w:r>
          </w:p>
          <w:p w14:paraId="45D37A5B" w14:textId="77777777" w:rsidR="0006568D" w:rsidRPr="00306115" w:rsidRDefault="0006568D">
            <w:pPr>
              <w:pStyle w:val="ListParagraph"/>
              <w:numPr>
                <w:ilvl w:val="0"/>
                <w:numId w:val="369"/>
              </w:numPr>
              <w:ind w:left="709" w:right="142" w:hanging="567"/>
              <w:contextualSpacing w:val="0"/>
              <w:rPr>
                <w:color w:val="000000" w:themeColor="text1"/>
                <w:szCs w:val="24"/>
              </w:rPr>
            </w:pPr>
            <w:r w:rsidRPr="00306115">
              <w:rPr>
                <w:color w:val="000000" w:themeColor="text1"/>
                <w:szCs w:val="24"/>
              </w:rPr>
              <w:t>Audit atas sistem elektronik untuk transaksi Produk Investasi tidak dilakukan secara berkala dan hasil audit ditindaklanjuti dengan cukup memadai.</w:t>
            </w:r>
          </w:p>
          <w:p w14:paraId="5D09D125" w14:textId="77777777" w:rsidR="0006568D" w:rsidRPr="00306115" w:rsidRDefault="0006568D">
            <w:pPr>
              <w:pStyle w:val="ListParagraph"/>
              <w:numPr>
                <w:ilvl w:val="0"/>
                <w:numId w:val="369"/>
              </w:numPr>
              <w:ind w:left="709" w:right="142" w:hanging="567"/>
              <w:contextualSpacing w:val="0"/>
              <w:rPr>
                <w:color w:val="000000" w:themeColor="text1"/>
                <w:szCs w:val="24"/>
              </w:rPr>
            </w:pPr>
            <w:r w:rsidRPr="00306115">
              <w:rPr>
                <w:color w:val="000000" w:themeColor="text1"/>
                <w:szCs w:val="24"/>
              </w:rPr>
              <w:t>Sistem Informasi Manajemen Risiko untuk Risiko Operasional cukup baik dalam menghasilkan informasi dan laporan Risiko Operasional yang komprehensif.</w:t>
            </w:r>
          </w:p>
          <w:p w14:paraId="5CA95B58" w14:textId="0239F038" w:rsidR="0006568D" w:rsidRPr="00306115" w:rsidRDefault="0006568D">
            <w:pPr>
              <w:pStyle w:val="ListParagraph"/>
              <w:numPr>
                <w:ilvl w:val="0"/>
                <w:numId w:val="369"/>
              </w:numPr>
              <w:ind w:left="709" w:right="142" w:hanging="567"/>
              <w:contextualSpacing w:val="0"/>
              <w:rPr>
                <w:color w:val="000000" w:themeColor="text1"/>
                <w:szCs w:val="24"/>
              </w:rPr>
            </w:pPr>
            <w:r w:rsidRPr="00306115">
              <w:rPr>
                <w:color w:val="000000" w:themeColor="text1"/>
                <w:szCs w:val="24"/>
              </w:rPr>
              <w:t xml:space="preserve">Secara umum sumber daya manusia cukup memadai baik dari sisi jumlah maupun kompetensi pada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untuk Risiko Operasional.</w:t>
            </w:r>
          </w:p>
          <w:p w14:paraId="6822362D" w14:textId="77777777" w:rsidR="0006568D" w:rsidRPr="00306115" w:rsidRDefault="0006568D">
            <w:pPr>
              <w:pStyle w:val="ListParagraph"/>
              <w:numPr>
                <w:ilvl w:val="0"/>
                <w:numId w:val="369"/>
              </w:numPr>
              <w:ind w:left="709" w:right="142" w:hanging="567"/>
              <w:contextualSpacing w:val="0"/>
              <w:rPr>
                <w:color w:val="000000" w:themeColor="text1"/>
                <w:szCs w:val="24"/>
              </w:rPr>
            </w:pPr>
            <w:r w:rsidRPr="00306115">
              <w:rPr>
                <w:color w:val="000000" w:themeColor="text1"/>
                <w:szCs w:val="24"/>
              </w:rPr>
              <w:t>Sistem pengendalian internal cukup efektif dalam mendukung pelaksanaan Manajemen Risiko untuk Risiko Operasional.</w:t>
            </w:r>
          </w:p>
          <w:p w14:paraId="03855C2E" w14:textId="0EB0B001" w:rsidR="0006568D" w:rsidRPr="00306115" w:rsidRDefault="0006568D">
            <w:pPr>
              <w:pStyle w:val="ListParagraph"/>
              <w:numPr>
                <w:ilvl w:val="0"/>
                <w:numId w:val="369"/>
              </w:numPr>
              <w:ind w:left="709" w:right="142" w:hanging="567"/>
              <w:contextualSpacing w:val="0"/>
              <w:rPr>
                <w:color w:val="000000" w:themeColor="text1"/>
                <w:szCs w:val="24"/>
              </w:rPr>
            </w:pPr>
            <w:r w:rsidRPr="00306115">
              <w:rPr>
                <w:color w:val="000000" w:themeColor="text1"/>
                <w:szCs w:val="24"/>
              </w:rPr>
              <w:t xml:space="preserve">Pelaksanaan kaji ulang oleh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dan fungsi audit internal cukup memadai. Terdapat beberapa kelemahan yang cukup signifikan pada metodologi, frekuensi, maupun pelaporan kepada Direksi dan Dewan Komisaris yang memerlukan perbaikan segera.</w:t>
            </w:r>
          </w:p>
          <w:p w14:paraId="2E2DFF8B" w14:textId="77777777" w:rsidR="0006568D" w:rsidRPr="00306115" w:rsidRDefault="0006568D">
            <w:pPr>
              <w:pStyle w:val="ListParagraph"/>
              <w:numPr>
                <w:ilvl w:val="0"/>
                <w:numId w:val="369"/>
              </w:numPr>
              <w:ind w:left="709" w:right="142" w:hanging="567"/>
              <w:contextualSpacing w:val="0"/>
              <w:rPr>
                <w:b/>
                <w:bCs/>
                <w:color w:val="000000" w:themeColor="text1"/>
                <w:szCs w:val="24"/>
              </w:rPr>
            </w:pPr>
            <w:r w:rsidRPr="00306115">
              <w:rPr>
                <w:color w:val="000000" w:themeColor="text1"/>
                <w:szCs w:val="24"/>
              </w:rPr>
              <w:t>Tindak lanjut atas kaji ulang telah dilaksanakan dengan cukup memadai.</w:t>
            </w:r>
          </w:p>
        </w:tc>
      </w:tr>
      <w:tr w:rsidR="0006568D" w:rsidRPr="00306115" w14:paraId="5BBC12C5" w14:textId="77777777" w:rsidTr="00E52489">
        <w:tc>
          <w:tcPr>
            <w:tcW w:w="2176" w:type="dxa"/>
          </w:tcPr>
          <w:p w14:paraId="6BCFA156" w14:textId="77777777" w:rsidR="0006568D" w:rsidRPr="00306115" w:rsidRDefault="0006568D" w:rsidP="004B3BF4">
            <w:pPr>
              <w:pStyle w:val="BodyText"/>
              <w:numPr>
                <w:ilvl w:val="0"/>
                <w:numId w:val="0"/>
              </w:numPr>
              <w:spacing w:before="60" w:after="60"/>
              <w:ind w:left="142" w:right="142"/>
              <w:jc w:val="center"/>
              <w:rPr>
                <w:color w:val="000000" w:themeColor="text1"/>
              </w:rPr>
            </w:pPr>
            <w:r w:rsidRPr="00306115">
              <w:rPr>
                <w:i/>
                <w:iCs/>
                <w:color w:val="000000" w:themeColor="text1"/>
              </w:rPr>
              <w:lastRenderedPageBreak/>
              <w:t>Marginal</w:t>
            </w:r>
            <w:r w:rsidRPr="00306115">
              <w:rPr>
                <w:color w:val="000000" w:themeColor="text1"/>
              </w:rPr>
              <w:t xml:space="preserve"> (4)</w:t>
            </w:r>
          </w:p>
        </w:tc>
        <w:tc>
          <w:tcPr>
            <w:tcW w:w="6046" w:type="dxa"/>
          </w:tcPr>
          <w:p w14:paraId="176D63F8" w14:textId="77777777" w:rsidR="0006568D" w:rsidRPr="00306115" w:rsidRDefault="0006568D" w:rsidP="00EE7D58">
            <w:pPr>
              <w:ind w:left="142" w:right="142"/>
              <w:rPr>
                <w:b/>
                <w:bCs/>
                <w:color w:val="000000" w:themeColor="text1"/>
                <w:szCs w:val="24"/>
              </w:rPr>
            </w:pPr>
            <w:r w:rsidRPr="00306115">
              <w:rPr>
                <w:color w:val="000000" w:themeColor="text1"/>
                <w:szCs w:val="24"/>
              </w:rPr>
              <w:t>Kualitas penerapan Manajemen Risiko untuk Risiko Operasional kurang memadai. Terdapat kelemahan signifikan pada berbagai aspek Manajemen Risiko untuk Risiko Operasional yang memerlukan perbaikan segera.</w:t>
            </w:r>
          </w:p>
          <w:p w14:paraId="5AA0E128" w14:textId="3B3A98F6" w:rsidR="0006568D" w:rsidRPr="00306115" w:rsidRDefault="0006568D" w:rsidP="00EE7D58">
            <w:pPr>
              <w:ind w:left="142" w:right="142"/>
              <w:rPr>
                <w:b/>
                <w:bCs/>
                <w:color w:val="000000" w:themeColor="text1"/>
                <w:szCs w:val="24"/>
              </w:rPr>
            </w:pPr>
            <w:r w:rsidRPr="00306115">
              <w:rPr>
                <w:color w:val="000000" w:themeColor="text1"/>
                <w:szCs w:val="24"/>
              </w:rPr>
              <w:t xml:space="preserve">Contoh karakteristik/kondisi Manajer Investasi yang termasuk dalam peringkat </w:t>
            </w:r>
            <w:r w:rsidRPr="00306115">
              <w:rPr>
                <w:i/>
                <w:color w:val="000000" w:themeColor="text1"/>
                <w:szCs w:val="24"/>
              </w:rPr>
              <w:t xml:space="preserve">Marginal </w:t>
            </w:r>
            <w:r w:rsidRPr="00306115">
              <w:rPr>
                <w:color w:val="000000" w:themeColor="text1"/>
                <w:szCs w:val="24"/>
              </w:rPr>
              <w:t>(4) antara lain sebagai berikut:</w:t>
            </w:r>
          </w:p>
          <w:p w14:paraId="68EAA0FB" w14:textId="77777777" w:rsidR="0006568D" w:rsidRPr="00306115" w:rsidRDefault="0006568D">
            <w:pPr>
              <w:pStyle w:val="ListParagraph"/>
              <w:numPr>
                <w:ilvl w:val="0"/>
                <w:numId w:val="370"/>
              </w:numPr>
              <w:ind w:left="709" w:right="142" w:hanging="567"/>
              <w:contextualSpacing w:val="0"/>
              <w:rPr>
                <w:b/>
                <w:bCs/>
                <w:color w:val="000000" w:themeColor="text1"/>
                <w:szCs w:val="24"/>
              </w:rPr>
            </w:pPr>
            <w:r w:rsidRPr="00306115">
              <w:rPr>
                <w:color w:val="000000" w:themeColor="text1"/>
                <w:szCs w:val="24"/>
              </w:rPr>
              <w:t>Perumusan tingkat risiko yang akan diambil (</w:t>
            </w:r>
            <w:r w:rsidRPr="00306115">
              <w:rPr>
                <w:i/>
                <w:color w:val="000000" w:themeColor="text1"/>
                <w:szCs w:val="24"/>
              </w:rPr>
              <w:t>risk appetite</w:t>
            </w:r>
            <w:r w:rsidRPr="00306115">
              <w:rPr>
                <w:color w:val="000000" w:themeColor="text1"/>
                <w:szCs w:val="24"/>
              </w:rPr>
              <w:t>) dan toleransi (</w:t>
            </w:r>
            <w:r w:rsidRPr="00306115">
              <w:rPr>
                <w:i/>
                <w:color w:val="000000" w:themeColor="text1"/>
                <w:szCs w:val="24"/>
              </w:rPr>
              <w:t>risk tolerance</w:t>
            </w:r>
            <w:r w:rsidRPr="00306115">
              <w:rPr>
                <w:color w:val="000000" w:themeColor="text1"/>
                <w:szCs w:val="24"/>
              </w:rPr>
              <w:t>) Risiko Operasional kurang memadai serta tidak sejalan dengan strategi dan tujuan bisnis secara keseluruhan.</w:t>
            </w:r>
          </w:p>
          <w:p w14:paraId="0C2EBB24" w14:textId="77777777" w:rsidR="0006568D" w:rsidRPr="00306115" w:rsidRDefault="0006568D">
            <w:pPr>
              <w:pStyle w:val="ListParagraph"/>
              <w:numPr>
                <w:ilvl w:val="0"/>
                <w:numId w:val="370"/>
              </w:numPr>
              <w:ind w:left="709" w:right="142" w:hanging="567"/>
              <w:contextualSpacing w:val="0"/>
              <w:rPr>
                <w:b/>
                <w:bCs/>
                <w:color w:val="000000" w:themeColor="text1"/>
                <w:szCs w:val="24"/>
              </w:rPr>
            </w:pPr>
            <w:r w:rsidRPr="00306115">
              <w:rPr>
                <w:color w:val="000000" w:themeColor="text1"/>
                <w:szCs w:val="24"/>
              </w:rPr>
              <w:t>Kesadaran (</w:t>
            </w:r>
            <w:r w:rsidRPr="00306115">
              <w:rPr>
                <w:i/>
                <w:color w:val="000000" w:themeColor="text1"/>
                <w:szCs w:val="24"/>
              </w:rPr>
              <w:t>awareness</w:t>
            </w:r>
            <w:r w:rsidRPr="00306115">
              <w:rPr>
                <w:color w:val="000000" w:themeColor="text1"/>
                <w:szCs w:val="24"/>
              </w:rPr>
              <w:t>) dan pemahaman Direksi dan Dewan Komisaris rendah atau tidak memadai mengenai pelaksanaan Manajemen Risiko, terutama terkait jenis dan tingkat risiko untuk Risiko Operasional.</w:t>
            </w:r>
          </w:p>
          <w:p w14:paraId="77CE1483" w14:textId="77777777" w:rsidR="0006568D" w:rsidRPr="00306115" w:rsidRDefault="0006568D">
            <w:pPr>
              <w:pStyle w:val="ListParagraph"/>
              <w:numPr>
                <w:ilvl w:val="0"/>
                <w:numId w:val="370"/>
              </w:numPr>
              <w:ind w:left="709" w:right="142" w:hanging="567"/>
              <w:contextualSpacing w:val="0"/>
              <w:rPr>
                <w:b/>
                <w:bCs/>
                <w:color w:val="000000" w:themeColor="text1"/>
                <w:szCs w:val="24"/>
              </w:rPr>
            </w:pPr>
            <w:r w:rsidRPr="00306115">
              <w:rPr>
                <w:color w:val="000000" w:themeColor="text1"/>
                <w:szCs w:val="24"/>
              </w:rPr>
              <w:lastRenderedPageBreak/>
              <w:t>Budaya Manajemen Risiko untuk Risiko Operasional kurang kuat dan belum diinternalisasikan dengan baik pada seluruh level organisasi.</w:t>
            </w:r>
          </w:p>
          <w:p w14:paraId="37F5EDE3" w14:textId="77777777" w:rsidR="0006568D" w:rsidRPr="00306115" w:rsidRDefault="0006568D">
            <w:pPr>
              <w:pStyle w:val="ListParagraph"/>
              <w:numPr>
                <w:ilvl w:val="0"/>
                <w:numId w:val="370"/>
              </w:numPr>
              <w:ind w:left="709" w:right="142" w:hanging="567"/>
              <w:contextualSpacing w:val="0"/>
              <w:rPr>
                <w:b/>
                <w:bCs/>
                <w:color w:val="000000" w:themeColor="text1"/>
                <w:szCs w:val="24"/>
              </w:rPr>
            </w:pPr>
            <w:r w:rsidRPr="00306115">
              <w:rPr>
                <w:color w:val="000000" w:themeColor="text1"/>
                <w:szCs w:val="24"/>
              </w:rPr>
              <w:t>Pelaksanaan tugas Direksi dan Dewan Komisaris secara keseluruhan kurang memadai. Terdapat beberapa kelemahan signifikan pada beberapa aspek penilaian yang memerlukan perbaikan segera.</w:t>
            </w:r>
          </w:p>
          <w:p w14:paraId="70B3E086" w14:textId="77777777" w:rsidR="0006568D" w:rsidRPr="00306115" w:rsidRDefault="0006568D">
            <w:pPr>
              <w:pStyle w:val="ListParagraph"/>
              <w:numPr>
                <w:ilvl w:val="0"/>
                <w:numId w:val="370"/>
              </w:numPr>
              <w:ind w:left="709" w:right="142" w:hanging="567"/>
              <w:contextualSpacing w:val="0"/>
              <w:rPr>
                <w:b/>
                <w:bCs/>
                <w:color w:val="000000" w:themeColor="text1"/>
                <w:szCs w:val="24"/>
              </w:rPr>
            </w:pPr>
            <w:r w:rsidRPr="00306115">
              <w:rPr>
                <w:color w:val="000000" w:themeColor="text1"/>
                <w:szCs w:val="24"/>
              </w:rPr>
              <w:t>Fungsi Manajemen Risiko untuk Risiko Operasional belum sepenuhnya independen. Terdapat beberapa kelemahan signifikan yang memerlukan perbaikan segera.</w:t>
            </w:r>
          </w:p>
          <w:p w14:paraId="3FB96453" w14:textId="77777777" w:rsidR="0006568D" w:rsidRPr="00306115" w:rsidRDefault="0006568D">
            <w:pPr>
              <w:pStyle w:val="ListParagraph"/>
              <w:numPr>
                <w:ilvl w:val="0"/>
                <w:numId w:val="370"/>
              </w:numPr>
              <w:ind w:left="709" w:right="142" w:hanging="567"/>
              <w:contextualSpacing w:val="0"/>
              <w:rPr>
                <w:b/>
                <w:bCs/>
                <w:color w:val="000000" w:themeColor="text1"/>
                <w:szCs w:val="24"/>
              </w:rPr>
            </w:pPr>
            <w:r w:rsidRPr="00306115">
              <w:rPr>
                <w:color w:val="000000" w:themeColor="text1"/>
                <w:szCs w:val="24"/>
              </w:rPr>
              <w:t>Kerangka pedelegasian wewenang kurang memadai.</w:t>
            </w:r>
          </w:p>
          <w:p w14:paraId="464A9081" w14:textId="77777777" w:rsidR="0006568D" w:rsidRPr="00306115" w:rsidRDefault="0006568D">
            <w:pPr>
              <w:pStyle w:val="ListParagraph"/>
              <w:numPr>
                <w:ilvl w:val="0"/>
                <w:numId w:val="370"/>
              </w:numPr>
              <w:ind w:left="709" w:right="142" w:hanging="567"/>
              <w:contextualSpacing w:val="0"/>
              <w:rPr>
                <w:color w:val="000000" w:themeColor="text1"/>
                <w:szCs w:val="24"/>
              </w:rPr>
            </w:pPr>
            <w:r w:rsidRPr="00306115">
              <w:rPr>
                <w:color w:val="000000" w:themeColor="text1"/>
                <w:szCs w:val="24"/>
              </w:rPr>
              <w:t>Kebijakan dan prosedur Manajemen Risiko serta penetapan limit Risiko Operasional kurang memadai, diterapkan dengan kurang baik, dan dipahami dengan kurang baik oleh pegawai, sehingga memerlukan perbaikan segera.</w:t>
            </w:r>
          </w:p>
          <w:p w14:paraId="3596823A" w14:textId="77777777" w:rsidR="0006568D" w:rsidRPr="00306115" w:rsidRDefault="0006568D">
            <w:pPr>
              <w:pStyle w:val="ListParagraph"/>
              <w:numPr>
                <w:ilvl w:val="0"/>
                <w:numId w:val="370"/>
              </w:numPr>
              <w:ind w:left="709" w:right="142" w:hanging="567"/>
              <w:contextualSpacing w:val="0"/>
              <w:rPr>
                <w:b/>
                <w:bCs/>
                <w:color w:val="000000" w:themeColor="text1"/>
                <w:szCs w:val="24"/>
              </w:rPr>
            </w:pPr>
            <w:r w:rsidRPr="00306115">
              <w:rPr>
                <w:color w:val="000000" w:themeColor="text1"/>
                <w:szCs w:val="24"/>
              </w:rPr>
              <w:t>Strategi Manajemen Risiko untuk Risiko Operasional kurang memadai dan kurang sejalan dengan tingkat risiko yang akan diambil dan toleransi Risiko Operasional.</w:t>
            </w:r>
          </w:p>
          <w:p w14:paraId="6A0EAAFB" w14:textId="77777777" w:rsidR="0006568D" w:rsidRPr="00306115" w:rsidRDefault="0006568D">
            <w:pPr>
              <w:pStyle w:val="ListParagraph"/>
              <w:numPr>
                <w:ilvl w:val="0"/>
                <w:numId w:val="370"/>
              </w:numPr>
              <w:ind w:left="709" w:right="142" w:hanging="567"/>
              <w:contextualSpacing w:val="0"/>
              <w:rPr>
                <w:b/>
                <w:bCs/>
                <w:color w:val="000000" w:themeColor="text1"/>
                <w:szCs w:val="24"/>
              </w:rPr>
            </w:pPr>
            <w:r w:rsidRPr="00306115">
              <w:rPr>
                <w:color w:val="000000" w:themeColor="text1"/>
                <w:szCs w:val="24"/>
              </w:rPr>
              <w:t>Proses Manajemen Risiko untuk Risiko Operasional kurang memadai dalam mengidentifikasi, mengukur, memantau, dan mengendalikan Risiko Operasional.</w:t>
            </w:r>
          </w:p>
          <w:p w14:paraId="4FC25D10" w14:textId="77777777" w:rsidR="0006568D" w:rsidRPr="00306115" w:rsidRDefault="0006568D">
            <w:pPr>
              <w:pStyle w:val="ListParagraph"/>
              <w:numPr>
                <w:ilvl w:val="0"/>
                <w:numId w:val="370"/>
              </w:numPr>
              <w:ind w:left="709" w:right="142" w:hanging="567"/>
              <w:contextualSpacing w:val="0"/>
              <w:rPr>
                <w:color w:val="000000" w:themeColor="text1"/>
                <w:szCs w:val="24"/>
              </w:rPr>
            </w:pPr>
            <w:r w:rsidRPr="00306115">
              <w:rPr>
                <w:i/>
                <w:color w:val="000000" w:themeColor="text1"/>
                <w:szCs w:val="24"/>
              </w:rPr>
              <w:t xml:space="preserve">Business continuity management </w:t>
            </w:r>
            <w:r w:rsidRPr="00306115">
              <w:rPr>
                <w:color w:val="000000" w:themeColor="text1"/>
                <w:szCs w:val="24"/>
              </w:rPr>
              <w:t>kurang andal.</w:t>
            </w:r>
          </w:p>
          <w:p w14:paraId="6E790EA5" w14:textId="77777777" w:rsidR="0006568D" w:rsidRPr="00306115" w:rsidRDefault="0006568D">
            <w:pPr>
              <w:pStyle w:val="ListParagraph"/>
              <w:numPr>
                <w:ilvl w:val="0"/>
                <w:numId w:val="370"/>
              </w:numPr>
              <w:ind w:left="709" w:right="142" w:hanging="567"/>
              <w:contextualSpacing w:val="0"/>
              <w:rPr>
                <w:color w:val="000000" w:themeColor="text1"/>
                <w:szCs w:val="24"/>
              </w:rPr>
            </w:pPr>
            <w:r w:rsidRPr="00306115">
              <w:rPr>
                <w:color w:val="000000" w:themeColor="text1"/>
                <w:szCs w:val="24"/>
              </w:rPr>
              <w:t>Pengendalian dan pengamanan informasi, data Produk Investasi, dan data operasional kegiatan usaha Manajer Investasi dilakukan dengan kurang baik.</w:t>
            </w:r>
          </w:p>
          <w:p w14:paraId="3533B5FF" w14:textId="77777777" w:rsidR="0006568D" w:rsidRPr="00306115" w:rsidRDefault="0006568D">
            <w:pPr>
              <w:pStyle w:val="ListParagraph"/>
              <w:numPr>
                <w:ilvl w:val="0"/>
                <w:numId w:val="370"/>
              </w:numPr>
              <w:ind w:left="709" w:right="142" w:hanging="567"/>
              <w:contextualSpacing w:val="0"/>
              <w:rPr>
                <w:color w:val="000000" w:themeColor="text1"/>
                <w:szCs w:val="24"/>
              </w:rPr>
            </w:pPr>
            <w:r w:rsidRPr="00306115">
              <w:rPr>
                <w:color w:val="000000" w:themeColor="text1"/>
                <w:szCs w:val="24"/>
              </w:rPr>
              <w:t>Audit atas sistem elektronik untuk transaksi Produk Investasi tidak dilakukan secara berkala dan hasil audit ditindaklanjuti dengan kurang memadai.</w:t>
            </w:r>
          </w:p>
          <w:p w14:paraId="1BD9BA66" w14:textId="77777777" w:rsidR="0006568D" w:rsidRPr="00306115" w:rsidRDefault="0006568D">
            <w:pPr>
              <w:pStyle w:val="ListParagraph"/>
              <w:numPr>
                <w:ilvl w:val="0"/>
                <w:numId w:val="370"/>
              </w:numPr>
              <w:ind w:left="709" w:right="142" w:hanging="567"/>
              <w:contextualSpacing w:val="0"/>
              <w:rPr>
                <w:color w:val="000000" w:themeColor="text1"/>
                <w:szCs w:val="24"/>
              </w:rPr>
            </w:pPr>
            <w:r w:rsidRPr="00306115">
              <w:rPr>
                <w:color w:val="000000" w:themeColor="text1"/>
                <w:szCs w:val="24"/>
              </w:rPr>
              <w:t>Sistem Informasi Manajemen Risiko untuk Risiko Operasional kurang baik dalam menghasilkan informasi dan laporan Risiko Operasional yang komprehensif.</w:t>
            </w:r>
          </w:p>
          <w:p w14:paraId="0AD0AED4" w14:textId="230D4A62" w:rsidR="0006568D" w:rsidRPr="00306115" w:rsidRDefault="0006568D">
            <w:pPr>
              <w:pStyle w:val="ListParagraph"/>
              <w:numPr>
                <w:ilvl w:val="0"/>
                <w:numId w:val="370"/>
              </w:numPr>
              <w:ind w:left="709" w:right="142" w:hanging="567"/>
              <w:contextualSpacing w:val="0"/>
              <w:rPr>
                <w:color w:val="000000" w:themeColor="text1"/>
                <w:szCs w:val="24"/>
              </w:rPr>
            </w:pPr>
            <w:r w:rsidRPr="00306115">
              <w:rPr>
                <w:color w:val="000000" w:themeColor="text1"/>
                <w:szCs w:val="24"/>
              </w:rPr>
              <w:t xml:space="preserve">Sumber daya manusia kurang memadai baik dari sisi jumlah maupun kompetensi pada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untuk Risiko Operasional.</w:t>
            </w:r>
          </w:p>
          <w:p w14:paraId="02CFB158" w14:textId="77777777" w:rsidR="0006568D" w:rsidRPr="00306115" w:rsidRDefault="0006568D">
            <w:pPr>
              <w:pStyle w:val="ListParagraph"/>
              <w:numPr>
                <w:ilvl w:val="0"/>
                <w:numId w:val="370"/>
              </w:numPr>
              <w:ind w:left="709" w:right="142" w:hanging="567"/>
              <w:contextualSpacing w:val="0"/>
              <w:rPr>
                <w:color w:val="000000" w:themeColor="text1"/>
                <w:szCs w:val="24"/>
              </w:rPr>
            </w:pPr>
            <w:r w:rsidRPr="00306115">
              <w:rPr>
                <w:color w:val="000000" w:themeColor="text1"/>
                <w:szCs w:val="24"/>
              </w:rPr>
              <w:t>Sistem pengendalian internal kurang efektif dalam mendukung pelaksanaan Manajemen Risiko untuk Risiko Operasional.</w:t>
            </w:r>
          </w:p>
          <w:p w14:paraId="74D32487" w14:textId="3E8F1BFC" w:rsidR="0006568D" w:rsidRPr="00306115" w:rsidRDefault="0006568D">
            <w:pPr>
              <w:pStyle w:val="ListParagraph"/>
              <w:numPr>
                <w:ilvl w:val="0"/>
                <w:numId w:val="370"/>
              </w:numPr>
              <w:ind w:left="709" w:right="142" w:hanging="567"/>
              <w:contextualSpacing w:val="0"/>
              <w:rPr>
                <w:color w:val="000000" w:themeColor="text1"/>
                <w:szCs w:val="24"/>
              </w:rPr>
            </w:pPr>
            <w:r w:rsidRPr="00306115">
              <w:rPr>
                <w:color w:val="000000" w:themeColor="text1"/>
                <w:szCs w:val="24"/>
              </w:rPr>
              <w:t xml:space="preserve">Pelaksanaan kaji ulang oleh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 xml:space="preserve">dan fungsi audit </w:t>
            </w:r>
            <w:r w:rsidRPr="00306115">
              <w:rPr>
                <w:color w:val="000000" w:themeColor="text1"/>
                <w:szCs w:val="24"/>
              </w:rPr>
              <w:lastRenderedPageBreak/>
              <w:t>internal kurang memadai. Terdapat beberapa kelemahan yang signifikan pada metodologi, frekuensi, maupun pelaporan kepada Direksi dan Dewan Komisaris yang memerlukan perbaikan segera.</w:t>
            </w:r>
          </w:p>
          <w:p w14:paraId="632D4BA6" w14:textId="77777777" w:rsidR="0006568D" w:rsidRPr="00306115" w:rsidRDefault="0006568D">
            <w:pPr>
              <w:pStyle w:val="ListParagraph"/>
              <w:numPr>
                <w:ilvl w:val="0"/>
                <w:numId w:val="370"/>
              </w:numPr>
              <w:ind w:left="709" w:right="142" w:hanging="567"/>
              <w:contextualSpacing w:val="0"/>
              <w:rPr>
                <w:b/>
                <w:bCs/>
                <w:color w:val="000000" w:themeColor="text1"/>
                <w:szCs w:val="24"/>
              </w:rPr>
            </w:pPr>
            <w:r w:rsidRPr="00306115">
              <w:rPr>
                <w:color w:val="000000" w:themeColor="text1"/>
                <w:szCs w:val="24"/>
              </w:rPr>
              <w:t>Tindak lanjut atas kaji ulang kurang memadai.</w:t>
            </w:r>
          </w:p>
        </w:tc>
      </w:tr>
      <w:tr w:rsidR="0006568D" w:rsidRPr="00306115" w14:paraId="1E447B88" w14:textId="77777777" w:rsidTr="00E52489">
        <w:tc>
          <w:tcPr>
            <w:tcW w:w="2176" w:type="dxa"/>
          </w:tcPr>
          <w:p w14:paraId="5928E5E2" w14:textId="77777777" w:rsidR="0006568D" w:rsidRPr="00306115" w:rsidRDefault="0006568D" w:rsidP="004B3BF4">
            <w:pPr>
              <w:pStyle w:val="BodyText"/>
              <w:numPr>
                <w:ilvl w:val="0"/>
                <w:numId w:val="0"/>
              </w:numPr>
              <w:spacing w:before="60" w:after="60"/>
              <w:ind w:left="142" w:right="142"/>
              <w:jc w:val="center"/>
              <w:rPr>
                <w:color w:val="000000" w:themeColor="text1"/>
              </w:rPr>
            </w:pPr>
            <w:r w:rsidRPr="00306115">
              <w:rPr>
                <w:i/>
                <w:iCs/>
                <w:color w:val="000000" w:themeColor="text1"/>
              </w:rPr>
              <w:lastRenderedPageBreak/>
              <w:t>Unsatisfactory</w:t>
            </w:r>
            <w:r w:rsidRPr="00306115">
              <w:rPr>
                <w:color w:val="000000" w:themeColor="text1"/>
              </w:rPr>
              <w:t xml:space="preserve"> (5)</w:t>
            </w:r>
          </w:p>
        </w:tc>
        <w:tc>
          <w:tcPr>
            <w:tcW w:w="6046" w:type="dxa"/>
          </w:tcPr>
          <w:p w14:paraId="1107F289" w14:textId="77777777" w:rsidR="0006568D" w:rsidRPr="00306115" w:rsidRDefault="0006568D" w:rsidP="00EE7D58">
            <w:pPr>
              <w:ind w:left="142" w:right="142"/>
              <w:rPr>
                <w:b/>
                <w:bCs/>
                <w:color w:val="000000" w:themeColor="text1"/>
                <w:szCs w:val="24"/>
              </w:rPr>
            </w:pPr>
            <w:r w:rsidRPr="00306115">
              <w:rPr>
                <w:color w:val="000000" w:themeColor="text1"/>
                <w:szCs w:val="24"/>
              </w:rPr>
              <w:t>Kualitas penerapan Manajemen Risiko untuk Risiko Operasional tidak memadai. Terdapat kelemahan signifikan pada berbagai aspek Manajemen Risiko untuk Risiko Operasional yang tindakan penyelesaiannya di luar kemampuan manajemen.</w:t>
            </w:r>
          </w:p>
          <w:p w14:paraId="78F026AA" w14:textId="08F4E805" w:rsidR="0006568D" w:rsidRPr="00306115" w:rsidRDefault="0006568D" w:rsidP="00EE7D58">
            <w:pPr>
              <w:ind w:left="142" w:right="142"/>
              <w:rPr>
                <w:b/>
                <w:bCs/>
                <w:color w:val="000000" w:themeColor="text1"/>
                <w:szCs w:val="24"/>
              </w:rPr>
            </w:pPr>
            <w:r w:rsidRPr="00306115">
              <w:rPr>
                <w:color w:val="000000" w:themeColor="text1"/>
                <w:szCs w:val="24"/>
              </w:rPr>
              <w:t xml:space="preserve">Contoh karakteristik/kondisi Manajer Investasi yang termasuk dalam peringkat </w:t>
            </w:r>
            <w:r w:rsidRPr="00306115">
              <w:rPr>
                <w:i/>
                <w:color w:val="000000" w:themeColor="text1"/>
                <w:szCs w:val="24"/>
              </w:rPr>
              <w:t xml:space="preserve">Unsatisfactory </w:t>
            </w:r>
            <w:r w:rsidRPr="00306115">
              <w:rPr>
                <w:color w:val="000000" w:themeColor="text1"/>
                <w:szCs w:val="24"/>
              </w:rPr>
              <w:t>(5) ini antara lain sebagai berikut:</w:t>
            </w:r>
          </w:p>
          <w:p w14:paraId="3008511A" w14:textId="77777777" w:rsidR="0006568D" w:rsidRPr="00306115" w:rsidRDefault="0006568D">
            <w:pPr>
              <w:pStyle w:val="ListParagraph"/>
              <w:numPr>
                <w:ilvl w:val="0"/>
                <w:numId w:val="371"/>
              </w:numPr>
              <w:ind w:left="709" w:right="142" w:hanging="567"/>
              <w:contextualSpacing w:val="0"/>
              <w:rPr>
                <w:color w:val="000000" w:themeColor="text1"/>
                <w:szCs w:val="24"/>
              </w:rPr>
            </w:pPr>
            <w:r w:rsidRPr="00306115">
              <w:rPr>
                <w:color w:val="000000" w:themeColor="text1"/>
                <w:szCs w:val="24"/>
              </w:rPr>
              <w:t>Perumusan tingkat risiko yang akan diambil (</w:t>
            </w:r>
            <w:r w:rsidRPr="00306115">
              <w:rPr>
                <w:i/>
                <w:color w:val="000000" w:themeColor="text1"/>
                <w:szCs w:val="24"/>
              </w:rPr>
              <w:t>risk appetite</w:t>
            </w:r>
            <w:r w:rsidRPr="00306115">
              <w:rPr>
                <w:color w:val="000000" w:themeColor="text1"/>
                <w:szCs w:val="24"/>
              </w:rPr>
              <w:t>) dan toleransi (</w:t>
            </w:r>
            <w:r w:rsidRPr="00306115">
              <w:rPr>
                <w:i/>
                <w:color w:val="000000" w:themeColor="text1"/>
                <w:szCs w:val="24"/>
              </w:rPr>
              <w:t>risk tolerance</w:t>
            </w:r>
            <w:r w:rsidRPr="00306115">
              <w:rPr>
                <w:color w:val="000000" w:themeColor="text1"/>
                <w:szCs w:val="24"/>
              </w:rPr>
              <w:t>) Risiko Operasional tidak memadai serta tidak terdapat kaitan dengan strategi dan tujuan bisnis secara keseluruhan.</w:t>
            </w:r>
          </w:p>
          <w:p w14:paraId="4A1C2A56" w14:textId="77777777" w:rsidR="0006568D" w:rsidRPr="00306115" w:rsidRDefault="0006568D">
            <w:pPr>
              <w:pStyle w:val="ListParagraph"/>
              <w:numPr>
                <w:ilvl w:val="0"/>
                <w:numId w:val="371"/>
              </w:numPr>
              <w:ind w:left="709" w:right="142" w:hanging="567"/>
              <w:contextualSpacing w:val="0"/>
              <w:rPr>
                <w:color w:val="000000" w:themeColor="text1"/>
                <w:szCs w:val="24"/>
              </w:rPr>
            </w:pPr>
            <w:r w:rsidRPr="00306115">
              <w:rPr>
                <w:color w:val="000000" w:themeColor="text1"/>
                <w:szCs w:val="24"/>
              </w:rPr>
              <w:t>Kesadaran (</w:t>
            </w:r>
            <w:r w:rsidRPr="00306115">
              <w:rPr>
                <w:i/>
                <w:color w:val="000000" w:themeColor="text1"/>
                <w:szCs w:val="24"/>
              </w:rPr>
              <w:t>awareness</w:t>
            </w:r>
            <w:r w:rsidRPr="00306115">
              <w:rPr>
                <w:color w:val="000000" w:themeColor="text1"/>
                <w:szCs w:val="24"/>
              </w:rPr>
              <w:t>) dan pemahaman Direksi dan Dewan Komisaris sangat rendah atau sangat tidak memadai mengenai pelaksanaan Manajemen Risiko, terutama terkait jenis dan tingkat risiko untuk Risiko Operasional.</w:t>
            </w:r>
          </w:p>
          <w:p w14:paraId="3591018E" w14:textId="77777777" w:rsidR="0006568D" w:rsidRPr="00306115" w:rsidRDefault="0006568D">
            <w:pPr>
              <w:pStyle w:val="ListParagraph"/>
              <w:numPr>
                <w:ilvl w:val="0"/>
                <w:numId w:val="371"/>
              </w:numPr>
              <w:ind w:left="709" w:right="142" w:hanging="567"/>
              <w:contextualSpacing w:val="0"/>
              <w:rPr>
                <w:color w:val="000000" w:themeColor="text1"/>
                <w:szCs w:val="24"/>
              </w:rPr>
            </w:pPr>
            <w:r w:rsidRPr="00306115">
              <w:rPr>
                <w:color w:val="000000" w:themeColor="text1"/>
                <w:szCs w:val="24"/>
              </w:rPr>
              <w:t>Budaya Manajemen Risiko untuk Risiko Operasional tidak kuat atau belum ada sama sekali.</w:t>
            </w:r>
          </w:p>
          <w:p w14:paraId="16F57609" w14:textId="77777777" w:rsidR="0006568D" w:rsidRPr="00306115" w:rsidRDefault="0006568D">
            <w:pPr>
              <w:pStyle w:val="ListParagraph"/>
              <w:numPr>
                <w:ilvl w:val="0"/>
                <w:numId w:val="371"/>
              </w:numPr>
              <w:ind w:left="709" w:right="142" w:hanging="567"/>
              <w:contextualSpacing w:val="0"/>
              <w:rPr>
                <w:color w:val="000000" w:themeColor="text1"/>
                <w:szCs w:val="24"/>
              </w:rPr>
            </w:pPr>
            <w:r w:rsidRPr="00306115">
              <w:rPr>
                <w:color w:val="000000" w:themeColor="text1"/>
                <w:szCs w:val="24"/>
              </w:rPr>
              <w:t>Pelaksanaan tugas Direksi dan Dewan Komisaris secara keseluruhan tidak memadai. Terdapat beberapa kelemahan yang signifikan pada hampir seluruh aspek penilaian yang tindakan penyelesaiannya di luar kemampuan manajemen.</w:t>
            </w:r>
          </w:p>
          <w:p w14:paraId="61BDFBC1" w14:textId="77777777" w:rsidR="0006568D" w:rsidRPr="00306115" w:rsidRDefault="0006568D">
            <w:pPr>
              <w:pStyle w:val="ListParagraph"/>
              <w:numPr>
                <w:ilvl w:val="0"/>
                <w:numId w:val="371"/>
              </w:numPr>
              <w:ind w:left="709" w:right="142" w:hanging="567"/>
              <w:contextualSpacing w:val="0"/>
              <w:rPr>
                <w:color w:val="000000" w:themeColor="text1"/>
                <w:szCs w:val="24"/>
              </w:rPr>
            </w:pPr>
            <w:r w:rsidRPr="00306115">
              <w:rPr>
                <w:color w:val="000000" w:themeColor="text1"/>
                <w:szCs w:val="24"/>
              </w:rPr>
              <w:t>Fungsi Manajemen Risiko untuk Risiko Operasional tidak independen, serta terdapat kelemahan signifikan yang memerlukan perbaikan fundamental.</w:t>
            </w:r>
          </w:p>
          <w:p w14:paraId="506FF5B3" w14:textId="77777777" w:rsidR="0006568D" w:rsidRPr="00306115" w:rsidRDefault="0006568D">
            <w:pPr>
              <w:pStyle w:val="ListParagraph"/>
              <w:numPr>
                <w:ilvl w:val="0"/>
                <w:numId w:val="371"/>
              </w:numPr>
              <w:ind w:left="709" w:right="142" w:hanging="567"/>
              <w:contextualSpacing w:val="0"/>
              <w:rPr>
                <w:color w:val="000000" w:themeColor="text1"/>
                <w:szCs w:val="24"/>
              </w:rPr>
            </w:pPr>
            <w:r w:rsidRPr="00306115">
              <w:rPr>
                <w:color w:val="000000" w:themeColor="text1"/>
                <w:szCs w:val="24"/>
              </w:rPr>
              <w:t>Kerangka pedelegasian wewenang tidak memadai.</w:t>
            </w:r>
          </w:p>
          <w:p w14:paraId="7231C504" w14:textId="77777777" w:rsidR="0006568D" w:rsidRPr="00306115" w:rsidRDefault="0006568D">
            <w:pPr>
              <w:pStyle w:val="ListParagraph"/>
              <w:numPr>
                <w:ilvl w:val="0"/>
                <w:numId w:val="371"/>
              </w:numPr>
              <w:ind w:left="709" w:right="142" w:hanging="567"/>
              <w:contextualSpacing w:val="0"/>
              <w:rPr>
                <w:color w:val="000000" w:themeColor="text1"/>
                <w:szCs w:val="24"/>
              </w:rPr>
            </w:pPr>
            <w:r w:rsidRPr="00306115">
              <w:rPr>
                <w:color w:val="000000" w:themeColor="text1"/>
                <w:szCs w:val="24"/>
              </w:rPr>
              <w:t>Kebijakan dan prosedur Manajemen Risiko serta penetapan limit Risiko Operasional tidak memadai, tidak diterapkan, dan tidak dipahami oleh pegawai, sehingga memerlukan perbaikan fundamental.</w:t>
            </w:r>
          </w:p>
          <w:p w14:paraId="7A60275B" w14:textId="77777777" w:rsidR="0006568D" w:rsidRPr="00306115" w:rsidRDefault="0006568D">
            <w:pPr>
              <w:pStyle w:val="ListParagraph"/>
              <w:numPr>
                <w:ilvl w:val="0"/>
                <w:numId w:val="371"/>
              </w:numPr>
              <w:ind w:left="709" w:right="142" w:hanging="567"/>
              <w:contextualSpacing w:val="0"/>
              <w:rPr>
                <w:color w:val="000000" w:themeColor="text1"/>
                <w:szCs w:val="24"/>
              </w:rPr>
            </w:pPr>
            <w:r w:rsidRPr="00306115">
              <w:rPr>
                <w:color w:val="000000" w:themeColor="text1"/>
                <w:szCs w:val="24"/>
              </w:rPr>
              <w:t>Strategi Manajemen Risiko untuk Risiko Operasional tidak memadai dan tidak sejalan dengan tingkat risiko yang akan diambil dan toleransi Risiko Operasional.</w:t>
            </w:r>
          </w:p>
          <w:p w14:paraId="55D2C678" w14:textId="77777777" w:rsidR="0006568D" w:rsidRPr="00306115" w:rsidRDefault="0006568D">
            <w:pPr>
              <w:pStyle w:val="ListParagraph"/>
              <w:numPr>
                <w:ilvl w:val="0"/>
                <w:numId w:val="371"/>
              </w:numPr>
              <w:ind w:left="709" w:right="142" w:hanging="567"/>
              <w:contextualSpacing w:val="0"/>
              <w:rPr>
                <w:color w:val="000000" w:themeColor="text1"/>
                <w:szCs w:val="24"/>
              </w:rPr>
            </w:pPr>
            <w:r w:rsidRPr="00306115">
              <w:rPr>
                <w:color w:val="000000" w:themeColor="text1"/>
                <w:szCs w:val="24"/>
              </w:rPr>
              <w:lastRenderedPageBreak/>
              <w:t>Proses Manajemen Risiko untuk Risiko Operasional tidak memadai dalam mengidentifikasi, mengukur, memantau, dan mengendalikan Risiko Operasional.</w:t>
            </w:r>
          </w:p>
          <w:p w14:paraId="1214BF8A" w14:textId="77777777" w:rsidR="0006568D" w:rsidRPr="00306115" w:rsidRDefault="0006568D">
            <w:pPr>
              <w:pStyle w:val="ListParagraph"/>
              <w:numPr>
                <w:ilvl w:val="0"/>
                <w:numId w:val="371"/>
              </w:numPr>
              <w:ind w:left="709" w:right="142" w:hanging="567"/>
              <w:contextualSpacing w:val="0"/>
              <w:rPr>
                <w:color w:val="000000" w:themeColor="text1"/>
                <w:szCs w:val="24"/>
              </w:rPr>
            </w:pPr>
            <w:r w:rsidRPr="00306115">
              <w:rPr>
                <w:i/>
                <w:color w:val="000000" w:themeColor="text1"/>
                <w:szCs w:val="24"/>
              </w:rPr>
              <w:t xml:space="preserve">Business continuity management </w:t>
            </w:r>
            <w:r w:rsidRPr="00306115">
              <w:rPr>
                <w:color w:val="000000" w:themeColor="text1"/>
                <w:szCs w:val="24"/>
              </w:rPr>
              <w:t>tidak andal.</w:t>
            </w:r>
          </w:p>
          <w:p w14:paraId="4104D1B9" w14:textId="77777777" w:rsidR="0006568D" w:rsidRPr="00306115" w:rsidRDefault="0006568D">
            <w:pPr>
              <w:pStyle w:val="ListParagraph"/>
              <w:numPr>
                <w:ilvl w:val="0"/>
                <w:numId w:val="371"/>
              </w:numPr>
              <w:ind w:left="709" w:right="142" w:hanging="567"/>
              <w:contextualSpacing w:val="0"/>
              <w:rPr>
                <w:color w:val="000000" w:themeColor="text1"/>
                <w:szCs w:val="24"/>
              </w:rPr>
            </w:pPr>
            <w:r w:rsidRPr="00306115">
              <w:rPr>
                <w:color w:val="000000" w:themeColor="text1"/>
                <w:szCs w:val="24"/>
              </w:rPr>
              <w:t>Tidak terdapat pengendalian dan pengamanan informasi, data Produk Investasi, dan data operasional kegiatan usaha Manajer Investasi.</w:t>
            </w:r>
          </w:p>
          <w:p w14:paraId="70EE6FB6" w14:textId="77777777" w:rsidR="0006568D" w:rsidRPr="00306115" w:rsidRDefault="0006568D">
            <w:pPr>
              <w:pStyle w:val="ListParagraph"/>
              <w:numPr>
                <w:ilvl w:val="0"/>
                <w:numId w:val="371"/>
              </w:numPr>
              <w:ind w:left="709" w:right="142" w:hanging="567"/>
              <w:contextualSpacing w:val="0"/>
              <w:rPr>
                <w:color w:val="000000" w:themeColor="text1"/>
                <w:szCs w:val="24"/>
              </w:rPr>
            </w:pPr>
            <w:r w:rsidRPr="00306115">
              <w:rPr>
                <w:color w:val="000000" w:themeColor="text1"/>
                <w:szCs w:val="24"/>
              </w:rPr>
              <w:t>Audit atas sistem elektronik untuk transaksi Produk Investasi tidak ada atau tidak dilakukan secara berkala dan hasil audit tidak ditindaklanjuti atau ditindaklanjuti dengan tidak memadai.</w:t>
            </w:r>
          </w:p>
          <w:p w14:paraId="06407A3A" w14:textId="77777777" w:rsidR="0006568D" w:rsidRPr="00306115" w:rsidRDefault="0006568D">
            <w:pPr>
              <w:pStyle w:val="ListParagraph"/>
              <w:numPr>
                <w:ilvl w:val="0"/>
                <w:numId w:val="371"/>
              </w:numPr>
              <w:ind w:left="709" w:right="142" w:hanging="567"/>
              <w:contextualSpacing w:val="0"/>
              <w:rPr>
                <w:color w:val="000000" w:themeColor="text1"/>
                <w:szCs w:val="24"/>
              </w:rPr>
            </w:pPr>
            <w:r w:rsidRPr="00306115">
              <w:rPr>
                <w:color w:val="000000" w:themeColor="text1"/>
                <w:szCs w:val="24"/>
              </w:rPr>
              <w:t>Sistem Informasi Manajemen Risiko untuk Risiko Operasional tidak dapat menghasilkan informasi dan laporan Risiko Operasional yang komprehensif.</w:t>
            </w:r>
          </w:p>
          <w:p w14:paraId="729DC621" w14:textId="259EF0CC" w:rsidR="0006568D" w:rsidRPr="00306115" w:rsidRDefault="0006568D">
            <w:pPr>
              <w:pStyle w:val="ListParagraph"/>
              <w:numPr>
                <w:ilvl w:val="0"/>
                <w:numId w:val="371"/>
              </w:numPr>
              <w:ind w:left="709" w:right="142" w:hanging="567"/>
              <w:contextualSpacing w:val="0"/>
              <w:rPr>
                <w:color w:val="000000" w:themeColor="text1"/>
                <w:szCs w:val="24"/>
              </w:rPr>
            </w:pPr>
            <w:r w:rsidRPr="00306115">
              <w:rPr>
                <w:color w:val="000000" w:themeColor="text1"/>
                <w:szCs w:val="24"/>
              </w:rPr>
              <w:t xml:space="preserve">Sumber daya manusia tidak memadai baik dari sisi jumlah maupun kompetensi pada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untuk Risiko Operasional.</w:t>
            </w:r>
          </w:p>
          <w:p w14:paraId="29C6CFA2" w14:textId="77777777" w:rsidR="0006568D" w:rsidRPr="00306115" w:rsidRDefault="0006568D">
            <w:pPr>
              <w:pStyle w:val="ListParagraph"/>
              <w:numPr>
                <w:ilvl w:val="0"/>
                <w:numId w:val="371"/>
              </w:numPr>
              <w:ind w:left="709" w:right="142" w:hanging="567"/>
              <w:contextualSpacing w:val="0"/>
              <w:rPr>
                <w:color w:val="000000" w:themeColor="text1"/>
                <w:szCs w:val="24"/>
              </w:rPr>
            </w:pPr>
            <w:r w:rsidRPr="00306115">
              <w:rPr>
                <w:color w:val="000000" w:themeColor="text1"/>
                <w:szCs w:val="24"/>
              </w:rPr>
              <w:t>Sistem pengendalian internal tidak efektif dalam mendukung pelaksanaan Manajemen Risiko untuk Risiko Operasional.</w:t>
            </w:r>
          </w:p>
          <w:p w14:paraId="4B184634" w14:textId="57CEA4C2" w:rsidR="0006568D" w:rsidRPr="00306115" w:rsidRDefault="0006568D">
            <w:pPr>
              <w:pStyle w:val="ListParagraph"/>
              <w:numPr>
                <w:ilvl w:val="0"/>
                <w:numId w:val="371"/>
              </w:numPr>
              <w:ind w:left="709" w:right="142" w:hanging="567"/>
              <w:contextualSpacing w:val="0"/>
              <w:rPr>
                <w:color w:val="000000" w:themeColor="text1"/>
                <w:szCs w:val="24"/>
              </w:rPr>
            </w:pPr>
            <w:r w:rsidRPr="00306115">
              <w:rPr>
                <w:color w:val="000000" w:themeColor="text1"/>
                <w:szCs w:val="24"/>
              </w:rPr>
              <w:t xml:space="preserve">Pelaksanaan kaji ulang oleh fungsi </w:t>
            </w:r>
            <w:r w:rsidR="00DA0D2E" w:rsidRPr="00306115">
              <w:rPr>
                <w:color w:val="000000" w:themeColor="text1"/>
              </w:rPr>
              <w:t>Manajemen Risiko</w:t>
            </w:r>
            <w:r w:rsidRPr="00306115">
              <w:rPr>
                <w:color w:val="000000" w:themeColor="text1"/>
                <w:szCs w:val="24"/>
              </w:rPr>
              <w:t xml:space="preserve"> dan fungsi audit internal tidak memadai. Terdapat kelemahan yang signifikan pada metodologi, frekuensi, maupun pelaporan kepada Direksi dan Dewan Komisaris yang memerlukan perbaikan fundamental.</w:t>
            </w:r>
          </w:p>
          <w:p w14:paraId="7D4A163F" w14:textId="77777777" w:rsidR="0006568D" w:rsidRPr="00306115" w:rsidRDefault="0006568D">
            <w:pPr>
              <w:pStyle w:val="ListParagraph"/>
              <w:numPr>
                <w:ilvl w:val="0"/>
                <w:numId w:val="371"/>
              </w:numPr>
              <w:ind w:left="709" w:right="142" w:hanging="567"/>
              <w:contextualSpacing w:val="0"/>
              <w:rPr>
                <w:color w:val="000000" w:themeColor="text1"/>
                <w:szCs w:val="24"/>
              </w:rPr>
            </w:pPr>
            <w:r w:rsidRPr="00306115">
              <w:rPr>
                <w:color w:val="000000" w:themeColor="text1"/>
                <w:szCs w:val="24"/>
              </w:rPr>
              <w:t>Tindak lanjut atas kaji ulang tidak memadai atau tidak ada.</w:t>
            </w:r>
          </w:p>
        </w:tc>
      </w:tr>
    </w:tbl>
    <w:p w14:paraId="1D37C7D9" w14:textId="77777777" w:rsidR="0006568D" w:rsidRPr="00306115" w:rsidRDefault="0006568D" w:rsidP="0006568D">
      <w:pPr>
        <w:pStyle w:val="HeadingAwalDaftarIsiLampiran"/>
        <w:numPr>
          <w:ilvl w:val="0"/>
          <w:numId w:val="0"/>
        </w:numPr>
        <w:ind w:left="1134"/>
      </w:pPr>
    </w:p>
    <w:p w14:paraId="288CA012" w14:textId="50EA364E" w:rsidR="001F762D" w:rsidRPr="00306115" w:rsidRDefault="001F762D">
      <w:pPr>
        <w:pStyle w:val="HeadingAwalDaftarIsiLampiran"/>
        <w:numPr>
          <w:ilvl w:val="3"/>
          <w:numId w:val="295"/>
        </w:numPr>
        <w:ind w:left="567" w:hanging="567"/>
      </w:pPr>
      <w:r w:rsidRPr="00306115">
        <w:t>Risiko Hukum</w:t>
      </w:r>
    </w:p>
    <w:p w14:paraId="01424348" w14:textId="77777777" w:rsidR="00451E35" w:rsidRPr="00306115" w:rsidRDefault="00451E35">
      <w:pPr>
        <w:pStyle w:val="HeadingAwalDaftarIsiLampiran"/>
        <w:numPr>
          <w:ilvl w:val="4"/>
          <w:numId w:val="295"/>
        </w:numPr>
        <w:ind w:left="1134" w:hanging="567"/>
      </w:pPr>
      <w:r w:rsidRPr="00306115">
        <w:t>Matriks Penetapan Tingkat Risiko Inheren</w:t>
      </w:r>
    </w:p>
    <w:tbl>
      <w:tblPr>
        <w:tblW w:w="7938"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7"/>
        <w:gridCol w:w="5811"/>
      </w:tblGrid>
      <w:tr w:rsidR="00F71DDE" w:rsidRPr="00306115" w14:paraId="0B72C8A3" w14:textId="77777777" w:rsidTr="00EF7AD7">
        <w:trPr>
          <w:trHeight w:val="343"/>
          <w:tblHeader/>
        </w:trPr>
        <w:tc>
          <w:tcPr>
            <w:tcW w:w="2127" w:type="dxa"/>
            <w:shd w:val="clear" w:color="auto" w:fill="D9D9D9"/>
          </w:tcPr>
          <w:p w14:paraId="135B1FE4" w14:textId="77777777" w:rsidR="00F71DDE" w:rsidRPr="00306115" w:rsidRDefault="00F71DDE" w:rsidP="00EF7AD7">
            <w:pPr>
              <w:pStyle w:val="TableParagraph"/>
              <w:spacing w:before="60" w:after="60"/>
              <w:ind w:left="142" w:right="142"/>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Peringkat</w:t>
            </w:r>
          </w:p>
        </w:tc>
        <w:tc>
          <w:tcPr>
            <w:tcW w:w="5811" w:type="dxa"/>
            <w:shd w:val="clear" w:color="auto" w:fill="D9D9D9"/>
          </w:tcPr>
          <w:p w14:paraId="29E32E45" w14:textId="77777777" w:rsidR="00F71DDE" w:rsidRPr="00306115" w:rsidRDefault="00F71DDE" w:rsidP="00EF7AD7">
            <w:pPr>
              <w:pStyle w:val="TableParagraph"/>
              <w:spacing w:before="60" w:after="60"/>
              <w:ind w:left="142" w:right="142"/>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Definisi Peringkat</w:t>
            </w:r>
          </w:p>
        </w:tc>
      </w:tr>
      <w:tr w:rsidR="00F71DDE" w:rsidRPr="00306115" w14:paraId="3F70D680" w14:textId="77777777" w:rsidTr="00710A2F">
        <w:trPr>
          <w:trHeight w:val="1564"/>
        </w:trPr>
        <w:tc>
          <w:tcPr>
            <w:tcW w:w="2127" w:type="dxa"/>
          </w:tcPr>
          <w:p w14:paraId="4D87D833" w14:textId="77777777" w:rsidR="00F71DDE" w:rsidRPr="00306115" w:rsidRDefault="00F71DDE" w:rsidP="00EF7AD7">
            <w:pPr>
              <w:pStyle w:val="TableParagraph"/>
              <w:spacing w:before="60" w:after="60"/>
              <w:ind w:left="142" w:right="142"/>
              <w:jc w:val="center"/>
              <w:rPr>
                <w:rFonts w:ascii="Bookman Old Style" w:hAnsi="Bookman Old Style"/>
                <w:color w:val="000000" w:themeColor="text1"/>
                <w:sz w:val="24"/>
                <w:szCs w:val="24"/>
              </w:rPr>
            </w:pPr>
            <w:r w:rsidRPr="00306115">
              <w:rPr>
                <w:rFonts w:ascii="Bookman Old Style" w:hAnsi="Bookman Old Style"/>
                <w:i/>
                <w:color w:val="000000" w:themeColor="text1"/>
                <w:sz w:val="24"/>
                <w:szCs w:val="24"/>
              </w:rPr>
              <w:t xml:space="preserve">Low </w:t>
            </w:r>
            <w:r w:rsidRPr="00306115">
              <w:rPr>
                <w:rFonts w:ascii="Bookman Old Style" w:hAnsi="Bookman Old Style"/>
                <w:color w:val="000000" w:themeColor="text1"/>
                <w:sz w:val="24"/>
                <w:szCs w:val="24"/>
              </w:rPr>
              <w:t>(1)</w:t>
            </w:r>
          </w:p>
        </w:tc>
        <w:tc>
          <w:tcPr>
            <w:tcW w:w="5811" w:type="dxa"/>
          </w:tcPr>
          <w:p w14:paraId="6F7E0533" w14:textId="77777777" w:rsidR="00F71DDE" w:rsidRPr="00306115" w:rsidRDefault="00F71DDE" w:rsidP="00EF7AD7">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Dengan mempertimbangkan aktivitas bisnis kegiatan usaha yang dilakukan Manajer Investasi </w:t>
            </w:r>
            <w:r w:rsidRPr="00306115">
              <w:rPr>
                <w:color w:val="000000" w:themeColor="text1"/>
                <w:szCs w:val="24"/>
                <w:lang w:val="en-US"/>
              </w:rPr>
              <w:t>beserta Produk Investasi yang dikelola</w:t>
            </w:r>
            <w:r w:rsidRPr="00306115">
              <w:rPr>
                <w:color w:val="000000" w:themeColor="text1"/>
                <w:szCs w:val="24"/>
              </w:rPr>
              <w:t xml:space="preserve">, kemungkinan timbulnya dampak paparan dari Risiko Hukum tergolong sangat rendah selama periode waktu tertentu pada masa datang. </w:t>
            </w:r>
          </w:p>
          <w:p w14:paraId="509A6C37" w14:textId="77777777" w:rsidR="00F71DDE" w:rsidRPr="00306115" w:rsidRDefault="00F71DDE" w:rsidP="00EF7AD7">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Contoh kondisi yang menunjukkan Risiko Hukum termasuk dalam peringkat </w:t>
            </w:r>
            <w:r w:rsidRPr="00306115">
              <w:rPr>
                <w:i/>
                <w:iCs/>
                <w:color w:val="000000" w:themeColor="text1"/>
                <w:szCs w:val="24"/>
              </w:rPr>
              <w:t xml:space="preserve">Low </w:t>
            </w:r>
            <w:r w:rsidRPr="00306115">
              <w:rPr>
                <w:color w:val="000000" w:themeColor="text1"/>
                <w:szCs w:val="24"/>
              </w:rPr>
              <w:t>(1) antara lain sebagai berikut:</w:t>
            </w:r>
          </w:p>
          <w:p w14:paraId="4F364907" w14:textId="77777777" w:rsidR="00F71DDE" w:rsidRPr="00306115" w:rsidRDefault="00F71DDE">
            <w:pPr>
              <w:pStyle w:val="ListParagraph"/>
              <w:numPr>
                <w:ilvl w:val="1"/>
                <w:numId w:val="372"/>
              </w:numPr>
              <w:spacing w:after="0" w:line="240" w:lineRule="auto"/>
              <w:ind w:left="709" w:right="142" w:hanging="567"/>
              <w:contextualSpacing w:val="0"/>
              <w:rPr>
                <w:color w:val="000000" w:themeColor="text1"/>
                <w:szCs w:val="24"/>
              </w:rPr>
            </w:pPr>
            <w:r w:rsidRPr="00306115">
              <w:rPr>
                <w:color w:val="000000" w:themeColor="text1"/>
                <w:szCs w:val="24"/>
              </w:rPr>
              <w:t>Tidak terdapat proses hukum antara lain penetapan tersangka, gugatan, dan/atau tuntutan yang terjadi pada Manajer Investasi.</w:t>
            </w:r>
          </w:p>
          <w:p w14:paraId="5F5A4B12" w14:textId="51CA97DF" w:rsidR="00BF0FCA" w:rsidRPr="00306115" w:rsidRDefault="00BF0FCA">
            <w:pPr>
              <w:pStyle w:val="ListParagraph"/>
              <w:numPr>
                <w:ilvl w:val="1"/>
                <w:numId w:val="372"/>
              </w:numPr>
              <w:spacing w:after="0" w:line="240" w:lineRule="auto"/>
              <w:ind w:left="709" w:right="142" w:hanging="567"/>
              <w:contextualSpacing w:val="0"/>
              <w:rPr>
                <w:color w:val="000000" w:themeColor="text1"/>
                <w:szCs w:val="24"/>
              </w:rPr>
            </w:pPr>
            <w:r w:rsidRPr="00306115">
              <w:rPr>
                <w:color w:val="000000" w:themeColor="text1"/>
                <w:szCs w:val="24"/>
              </w:rPr>
              <w:lastRenderedPageBreak/>
              <w:t>Tidak terdapat eksposur nominal tuntutan dan/atau gugatan hukum yang membebani permodalan.</w:t>
            </w:r>
          </w:p>
          <w:p w14:paraId="709C8395" w14:textId="77777777" w:rsidR="00F71DDE" w:rsidRPr="00306115" w:rsidRDefault="00F71DDE">
            <w:pPr>
              <w:pStyle w:val="ListParagraph"/>
              <w:numPr>
                <w:ilvl w:val="1"/>
                <w:numId w:val="372"/>
              </w:numPr>
              <w:spacing w:after="0" w:line="240" w:lineRule="auto"/>
              <w:ind w:left="709" w:right="142" w:hanging="567"/>
              <w:contextualSpacing w:val="0"/>
              <w:rPr>
                <w:color w:val="000000" w:themeColor="text1"/>
                <w:szCs w:val="24"/>
              </w:rPr>
            </w:pPr>
            <w:r w:rsidRPr="00306115">
              <w:rPr>
                <w:color w:val="000000" w:themeColor="text1"/>
                <w:szCs w:val="24"/>
              </w:rPr>
              <w:t>Tidak terdapat kerugian Manajer Investasi atas hasil putusan pengadilan yang berkekuatan hukum tetap.</w:t>
            </w:r>
          </w:p>
        </w:tc>
      </w:tr>
      <w:tr w:rsidR="00F71DDE" w:rsidRPr="00306115" w14:paraId="3E3CDABC" w14:textId="77777777" w:rsidTr="001E1BEA">
        <w:trPr>
          <w:trHeight w:val="493"/>
        </w:trPr>
        <w:tc>
          <w:tcPr>
            <w:tcW w:w="2127" w:type="dxa"/>
          </w:tcPr>
          <w:p w14:paraId="66E1D194" w14:textId="77777777" w:rsidR="00F71DDE" w:rsidRPr="00306115" w:rsidRDefault="00F71DDE" w:rsidP="00EF7AD7">
            <w:pPr>
              <w:pStyle w:val="TableParagraph"/>
              <w:spacing w:before="60" w:after="60"/>
              <w:ind w:left="142" w:right="142"/>
              <w:jc w:val="center"/>
              <w:rPr>
                <w:rFonts w:ascii="Bookman Old Style" w:hAnsi="Bookman Old Style"/>
                <w:color w:val="000000" w:themeColor="text1"/>
                <w:sz w:val="24"/>
                <w:szCs w:val="24"/>
              </w:rPr>
            </w:pPr>
            <w:r w:rsidRPr="00306115">
              <w:rPr>
                <w:rFonts w:ascii="Bookman Old Style" w:hAnsi="Bookman Old Style"/>
                <w:i/>
                <w:color w:val="000000" w:themeColor="text1"/>
                <w:sz w:val="24"/>
                <w:szCs w:val="24"/>
              </w:rPr>
              <w:lastRenderedPageBreak/>
              <w:t xml:space="preserve">Low to Moderate </w:t>
            </w:r>
            <w:r w:rsidRPr="00306115">
              <w:rPr>
                <w:rFonts w:ascii="Bookman Old Style" w:hAnsi="Bookman Old Style"/>
                <w:color w:val="000000" w:themeColor="text1"/>
                <w:sz w:val="24"/>
                <w:szCs w:val="24"/>
              </w:rPr>
              <w:t>(2)</w:t>
            </w:r>
          </w:p>
        </w:tc>
        <w:tc>
          <w:tcPr>
            <w:tcW w:w="5811" w:type="dxa"/>
          </w:tcPr>
          <w:p w14:paraId="0031F5E2" w14:textId="77777777" w:rsidR="00F71DDE" w:rsidRPr="00306115" w:rsidRDefault="00F71DDE" w:rsidP="00EF7AD7">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Dengan mempertimbangkan aktivitas kegiatan usaha yang dilakukan Manajer Investasi </w:t>
            </w:r>
            <w:r w:rsidRPr="00306115">
              <w:rPr>
                <w:color w:val="000000" w:themeColor="text1"/>
                <w:szCs w:val="24"/>
                <w:lang w:val="en-US"/>
              </w:rPr>
              <w:t>beserta Produk Investasi yang dikelola</w:t>
            </w:r>
            <w:r w:rsidRPr="00306115">
              <w:rPr>
                <w:color w:val="000000" w:themeColor="text1"/>
                <w:szCs w:val="24"/>
              </w:rPr>
              <w:t>, kemungkinan timbulnya dampak paparan dari Risiko Hukum tergolong rendah selama periode waktu tertentu pada masa dating</w:t>
            </w:r>
          </w:p>
          <w:p w14:paraId="17B28DC9" w14:textId="77777777" w:rsidR="00F71DDE" w:rsidRPr="00306115" w:rsidRDefault="00F71DDE" w:rsidP="00EF7AD7">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Contoh kondisi yang menunjukkan Risiko Hukum termasuk dalam peringkat </w:t>
            </w:r>
            <w:r w:rsidRPr="00306115">
              <w:rPr>
                <w:i/>
                <w:iCs/>
                <w:color w:val="000000" w:themeColor="text1"/>
                <w:szCs w:val="24"/>
              </w:rPr>
              <w:t xml:space="preserve">Low to Moderate </w:t>
            </w:r>
            <w:r w:rsidRPr="00306115">
              <w:rPr>
                <w:color w:val="000000" w:themeColor="text1"/>
                <w:szCs w:val="24"/>
              </w:rPr>
              <w:t>(2) antara lain sebagai berikut:</w:t>
            </w:r>
          </w:p>
          <w:p w14:paraId="37F611B7" w14:textId="77777777" w:rsidR="00F71DDE" w:rsidRPr="00306115" w:rsidRDefault="00F71DDE">
            <w:pPr>
              <w:pStyle w:val="ListParagraph"/>
              <w:numPr>
                <w:ilvl w:val="0"/>
                <w:numId w:val="373"/>
              </w:numPr>
              <w:spacing w:after="0" w:line="240" w:lineRule="auto"/>
              <w:ind w:left="709" w:right="142" w:hanging="567"/>
              <w:contextualSpacing w:val="0"/>
              <w:rPr>
                <w:color w:val="000000" w:themeColor="text1"/>
                <w:szCs w:val="24"/>
              </w:rPr>
            </w:pPr>
            <w:r w:rsidRPr="00306115">
              <w:rPr>
                <w:color w:val="000000" w:themeColor="text1"/>
                <w:szCs w:val="24"/>
              </w:rPr>
              <w:t>Terdapat proses hukum antara lain penetapan tersangka, gugatan dan/atau tuntutan yang terjadi pada Manajer Investasi tetapi dengan jumlah, nominal, dan/atau dampak finansial dari gugatan dan/atau tuntutan kurang signifikan dan tidak mengganggu aspek bisnis Manajer Investasi.</w:t>
            </w:r>
          </w:p>
          <w:p w14:paraId="06B2DCA1" w14:textId="2B340F36" w:rsidR="00572250" w:rsidRPr="00306115" w:rsidRDefault="00572250">
            <w:pPr>
              <w:pStyle w:val="ListParagraph"/>
              <w:numPr>
                <w:ilvl w:val="0"/>
                <w:numId w:val="373"/>
              </w:numPr>
              <w:spacing w:after="0" w:line="240" w:lineRule="auto"/>
              <w:ind w:left="709" w:right="142" w:hanging="567"/>
              <w:contextualSpacing w:val="0"/>
              <w:rPr>
                <w:color w:val="000000" w:themeColor="text1"/>
                <w:szCs w:val="24"/>
              </w:rPr>
            </w:pPr>
            <w:r w:rsidRPr="00306115">
              <w:rPr>
                <w:color w:val="000000" w:themeColor="text1"/>
                <w:szCs w:val="24"/>
              </w:rPr>
              <w:t xml:space="preserve">Rasio besaran nominal tuntutan dan/atau gugatan hukum dibandingkan dengan MKBD tergolong </w:t>
            </w:r>
            <w:r w:rsidRPr="00306115">
              <w:rPr>
                <w:color w:val="000000" w:themeColor="text1"/>
                <w:szCs w:val="24"/>
                <w:lang w:val="en-GB"/>
              </w:rPr>
              <w:t>kurang signifikan</w:t>
            </w:r>
            <w:r w:rsidRPr="00306115">
              <w:rPr>
                <w:color w:val="000000" w:themeColor="text1"/>
                <w:szCs w:val="24"/>
              </w:rPr>
              <w:t xml:space="preserve">. Potensi kerugian finansial </w:t>
            </w:r>
            <w:r w:rsidRPr="00306115">
              <w:rPr>
                <w:color w:val="000000" w:themeColor="text1"/>
                <w:szCs w:val="24"/>
                <w:lang w:val="en-GB"/>
              </w:rPr>
              <w:t>kurang signifikan.</w:t>
            </w:r>
          </w:p>
          <w:p w14:paraId="76127C70" w14:textId="77777777" w:rsidR="00F71DDE" w:rsidRPr="00306115" w:rsidRDefault="00F71DDE">
            <w:pPr>
              <w:pStyle w:val="ListParagraph"/>
              <w:numPr>
                <w:ilvl w:val="0"/>
                <w:numId w:val="373"/>
              </w:numPr>
              <w:spacing w:after="0" w:line="240" w:lineRule="auto"/>
              <w:ind w:left="709" w:right="142" w:hanging="567"/>
              <w:contextualSpacing w:val="0"/>
              <w:rPr>
                <w:color w:val="000000" w:themeColor="text1"/>
                <w:szCs w:val="24"/>
              </w:rPr>
            </w:pPr>
            <w:r w:rsidRPr="00306115">
              <w:rPr>
                <w:color w:val="000000" w:themeColor="text1"/>
                <w:szCs w:val="24"/>
              </w:rPr>
              <w:t>Terdapat kerugian Manajer Investasi atas hasil putusan pengadilan yang berkekuatan hukum tetap, namun jumlahnya tidak signifikan mengganggu kondisi keuangan.</w:t>
            </w:r>
          </w:p>
        </w:tc>
      </w:tr>
      <w:tr w:rsidR="00F71DDE" w:rsidRPr="00306115" w14:paraId="3F4ADB46" w14:textId="77777777" w:rsidTr="00EF7AD7">
        <w:trPr>
          <w:trHeight w:val="1338"/>
        </w:trPr>
        <w:tc>
          <w:tcPr>
            <w:tcW w:w="2127" w:type="dxa"/>
          </w:tcPr>
          <w:p w14:paraId="3FA0367D" w14:textId="77777777" w:rsidR="00F71DDE" w:rsidRPr="00306115" w:rsidRDefault="00F71DDE" w:rsidP="00EF7AD7">
            <w:pPr>
              <w:pStyle w:val="TableParagraph"/>
              <w:spacing w:before="60" w:after="60"/>
              <w:ind w:left="142" w:right="142"/>
              <w:jc w:val="center"/>
              <w:rPr>
                <w:rFonts w:ascii="Bookman Old Style" w:hAnsi="Bookman Old Style"/>
                <w:i/>
                <w:color w:val="000000" w:themeColor="text1"/>
                <w:sz w:val="24"/>
                <w:szCs w:val="24"/>
              </w:rPr>
            </w:pPr>
            <w:r w:rsidRPr="00306115">
              <w:rPr>
                <w:rFonts w:ascii="Bookman Old Style" w:hAnsi="Bookman Old Style"/>
                <w:i/>
                <w:color w:val="000000" w:themeColor="text1"/>
                <w:sz w:val="24"/>
                <w:szCs w:val="24"/>
              </w:rPr>
              <w:t>Moderate</w:t>
            </w:r>
          </w:p>
          <w:p w14:paraId="00572B3C" w14:textId="77777777" w:rsidR="00F71DDE" w:rsidRPr="00306115" w:rsidRDefault="00F71DDE" w:rsidP="00EF7AD7">
            <w:pPr>
              <w:pStyle w:val="TableParagraph"/>
              <w:spacing w:before="60" w:after="60"/>
              <w:ind w:left="142" w:right="142"/>
              <w:jc w:val="center"/>
              <w:rPr>
                <w:rFonts w:ascii="Bookman Old Style" w:hAnsi="Bookman Old Style"/>
                <w:iCs/>
                <w:color w:val="000000" w:themeColor="text1"/>
                <w:sz w:val="24"/>
                <w:szCs w:val="24"/>
              </w:rPr>
            </w:pPr>
            <w:r w:rsidRPr="00306115">
              <w:rPr>
                <w:rFonts w:ascii="Bookman Old Style" w:hAnsi="Bookman Old Style"/>
                <w:iCs/>
                <w:color w:val="000000" w:themeColor="text1"/>
                <w:sz w:val="24"/>
                <w:szCs w:val="24"/>
              </w:rPr>
              <w:t>(3)</w:t>
            </w:r>
          </w:p>
        </w:tc>
        <w:tc>
          <w:tcPr>
            <w:tcW w:w="5811" w:type="dxa"/>
          </w:tcPr>
          <w:p w14:paraId="2B225DC3" w14:textId="77777777" w:rsidR="00F71DDE" w:rsidRPr="00306115" w:rsidRDefault="00F71DDE" w:rsidP="00EF7AD7">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Dengan mempertimbangkan aktivitas kegiatan usaha yang dilakukan Manajer Investasi </w:t>
            </w:r>
            <w:r w:rsidRPr="00306115">
              <w:rPr>
                <w:color w:val="000000" w:themeColor="text1"/>
                <w:szCs w:val="24"/>
                <w:lang w:val="en-US"/>
              </w:rPr>
              <w:t>beserta Produk Investasi yang dikelola</w:t>
            </w:r>
            <w:r w:rsidRPr="00306115">
              <w:rPr>
                <w:color w:val="000000" w:themeColor="text1"/>
                <w:szCs w:val="24"/>
              </w:rPr>
              <w:t>, kemungkinan timbulnya dampak paparan dari Risiko Hukum tergolong cukup tinggi selama periode waktu tertentu pada masa datang.</w:t>
            </w:r>
          </w:p>
          <w:p w14:paraId="6073C7D3" w14:textId="77777777" w:rsidR="00F71DDE" w:rsidRPr="00306115" w:rsidRDefault="00F71DDE" w:rsidP="00EF7AD7">
            <w:pPr>
              <w:pStyle w:val="ListParagraph"/>
              <w:spacing w:after="0" w:line="240" w:lineRule="auto"/>
              <w:ind w:left="142" w:right="142"/>
              <w:contextualSpacing w:val="0"/>
              <w:rPr>
                <w:strike/>
                <w:color w:val="000000" w:themeColor="text1"/>
                <w:szCs w:val="24"/>
              </w:rPr>
            </w:pPr>
            <w:r w:rsidRPr="00306115">
              <w:rPr>
                <w:color w:val="000000" w:themeColor="text1"/>
                <w:szCs w:val="24"/>
              </w:rPr>
              <w:t xml:space="preserve">Contoh kondisi yang menunjukkan Risiko Hukum termasuk dalam peringkat </w:t>
            </w:r>
            <w:r w:rsidRPr="00306115">
              <w:rPr>
                <w:i/>
                <w:iCs/>
                <w:color w:val="000000" w:themeColor="text1"/>
                <w:szCs w:val="24"/>
              </w:rPr>
              <w:t xml:space="preserve">Moderate </w:t>
            </w:r>
            <w:r w:rsidRPr="00306115">
              <w:rPr>
                <w:color w:val="000000" w:themeColor="text1"/>
                <w:szCs w:val="24"/>
              </w:rPr>
              <w:t>(3) antara lain sebagai berikut:</w:t>
            </w:r>
          </w:p>
          <w:p w14:paraId="54C5C48A" w14:textId="77777777" w:rsidR="00F71DDE" w:rsidRPr="00306115" w:rsidRDefault="00F71DDE">
            <w:pPr>
              <w:pStyle w:val="ListParagraph"/>
              <w:numPr>
                <w:ilvl w:val="0"/>
                <w:numId w:val="374"/>
              </w:numPr>
              <w:spacing w:after="0" w:line="240" w:lineRule="auto"/>
              <w:ind w:left="709" w:right="142" w:hanging="567"/>
              <w:contextualSpacing w:val="0"/>
              <w:rPr>
                <w:color w:val="000000" w:themeColor="text1"/>
                <w:szCs w:val="24"/>
              </w:rPr>
            </w:pPr>
            <w:r w:rsidRPr="00306115">
              <w:rPr>
                <w:color w:val="000000" w:themeColor="text1"/>
                <w:szCs w:val="24"/>
              </w:rPr>
              <w:t>Terdapat proses hukum antara lain penetapan tersangka, gugatan dan/atau tuntutan yang terjadi pada Manajer Investasi tetapi dengan jumlah, nominal, dan/atau dampak finansial dari gugatan dan/atau tuntutan cukup signifikan dan cukup mengganggu aspek bisnis Manajer Investasi.</w:t>
            </w:r>
          </w:p>
          <w:p w14:paraId="513A9156" w14:textId="0F117869" w:rsidR="001E1BEA" w:rsidRPr="00306115" w:rsidRDefault="001E1BEA">
            <w:pPr>
              <w:pStyle w:val="ListParagraph"/>
              <w:numPr>
                <w:ilvl w:val="0"/>
                <w:numId w:val="374"/>
              </w:numPr>
              <w:spacing w:after="0" w:line="240" w:lineRule="auto"/>
              <w:ind w:left="709" w:right="142" w:hanging="567"/>
              <w:contextualSpacing w:val="0"/>
              <w:rPr>
                <w:color w:val="000000" w:themeColor="text1"/>
                <w:szCs w:val="24"/>
              </w:rPr>
            </w:pPr>
            <w:r w:rsidRPr="00306115">
              <w:rPr>
                <w:color w:val="000000" w:themeColor="text1"/>
                <w:szCs w:val="24"/>
              </w:rPr>
              <w:t xml:space="preserve">Rasio besaran nominal tuntutan dan/atau gugatan hukum dibandingkan dengan MKBD tergolong </w:t>
            </w:r>
            <w:r w:rsidRPr="00306115">
              <w:rPr>
                <w:color w:val="000000" w:themeColor="text1"/>
                <w:szCs w:val="24"/>
                <w:lang w:val="en-GB"/>
              </w:rPr>
              <w:t>cukup signifikan</w:t>
            </w:r>
            <w:r w:rsidRPr="00306115">
              <w:rPr>
                <w:color w:val="000000" w:themeColor="text1"/>
                <w:szCs w:val="24"/>
              </w:rPr>
              <w:t xml:space="preserve">. </w:t>
            </w:r>
            <w:r w:rsidRPr="00306115">
              <w:rPr>
                <w:color w:val="000000" w:themeColor="text1"/>
                <w:szCs w:val="24"/>
              </w:rPr>
              <w:lastRenderedPageBreak/>
              <w:t xml:space="preserve">Potensi kerugian finansial </w:t>
            </w:r>
            <w:r w:rsidRPr="00306115">
              <w:rPr>
                <w:color w:val="000000" w:themeColor="text1"/>
                <w:szCs w:val="24"/>
                <w:lang w:val="en-GB"/>
              </w:rPr>
              <w:t>cukup signifikan.</w:t>
            </w:r>
          </w:p>
          <w:p w14:paraId="4211C8A3" w14:textId="77777777" w:rsidR="00F71DDE" w:rsidRPr="00306115" w:rsidRDefault="00F71DDE">
            <w:pPr>
              <w:pStyle w:val="ListParagraph"/>
              <w:numPr>
                <w:ilvl w:val="0"/>
                <w:numId w:val="374"/>
              </w:numPr>
              <w:spacing w:after="0" w:line="240" w:lineRule="auto"/>
              <w:ind w:left="709" w:right="142" w:hanging="567"/>
              <w:contextualSpacing w:val="0"/>
              <w:rPr>
                <w:color w:val="000000" w:themeColor="text1"/>
                <w:szCs w:val="24"/>
              </w:rPr>
            </w:pPr>
            <w:r w:rsidRPr="00306115">
              <w:rPr>
                <w:color w:val="000000" w:themeColor="text1"/>
                <w:szCs w:val="24"/>
              </w:rPr>
              <w:t>Terdapat kerugian Manajer Investasi atas hasil putusan pengadilan yang berkekuatan hukum tetap, namun jumlahnya kurang signifikan mengganggu kondisi keuangan.</w:t>
            </w:r>
          </w:p>
        </w:tc>
      </w:tr>
      <w:tr w:rsidR="00F71DDE" w:rsidRPr="00306115" w14:paraId="293F97D6" w14:textId="77777777" w:rsidTr="00EF7AD7">
        <w:trPr>
          <w:trHeight w:val="982"/>
        </w:trPr>
        <w:tc>
          <w:tcPr>
            <w:tcW w:w="2127" w:type="dxa"/>
          </w:tcPr>
          <w:p w14:paraId="35CADFE7" w14:textId="77777777" w:rsidR="00F71DDE" w:rsidRPr="00306115" w:rsidRDefault="00F71DDE" w:rsidP="00EF7AD7">
            <w:pPr>
              <w:pStyle w:val="TableParagraph"/>
              <w:spacing w:before="60" w:after="60"/>
              <w:ind w:left="142" w:right="142"/>
              <w:jc w:val="center"/>
              <w:rPr>
                <w:rFonts w:ascii="Bookman Old Style" w:hAnsi="Bookman Old Style"/>
                <w:i/>
                <w:color w:val="000000" w:themeColor="text1"/>
                <w:sz w:val="24"/>
                <w:szCs w:val="24"/>
              </w:rPr>
            </w:pPr>
            <w:r w:rsidRPr="00306115">
              <w:rPr>
                <w:rFonts w:ascii="Bookman Old Style" w:hAnsi="Bookman Old Style"/>
                <w:i/>
                <w:color w:val="000000" w:themeColor="text1"/>
                <w:sz w:val="24"/>
                <w:szCs w:val="24"/>
              </w:rPr>
              <w:lastRenderedPageBreak/>
              <w:t xml:space="preserve">Moderate to High </w:t>
            </w:r>
            <w:r w:rsidRPr="00306115">
              <w:rPr>
                <w:rFonts w:ascii="Bookman Old Style" w:hAnsi="Bookman Old Style"/>
                <w:iCs/>
                <w:color w:val="000000" w:themeColor="text1"/>
                <w:sz w:val="24"/>
                <w:szCs w:val="24"/>
              </w:rPr>
              <w:t>(4)</w:t>
            </w:r>
          </w:p>
        </w:tc>
        <w:tc>
          <w:tcPr>
            <w:tcW w:w="5811" w:type="dxa"/>
          </w:tcPr>
          <w:p w14:paraId="42FC61BB" w14:textId="77777777" w:rsidR="00F71DDE" w:rsidRPr="00306115" w:rsidRDefault="00F71DDE" w:rsidP="00EF7AD7">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Dengan mempertimbangkan aktivitas kegiatan usaha yang dilakukan Manajer Investasi </w:t>
            </w:r>
            <w:r w:rsidRPr="00306115">
              <w:rPr>
                <w:color w:val="000000" w:themeColor="text1"/>
                <w:szCs w:val="24"/>
                <w:lang w:val="en-US"/>
              </w:rPr>
              <w:t>beserta Produk Investasi yang dikelola</w:t>
            </w:r>
            <w:r w:rsidRPr="00306115">
              <w:rPr>
                <w:color w:val="000000" w:themeColor="text1"/>
                <w:szCs w:val="24"/>
              </w:rPr>
              <w:t>, kemungkinan timbulnya dampak paparan dari Risiko Hukum tergolong tinggi selama periode waktu tertentu pada masa datang</w:t>
            </w:r>
          </w:p>
          <w:p w14:paraId="673E2157" w14:textId="77777777" w:rsidR="00F71DDE" w:rsidRPr="00306115" w:rsidRDefault="00F71DDE" w:rsidP="00EF7AD7">
            <w:pPr>
              <w:pStyle w:val="ListParagraph"/>
              <w:spacing w:after="0" w:line="240" w:lineRule="auto"/>
              <w:ind w:left="142" w:right="142"/>
              <w:contextualSpacing w:val="0"/>
              <w:rPr>
                <w:strike/>
                <w:color w:val="000000" w:themeColor="text1"/>
                <w:szCs w:val="24"/>
              </w:rPr>
            </w:pPr>
            <w:r w:rsidRPr="00306115">
              <w:rPr>
                <w:color w:val="000000" w:themeColor="text1"/>
                <w:szCs w:val="24"/>
              </w:rPr>
              <w:t xml:space="preserve">Contoh kondisi yang menunjukkan </w:t>
            </w:r>
            <w:r w:rsidRPr="00306115">
              <w:rPr>
                <w:color w:val="000000" w:themeColor="text1"/>
                <w:szCs w:val="24"/>
                <w:lang w:val="en-US"/>
              </w:rPr>
              <w:t>Risiko</w:t>
            </w:r>
            <w:r w:rsidRPr="00306115">
              <w:rPr>
                <w:color w:val="000000" w:themeColor="text1"/>
                <w:szCs w:val="24"/>
              </w:rPr>
              <w:t xml:space="preserve"> Hukum termasuk dalam peringkat </w:t>
            </w:r>
            <w:r w:rsidRPr="00306115">
              <w:rPr>
                <w:i/>
                <w:iCs/>
                <w:color w:val="000000" w:themeColor="text1"/>
                <w:szCs w:val="24"/>
              </w:rPr>
              <w:t xml:space="preserve">Moderate to High </w:t>
            </w:r>
            <w:r w:rsidRPr="00306115">
              <w:rPr>
                <w:color w:val="000000" w:themeColor="text1"/>
                <w:szCs w:val="24"/>
              </w:rPr>
              <w:t>(4) antara lain sebagai berikut:</w:t>
            </w:r>
          </w:p>
          <w:p w14:paraId="559201B6" w14:textId="77777777" w:rsidR="00F71DDE" w:rsidRPr="00306115" w:rsidRDefault="00F71DDE">
            <w:pPr>
              <w:pStyle w:val="ListParagraph"/>
              <w:numPr>
                <w:ilvl w:val="0"/>
                <w:numId w:val="375"/>
              </w:numPr>
              <w:spacing w:after="0" w:line="240" w:lineRule="auto"/>
              <w:ind w:left="709" w:right="142" w:hanging="567"/>
              <w:contextualSpacing w:val="0"/>
              <w:rPr>
                <w:color w:val="000000" w:themeColor="text1"/>
                <w:szCs w:val="24"/>
              </w:rPr>
            </w:pPr>
            <w:r w:rsidRPr="00306115">
              <w:rPr>
                <w:color w:val="000000" w:themeColor="text1"/>
                <w:szCs w:val="24"/>
              </w:rPr>
              <w:t>Terdapat proses hukum antara lain penetapan tersangka, gugatan dan/atau tuntutan yang terjadi pada Manajer Investasi tetapi dengan jumlah, nominal, dan/atau dampak finansial dari gugatan dan/atau tuntutan signifikan dan mengganggu aspek bisnis Manajer Investasi.</w:t>
            </w:r>
          </w:p>
          <w:p w14:paraId="08EB8964" w14:textId="55E7396D" w:rsidR="002272E4" w:rsidRPr="00306115" w:rsidRDefault="002272E4">
            <w:pPr>
              <w:pStyle w:val="ListParagraph"/>
              <w:numPr>
                <w:ilvl w:val="0"/>
                <w:numId w:val="375"/>
              </w:numPr>
              <w:spacing w:after="0" w:line="240" w:lineRule="auto"/>
              <w:ind w:left="709" w:right="142" w:hanging="567"/>
              <w:contextualSpacing w:val="0"/>
              <w:rPr>
                <w:color w:val="000000" w:themeColor="text1"/>
                <w:szCs w:val="24"/>
              </w:rPr>
            </w:pPr>
            <w:r w:rsidRPr="00306115">
              <w:rPr>
                <w:color w:val="000000" w:themeColor="text1"/>
                <w:szCs w:val="24"/>
              </w:rPr>
              <w:t xml:space="preserve">Rasio besaran nominal tuntutan dan/atau gugatan hukum dibandingkan dengan MKBD tergolong </w:t>
            </w:r>
            <w:r w:rsidRPr="00306115">
              <w:rPr>
                <w:color w:val="000000" w:themeColor="text1"/>
                <w:szCs w:val="24"/>
                <w:lang w:val="en-GB"/>
              </w:rPr>
              <w:t>signifikan</w:t>
            </w:r>
            <w:r w:rsidRPr="00306115">
              <w:rPr>
                <w:color w:val="000000" w:themeColor="text1"/>
                <w:szCs w:val="24"/>
              </w:rPr>
              <w:t xml:space="preserve">. Potensi kerugian finansial </w:t>
            </w:r>
            <w:r w:rsidRPr="00306115">
              <w:rPr>
                <w:color w:val="000000" w:themeColor="text1"/>
                <w:szCs w:val="24"/>
                <w:lang w:val="en-GB"/>
              </w:rPr>
              <w:t>signifikan.</w:t>
            </w:r>
          </w:p>
          <w:p w14:paraId="5D588DAA" w14:textId="77777777" w:rsidR="00F71DDE" w:rsidRPr="00306115" w:rsidRDefault="00F71DDE">
            <w:pPr>
              <w:pStyle w:val="ListParagraph"/>
              <w:numPr>
                <w:ilvl w:val="0"/>
                <w:numId w:val="375"/>
              </w:numPr>
              <w:spacing w:after="0" w:line="240" w:lineRule="auto"/>
              <w:ind w:left="709" w:right="142" w:hanging="567"/>
              <w:contextualSpacing w:val="0"/>
              <w:rPr>
                <w:color w:val="000000" w:themeColor="text1"/>
                <w:szCs w:val="24"/>
              </w:rPr>
            </w:pPr>
            <w:r w:rsidRPr="00306115">
              <w:rPr>
                <w:color w:val="000000" w:themeColor="text1"/>
                <w:szCs w:val="24"/>
              </w:rPr>
              <w:t>Terdapat kerugian Manajer Investasi atas hasil putusan pengadilan yang berkekuatan hukum tetap, dengan jumlah signifikan yang mengganggu kondisi keuangan.</w:t>
            </w:r>
          </w:p>
        </w:tc>
      </w:tr>
      <w:tr w:rsidR="00F71DDE" w:rsidRPr="00306115" w14:paraId="6AE9AA5A" w14:textId="77777777" w:rsidTr="00EF7AD7">
        <w:trPr>
          <w:trHeight w:val="982"/>
        </w:trPr>
        <w:tc>
          <w:tcPr>
            <w:tcW w:w="2127" w:type="dxa"/>
          </w:tcPr>
          <w:p w14:paraId="07B0C7DC" w14:textId="77777777" w:rsidR="00F71DDE" w:rsidRPr="00306115" w:rsidRDefault="00F71DDE" w:rsidP="00EF7AD7">
            <w:pPr>
              <w:pStyle w:val="TableParagraph"/>
              <w:spacing w:before="60" w:after="60"/>
              <w:ind w:left="142" w:right="142"/>
              <w:jc w:val="center"/>
              <w:rPr>
                <w:rFonts w:ascii="Bookman Old Style" w:hAnsi="Bookman Old Style"/>
                <w:i/>
                <w:color w:val="000000" w:themeColor="text1"/>
                <w:sz w:val="24"/>
                <w:szCs w:val="24"/>
              </w:rPr>
            </w:pPr>
            <w:r w:rsidRPr="00306115">
              <w:rPr>
                <w:rFonts w:ascii="Bookman Old Style" w:hAnsi="Bookman Old Style"/>
                <w:i/>
                <w:color w:val="000000" w:themeColor="text1"/>
                <w:sz w:val="24"/>
                <w:szCs w:val="24"/>
              </w:rPr>
              <w:t>High</w:t>
            </w:r>
            <w:r w:rsidRPr="00306115">
              <w:rPr>
                <w:rFonts w:ascii="Bookman Old Style" w:hAnsi="Bookman Old Style"/>
                <w:iCs/>
                <w:color w:val="000000" w:themeColor="text1"/>
                <w:sz w:val="24"/>
                <w:szCs w:val="24"/>
              </w:rPr>
              <w:t xml:space="preserve"> (5)</w:t>
            </w:r>
          </w:p>
        </w:tc>
        <w:tc>
          <w:tcPr>
            <w:tcW w:w="5811" w:type="dxa"/>
          </w:tcPr>
          <w:p w14:paraId="23EFF19B" w14:textId="77777777" w:rsidR="00F71DDE" w:rsidRPr="00306115" w:rsidRDefault="00F71DDE" w:rsidP="00EF7AD7">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Dengan mempertimbangkan aktivitas kegiatan usaha yang dilakukan Manajer Investasi </w:t>
            </w:r>
            <w:r w:rsidRPr="00306115">
              <w:rPr>
                <w:color w:val="000000" w:themeColor="text1"/>
                <w:szCs w:val="24"/>
                <w:lang w:val="en-US"/>
              </w:rPr>
              <w:t>beserta Produk Investasi yang dikelola</w:t>
            </w:r>
            <w:r w:rsidRPr="00306115">
              <w:rPr>
                <w:color w:val="000000" w:themeColor="text1"/>
                <w:szCs w:val="24"/>
              </w:rPr>
              <w:t>, kemungkinan timbulnya dampak paparan dari Risiko Hukum tergolong sangat tinggi selama periode waktu tertentu pada masa datang.</w:t>
            </w:r>
          </w:p>
          <w:p w14:paraId="47148101" w14:textId="77777777" w:rsidR="00F71DDE" w:rsidRPr="00306115" w:rsidRDefault="00F71DDE" w:rsidP="00EF7AD7">
            <w:pPr>
              <w:pStyle w:val="ListParagraph"/>
              <w:spacing w:after="0" w:line="240" w:lineRule="auto"/>
              <w:ind w:left="142" w:right="142"/>
              <w:contextualSpacing w:val="0"/>
              <w:rPr>
                <w:strike/>
                <w:color w:val="000000" w:themeColor="text1"/>
                <w:szCs w:val="24"/>
              </w:rPr>
            </w:pPr>
            <w:r w:rsidRPr="00306115">
              <w:rPr>
                <w:color w:val="000000" w:themeColor="text1"/>
                <w:szCs w:val="24"/>
              </w:rPr>
              <w:t xml:space="preserve">Contoh kondisi yang menunjukkan Risiko Hukum termasuk dalam peringkat </w:t>
            </w:r>
            <w:r w:rsidRPr="00306115">
              <w:rPr>
                <w:i/>
                <w:iCs/>
                <w:color w:val="000000" w:themeColor="text1"/>
                <w:szCs w:val="24"/>
              </w:rPr>
              <w:t xml:space="preserve">High </w:t>
            </w:r>
            <w:r w:rsidRPr="00306115">
              <w:rPr>
                <w:color w:val="000000" w:themeColor="text1"/>
                <w:szCs w:val="24"/>
              </w:rPr>
              <w:t>(5) antara lain sebagai berikut:</w:t>
            </w:r>
          </w:p>
          <w:p w14:paraId="78A5D7F4" w14:textId="77777777" w:rsidR="00F71DDE" w:rsidRPr="00306115" w:rsidRDefault="00F71DDE">
            <w:pPr>
              <w:pStyle w:val="ListParagraph"/>
              <w:numPr>
                <w:ilvl w:val="0"/>
                <w:numId w:val="376"/>
              </w:numPr>
              <w:spacing w:after="0" w:line="240" w:lineRule="auto"/>
              <w:ind w:left="709" w:right="142" w:hanging="567"/>
              <w:contextualSpacing w:val="0"/>
              <w:rPr>
                <w:color w:val="000000" w:themeColor="text1"/>
                <w:szCs w:val="24"/>
              </w:rPr>
            </w:pPr>
            <w:r w:rsidRPr="00306115">
              <w:rPr>
                <w:color w:val="000000" w:themeColor="text1"/>
                <w:szCs w:val="24"/>
              </w:rPr>
              <w:t>Terdapat proses hukum antara lain penetapan tersangka, gugatan dan/atau tuntutan yang terjadi pada Manajer Investasi tetapi dengan jumlah, nominal, dan/atau dampak finansial dari gugatan dan/atau tuntutan sangat signifikan dan sangat mengganggu aspek bisnis Manajer Investasi.</w:t>
            </w:r>
          </w:p>
          <w:p w14:paraId="28FCBCBB" w14:textId="02472BA2" w:rsidR="007E1152" w:rsidRPr="00306115" w:rsidRDefault="007E1152">
            <w:pPr>
              <w:pStyle w:val="ListParagraph"/>
              <w:numPr>
                <w:ilvl w:val="0"/>
                <w:numId w:val="376"/>
              </w:numPr>
              <w:spacing w:after="0" w:line="240" w:lineRule="auto"/>
              <w:ind w:left="709" w:right="142" w:hanging="567"/>
              <w:contextualSpacing w:val="0"/>
              <w:rPr>
                <w:color w:val="000000" w:themeColor="text1"/>
                <w:szCs w:val="24"/>
              </w:rPr>
            </w:pPr>
            <w:r w:rsidRPr="00306115">
              <w:rPr>
                <w:color w:val="000000" w:themeColor="text1"/>
                <w:szCs w:val="24"/>
              </w:rPr>
              <w:t xml:space="preserve">Rasio besaran nominal tuntutan dan/atau gugatan hukum dibandingkan dengan MKBD tergolong </w:t>
            </w:r>
            <w:r w:rsidRPr="00306115">
              <w:rPr>
                <w:color w:val="000000" w:themeColor="text1"/>
                <w:szCs w:val="24"/>
                <w:lang w:val="en-GB"/>
              </w:rPr>
              <w:t xml:space="preserve">sangat </w:t>
            </w:r>
            <w:r w:rsidRPr="00306115">
              <w:rPr>
                <w:color w:val="000000" w:themeColor="text1"/>
                <w:szCs w:val="24"/>
              </w:rPr>
              <w:t xml:space="preserve">signifikan. </w:t>
            </w:r>
            <w:r w:rsidRPr="00306115">
              <w:rPr>
                <w:color w:val="000000" w:themeColor="text1"/>
                <w:szCs w:val="24"/>
              </w:rPr>
              <w:lastRenderedPageBreak/>
              <w:t xml:space="preserve">Potensi kerugian finansial </w:t>
            </w:r>
            <w:r w:rsidRPr="00306115">
              <w:rPr>
                <w:color w:val="000000" w:themeColor="text1"/>
                <w:szCs w:val="24"/>
                <w:lang w:val="en-GB"/>
              </w:rPr>
              <w:t xml:space="preserve">sangat </w:t>
            </w:r>
            <w:r w:rsidRPr="00306115">
              <w:rPr>
                <w:color w:val="000000" w:themeColor="text1"/>
                <w:szCs w:val="24"/>
              </w:rPr>
              <w:t>signifikan.</w:t>
            </w:r>
          </w:p>
          <w:p w14:paraId="0D5AAE9E" w14:textId="77777777" w:rsidR="00F71DDE" w:rsidRPr="00306115" w:rsidRDefault="00F71DDE">
            <w:pPr>
              <w:pStyle w:val="ListParagraph"/>
              <w:numPr>
                <w:ilvl w:val="0"/>
                <w:numId w:val="376"/>
              </w:numPr>
              <w:spacing w:after="0" w:line="240" w:lineRule="auto"/>
              <w:ind w:left="709" w:right="142" w:hanging="567"/>
              <w:contextualSpacing w:val="0"/>
              <w:rPr>
                <w:color w:val="000000" w:themeColor="text1"/>
                <w:szCs w:val="24"/>
              </w:rPr>
            </w:pPr>
            <w:r w:rsidRPr="00306115">
              <w:rPr>
                <w:color w:val="000000" w:themeColor="text1"/>
                <w:szCs w:val="24"/>
              </w:rPr>
              <w:t>Terdapat kerugian Manajer Investasi atas hasil putusan pengadilan yang berkekuatan hukum tetap, dengan jumlah sangat signifikan yang mengganggu kondisi keuangan.</w:t>
            </w:r>
          </w:p>
        </w:tc>
      </w:tr>
    </w:tbl>
    <w:p w14:paraId="6620CCBB" w14:textId="77777777" w:rsidR="00F71DDE" w:rsidRPr="00306115" w:rsidRDefault="00F71DDE" w:rsidP="00F71DDE">
      <w:pPr>
        <w:pStyle w:val="HeadingAwalDaftarIsiLampiran"/>
        <w:numPr>
          <w:ilvl w:val="0"/>
          <w:numId w:val="0"/>
        </w:numPr>
        <w:ind w:left="1134"/>
      </w:pPr>
    </w:p>
    <w:p w14:paraId="661BC63F" w14:textId="77777777" w:rsidR="00451E35" w:rsidRPr="00306115" w:rsidRDefault="00451E35">
      <w:pPr>
        <w:pStyle w:val="HeadingAwalDaftarIsiLampiran"/>
        <w:numPr>
          <w:ilvl w:val="4"/>
          <w:numId w:val="295"/>
        </w:numPr>
        <w:ind w:left="1134" w:hanging="567"/>
      </w:pPr>
      <w:r w:rsidRPr="00306115">
        <w:t>Matriks Penetapan Kualitas Penerapan Manajemen Risiko</w:t>
      </w:r>
    </w:p>
    <w:tbl>
      <w:tblPr>
        <w:tblStyle w:val="TableGrid"/>
        <w:tblW w:w="0" w:type="auto"/>
        <w:tblInd w:w="1129" w:type="dxa"/>
        <w:tblLook w:val="04A0" w:firstRow="1" w:lastRow="0" w:firstColumn="1" w:lastColumn="0" w:noHBand="0" w:noVBand="1"/>
      </w:tblPr>
      <w:tblGrid>
        <w:gridCol w:w="2176"/>
        <w:gridCol w:w="5756"/>
      </w:tblGrid>
      <w:tr w:rsidR="00E96C66" w:rsidRPr="00306115" w14:paraId="3FD2E74B" w14:textId="77777777" w:rsidTr="00E96C66">
        <w:trPr>
          <w:tblHeader/>
        </w:trPr>
        <w:tc>
          <w:tcPr>
            <w:tcW w:w="2127" w:type="dxa"/>
            <w:shd w:val="clear" w:color="auto" w:fill="D9D9D9"/>
            <w:vAlign w:val="center"/>
          </w:tcPr>
          <w:p w14:paraId="3F7FAAF3" w14:textId="77777777" w:rsidR="00E96C66" w:rsidRPr="00306115" w:rsidRDefault="00E96C66" w:rsidP="00E96C66">
            <w:pPr>
              <w:spacing w:before="60" w:after="60"/>
              <w:ind w:left="142" w:right="142"/>
              <w:jc w:val="center"/>
              <w:rPr>
                <w:color w:val="000000" w:themeColor="text1"/>
                <w:szCs w:val="24"/>
              </w:rPr>
            </w:pPr>
            <w:r w:rsidRPr="00306115">
              <w:rPr>
                <w:color w:val="000000" w:themeColor="text1"/>
                <w:szCs w:val="24"/>
              </w:rPr>
              <w:t>Peringkat</w:t>
            </w:r>
          </w:p>
        </w:tc>
        <w:tc>
          <w:tcPr>
            <w:tcW w:w="5805" w:type="dxa"/>
            <w:shd w:val="clear" w:color="auto" w:fill="D9D9D9"/>
            <w:vAlign w:val="center"/>
          </w:tcPr>
          <w:p w14:paraId="1FCE139B" w14:textId="77777777" w:rsidR="00E96C66" w:rsidRPr="00306115" w:rsidRDefault="00E96C66" w:rsidP="00E96C66">
            <w:pPr>
              <w:spacing w:before="60" w:after="60"/>
              <w:ind w:left="142" w:right="142"/>
              <w:jc w:val="center"/>
              <w:rPr>
                <w:color w:val="000000" w:themeColor="text1"/>
                <w:szCs w:val="24"/>
              </w:rPr>
            </w:pPr>
            <w:r w:rsidRPr="00306115">
              <w:rPr>
                <w:color w:val="000000" w:themeColor="text1"/>
                <w:szCs w:val="24"/>
              </w:rPr>
              <w:t>Definisi Peringkat</w:t>
            </w:r>
          </w:p>
        </w:tc>
      </w:tr>
      <w:tr w:rsidR="00E96C66" w:rsidRPr="00306115" w14:paraId="5CD4C4F4" w14:textId="77777777" w:rsidTr="00E96C66">
        <w:tc>
          <w:tcPr>
            <w:tcW w:w="2127" w:type="dxa"/>
          </w:tcPr>
          <w:p w14:paraId="18FFF4C0" w14:textId="77777777" w:rsidR="00E96C66" w:rsidRPr="00306115" w:rsidRDefault="00E96C66" w:rsidP="00E96C66">
            <w:pPr>
              <w:pStyle w:val="BodyText"/>
              <w:numPr>
                <w:ilvl w:val="0"/>
                <w:numId w:val="0"/>
              </w:numPr>
              <w:spacing w:before="60" w:after="60"/>
              <w:ind w:left="142" w:right="142"/>
              <w:jc w:val="center"/>
              <w:rPr>
                <w:color w:val="000000" w:themeColor="text1"/>
              </w:rPr>
            </w:pPr>
            <w:r w:rsidRPr="00306115">
              <w:rPr>
                <w:i/>
                <w:iCs/>
                <w:color w:val="000000" w:themeColor="text1"/>
              </w:rPr>
              <w:t>Strong</w:t>
            </w:r>
            <w:r w:rsidRPr="00306115">
              <w:rPr>
                <w:color w:val="000000" w:themeColor="text1"/>
              </w:rPr>
              <w:t xml:space="preserve"> (1)</w:t>
            </w:r>
          </w:p>
        </w:tc>
        <w:tc>
          <w:tcPr>
            <w:tcW w:w="5805" w:type="dxa"/>
          </w:tcPr>
          <w:p w14:paraId="2E5D2EAF" w14:textId="77777777" w:rsidR="00E96C66" w:rsidRPr="00306115" w:rsidRDefault="00E96C66" w:rsidP="00E96C66">
            <w:pPr>
              <w:ind w:left="142" w:right="142"/>
              <w:rPr>
                <w:color w:val="000000" w:themeColor="text1"/>
                <w:szCs w:val="24"/>
              </w:rPr>
            </w:pPr>
            <w:r w:rsidRPr="00306115">
              <w:rPr>
                <w:color w:val="000000" w:themeColor="text1"/>
                <w:szCs w:val="24"/>
              </w:rPr>
              <w:t>Kualitas penerapan Manajemen Risiko untuk Risiko Hukum sangat memadai. Meskipun terdapat kelemahan minor, tetapi kelemahan tersebut tidak signifikan sehingga dapat diabaikan.</w:t>
            </w:r>
          </w:p>
          <w:p w14:paraId="47D4CD9C" w14:textId="42D0623A" w:rsidR="00E96C66" w:rsidRPr="00306115" w:rsidRDefault="00E96C66" w:rsidP="00E96C66">
            <w:pPr>
              <w:ind w:left="142" w:right="142"/>
              <w:rPr>
                <w:color w:val="000000" w:themeColor="text1"/>
                <w:szCs w:val="24"/>
              </w:rPr>
            </w:pPr>
            <w:r w:rsidRPr="00306115">
              <w:rPr>
                <w:color w:val="000000" w:themeColor="text1"/>
                <w:szCs w:val="24"/>
              </w:rPr>
              <w:t xml:space="preserve">Contoh karakteristik/kondisi Manajer Investasi yang termasuk dalam peringkat </w:t>
            </w:r>
            <w:r w:rsidRPr="00306115">
              <w:rPr>
                <w:i/>
                <w:color w:val="000000" w:themeColor="text1"/>
                <w:szCs w:val="24"/>
              </w:rPr>
              <w:t xml:space="preserve">Strong </w:t>
            </w:r>
            <w:r w:rsidRPr="00306115">
              <w:rPr>
                <w:color w:val="000000" w:themeColor="text1"/>
                <w:szCs w:val="24"/>
              </w:rPr>
              <w:t>(1) antara lain sebagai berikut:</w:t>
            </w:r>
          </w:p>
          <w:p w14:paraId="49E0B1F0" w14:textId="77777777" w:rsidR="00E96C66" w:rsidRPr="00306115" w:rsidRDefault="00E96C66">
            <w:pPr>
              <w:pStyle w:val="ListParagraph"/>
              <w:numPr>
                <w:ilvl w:val="0"/>
                <w:numId w:val="377"/>
              </w:numPr>
              <w:ind w:left="709" w:right="142" w:hanging="567"/>
              <w:contextualSpacing w:val="0"/>
              <w:rPr>
                <w:color w:val="000000" w:themeColor="text1"/>
                <w:szCs w:val="24"/>
              </w:rPr>
            </w:pPr>
            <w:r w:rsidRPr="00306115">
              <w:rPr>
                <w:color w:val="000000" w:themeColor="text1"/>
                <w:szCs w:val="24"/>
              </w:rPr>
              <w:t>Perumusan tingkat risiko yang akan diambil (</w:t>
            </w:r>
            <w:r w:rsidRPr="00306115">
              <w:rPr>
                <w:i/>
                <w:iCs/>
                <w:color w:val="000000" w:themeColor="text1"/>
                <w:szCs w:val="24"/>
              </w:rPr>
              <w:t>risk appetite</w:t>
            </w:r>
            <w:r w:rsidRPr="00306115">
              <w:rPr>
                <w:color w:val="000000" w:themeColor="text1"/>
                <w:szCs w:val="24"/>
              </w:rPr>
              <w:t>) dan toleransi (</w:t>
            </w:r>
            <w:r w:rsidRPr="00306115">
              <w:rPr>
                <w:i/>
                <w:iCs/>
                <w:color w:val="000000" w:themeColor="text1"/>
                <w:szCs w:val="24"/>
              </w:rPr>
              <w:t>risk tolerance</w:t>
            </w:r>
            <w:r w:rsidRPr="00306115">
              <w:rPr>
                <w:color w:val="000000" w:themeColor="text1"/>
                <w:szCs w:val="24"/>
              </w:rPr>
              <w:t>) Risiko Hukum sangat memadai dan telah sejalan dengan strategi dan tujuan bisnis secara keseluruhan.</w:t>
            </w:r>
          </w:p>
          <w:p w14:paraId="4C171CFA" w14:textId="77777777" w:rsidR="00E96C66" w:rsidRPr="00306115" w:rsidRDefault="00E96C66">
            <w:pPr>
              <w:pStyle w:val="ListParagraph"/>
              <w:numPr>
                <w:ilvl w:val="0"/>
                <w:numId w:val="377"/>
              </w:numPr>
              <w:ind w:left="709" w:right="142" w:hanging="567"/>
              <w:contextualSpacing w:val="0"/>
              <w:rPr>
                <w:color w:val="000000" w:themeColor="text1"/>
                <w:szCs w:val="24"/>
              </w:rPr>
            </w:pPr>
            <w:r w:rsidRPr="00306115">
              <w:rPr>
                <w:color w:val="000000" w:themeColor="text1"/>
                <w:szCs w:val="24"/>
              </w:rPr>
              <w:t>Kesadaran (</w:t>
            </w:r>
            <w:r w:rsidRPr="00306115">
              <w:rPr>
                <w:i/>
                <w:color w:val="000000" w:themeColor="text1"/>
                <w:szCs w:val="24"/>
              </w:rPr>
              <w:t>awareness</w:t>
            </w:r>
            <w:r w:rsidRPr="00306115">
              <w:rPr>
                <w:color w:val="000000" w:themeColor="text1"/>
                <w:szCs w:val="24"/>
              </w:rPr>
              <w:t>) dan pemahaman Direksi dan Dewan Komisaris sangat tinggi atau sangat memadai mengenai pelaksanaan Manajemen Risiko, terutama terkait jenis dan tingkat risiko untuk untuk Risiko Hukum</w:t>
            </w:r>
          </w:p>
          <w:p w14:paraId="2DBF8607" w14:textId="77777777" w:rsidR="00E96C66" w:rsidRPr="00306115" w:rsidRDefault="00E96C66">
            <w:pPr>
              <w:pStyle w:val="ListParagraph"/>
              <w:numPr>
                <w:ilvl w:val="0"/>
                <w:numId w:val="377"/>
              </w:numPr>
              <w:ind w:left="709" w:right="142" w:hanging="567"/>
              <w:contextualSpacing w:val="0"/>
              <w:rPr>
                <w:color w:val="000000" w:themeColor="text1"/>
                <w:szCs w:val="24"/>
              </w:rPr>
            </w:pPr>
            <w:r w:rsidRPr="00306115">
              <w:rPr>
                <w:color w:val="000000" w:themeColor="text1"/>
                <w:szCs w:val="24"/>
              </w:rPr>
              <w:t xml:space="preserve">Budaya Manajemen Risiko untuk Risiko Hukum sangat kuat dan telah diinternalisasikan dengan sangat baik pada seluruh level organisasi. </w:t>
            </w:r>
          </w:p>
          <w:p w14:paraId="278580E7" w14:textId="77777777" w:rsidR="00E96C66" w:rsidRPr="00306115" w:rsidRDefault="00E96C66">
            <w:pPr>
              <w:pStyle w:val="ListParagraph"/>
              <w:numPr>
                <w:ilvl w:val="0"/>
                <w:numId w:val="377"/>
              </w:numPr>
              <w:ind w:left="709" w:right="142" w:hanging="567"/>
              <w:contextualSpacing w:val="0"/>
              <w:rPr>
                <w:color w:val="000000" w:themeColor="text1"/>
                <w:szCs w:val="24"/>
              </w:rPr>
            </w:pPr>
            <w:r w:rsidRPr="00306115">
              <w:rPr>
                <w:color w:val="000000" w:themeColor="text1"/>
                <w:szCs w:val="24"/>
              </w:rPr>
              <w:t>Pelaksanaan tugas Direksi dan Dewan Komisaris secara keseluruhan sangat memadai.</w:t>
            </w:r>
          </w:p>
          <w:p w14:paraId="47AEE6E6" w14:textId="77777777" w:rsidR="00E96C66" w:rsidRPr="00306115" w:rsidRDefault="00E96C66">
            <w:pPr>
              <w:pStyle w:val="ListParagraph"/>
              <w:numPr>
                <w:ilvl w:val="0"/>
                <w:numId w:val="377"/>
              </w:numPr>
              <w:ind w:left="709" w:right="142" w:hanging="567"/>
              <w:contextualSpacing w:val="0"/>
              <w:rPr>
                <w:color w:val="000000" w:themeColor="text1"/>
                <w:szCs w:val="24"/>
              </w:rPr>
            </w:pPr>
            <w:r w:rsidRPr="00306115">
              <w:rPr>
                <w:color w:val="000000" w:themeColor="text1"/>
                <w:szCs w:val="24"/>
              </w:rPr>
              <w:t xml:space="preserve">Fungsi Manajemen Risiko untuk Risiko Hukum independen, memiliki tugas dan tanggung jawab yang jelas, dan telah berjalan dengan sangat baik. </w:t>
            </w:r>
          </w:p>
          <w:p w14:paraId="1BDCDC40" w14:textId="77777777" w:rsidR="00E96C66" w:rsidRPr="00306115" w:rsidRDefault="00E96C66">
            <w:pPr>
              <w:pStyle w:val="ListParagraph"/>
              <w:numPr>
                <w:ilvl w:val="0"/>
                <w:numId w:val="377"/>
              </w:numPr>
              <w:ind w:left="709" w:right="142" w:hanging="567"/>
              <w:contextualSpacing w:val="0"/>
              <w:rPr>
                <w:color w:val="000000" w:themeColor="text1"/>
                <w:szCs w:val="24"/>
              </w:rPr>
            </w:pPr>
            <w:r w:rsidRPr="00306115">
              <w:rPr>
                <w:color w:val="000000" w:themeColor="text1"/>
                <w:szCs w:val="24"/>
              </w:rPr>
              <w:t>Kerangka pedelegasian wewenang sangat memadai.</w:t>
            </w:r>
          </w:p>
          <w:p w14:paraId="02FA3CCD" w14:textId="77777777" w:rsidR="00E96C66" w:rsidRPr="00306115" w:rsidRDefault="00E96C66">
            <w:pPr>
              <w:pStyle w:val="ListParagraph"/>
              <w:numPr>
                <w:ilvl w:val="0"/>
                <w:numId w:val="377"/>
              </w:numPr>
              <w:ind w:left="709" w:right="142" w:hanging="567"/>
              <w:contextualSpacing w:val="0"/>
              <w:rPr>
                <w:color w:val="000000" w:themeColor="text1"/>
                <w:szCs w:val="24"/>
              </w:rPr>
            </w:pPr>
            <w:r w:rsidRPr="00306115">
              <w:rPr>
                <w:color w:val="000000" w:themeColor="text1"/>
                <w:szCs w:val="24"/>
              </w:rPr>
              <w:t xml:space="preserve">Strategi Manajemen Risiko untuk Risiko Hukum sangat memadai dan sangat sejalan dengan tingkat risiko yang akan diambil dan toleransi risiko. </w:t>
            </w:r>
          </w:p>
          <w:p w14:paraId="54FB24C4" w14:textId="77777777" w:rsidR="00E96C66" w:rsidRPr="00306115" w:rsidRDefault="00E96C66">
            <w:pPr>
              <w:pStyle w:val="ListParagraph"/>
              <w:numPr>
                <w:ilvl w:val="0"/>
                <w:numId w:val="377"/>
              </w:numPr>
              <w:ind w:left="709" w:right="142" w:hanging="567"/>
              <w:contextualSpacing w:val="0"/>
              <w:rPr>
                <w:color w:val="000000" w:themeColor="text1"/>
                <w:szCs w:val="24"/>
              </w:rPr>
            </w:pPr>
            <w:r w:rsidRPr="00306115">
              <w:rPr>
                <w:color w:val="000000" w:themeColor="text1"/>
                <w:szCs w:val="24"/>
              </w:rPr>
              <w:t>Kebijakan dan prosedur Manajemen Risiko serta penetapan limit Risiko Hukum sangat memadai, diterapkan dengan sangat baik, dan dipahami dengan sangat baik oleh pegawai.</w:t>
            </w:r>
          </w:p>
          <w:p w14:paraId="41BE580F" w14:textId="77777777" w:rsidR="00E96C66" w:rsidRPr="00306115" w:rsidRDefault="00E96C66">
            <w:pPr>
              <w:pStyle w:val="ListParagraph"/>
              <w:numPr>
                <w:ilvl w:val="0"/>
                <w:numId w:val="377"/>
              </w:numPr>
              <w:ind w:left="709" w:right="142" w:hanging="567"/>
              <w:contextualSpacing w:val="0"/>
              <w:rPr>
                <w:color w:val="000000" w:themeColor="text1"/>
                <w:szCs w:val="24"/>
              </w:rPr>
            </w:pPr>
            <w:r w:rsidRPr="00306115">
              <w:rPr>
                <w:color w:val="000000" w:themeColor="text1"/>
                <w:szCs w:val="24"/>
              </w:rPr>
              <w:lastRenderedPageBreak/>
              <w:t>Proses Manajemen Risiko untuk Risiko Hukum sangat memadai dalam mengidentifikasi, mengukur, memantau, dan mengendalikan Risiko Hukum.</w:t>
            </w:r>
          </w:p>
          <w:p w14:paraId="3E4514A9" w14:textId="77777777" w:rsidR="00E96C66" w:rsidRPr="00306115" w:rsidRDefault="00E96C66">
            <w:pPr>
              <w:pStyle w:val="ListParagraph"/>
              <w:numPr>
                <w:ilvl w:val="0"/>
                <w:numId w:val="377"/>
              </w:numPr>
              <w:ind w:left="709" w:right="142" w:hanging="567"/>
              <w:contextualSpacing w:val="0"/>
              <w:rPr>
                <w:color w:val="000000" w:themeColor="text1"/>
                <w:szCs w:val="24"/>
              </w:rPr>
            </w:pPr>
            <w:r w:rsidRPr="00306115">
              <w:rPr>
                <w:color w:val="000000" w:themeColor="text1"/>
                <w:szCs w:val="24"/>
              </w:rPr>
              <w:t>Sistem Informasi Manajemen Risiko untuk Risiko Hukum sangat baik dalam menghasilkan informasi dan laporan Risiko Hukum yang komprehensif.</w:t>
            </w:r>
          </w:p>
          <w:p w14:paraId="7B366FBB" w14:textId="77777777" w:rsidR="00E96C66" w:rsidRPr="00306115" w:rsidRDefault="00E96C66">
            <w:pPr>
              <w:pStyle w:val="ListParagraph"/>
              <w:numPr>
                <w:ilvl w:val="0"/>
                <w:numId w:val="377"/>
              </w:numPr>
              <w:ind w:left="709" w:right="142" w:hanging="567"/>
              <w:contextualSpacing w:val="0"/>
              <w:rPr>
                <w:color w:val="000000" w:themeColor="text1"/>
                <w:szCs w:val="24"/>
              </w:rPr>
            </w:pPr>
            <w:r w:rsidRPr="00306115">
              <w:rPr>
                <w:color w:val="000000" w:themeColor="text1"/>
                <w:szCs w:val="24"/>
              </w:rPr>
              <w:t>Secara umum sumber daya manusia sangat memadai baik dari sisi kuantitas jumlah maupun kompetensi pada fungsi Manajemen Risiko untuk Risiko Hukum.</w:t>
            </w:r>
          </w:p>
          <w:p w14:paraId="72695F0D" w14:textId="77777777" w:rsidR="00E96C66" w:rsidRPr="00306115" w:rsidRDefault="00E96C66">
            <w:pPr>
              <w:pStyle w:val="ListParagraph"/>
              <w:numPr>
                <w:ilvl w:val="0"/>
                <w:numId w:val="377"/>
              </w:numPr>
              <w:ind w:left="709" w:right="142" w:hanging="567"/>
              <w:contextualSpacing w:val="0"/>
              <w:rPr>
                <w:color w:val="000000" w:themeColor="text1"/>
                <w:szCs w:val="24"/>
              </w:rPr>
            </w:pPr>
            <w:r w:rsidRPr="00306115">
              <w:rPr>
                <w:color w:val="000000" w:themeColor="text1"/>
                <w:szCs w:val="24"/>
              </w:rPr>
              <w:t>Sistem pengendalian internal sangat efektif dalam mendukung pelaksanaan Manajemen Risiko untuk Risiko Hukum.</w:t>
            </w:r>
          </w:p>
          <w:p w14:paraId="4F707B52" w14:textId="0EB714B7" w:rsidR="00E96C66" w:rsidRPr="00306115" w:rsidRDefault="00E96C66">
            <w:pPr>
              <w:pStyle w:val="ListParagraph"/>
              <w:numPr>
                <w:ilvl w:val="0"/>
                <w:numId w:val="377"/>
              </w:numPr>
              <w:ind w:left="709" w:right="142" w:hanging="567"/>
              <w:contextualSpacing w:val="0"/>
              <w:rPr>
                <w:color w:val="000000" w:themeColor="text1"/>
                <w:szCs w:val="24"/>
              </w:rPr>
            </w:pPr>
            <w:r w:rsidRPr="00306115">
              <w:rPr>
                <w:color w:val="000000" w:themeColor="text1"/>
                <w:szCs w:val="24"/>
              </w:rPr>
              <w:t xml:space="preserve">Pelaksanaan kaji ulang oleh fungsi </w:t>
            </w:r>
            <w:r w:rsidR="00DA0D2E" w:rsidRPr="00306115">
              <w:rPr>
                <w:color w:val="000000" w:themeColor="text1"/>
              </w:rPr>
              <w:t>Manajemen Risiko</w:t>
            </w:r>
            <w:r w:rsidRPr="00306115">
              <w:rPr>
                <w:color w:val="000000" w:themeColor="text1"/>
                <w:szCs w:val="24"/>
              </w:rPr>
              <w:t xml:space="preserve"> dan fungsi audit internal sangat memadai baik dari metodologi, frekuensi, maupun pelaporan kepada Direksi dan Dewan Komisaris. </w:t>
            </w:r>
          </w:p>
          <w:p w14:paraId="2937CD89" w14:textId="77777777" w:rsidR="00E96C66" w:rsidRPr="00306115" w:rsidRDefault="00E96C66">
            <w:pPr>
              <w:pStyle w:val="ListParagraph"/>
              <w:numPr>
                <w:ilvl w:val="0"/>
                <w:numId w:val="377"/>
              </w:numPr>
              <w:ind w:left="709" w:right="142" w:hanging="567"/>
              <w:contextualSpacing w:val="0"/>
              <w:rPr>
                <w:color w:val="000000" w:themeColor="text1"/>
                <w:szCs w:val="24"/>
              </w:rPr>
            </w:pPr>
            <w:r w:rsidRPr="00306115">
              <w:rPr>
                <w:color w:val="000000" w:themeColor="text1"/>
                <w:szCs w:val="24"/>
              </w:rPr>
              <w:t>Tindak lanjut atas kaji ulang telah dilaksanakan dengan sangat memadai.</w:t>
            </w:r>
          </w:p>
        </w:tc>
      </w:tr>
      <w:tr w:rsidR="00E96C66" w:rsidRPr="00306115" w14:paraId="46B8CBD1" w14:textId="77777777" w:rsidTr="00E96C66">
        <w:tc>
          <w:tcPr>
            <w:tcW w:w="2127" w:type="dxa"/>
          </w:tcPr>
          <w:p w14:paraId="6994A9B7" w14:textId="77777777" w:rsidR="00E96C66" w:rsidRPr="00306115" w:rsidRDefault="00E96C66" w:rsidP="00E96C66">
            <w:pPr>
              <w:pStyle w:val="BodyText"/>
              <w:numPr>
                <w:ilvl w:val="0"/>
                <w:numId w:val="0"/>
              </w:numPr>
              <w:spacing w:before="60" w:after="60"/>
              <w:ind w:left="142" w:right="142"/>
              <w:jc w:val="center"/>
              <w:rPr>
                <w:color w:val="000000" w:themeColor="text1"/>
              </w:rPr>
            </w:pPr>
            <w:r w:rsidRPr="00306115">
              <w:rPr>
                <w:i/>
                <w:iCs/>
                <w:color w:val="000000" w:themeColor="text1"/>
              </w:rPr>
              <w:lastRenderedPageBreak/>
              <w:t>Satisfactory</w:t>
            </w:r>
            <w:r w:rsidRPr="00306115">
              <w:rPr>
                <w:color w:val="000000" w:themeColor="text1"/>
              </w:rPr>
              <w:t xml:space="preserve"> (2)</w:t>
            </w:r>
          </w:p>
        </w:tc>
        <w:tc>
          <w:tcPr>
            <w:tcW w:w="5805" w:type="dxa"/>
          </w:tcPr>
          <w:p w14:paraId="073FD2F6" w14:textId="77777777" w:rsidR="00E96C66" w:rsidRPr="00306115" w:rsidRDefault="00E96C66" w:rsidP="00E96C66">
            <w:pPr>
              <w:ind w:left="142" w:right="142"/>
              <w:rPr>
                <w:color w:val="000000" w:themeColor="text1"/>
                <w:szCs w:val="24"/>
              </w:rPr>
            </w:pPr>
            <w:r w:rsidRPr="00306115">
              <w:rPr>
                <w:color w:val="000000" w:themeColor="text1"/>
                <w:szCs w:val="24"/>
              </w:rPr>
              <w:t>Kualitas penerapan Manajemen Risiko untuk Risiko Hukum memadai. Terdapat beberapa kelemahan minor, tetapi kelemahan tersebut dapat diselesaikan pada aktivitas kegiatan usaha normal.</w:t>
            </w:r>
          </w:p>
          <w:p w14:paraId="368CD60C" w14:textId="20610893" w:rsidR="00E96C66" w:rsidRPr="00306115" w:rsidRDefault="00E96C66" w:rsidP="00E96C66">
            <w:pPr>
              <w:ind w:left="142" w:right="142"/>
              <w:rPr>
                <w:color w:val="000000" w:themeColor="text1"/>
                <w:szCs w:val="24"/>
              </w:rPr>
            </w:pPr>
            <w:r w:rsidRPr="00306115">
              <w:rPr>
                <w:color w:val="000000" w:themeColor="text1"/>
                <w:szCs w:val="24"/>
              </w:rPr>
              <w:t xml:space="preserve">Contoh karakteristik/kondisi Manajer Investasi yang termasuk dalam peringkat </w:t>
            </w:r>
            <w:r w:rsidRPr="00306115">
              <w:rPr>
                <w:i/>
                <w:color w:val="000000" w:themeColor="text1"/>
                <w:szCs w:val="24"/>
              </w:rPr>
              <w:t xml:space="preserve">Satisfactory </w:t>
            </w:r>
            <w:r w:rsidRPr="00306115">
              <w:rPr>
                <w:color w:val="000000" w:themeColor="text1"/>
                <w:szCs w:val="24"/>
              </w:rPr>
              <w:t>(2) antara lain sebagai berikut:</w:t>
            </w:r>
          </w:p>
          <w:p w14:paraId="53FC6A6B" w14:textId="77777777" w:rsidR="00E96C66" w:rsidRPr="00306115" w:rsidRDefault="00E96C66">
            <w:pPr>
              <w:pStyle w:val="ListParagraph"/>
              <w:numPr>
                <w:ilvl w:val="0"/>
                <w:numId w:val="378"/>
              </w:numPr>
              <w:ind w:left="709" w:right="142" w:hanging="567"/>
              <w:contextualSpacing w:val="0"/>
              <w:rPr>
                <w:color w:val="000000" w:themeColor="text1"/>
                <w:szCs w:val="24"/>
              </w:rPr>
            </w:pPr>
            <w:r w:rsidRPr="00306115">
              <w:rPr>
                <w:color w:val="000000" w:themeColor="text1"/>
                <w:szCs w:val="24"/>
              </w:rPr>
              <w:t xml:space="preserve">Perumusan tingkat risiko yang akan diambil </w:t>
            </w:r>
            <w:r w:rsidRPr="00306115">
              <w:rPr>
                <w:i/>
                <w:iCs/>
                <w:color w:val="000000" w:themeColor="text1"/>
                <w:szCs w:val="24"/>
              </w:rPr>
              <w:t>(risk appetite)</w:t>
            </w:r>
            <w:r w:rsidRPr="00306115">
              <w:rPr>
                <w:color w:val="000000" w:themeColor="text1"/>
                <w:szCs w:val="24"/>
              </w:rPr>
              <w:t xml:space="preserve"> dan toleransi risiko </w:t>
            </w:r>
            <w:r w:rsidRPr="00306115">
              <w:rPr>
                <w:i/>
                <w:iCs/>
                <w:color w:val="000000" w:themeColor="text1"/>
                <w:szCs w:val="24"/>
              </w:rPr>
              <w:t>(risk tolerance)</w:t>
            </w:r>
            <w:r w:rsidRPr="00306115">
              <w:rPr>
                <w:color w:val="000000" w:themeColor="text1"/>
                <w:szCs w:val="24"/>
              </w:rPr>
              <w:t xml:space="preserve"> Hukum memadai dan telah sejalan dengan strategi dan tujuan bisnis secara keseluruhan.</w:t>
            </w:r>
          </w:p>
          <w:p w14:paraId="158B5F78" w14:textId="77777777" w:rsidR="00E96C66" w:rsidRPr="00306115" w:rsidRDefault="00E96C66">
            <w:pPr>
              <w:pStyle w:val="ListParagraph"/>
              <w:numPr>
                <w:ilvl w:val="0"/>
                <w:numId w:val="378"/>
              </w:numPr>
              <w:ind w:left="709" w:right="142" w:hanging="567"/>
              <w:contextualSpacing w:val="0"/>
              <w:rPr>
                <w:color w:val="000000" w:themeColor="text1"/>
                <w:szCs w:val="24"/>
              </w:rPr>
            </w:pPr>
            <w:r w:rsidRPr="00306115">
              <w:rPr>
                <w:color w:val="000000" w:themeColor="text1"/>
                <w:szCs w:val="24"/>
              </w:rPr>
              <w:t>Kesadaran (</w:t>
            </w:r>
            <w:r w:rsidRPr="00306115">
              <w:rPr>
                <w:i/>
                <w:iCs/>
                <w:color w:val="000000" w:themeColor="text1"/>
                <w:szCs w:val="24"/>
              </w:rPr>
              <w:t>awareness</w:t>
            </w:r>
            <w:r w:rsidRPr="00306115">
              <w:rPr>
                <w:color w:val="000000" w:themeColor="text1"/>
                <w:szCs w:val="24"/>
              </w:rPr>
              <w:t>) dan pemahaman Direksi dan Dewan Komisaris tinggi atau memadai mengenai pelaksanaan Manajemen Risiko, terutama terkait jenis dan tingkat risiko untuk untuk Risiko Hukum</w:t>
            </w:r>
          </w:p>
          <w:p w14:paraId="1EDA34D8" w14:textId="77777777" w:rsidR="00E96C66" w:rsidRPr="00306115" w:rsidRDefault="00E96C66">
            <w:pPr>
              <w:pStyle w:val="ListParagraph"/>
              <w:numPr>
                <w:ilvl w:val="0"/>
                <w:numId w:val="378"/>
              </w:numPr>
              <w:ind w:left="709" w:right="142" w:hanging="567"/>
              <w:contextualSpacing w:val="0"/>
              <w:rPr>
                <w:color w:val="000000" w:themeColor="text1"/>
                <w:szCs w:val="24"/>
              </w:rPr>
            </w:pPr>
            <w:r w:rsidRPr="00306115">
              <w:rPr>
                <w:color w:val="000000" w:themeColor="text1"/>
                <w:szCs w:val="24"/>
              </w:rPr>
              <w:t>Budaya Manajemen Risiko untuk Risiko Hukum kuat dan telah diinternalisasikan dengan baik pada seluruh level organisasi.</w:t>
            </w:r>
          </w:p>
          <w:p w14:paraId="342A096D" w14:textId="77777777" w:rsidR="00E96C66" w:rsidRPr="00306115" w:rsidRDefault="00E96C66">
            <w:pPr>
              <w:pStyle w:val="ListParagraph"/>
              <w:numPr>
                <w:ilvl w:val="0"/>
                <w:numId w:val="378"/>
              </w:numPr>
              <w:ind w:left="709" w:right="142" w:hanging="567"/>
              <w:contextualSpacing w:val="0"/>
              <w:rPr>
                <w:color w:val="000000" w:themeColor="text1"/>
                <w:szCs w:val="24"/>
              </w:rPr>
            </w:pPr>
            <w:r w:rsidRPr="00306115">
              <w:rPr>
                <w:color w:val="000000" w:themeColor="text1"/>
                <w:szCs w:val="24"/>
              </w:rPr>
              <w:t xml:space="preserve">Pelaksanaan tugas Direksi dan Dewan Komisaris secara keseluruhan memadai. Terdapat beberapa </w:t>
            </w:r>
            <w:r w:rsidRPr="00306115">
              <w:rPr>
                <w:color w:val="000000" w:themeColor="text1"/>
                <w:szCs w:val="24"/>
              </w:rPr>
              <w:lastRenderedPageBreak/>
              <w:t>kelemahan yang tidak signifikan dan dapat diperbaiki dengan segera.</w:t>
            </w:r>
          </w:p>
          <w:p w14:paraId="4BB874F6" w14:textId="77777777" w:rsidR="00E96C66" w:rsidRPr="00306115" w:rsidRDefault="00E96C66">
            <w:pPr>
              <w:pStyle w:val="ListParagraph"/>
              <w:numPr>
                <w:ilvl w:val="0"/>
                <w:numId w:val="378"/>
              </w:numPr>
              <w:ind w:left="709" w:right="142" w:hanging="567"/>
              <w:contextualSpacing w:val="0"/>
              <w:rPr>
                <w:color w:val="000000" w:themeColor="text1"/>
                <w:szCs w:val="24"/>
              </w:rPr>
            </w:pPr>
            <w:r w:rsidRPr="00306115">
              <w:rPr>
                <w:color w:val="000000" w:themeColor="text1"/>
                <w:szCs w:val="24"/>
              </w:rPr>
              <w:t>Fungsi Manajemen Risiko untuk Risiko Hukum independen, memiliki tugas dan tanggung jawab yang jelas, dan telah berjalan dengan baik. Terdapat kelemahan minor yang dapat diselesaikan pada aktivitas kegiatan usaha normal.</w:t>
            </w:r>
          </w:p>
          <w:p w14:paraId="7E6BDD73" w14:textId="77777777" w:rsidR="00E96C66" w:rsidRPr="00306115" w:rsidRDefault="00E96C66">
            <w:pPr>
              <w:pStyle w:val="ListParagraph"/>
              <w:numPr>
                <w:ilvl w:val="0"/>
                <w:numId w:val="378"/>
              </w:numPr>
              <w:ind w:left="709" w:right="142" w:hanging="567"/>
              <w:contextualSpacing w:val="0"/>
              <w:rPr>
                <w:color w:val="000000" w:themeColor="text1"/>
                <w:szCs w:val="24"/>
              </w:rPr>
            </w:pPr>
            <w:r w:rsidRPr="00306115">
              <w:rPr>
                <w:color w:val="000000" w:themeColor="text1"/>
                <w:szCs w:val="24"/>
              </w:rPr>
              <w:t>Kerangka pedelegasian wewenang memadai.</w:t>
            </w:r>
          </w:p>
          <w:p w14:paraId="0B1B8E0D" w14:textId="77777777" w:rsidR="00E96C66" w:rsidRPr="00306115" w:rsidRDefault="00E96C66">
            <w:pPr>
              <w:pStyle w:val="ListParagraph"/>
              <w:numPr>
                <w:ilvl w:val="0"/>
                <w:numId w:val="378"/>
              </w:numPr>
              <w:ind w:left="709" w:right="142" w:hanging="567"/>
              <w:contextualSpacing w:val="0"/>
              <w:rPr>
                <w:color w:val="000000" w:themeColor="text1"/>
                <w:szCs w:val="24"/>
              </w:rPr>
            </w:pPr>
            <w:r w:rsidRPr="00306115">
              <w:rPr>
                <w:color w:val="000000" w:themeColor="text1"/>
                <w:szCs w:val="24"/>
              </w:rPr>
              <w:t>Strategi Manajemen Risiko untuk Risiko Hukum memadai dan sejalan dengan tingkat risiko yang akan diambil dan toleransi risiko.</w:t>
            </w:r>
          </w:p>
          <w:p w14:paraId="3B253335" w14:textId="77777777" w:rsidR="00E96C66" w:rsidRPr="00306115" w:rsidRDefault="00E96C66">
            <w:pPr>
              <w:pStyle w:val="ListParagraph"/>
              <w:numPr>
                <w:ilvl w:val="0"/>
                <w:numId w:val="378"/>
              </w:numPr>
              <w:ind w:left="709" w:right="142" w:hanging="567"/>
              <w:contextualSpacing w:val="0"/>
              <w:rPr>
                <w:color w:val="000000" w:themeColor="text1"/>
                <w:szCs w:val="24"/>
              </w:rPr>
            </w:pPr>
            <w:r w:rsidRPr="00306115">
              <w:rPr>
                <w:color w:val="000000" w:themeColor="text1"/>
                <w:szCs w:val="24"/>
              </w:rPr>
              <w:t>Kebijakan dan prosedur Manajemen Risiko serta penetapan limit Risiko Hukum memadai, diterapkan dengan baik, dan dipahami dengan baik oleh pegawai.</w:t>
            </w:r>
          </w:p>
          <w:p w14:paraId="1D2A51B9" w14:textId="77777777" w:rsidR="00E96C66" w:rsidRPr="00306115" w:rsidRDefault="00E96C66">
            <w:pPr>
              <w:pStyle w:val="ListParagraph"/>
              <w:numPr>
                <w:ilvl w:val="0"/>
                <w:numId w:val="378"/>
              </w:numPr>
              <w:ind w:left="709" w:right="142" w:hanging="567"/>
              <w:contextualSpacing w:val="0"/>
              <w:rPr>
                <w:color w:val="000000" w:themeColor="text1"/>
                <w:szCs w:val="24"/>
              </w:rPr>
            </w:pPr>
            <w:r w:rsidRPr="00306115">
              <w:rPr>
                <w:color w:val="000000" w:themeColor="text1"/>
                <w:szCs w:val="24"/>
              </w:rPr>
              <w:t>Proses Manajemen Risiko untuk Risiko Hukum memadai dalam mengidentifikasi, mengukur, memantau, dan mengendalikan Risiko Hukum.</w:t>
            </w:r>
          </w:p>
          <w:p w14:paraId="7B8DD509" w14:textId="77777777" w:rsidR="00E96C66" w:rsidRPr="00306115" w:rsidRDefault="00E96C66">
            <w:pPr>
              <w:pStyle w:val="ListParagraph"/>
              <w:numPr>
                <w:ilvl w:val="0"/>
                <w:numId w:val="378"/>
              </w:numPr>
              <w:ind w:left="709" w:right="142" w:hanging="567"/>
              <w:contextualSpacing w:val="0"/>
              <w:rPr>
                <w:color w:val="000000" w:themeColor="text1"/>
                <w:szCs w:val="24"/>
              </w:rPr>
            </w:pPr>
            <w:r w:rsidRPr="00306115">
              <w:rPr>
                <w:color w:val="000000" w:themeColor="text1"/>
                <w:szCs w:val="24"/>
              </w:rPr>
              <w:t>Sistem Informasi Manajemen Risiko untuk Risiko Hukum baik dalam menghasilkan informasi dan laporan Risiko Hukum yang komprehensif.</w:t>
            </w:r>
          </w:p>
          <w:p w14:paraId="0B32A845" w14:textId="77777777" w:rsidR="00E96C66" w:rsidRPr="00306115" w:rsidRDefault="00E96C66">
            <w:pPr>
              <w:pStyle w:val="ListParagraph"/>
              <w:numPr>
                <w:ilvl w:val="0"/>
                <w:numId w:val="378"/>
              </w:numPr>
              <w:ind w:left="709" w:right="142" w:hanging="567"/>
              <w:contextualSpacing w:val="0"/>
              <w:rPr>
                <w:color w:val="000000" w:themeColor="text1"/>
                <w:szCs w:val="24"/>
              </w:rPr>
            </w:pPr>
            <w:r w:rsidRPr="00306115">
              <w:rPr>
                <w:color w:val="000000" w:themeColor="text1"/>
                <w:szCs w:val="24"/>
              </w:rPr>
              <w:t>Secara umum sumber daya manusia memadai dari segi kuantitas maupun kompetensi pada fungsi Manajemen Risiko untuk Risiko Hukum.</w:t>
            </w:r>
          </w:p>
          <w:p w14:paraId="316E050E" w14:textId="77777777" w:rsidR="00E96C66" w:rsidRPr="00306115" w:rsidRDefault="00E96C66">
            <w:pPr>
              <w:pStyle w:val="ListParagraph"/>
              <w:numPr>
                <w:ilvl w:val="0"/>
                <w:numId w:val="378"/>
              </w:numPr>
              <w:ind w:left="709" w:right="142" w:hanging="567"/>
              <w:contextualSpacing w:val="0"/>
              <w:rPr>
                <w:color w:val="000000" w:themeColor="text1"/>
                <w:szCs w:val="24"/>
              </w:rPr>
            </w:pPr>
            <w:r w:rsidRPr="00306115">
              <w:rPr>
                <w:color w:val="000000" w:themeColor="text1"/>
                <w:szCs w:val="24"/>
              </w:rPr>
              <w:t>Sistem pengendalian internal efektif dalam mendukung pelaksanaan Manajemen Risiko untuk Risiko Hukum.</w:t>
            </w:r>
          </w:p>
          <w:p w14:paraId="64C4C772" w14:textId="0CE32DF0" w:rsidR="00E96C66" w:rsidRPr="00306115" w:rsidRDefault="00E96C66">
            <w:pPr>
              <w:pStyle w:val="ListParagraph"/>
              <w:numPr>
                <w:ilvl w:val="0"/>
                <w:numId w:val="378"/>
              </w:numPr>
              <w:ind w:left="709" w:right="142" w:hanging="567"/>
              <w:contextualSpacing w:val="0"/>
              <w:rPr>
                <w:color w:val="000000" w:themeColor="text1"/>
                <w:szCs w:val="24"/>
              </w:rPr>
            </w:pPr>
            <w:r w:rsidRPr="00306115">
              <w:rPr>
                <w:color w:val="000000" w:themeColor="text1"/>
                <w:szCs w:val="24"/>
              </w:rPr>
              <w:t xml:space="preserve">Pelaksanaan kaji ulang oleh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dan fungsi audit internal memadai baik dari metodologi, frekuensi, maupun pelaporan kepada Direksi dan Dewan Komisaris.</w:t>
            </w:r>
          </w:p>
          <w:p w14:paraId="6C2446B0" w14:textId="77777777" w:rsidR="00E96C66" w:rsidRPr="00306115" w:rsidRDefault="00E96C66">
            <w:pPr>
              <w:pStyle w:val="ListParagraph"/>
              <w:numPr>
                <w:ilvl w:val="0"/>
                <w:numId w:val="378"/>
              </w:numPr>
              <w:ind w:left="709" w:right="142" w:hanging="567"/>
              <w:contextualSpacing w:val="0"/>
              <w:rPr>
                <w:color w:val="000000" w:themeColor="text1"/>
                <w:szCs w:val="24"/>
              </w:rPr>
            </w:pPr>
            <w:r w:rsidRPr="00306115">
              <w:rPr>
                <w:color w:val="000000" w:themeColor="text1"/>
                <w:szCs w:val="24"/>
              </w:rPr>
              <w:t>Tindak lanjut atas kaji ulang independen telah dilaksanakan dengan memadai.</w:t>
            </w:r>
          </w:p>
        </w:tc>
      </w:tr>
      <w:tr w:rsidR="00E96C66" w:rsidRPr="00306115" w14:paraId="7CE2636D" w14:textId="77777777" w:rsidTr="00E96C66">
        <w:tc>
          <w:tcPr>
            <w:tcW w:w="2127" w:type="dxa"/>
          </w:tcPr>
          <w:p w14:paraId="3A6FF0C2" w14:textId="77777777" w:rsidR="00E96C66" w:rsidRPr="00306115" w:rsidRDefault="00E96C66" w:rsidP="00E96C66">
            <w:pPr>
              <w:pStyle w:val="BodyText"/>
              <w:numPr>
                <w:ilvl w:val="0"/>
                <w:numId w:val="0"/>
              </w:numPr>
              <w:spacing w:before="60" w:after="60"/>
              <w:ind w:left="142" w:right="142"/>
              <w:jc w:val="center"/>
              <w:rPr>
                <w:color w:val="000000" w:themeColor="text1"/>
              </w:rPr>
            </w:pPr>
            <w:r w:rsidRPr="00306115">
              <w:rPr>
                <w:i/>
                <w:iCs/>
                <w:color w:val="000000" w:themeColor="text1"/>
              </w:rPr>
              <w:lastRenderedPageBreak/>
              <w:t>Fair</w:t>
            </w:r>
            <w:r w:rsidRPr="00306115">
              <w:rPr>
                <w:color w:val="000000" w:themeColor="text1"/>
              </w:rPr>
              <w:t xml:space="preserve"> (3)</w:t>
            </w:r>
          </w:p>
        </w:tc>
        <w:tc>
          <w:tcPr>
            <w:tcW w:w="5805" w:type="dxa"/>
          </w:tcPr>
          <w:p w14:paraId="73742887" w14:textId="77777777" w:rsidR="00E96C66" w:rsidRPr="00306115" w:rsidRDefault="00E96C66" w:rsidP="00E96C66">
            <w:pPr>
              <w:ind w:left="142" w:right="142"/>
              <w:rPr>
                <w:color w:val="000000" w:themeColor="text1"/>
                <w:szCs w:val="24"/>
              </w:rPr>
            </w:pPr>
            <w:r w:rsidRPr="00306115">
              <w:rPr>
                <w:color w:val="000000" w:themeColor="text1"/>
                <w:szCs w:val="24"/>
              </w:rPr>
              <w:t>Kualitas penerapan Manajemen Risiko untuk Risiko Hukum cukup memadai. Meskipun persyaratan minimum terpenuhi, terdapat beberapa kelemahan yang cukup signifikan yang memerlukan perbaikan segera.</w:t>
            </w:r>
          </w:p>
          <w:p w14:paraId="4A43AC04" w14:textId="7948C8CB" w:rsidR="00E96C66" w:rsidRPr="00306115" w:rsidRDefault="00E96C66" w:rsidP="00E96C66">
            <w:pPr>
              <w:ind w:left="142" w:right="142"/>
              <w:rPr>
                <w:color w:val="000000" w:themeColor="text1"/>
                <w:szCs w:val="24"/>
              </w:rPr>
            </w:pPr>
            <w:r w:rsidRPr="00306115">
              <w:rPr>
                <w:color w:val="000000" w:themeColor="text1"/>
                <w:szCs w:val="24"/>
              </w:rPr>
              <w:t xml:space="preserve">Contoh karakteristik </w:t>
            </w:r>
            <w:r w:rsidR="00764ECF" w:rsidRPr="00306115">
              <w:rPr>
                <w:color w:val="000000" w:themeColor="text1"/>
                <w:szCs w:val="24"/>
              </w:rPr>
              <w:t>karakteristik/kondisi</w:t>
            </w:r>
            <w:r w:rsidRPr="00306115">
              <w:rPr>
                <w:color w:val="000000" w:themeColor="text1"/>
                <w:szCs w:val="24"/>
              </w:rPr>
              <w:t xml:space="preserve"> Manajer Investasi yang termasuk dalam </w:t>
            </w:r>
            <w:r w:rsidRPr="00306115">
              <w:rPr>
                <w:color w:val="000000" w:themeColor="text1"/>
                <w:szCs w:val="24"/>
              </w:rPr>
              <w:lastRenderedPageBreak/>
              <w:t xml:space="preserve">peringkat </w:t>
            </w:r>
            <w:r w:rsidRPr="00306115">
              <w:rPr>
                <w:i/>
                <w:color w:val="000000" w:themeColor="text1"/>
                <w:szCs w:val="24"/>
              </w:rPr>
              <w:t xml:space="preserve">Fair </w:t>
            </w:r>
            <w:r w:rsidRPr="00306115">
              <w:rPr>
                <w:color w:val="000000" w:themeColor="text1"/>
                <w:szCs w:val="24"/>
              </w:rPr>
              <w:t>(3) ini antara lain sebagai berikut:</w:t>
            </w:r>
          </w:p>
          <w:p w14:paraId="212B01BA" w14:textId="77777777" w:rsidR="00E96C66" w:rsidRPr="00306115" w:rsidRDefault="00E96C66">
            <w:pPr>
              <w:pStyle w:val="ListParagraph"/>
              <w:numPr>
                <w:ilvl w:val="0"/>
                <w:numId w:val="379"/>
              </w:numPr>
              <w:ind w:left="709" w:right="142" w:hanging="567"/>
              <w:contextualSpacing w:val="0"/>
              <w:rPr>
                <w:color w:val="000000" w:themeColor="text1"/>
                <w:szCs w:val="24"/>
              </w:rPr>
            </w:pPr>
            <w:r w:rsidRPr="00306115">
              <w:rPr>
                <w:color w:val="000000" w:themeColor="text1"/>
                <w:szCs w:val="24"/>
              </w:rPr>
              <w:t>Perumusan tingkat Risiko yang akan diambil (</w:t>
            </w:r>
            <w:r w:rsidRPr="00306115">
              <w:rPr>
                <w:i/>
                <w:iCs/>
                <w:color w:val="000000" w:themeColor="text1"/>
                <w:szCs w:val="24"/>
              </w:rPr>
              <w:t>risk appetite</w:t>
            </w:r>
            <w:r w:rsidRPr="00306115">
              <w:rPr>
                <w:color w:val="000000" w:themeColor="text1"/>
                <w:szCs w:val="24"/>
              </w:rPr>
              <w:t>) dan toleransi Risiko (</w:t>
            </w:r>
            <w:r w:rsidRPr="00306115">
              <w:rPr>
                <w:i/>
                <w:iCs/>
                <w:color w:val="000000" w:themeColor="text1"/>
                <w:szCs w:val="24"/>
              </w:rPr>
              <w:t>risk tolerance</w:t>
            </w:r>
            <w:r w:rsidRPr="00306115">
              <w:rPr>
                <w:color w:val="000000" w:themeColor="text1"/>
                <w:szCs w:val="24"/>
              </w:rPr>
              <w:t>) cukup memadai tetapi tidak selalu sejalan dengan strategi dan tujuan bisnis secara keseluruhan.</w:t>
            </w:r>
          </w:p>
          <w:p w14:paraId="09EE021B" w14:textId="77777777" w:rsidR="00E96C66" w:rsidRPr="00306115" w:rsidRDefault="00E96C66">
            <w:pPr>
              <w:pStyle w:val="ListParagraph"/>
              <w:numPr>
                <w:ilvl w:val="0"/>
                <w:numId w:val="379"/>
              </w:numPr>
              <w:ind w:left="709" w:right="142" w:hanging="567"/>
              <w:contextualSpacing w:val="0"/>
              <w:rPr>
                <w:color w:val="000000" w:themeColor="text1"/>
                <w:szCs w:val="24"/>
              </w:rPr>
            </w:pPr>
            <w:r w:rsidRPr="00306115">
              <w:rPr>
                <w:color w:val="000000" w:themeColor="text1"/>
                <w:szCs w:val="24"/>
              </w:rPr>
              <w:t>Kesadaran (</w:t>
            </w:r>
            <w:r w:rsidRPr="00306115">
              <w:rPr>
                <w:i/>
                <w:color w:val="000000" w:themeColor="text1"/>
                <w:szCs w:val="24"/>
              </w:rPr>
              <w:t>awareness</w:t>
            </w:r>
            <w:r w:rsidRPr="00306115">
              <w:rPr>
                <w:color w:val="000000" w:themeColor="text1"/>
                <w:szCs w:val="24"/>
              </w:rPr>
              <w:t>) dan pemahaman Direksi dan Dewan Komisaris cukup tinggi atau cukup memadai mengenai pelaksanaan Manajemen Risiko, terutama terkait jenis dan tingkat risiko untuk untuk Risiko Hukum</w:t>
            </w:r>
          </w:p>
          <w:p w14:paraId="0AD38EDE" w14:textId="77777777" w:rsidR="00E96C66" w:rsidRPr="00306115" w:rsidRDefault="00E96C66">
            <w:pPr>
              <w:pStyle w:val="ListParagraph"/>
              <w:numPr>
                <w:ilvl w:val="0"/>
                <w:numId w:val="379"/>
              </w:numPr>
              <w:ind w:left="709" w:right="142" w:hanging="567"/>
              <w:contextualSpacing w:val="0"/>
              <w:rPr>
                <w:color w:val="000000" w:themeColor="text1"/>
                <w:szCs w:val="24"/>
              </w:rPr>
            </w:pPr>
            <w:r w:rsidRPr="00306115">
              <w:rPr>
                <w:color w:val="000000" w:themeColor="text1"/>
                <w:szCs w:val="24"/>
              </w:rPr>
              <w:t>Budaya Manajemen Risiko untuk Risiko Hukum cukup kuat dan telah diinternalisasikan dengan cukup baik pada seluruh level organisasi.</w:t>
            </w:r>
          </w:p>
          <w:p w14:paraId="711C91F1" w14:textId="77777777" w:rsidR="00E96C66" w:rsidRPr="00306115" w:rsidRDefault="00E96C66">
            <w:pPr>
              <w:pStyle w:val="ListParagraph"/>
              <w:numPr>
                <w:ilvl w:val="0"/>
                <w:numId w:val="379"/>
              </w:numPr>
              <w:ind w:left="709" w:right="142" w:hanging="567"/>
              <w:contextualSpacing w:val="0"/>
              <w:rPr>
                <w:color w:val="000000" w:themeColor="text1"/>
                <w:szCs w:val="24"/>
              </w:rPr>
            </w:pPr>
            <w:r w:rsidRPr="00306115">
              <w:rPr>
                <w:color w:val="000000" w:themeColor="text1"/>
                <w:szCs w:val="24"/>
              </w:rPr>
              <w:t>Pelaksanaan tugas Direksi dan Dewan Komisaris secara keseluruhan cukup memadai. Terdapat beberapa kelemahan yang cukup signifikan pada beberapa aspek penilaian yang memerlukan perbaikan segera.</w:t>
            </w:r>
          </w:p>
          <w:p w14:paraId="7017CCB3" w14:textId="77777777" w:rsidR="00E96C66" w:rsidRPr="00306115" w:rsidRDefault="00E96C66">
            <w:pPr>
              <w:pStyle w:val="ListParagraph"/>
              <w:numPr>
                <w:ilvl w:val="0"/>
                <w:numId w:val="379"/>
              </w:numPr>
              <w:ind w:left="709" w:right="142" w:hanging="567"/>
              <w:contextualSpacing w:val="0"/>
              <w:rPr>
                <w:color w:val="000000" w:themeColor="text1"/>
                <w:szCs w:val="24"/>
              </w:rPr>
            </w:pPr>
            <w:r w:rsidRPr="00306115">
              <w:rPr>
                <w:color w:val="000000" w:themeColor="text1"/>
                <w:szCs w:val="24"/>
              </w:rPr>
              <w:t>Fungsi Manajemen Risiko untuk Risiko Hukum independen, memiliki tugas dan tanggung jawab yang jelas, dan telah berjalan dengan cukup baik. Terdapat kelemahan yang cukup signifikan yang memerlukan perbaikan segera.</w:t>
            </w:r>
          </w:p>
          <w:p w14:paraId="5C14DC7F" w14:textId="77777777" w:rsidR="00E96C66" w:rsidRPr="00306115" w:rsidRDefault="00E96C66">
            <w:pPr>
              <w:pStyle w:val="ListParagraph"/>
              <w:numPr>
                <w:ilvl w:val="0"/>
                <w:numId w:val="379"/>
              </w:numPr>
              <w:ind w:left="709" w:right="142" w:hanging="567"/>
              <w:contextualSpacing w:val="0"/>
              <w:rPr>
                <w:color w:val="000000" w:themeColor="text1"/>
                <w:szCs w:val="24"/>
              </w:rPr>
            </w:pPr>
            <w:r w:rsidRPr="00306115">
              <w:rPr>
                <w:color w:val="000000" w:themeColor="text1"/>
                <w:szCs w:val="24"/>
              </w:rPr>
              <w:t>Kerangka pedelegasian wewenang cukup memadai.</w:t>
            </w:r>
          </w:p>
          <w:p w14:paraId="275BDC83" w14:textId="77777777" w:rsidR="00E96C66" w:rsidRPr="00306115" w:rsidRDefault="00E96C66">
            <w:pPr>
              <w:pStyle w:val="ListParagraph"/>
              <w:numPr>
                <w:ilvl w:val="0"/>
                <w:numId w:val="379"/>
              </w:numPr>
              <w:ind w:left="709" w:right="142" w:hanging="567"/>
              <w:contextualSpacing w:val="0"/>
              <w:rPr>
                <w:color w:val="000000" w:themeColor="text1"/>
                <w:szCs w:val="24"/>
              </w:rPr>
            </w:pPr>
            <w:r w:rsidRPr="00306115">
              <w:rPr>
                <w:color w:val="000000" w:themeColor="text1"/>
                <w:szCs w:val="24"/>
              </w:rPr>
              <w:t>Strategi Risiko Hukum cukup memadai dan cukup sejalan dengan tingkat risiko yang akan diambil dan toleransi risiko</w:t>
            </w:r>
          </w:p>
          <w:p w14:paraId="0A276868" w14:textId="77777777" w:rsidR="00E96C66" w:rsidRPr="00306115" w:rsidRDefault="00E96C66">
            <w:pPr>
              <w:pStyle w:val="ListParagraph"/>
              <w:numPr>
                <w:ilvl w:val="0"/>
                <w:numId w:val="379"/>
              </w:numPr>
              <w:ind w:left="709" w:right="142" w:hanging="567"/>
              <w:contextualSpacing w:val="0"/>
              <w:rPr>
                <w:color w:val="000000" w:themeColor="text1"/>
                <w:szCs w:val="24"/>
              </w:rPr>
            </w:pPr>
            <w:r w:rsidRPr="00306115">
              <w:rPr>
                <w:color w:val="000000" w:themeColor="text1"/>
                <w:szCs w:val="24"/>
              </w:rPr>
              <w:t>Kebijakan dan prosedur Manajemen Risiko serta penetapan limit Risiko Hukum cukup memadai, diterapkan dengan cukup baik, dan dipahami dengan cukup baik oleh pegawai</w:t>
            </w:r>
          </w:p>
          <w:p w14:paraId="24DD16F4" w14:textId="77777777" w:rsidR="00E96C66" w:rsidRPr="00306115" w:rsidRDefault="00E96C66">
            <w:pPr>
              <w:pStyle w:val="ListParagraph"/>
              <w:numPr>
                <w:ilvl w:val="0"/>
                <w:numId w:val="379"/>
              </w:numPr>
              <w:ind w:left="709" w:right="142" w:hanging="567"/>
              <w:contextualSpacing w:val="0"/>
              <w:rPr>
                <w:color w:val="000000" w:themeColor="text1"/>
                <w:szCs w:val="24"/>
              </w:rPr>
            </w:pPr>
            <w:r w:rsidRPr="00306115">
              <w:rPr>
                <w:color w:val="000000" w:themeColor="text1"/>
                <w:szCs w:val="24"/>
              </w:rPr>
              <w:t>Proses Manajemen Risiko untuk Risiko Hukum cukup memadai dalam mengidentifikasi, mengukur, memantau, dan mengendalikan Manajemen Risiko untuk Risiko Hukum.</w:t>
            </w:r>
          </w:p>
          <w:p w14:paraId="50C658D2" w14:textId="77777777" w:rsidR="00E96C66" w:rsidRPr="00306115" w:rsidRDefault="00E96C66">
            <w:pPr>
              <w:pStyle w:val="ListParagraph"/>
              <w:numPr>
                <w:ilvl w:val="0"/>
                <w:numId w:val="379"/>
              </w:numPr>
              <w:ind w:left="709" w:right="142" w:hanging="567"/>
              <w:contextualSpacing w:val="0"/>
              <w:rPr>
                <w:color w:val="000000" w:themeColor="text1"/>
                <w:szCs w:val="24"/>
              </w:rPr>
            </w:pPr>
            <w:r w:rsidRPr="00306115">
              <w:rPr>
                <w:color w:val="000000" w:themeColor="text1"/>
                <w:szCs w:val="24"/>
              </w:rPr>
              <w:t>Sistem Informasi Manajemen Risiko untuk Risiko Hukum cukup baik dalam menghasilkan informasi dan laporan Risiko Hukum yang komprehensif.</w:t>
            </w:r>
          </w:p>
          <w:p w14:paraId="644A4362" w14:textId="77777777" w:rsidR="00E96C66" w:rsidRPr="00306115" w:rsidRDefault="00E96C66">
            <w:pPr>
              <w:pStyle w:val="ListParagraph"/>
              <w:numPr>
                <w:ilvl w:val="0"/>
                <w:numId w:val="379"/>
              </w:numPr>
              <w:ind w:left="709" w:right="142" w:hanging="567"/>
              <w:contextualSpacing w:val="0"/>
              <w:rPr>
                <w:color w:val="000000" w:themeColor="text1"/>
                <w:szCs w:val="24"/>
              </w:rPr>
            </w:pPr>
            <w:r w:rsidRPr="00306115">
              <w:rPr>
                <w:color w:val="000000" w:themeColor="text1"/>
                <w:szCs w:val="24"/>
              </w:rPr>
              <w:t xml:space="preserve">Secara umum sumber daya manusia cukup memadai dari sisi kuantitas maupun kompetensi pada fungsi </w:t>
            </w:r>
            <w:r w:rsidRPr="00306115">
              <w:rPr>
                <w:color w:val="000000" w:themeColor="text1"/>
                <w:szCs w:val="24"/>
              </w:rPr>
              <w:lastRenderedPageBreak/>
              <w:t>Manajemen Risiko untuk Risiko Hukum.</w:t>
            </w:r>
          </w:p>
          <w:p w14:paraId="1007F14D" w14:textId="77777777" w:rsidR="00E96C66" w:rsidRPr="00306115" w:rsidRDefault="00E96C66">
            <w:pPr>
              <w:pStyle w:val="ListParagraph"/>
              <w:numPr>
                <w:ilvl w:val="0"/>
                <w:numId w:val="379"/>
              </w:numPr>
              <w:ind w:left="709" w:right="142" w:hanging="567"/>
              <w:contextualSpacing w:val="0"/>
              <w:rPr>
                <w:color w:val="000000" w:themeColor="text1"/>
                <w:szCs w:val="24"/>
              </w:rPr>
            </w:pPr>
            <w:r w:rsidRPr="00306115">
              <w:rPr>
                <w:color w:val="000000" w:themeColor="text1"/>
                <w:szCs w:val="24"/>
              </w:rPr>
              <w:t>Sistem pengendalian internal cukup efektif dalam mendukung pelaksanaan Manajemen Risiko.</w:t>
            </w:r>
          </w:p>
          <w:p w14:paraId="1BC0E3A0" w14:textId="1E51B9D3" w:rsidR="00E96C66" w:rsidRPr="00306115" w:rsidRDefault="00E96C66">
            <w:pPr>
              <w:pStyle w:val="ListParagraph"/>
              <w:numPr>
                <w:ilvl w:val="0"/>
                <w:numId w:val="379"/>
              </w:numPr>
              <w:ind w:left="709" w:right="142" w:hanging="567"/>
              <w:contextualSpacing w:val="0"/>
              <w:rPr>
                <w:color w:val="000000" w:themeColor="text1"/>
                <w:szCs w:val="24"/>
              </w:rPr>
            </w:pPr>
            <w:r w:rsidRPr="00306115">
              <w:rPr>
                <w:color w:val="000000" w:themeColor="text1"/>
                <w:szCs w:val="24"/>
              </w:rPr>
              <w:t xml:space="preserve">Pelaksanaan kaji ulang oleh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dan fungsi audit internal cukup memadai. Terdapat beberapa kelemahan yang cukup signifikan pada metodologi, frekuensi, maupun pelaporan kepada Direksi dan Dewan Komisaris yang memerlukan perbaikan segera.</w:t>
            </w:r>
          </w:p>
          <w:p w14:paraId="51E943FF" w14:textId="77777777" w:rsidR="00E96C66" w:rsidRPr="00306115" w:rsidRDefault="00E96C66">
            <w:pPr>
              <w:pStyle w:val="ListParagraph"/>
              <w:numPr>
                <w:ilvl w:val="0"/>
                <w:numId w:val="379"/>
              </w:numPr>
              <w:ind w:left="709" w:right="142" w:hanging="567"/>
              <w:contextualSpacing w:val="0"/>
              <w:rPr>
                <w:color w:val="000000" w:themeColor="text1"/>
                <w:szCs w:val="24"/>
              </w:rPr>
            </w:pPr>
            <w:r w:rsidRPr="00306115">
              <w:rPr>
                <w:color w:val="000000" w:themeColor="text1"/>
                <w:szCs w:val="24"/>
              </w:rPr>
              <w:t>Tindak lanjut atas kaji ulang independen telah dilaksanakan dengan cukup memadai.</w:t>
            </w:r>
          </w:p>
        </w:tc>
      </w:tr>
      <w:tr w:rsidR="00E96C66" w:rsidRPr="00306115" w14:paraId="1810FF33" w14:textId="77777777" w:rsidTr="00E96C66">
        <w:tc>
          <w:tcPr>
            <w:tcW w:w="2127" w:type="dxa"/>
          </w:tcPr>
          <w:p w14:paraId="140D4BFB" w14:textId="77777777" w:rsidR="00E96C66" w:rsidRPr="00306115" w:rsidRDefault="00E96C66" w:rsidP="00E96C66">
            <w:pPr>
              <w:pStyle w:val="BodyText"/>
              <w:numPr>
                <w:ilvl w:val="0"/>
                <w:numId w:val="0"/>
              </w:numPr>
              <w:spacing w:before="60" w:after="60"/>
              <w:ind w:left="142" w:right="142"/>
              <w:jc w:val="center"/>
              <w:rPr>
                <w:color w:val="000000" w:themeColor="text1"/>
              </w:rPr>
            </w:pPr>
            <w:r w:rsidRPr="00306115">
              <w:rPr>
                <w:i/>
                <w:iCs/>
                <w:color w:val="000000" w:themeColor="text1"/>
              </w:rPr>
              <w:lastRenderedPageBreak/>
              <w:t>Marginal</w:t>
            </w:r>
            <w:r w:rsidRPr="00306115">
              <w:rPr>
                <w:color w:val="000000" w:themeColor="text1"/>
              </w:rPr>
              <w:t xml:space="preserve"> (4)</w:t>
            </w:r>
          </w:p>
        </w:tc>
        <w:tc>
          <w:tcPr>
            <w:tcW w:w="5805" w:type="dxa"/>
          </w:tcPr>
          <w:p w14:paraId="5D288791" w14:textId="77777777" w:rsidR="00E96C66" w:rsidRPr="00306115" w:rsidRDefault="00E96C66" w:rsidP="00E96C66">
            <w:pPr>
              <w:ind w:left="142" w:right="142"/>
              <w:rPr>
                <w:color w:val="000000" w:themeColor="text1"/>
                <w:szCs w:val="24"/>
              </w:rPr>
            </w:pPr>
            <w:r w:rsidRPr="00306115">
              <w:rPr>
                <w:color w:val="000000" w:themeColor="text1"/>
                <w:szCs w:val="24"/>
              </w:rPr>
              <w:t>Kualitas penerapan Manajemen Risiko untuk Risiko Hukum kurang memadai. Terdapat kelemahan signifikan pada berbagai aspek Manajemen Risiko untuk Risiko Hukum yang memerlukan perbaikan segera.</w:t>
            </w:r>
          </w:p>
          <w:p w14:paraId="76E5A608" w14:textId="183ED344" w:rsidR="00E96C66" w:rsidRPr="00306115" w:rsidRDefault="00E96C66" w:rsidP="00E96C66">
            <w:pPr>
              <w:ind w:left="142" w:right="142"/>
              <w:rPr>
                <w:color w:val="000000" w:themeColor="text1"/>
                <w:szCs w:val="24"/>
              </w:rPr>
            </w:pPr>
            <w:r w:rsidRPr="00306115">
              <w:rPr>
                <w:color w:val="000000" w:themeColor="text1"/>
                <w:szCs w:val="24"/>
              </w:rPr>
              <w:t xml:space="preserve">Contoh </w:t>
            </w:r>
            <w:r w:rsidR="00764ECF" w:rsidRPr="00306115">
              <w:rPr>
                <w:color w:val="000000" w:themeColor="text1"/>
                <w:szCs w:val="24"/>
              </w:rPr>
              <w:t>karakteristik/kondisi</w:t>
            </w:r>
            <w:r w:rsidRPr="00306115">
              <w:rPr>
                <w:color w:val="000000" w:themeColor="text1"/>
                <w:szCs w:val="24"/>
              </w:rPr>
              <w:t xml:space="preserve"> Manajer Investasi yang termasuk dalam peringkat </w:t>
            </w:r>
            <w:r w:rsidRPr="00306115">
              <w:rPr>
                <w:i/>
                <w:color w:val="000000" w:themeColor="text1"/>
                <w:szCs w:val="24"/>
              </w:rPr>
              <w:t xml:space="preserve">Marginal </w:t>
            </w:r>
            <w:r w:rsidRPr="00306115">
              <w:rPr>
                <w:color w:val="000000" w:themeColor="text1"/>
                <w:szCs w:val="24"/>
              </w:rPr>
              <w:t>(4) antara lain sebagai berikut:</w:t>
            </w:r>
          </w:p>
          <w:p w14:paraId="631F715F" w14:textId="77777777" w:rsidR="00E96C66" w:rsidRPr="00306115" w:rsidRDefault="00E96C66">
            <w:pPr>
              <w:numPr>
                <w:ilvl w:val="0"/>
                <w:numId w:val="380"/>
              </w:numPr>
              <w:ind w:left="709" w:right="142" w:hanging="567"/>
              <w:rPr>
                <w:color w:val="000000" w:themeColor="text1"/>
                <w:szCs w:val="24"/>
              </w:rPr>
            </w:pPr>
            <w:r w:rsidRPr="00306115">
              <w:rPr>
                <w:color w:val="000000" w:themeColor="text1"/>
                <w:szCs w:val="24"/>
              </w:rPr>
              <w:t>Perumusan tingkat Risiko yang akan diambil (</w:t>
            </w:r>
            <w:r w:rsidRPr="00306115">
              <w:rPr>
                <w:i/>
                <w:iCs/>
                <w:color w:val="000000" w:themeColor="text1"/>
                <w:szCs w:val="24"/>
              </w:rPr>
              <w:t>risk appetite</w:t>
            </w:r>
            <w:r w:rsidRPr="00306115">
              <w:rPr>
                <w:color w:val="000000" w:themeColor="text1"/>
                <w:szCs w:val="24"/>
              </w:rPr>
              <w:t>) dan toleransi Risiko (</w:t>
            </w:r>
            <w:r w:rsidRPr="00306115">
              <w:rPr>
                <w:i/>
                <w:iCs/>
                <w:color w:val="000000" w:themeColor="text1"/>
                <w:szCs w:val="24"/>
              </w:rPr>
              <w:t>risk tolerance</w:t>
            </w:r>
            <w:r w:rsidRPr="00306115">
              <w:rPr>
                <w:color w:val="000000" w:themeColor="text1"/>
                <w:szCs w:val="24"/>
              </w:rPr>
              <w:t>) kurang memadai serta tidak sejalan dengan strategi dan tujuan bisnis secara keseluruhan.</w:t>
            </w:r>
          </w:p>
          <w:p w14:paraId="484D3C14" w14:textId="77777777" w:rsidR="00E96C66" w:rsidRPr="00306115" w:rsidRDefault="00E96C66">
            <w:pPr>
              <w:numPr>
                <w:ilvl w:val="0"/>
                <w:numId w:val="380"/>
              </w:numPr>
              <w:ind w:left="709" w:right="142" w:hanging="567"/>
              <w:rPr>
                <w:color w:val="000000" w:themeColor="text1"/>
                <w:szCs w:val="24"/>
              </w:rPr>
            </w:pPr>
            <w:r w:rsidRPr="00306115">
              <w:rPr>
                <w:color w:val="000000" w:themeColor="text1"/>
                <w:szCs w:val="24"/>
              </w:rPr>
              <w:t>Kesadaran (</w:t>
            </w:r>
            <w:r w:rsidRPr="00306115">
              <w:rPr>
                <w:i/>
                <w:color w:val="000000" w:themeColor="text1"/>
                <w:szCs w:val="24"/>
              </w:rPr>
              <w:t>awareness</w:t>
            </w:r>
            <w:r w:rsidRPr="00306115">
              <w:rPr>
                <w:color w:val="000000" w:themeColor="text1"/>
                <w:szCs w:val="24"/>
              </w:rPr>
              <w:t>) dan pemahaman Direksi dan Dewan Komisaris rendah atau tidak memadai mengenai pelaksanaan Manajemen Risiko, terutama terkait jenis dan tingkat risiko untuk untuk Risiko Hukum.</w:t>
            </w:r>
          </w:p>
          <w:p w14:paraId="56069AB0" w14:textId="77777777" w:rsidR="00E96C66" w:rsidRPr="00306115" w:rsidRDefault="00E96C66">
            <w:pPr>
              <w:numPr>
                <w:ilvl w:val="0"/>
                <w:numId w:val="380"/>
              </w:numPr>
              <w:ind w:left="709" w:right="142" w:hanging="567"/>
              <w:rPr>
                <w:color w:val="000000" w:themeColor="text1"/>
                <w:szCs w:val="24"/>
              </w:rPr>
            </w:pPr>
            <w:r w:rsidRPr="00306115">
              <w:rPr>
                <w:color w:val="000000" w:themeColor="text1"/>
                <w:szCs w:val="24"/>
              </w:rPr>
              <w:t>Budaya Manajemen Risiko untuk Risiko Hukum kurang kuat dan belum diinternalisasikan dengan baik pada setiap level organisasi.</w:t>
            </w:r>
          </w:p>
          <w:p w14:paraId="56694075" w14:textId="77777777" w:rsidR="00E96C66" w:rsidRPr="00306115" w:rsidRDefault="00E96C66">
            <w:pPr>
              <w:numPr>
                <w:ilvl w:val="0"/>
                <w:numId w:val="380"/>
              </w:numPr>
              <w:ind w:left="709" w:right="142" w:hanging="567"/>
              <w:rPr>
                <w:color w:val="000000" w:themeColor="text1"/>
                <w:szCs w:val="24"/>
              </w:rPr>
            </w:pPr>
            <w:r w:rsidRPr="00306115">
              <w:rPr>
                <w:color w:val="000000" w:themeColor="text1"/>
                <w:szCs w:val="24"/>
              </w:rPr>
              <w:t>Pelaksanaan tugas Direksi dan Dewan Komisaris secara keseluruhan kurang memadai. Terdapat beberapa kelemahan signigikan pada beberapa aspek penilaian yang memerlukan perbaikan segera</w:t>
            </w:r>
          </w:p>
          <w:p w14:paraId="1EDA9F46" w14:textId="77777777" w:rsidR="00E96C66" w:rsidRPr="00306115" w:rsidRDefault="00E96C66">
            <w:pPr>
              <w:numPr>
                <w:ilvl w:val="0"/>
                <w:numId w:val="380"/>
              </w:numPr>
              <w:ind w:left="709" w:right="142" w:hanging="567"/>
              <w:rPr>
                <w:color w:val="000000" w:themeColor="text1"/>
                <w:szCs w:val="24"/>
              </w:rPr>
            </w:pPr>
            <w:r w:rsidRPr="00306115">
              <w:rPr>
                <w:color w:val="000000" w:themeColor="text1"/>
                <w:szCs w:val="24"/>
              </w:rPr>
              <w:t>Fungsi Manajemen Risiko untuk Risiko Hukum belum sepenuhnya independen. Terdapat beberapa kelemahan signifikan yang memerlukan perbaikan segera.</w:t>
            </w:r>
          </w:p>
          <w:p w14:paraId="441D00F1" w14:textId="77777777" w:rsidR="00E96C66" w:rsidRPr="00306115" w:rsidRDefault="00E96C66">
            <w:pPr>
              <w:numPr>
                <w:ilvl w:val="0"/>
                <w:numId w:val="380"/>
              </w:numPr>
              <w:ind w:left="709" w:right="142" w:hanging="567"/>
              <w:rPr>
                <w:color w:val="000000" w:themeColor="text1"/>
                <w:szCs w:val="24"/>
              </w:rPr>
            </w:pPr>
            <w:r w:rsidRPr="00306115">
              <w:rPr>
                <w:color w:val="000000" w:themeColor="text1"/>
                <w:szCs w:val="24"/>
              </w:rPr>
              <w:t>Kerangka pedelegasian wewenang kurang memadai.</w:t>
            </w:r>
          </w:p>
          <w:p w14:paraId="27BA0674" w14:textId="77777777" w:rsidR="00E96C66" w:rsidRPr="00306115" w:rsidRDefault="00E96C66">
            <w:pPr>
              <w:numPr>
                <w:ilvl w:val="0"/>
                <w:numId w:val="380"/>
              </w:numPr>
              <w:ind w:left="709" w:right="142" w:hanging="567"/>
              <w:rPr>
                <w:color w:val="000000" w:themeColor="text1"/>
                <w:szCs w:val="24"/>
              </w:rPr>
            </w:pPr>
            <w:r w:rsidRPr="00306115">
              <w:rPr>
                <w:color w:val="000000" w:themeColor="text1"/>
                <w:szCs w:val="24"/>
              </w:rPr>
              <w:lastRenderedPageBreak/>
              <w:t>Strategi pengelolaan Risiko Hukum kurang sejalan dengan tingkat risiko yang akan diambil dan toleransi risiko.</w:t>
            </w:r>
          </w:p>
          <w:p w14:paraId="26964F02" w14:textId="77777777" w:rsidR="00E96C66" w:rsidRPr="00306115" w:rsidRDefault="00E96C66">
            <w:pPr>
              <w:numPr>
                <w:ilvl w:val="0"/>
                <w:numId w:val="380"/>
              </w:numPr>
              <w:ind w:left="709" w:right="142" w:hanging="567"/>
              <w:rPr>
                <w:color w:val="000000" w:themeColor="text1"/>
                <w:szCs w:val="24"/>
              </w:rPr>
            </w:pPr>
            <w:r w:rsidRPr="00306115">
              <w:rPr>
                <w:color w:val="000000" w:themeColor="text1"/>
                <w:szCs w:val="24"/>
              </w:rPr>
              <w:t>Kebijakan dan prosedur Manajemen Risiko serta penetapan limit Risiko Hukum kurang memadai, diterapkan dengan kurang baik, dan dipahami dengan kurang baik oleh pegawai, sehingga memerlukan perbaikan segera.</w:t>
            </w:r>
          </w:p>
          <w:p w14:paraId="6F61C269" w14:textId="77777777" w:rsidR="00E96C66" w:rsidRPr="00306115" w:rsidRDefault="00E96C66">
            <w:pPr>
              <w:numPr>
                <w:ilvl w:val="0"/>
                <w:numId w:val="380"/>
              </w:numPr>
              <w:ind w:left="709" w:right="142" w:hanging="567"/>
              <w:rPr>
                <w:color w:val="000000" w:themeColor="text1"/>
                <w:szCs w:val="24"/>
              </w:rPr>
            </w:pPr>
            <w:r w:rsidRPr="00306115">
              <w:rPr>
                <w:color w:val="000000" w:themeColor="text1"/>
                <w:szCs w:val="24"/>
              </w:rPr>
              <w:t>Proses Manajemen Risiko untuk Risiko Hukum kurang memadai dalam mengidentifikasi, mengukur, memantau, dan mengendalikan Risiko Hukum.</w:t>
            </w:r>
          </w:p>
          <w:p w14:paraId="146C2950" w14:textId="77777777" w:rsidR="00E96C66" w:rsidRPr="00306115" w:rsidRDefault="00E96C66">
            <w:pPr>
              <w:numPr>
                <w:ilvl w:val="0"/>
                <w:numId w:val="380"/>
              </w:numPr>
              <w:ind w:left="709" w:right="142" w:hanging="567"/>
              <w:rPr>
                <w:color w:val="000000" w:themeColor="text1"/>
                <w:szCs w:val="24"/>
              </w:rPr>
            </w:pPr>
            <w:r w:rsidRPr="00306115">
              <w:rPr>
                <w:color w:val="000000" w:themeColor="text1"/>
                <w:szCs w:val="24"/>
              </w:rPr>
              <w:t>Sistem Informasi Manajemen Risiko untuk Risiko Hukum kurang baik dalam menghasilkan informasi dan laporan Risiko Hukum yang komprehensif.</w:t>
            </w:r>
          </w:p>
          <w:p w14:paraId="14799C96" w14:textId="77777777" w:rsidR="00E96C66" w:rsidRPr="00306115" w:rsidRDefault="00E96C66">
            <w:pPr>
              <w:numPr>
                <w:ilvl w:val="0"/>
                <w:numId w:val="380"/>
              </w:numPr>
              <w:ind w:left="709" w:right="142" w:hanging="567"/>
              <w:rPr>
                <w:color w:val="000000" w:themeColor="text1"/>
                <w:szCs w:val="24"/>
              </w:rPr>
            </w:pPr>
            <w:r w:rsidRPr="00306115">
              <w:rPr>
                <w:color w:val="000000" w:themeColor="text1"/>
                <w:szCs w:val="24"/>
              </w:rPr>
              <w:t>Sumber daya manusia kurang memadai dari segi kuantitas maupun kompetensi pada fungsi Manajemen Risiko untuk Risiko Hukum.</w:t>
            </w:r>
          </w:p>
          <w:p w14:paraId="1878D4A7" w14:textId="77777777" w:rsidR="00E96C66" w:rsidRPr="00306115" w:rsidRDefault="00E96C66">
            <w:pPr>
              <w:numPr>
                <w:ilvl w:val="0"/>
                <w:numId w:val="380"/>
              </w:numPr>
              <w:ind w:left="709" w:right="142" w:hanging="567"/>
              <w:rPr>
                <w:color w:val="000000" w:themeColor="text1"/>
                <w:szCs w:val="24"/>
              </w:rPr>
            </w:pPr>
            <w:r w:rsidRPr="00306115">
              <w:rPr>
                <w:color w:val="000000" w:themeColor="text1"/>
                <w:szCs w:val="24"/>
              </w:rPr>
              <w:t>Sistem pengendalian internal kurang efektif dalam mendukung pelaksanaan Manajemen Risiko.</w:t>
            </w:r>
          </w:p>
          <w:p w14:paraId="6E82B9F2" w14:textId="5C12D683" w:rsidR="00E96C66" w:rsidRPr="00306115" w:rsidRDefault="00E96C66">
            <w:pPr>
              <w:numPr>
                <w:ilvl w:val="0"/>
                <w:numId w:val="380"/>
              </w:numPr>
              <w:ind w:left="709" w:right="142" w:hanging="567"/>
              <w:rPr>
                <w:color w:val="000000" w:themeColor="text1"/>
                <w:szCs w:val="24"/>
              </w:rPr>
            </w:pPr>
            <w:r w:rsidRPr="00306115">
              <w:rPr>
                <w:color w:val="000000" w:themeColor="text1"/>
                <w:szCs w:val="24"/>
              </w:rPr>
              <w:t xml:space="preserve">Pelaksanaan kaji ulang oleh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dan fungsi audit internal kurang memadai. Terdapat beberapa kelemahan yang signifikan pada metodologi, frekuensi, maupun pelaporan kepada Direksi dan Dewan Komisaris yang memerlukan perbaikan segera.</w:t>
            </w:r>
          </w:p>
          <w:p w14:paraId="28246A5B" w14:textId="77777777" w:rsidR="00E96C66" w:rsidRPr="00306115" w:rsidRDefault="00E96C66">
            <w:pPr>
              <w:numPr>
                <w:ilvl w:val="0"/>
                <w:numId w:val="380"/>
              </w:numPr>
              <w:ind w:left="709" w:right="142" w:hanging="567"/>
              <w:rPr>
                <w:color w:val="000000" w:themeColor="text1"/>
                <w:szCs w:val="24"/>
              </w:rPr>
            </w:pPr>
            <w:r w:rsidRPr="00306115">
              <w:rPr>
                <w:color w:val="000000" w:themeColor="text1"/>
                <w:szCs w:val="24"/>
              </w:rPr>
              <w:t>Tindak lanjut atas kaji ulang independen kurang memadai.</w:t>
            </w:r>
          </w:p>
        </w:tc>
      </w:tr>
      <w:tr w:rsidR="00E96C66" w:rsidRPr="00306115" w14:paraId="68E36F9E" w14:textId="77777777" w:rsidTr="00E96C66">
        <w:tc>
          <w:tcPr>
            <w:tcW w:w="2127" w:type="dxa"/>
          </w:tcPr>
          <w:p w14:paraId="5F1B0EB5" w14:textId="77777777" w:rsidR="00E96C66" w:rsidRPr="00306115" w:rsidRDefault="00E96C66" w:rsidP="00E96C66">
            <w:pPr>
              <w:pStyle w:val="BodyText"/>
              <w:numPr>
                <w:ilvl w:val="0"/>
                <w:numId w:val="0"/>
              </w:numPr>
              <w:spacing w:before="60" w:after="60"/>
              <w:ind w:left="142" w:right="142"/>
              <w:jc w:val="center"/>
              <w:rPr>
                <w:color w:val="000000" w:themeColor="text1"/>
              </w:rPr>
            </w:pPr>
            <w:r w:rsidRPr="00306115">
              <w:rPr>
                <w:i/>
                <w:iCs/>
                <w:color w:val="000000" w:themeColor="text1"/>
              </w:rPr>
              <w:lastRenderedPageBreak/>
              <w:t>Unsatisfactory</w:t>
            </w:r>
            <w:r w:rsidRPr="00306115">
              <w:rPr>
                <w:color w:val="000000" w:themeColor="text1"/>
              </w:rPr>
              <w:t xml:space="preserve"> (5)</w:t>
            </w:r>
          </w:p>
        </w:tc>
        <w:tc>
          <w:tcPr>
            <w:tcW w:w="5805" w:type="dxa"/>
          </w:tcPr>
          <w:p w14:paraId="2C102506" w14:textId="77777777" w:rsidR="00E96C66" w:rsidRPr="00306115" w:rsidRDefault="00E96C66" w:rsidP="00E96C66">
            <w:pPr>
              <w:ind w:left="142" w:right="142"/>
              <w:rPr>
                <w:color w:val="000000" w:themeColor="text1"/>
                <w:szCs w:val="24"/>
              </w:rPr>
            </w:pPr>
            <w:r w:rsidRPr="00306115">
              <w:rPr>
                <w:color w:val="000000" w:themeColor="text1"/>
                <w:szCs w:val="24"/>
              </w:rPr>
              <w:t>Kualitas penerapan Manajemen Risiko untuk Risiko Hukum tidak memadai. Terdapat kelemahan signifikan pada berbagai aspek Manajemen Risiko untuk Risiko Hukum yang tindakan penyelesaiannya di luar kemampuan manajemen.</w:t>
            </w:r>
          </w:p>
          <w:p w14:paraId="026926E8" w14:textId="34D501A7" w:rsidR="00E96C66" w:rsidRPr="00306115" w:rsidRDefault="00E96C66" w:rsidP="00E96C66">
            <w:pPr>
              <w:ind w:left="142" w:right="142"/>
              <w:rPr>
                <w:color w:val="000000" w:themeColor="text1"/>
                <w:szCs w:val="24"/>
              </w:rPr>
            </w:pPr>
            <w:r w:rsidRPr="00306115">
              <w:rPr>
                <w:color w:val="000000" w:themeColor="text1"/>
                <w:szCs w:val="24"/>
              </w:rPr>
              <w:t xml:space="preserve">Contoh </w:t>
            </w:r>
            <w:r w:rsidR="00764ECF" w:rsidRPr="00306115">
              <w:rPr>
                <w:color w:val="000000" w:themeColor="text1"/>
                <w:szCs w:val="24"/>
              </w:rPr>
              <w:t>karakteristik/kondisi</w:t>
            </w:r>
            <w:r w:rsidRPr="00306115">
              <w:rPr>
                <w:color w:val="000000" w:themeColor="text1"/>
                <w:szCs w:val="24"/>
              </w:rPr>
              <w:t xml:space="preserve"> Manajer Investasi yang termasuk dalam peringkat </w:t>
            </w:r>
            <w:r w:rsidRPr="00306115">
              <w:rPr>
                <w:i/>
                <w:color w:val="000000" w:themeColor="text1"/>
                <w:szCs w:val="24"/>
              </w:rPr>
              <w:t xml:space="preserve">Unsatisfactory </w:t>
            </w:r>
            <w:r w:rsidRPr="00306115">
              <w:rPr>
                <w:color w:val="000000" w:themeColor="text1"/>
                <w:szCs w:val="24"/>
              </w:rPr>
              <w:t>(5) ini antara lain sebagai berikut:</w:t>
            </w:r>
          </w:p>
          <w:p w14:paraId="17064FF3" w14:textId="77777777" w:rsidR="00E96C66" w:rsidRPr="00306115" w:rsidRDefault="00E96C66">
            <w:pPr>
              <w:numPr>
                <w:ilvl w:val="0"/>
                <w:numId w:val="381"/>
              </w:numPr>
              <w:ind w:left="709" w:right="142" w:hanging="567"/>
              <w:rPr>
                <w:color w:val="000000" w:themeColor="text1"/>
                <w:szCs w:val="24"/>
              </w:rPr>
            </w:pPr>
            <w:r w:rsidRPr="00306115">
              <w:rPr>
                <w:color w:val="000000" w:themeColor="text1"/>
                <w:szCs w:val="24"/>
              </w:rPr>
              <w:t>Perumusan tingkat Risiko yang akan diambil (</w:t>
            </w:r>
            <w:r w:rsidRPr="00306115">
              <w:rPr>
                <w:i/>
                <w:iCs/>
                <w:color w:val="000000" w:themeColor="text1"/>
                <w:szCs w:val="24"/>
              </w:rPr>
              <w:t>risk appetite</w:t>
            </w:r>
            <w:r w:rsidRPr="00306115">
              <w:rPr>
                <w:color w:val="000000" w:themeColor="text1"/>
                <w:szCs w:val="24"/>
              </w:rPr>
              <w:t>) dan toleransi Risiko (</w:t>
            </w:r>
            <w:r w:rsidRPr="00306115">
              <w:rPr>
                <w:i/>
                <w:iCs/>
                <w:color w:val="000000" w:themeColor="text1"/>
                <w:szCs w:val="24"/>
              </w:rPr>
              <w:t>risk tolerance</w:t>
            </w:r>
            <w:r w:rsidRPr="00306115">
              <w:rPr>
                <w:color w:val="000000" w:themeColor="text1"/>
                <w:szCs w:val="24"/>
              </w:rPr>
              <w:t>) tidak memadai serta tidak sejalan dengan strategi dan tujuan bisnis Manajer Investasi secara keseluruhan.</w:t>
            </w:r>
          </w:p>
          <w:p w14:paraId="6835E38F" w14:textId="77777777" w:rsidR="00E96C66" w:rsidRPr="00306115" w:rsidRDefault="00E96C66">
            <w:pPr>
              <w:numPr>
                <w:ilvl w:val="0"/>
                <w:numId w:val="381"/>
              </w:numPr>
              <w:ind w:left="709" w:right="142" w:hanging="567"/>
              <w:rPr>
                <w:color w:val="000000" w:themeColor="text1"/>
                <w:szCs w:val="24"/>
              </w:rPr>
            </w:pPr>
            <w:r w:rsidRPr="00306115">
              <w:rPr>
                <w:color w:val="000000" w:themeColor="text1"/>
                <w:szCs w:val="24"/>
              </w:rPr>
              <w:lastRenderedPageBreak/>
              <w:t>Kesadaran (</w:t>
            </w:r>
            <w:r w:rsidRPr="00306115">
              <w:rPr>
                <w:i/>
                <w:color w:val="000000" w:themeColor="text1"/>
                <w:szCs w:val="24"/>
              </w:rPr>
              <w:t>awareness</w:t>
            </w:r>
            <w:r w:rsidRPr="00306115">
              <w:rPr>
                <w:color w:val="000000" w:themeColor="text1"/>
                <w:szCs w:val="24"/>
              </w:rPr>
              <w:t>) dan pemahaman Direksi dan Dewan Komisaris sangat rendah atau sangat tidak memadai mengenai pelaksanaan Manajemen Risiko, terutama terkait jenis dan tingkat risiko untuk Risiko Hukum.</w:t>
            </w:r>
          </w:p>
          <w:p w14:paraId="7667E453" w14:textId="77777777" w:rsidR="00E96C66" w:rsidRPr="00306115" w:rsidRDefault="00E96C66">
            <w:pPr>
              <w:numPr>
                <w:ilvl w:val="0"/>
                <w:numId w:val="381"/>
              </w:numPr>
              <w:ind w:left="709" w:right="142" w:hanging="567"/>
              <w:rPr>
                <w:color w:val="000000" w:themeColor="text1"/>
                <w:szCs w:val="24"/>
              </w:rPr>
            </w:pPr>
            <w:r w:rsidRPr="00306115">
              <w:rPr>
                <w:color w:val="000000" w:themeColor="text1"/>
                <w:szCs w:val="24"/>
              </w:rPr>
              <w:t>Budaya Manajemen Risiko untuk Risiko Hukum tidak kuat atau belum ada sama sekali.</w:t>
            </w:r>
          </w:p>
          <w:p w14:paraId="0AAF3C44" w14:textId="77777777" w:rsidR="00E96C66" w:rsidRPr="00306115" w:rsidRDefault="00E96C66">
            <w:pPr>
              <w:numPr>
                <w:ilvl w:val="0"/>
                <w:numId w:val="381"/>
              </w:numPr>
              <w:ind w:left="709" w:right="142" w:hanging="567"/>
              <w:rPr>
                <w:color w:val="000000" w:themeColor="text1"/>
                <w:szCs w:val="24"/>
              </w:rPr>
            </w:pPr>
            <w:r w:rsidRPr="00306115">
              <w:rPr>
                <w:color w:val="000000" w:themeColor="text1"/>
                <w:szCs w:val="24"/>
              </w:rPr>
              <w:t>Pelaksanaan tugas Direksi dan Dewan Komisaris secara keseluruhan tidak memadai. Terdapat beberapa kelemahan yang signifikan pada hampir seluruh aspek penilaian yang tindakan penyelesaiannya di luar kemampuan manajemen.</w:t>
            </w:r>
          </w:p>
          <w:p w14:paraId="7FA7B6C5" w14:textId="77777777" w:rsidR="00E96C66" w:rsidRPr="00306115" w:rsidRDefault="00E96C66">
            <w:pPr>
              <w:numPr>
                <w:ilvl w:val="0"/>
                <w:numId w:val="381"/>
              </w:numPr>
              <w:ind w:left="709" w:right="142" w:hanging="567"/>
              <w:rPr>
                <w:color w:val="000000" w:themeColor="text1"/>
                <w:szCs w:val="24"/>
              </w:rPr>
            </w:pPr>
            <w:r w:rsidRPr="00306115">
              <w:rPr>
                <w:color w:val="000000" w:themeColor="text1"/>
                <w:szCs w:val="24"/>
              </w:rPr>
              <w:t>Fungsi Manajemen Risiko untuk Risiko Hukum tidak independen, serta terdapat kelemahan signifikan yang memerlukan perbaikan fundamental.</w:t>
            </w:r>
          </w:p>
          <w:p w14:paraId="601B9B00" w14:textId="77777777" w:rsidR="00E96C66" w:rsidRPr="00306115" w:rsidRDefault="00E96C66">
            <w:pPr>
              <w:numPr>
                <w:ilvl w:val="0"/>
                <w:numId w:val="381"/>
              </w:numPr>
              <w:ind w:left="709" w:right="142" w:hanging="567"/>
              <w:rPr>
                <w:color w:val="000000" w:themeColor="text1"/>
                <w:szCs w:val="24"/>
              </w:rPr>
            </w:pPr>
            <w:r w:rsidRPr="00306115">
              <w:rPr>
                <w:color w:val="000000" w:themeColor="text1"/>
                <w:szCs w:val="24"/>
              </w:rPr>
              <w:t>Kerangka pedelegasian wewenang tidak memadai.</w:t>
            </w:r>
          </w:p>
          <w:p w14:paraId="1E163D86" w14:textId="77777777" w:rsidR="00E96C66" w:rsidRPr="00306115" w:rsidRDefault="00E96C66">
            <w:pPr>
              <w:numPr>
                <w:ilvl w:val="0"/>
                <w:numId w:val="381"/>
              </w:numPr>
              <w:ind w:left="709" w:right="142" w:hanging="567"/>
              <w:rPr>
                <w:color w:val="000000" w:themeColor="text1"/>
                <w:szCs w:val="24"/>
              </w:rPr>
            </w:pPr>
            <w:r w:rsidRPr="00306115">
              <w:rPr>
                <w:color w:val="000000" w:themeColor="text1"/>
                <w:szCs w:val="24"/>
              </w:rPr>
              <w:t>Strategi Manajemen Risiko untuk Risiko Hukum tidak sejalan dengan tingkat risiko yang akan diambil dan toleransi risiko.</w:t>
            </w:r>
          </w:p>
          <w:p w14:paraId="5642EE15" w14:textId="77777777" w:rsidR="00E96C66" w:rsidRPr="00306115" w:rsidRDefault="00E96C66">
            <w:pPr>
              <w:numPr>
                <w:ilvl w:val="0"/>
                <w:numId w:val="381"/>
              </w:numPr>
              <w:ind w:left="709" w:right="142" w:hanging="567"/>
              <w:rPr>
                <w:color w:val="000000" w:themeColor="text1"/>
                <w:szCs w:val="24"/>
              </w:rPr>
            </w:pPr>
            <w:r w:rsidRPr="00306115">
              <w:rPr>
                <w:color w:val="000000" w:themeColor="text1"/>
                <w:szCs w:val="24"/>
              </w:rPr>
              <w:t>Kebijakan dan prosedur Manajemen Risiko serta penetapan limit Risiko Hukum tidak memadai, tidak diterapkan, dan tidak dipahami oleh pegawai, sehingga memerlukan perbaikan fundamental.</w:t>
            </w:r>
          </w:p>
          <w:p w14:paraId="60B48281" w14:textId="77777777" w:rsidR="00E96C66" w:rsidRPr="00306115" w:rsidRDefault="00E96C66">
            <w:pPr>
              <w:numPr>
                <w:ilvl w:val="0"/>
                <w:numId w:val="381"/>
              </w:numPr>
              <w:ind w:left="709" w:right="142" w:hanging="567"/>
              <w:rPr>
                <w:color w:val="000000" w:themeColor="text1"/>
                <w:szCs w:val="24"/>
              </w:rPr>
            </w:pPr>
            <w:r w:rsidRPr="00306115">
              <w:rPr>
                <w:color w:val="000000" w:themeColor="text1"/>
                <w:szCs w:val="24"/>
              </w:rPr>
              <w:t>Proses Manajemen Risiko untuk Risiko Hukum tidak memadai dalam mengidentifikasi, mengukur, memantau, dan mengendalikan Risiko Hukum.</w:t>
            </w:r>
          </w:p>
          <w:p w14:paraId="07FF77C4" w14:textId="77777777" w:rsidR="00E96C66" w:rsidRPr="00306115" w:rsidRDefault="00E96C66">
            <w:pPr>
              <w:numPr>
                <w:ilvl w:val="0"/>
                <w:numId w:val="381"/>
              </w:numPr>
              <w:ind w:left="709" w:right="142" w:hanging="567"/>
              <w:rPr>
                <w:color w:val="000000" w:themeColor="text1"/>
                <w:szCs w:val="24"/>
              </w:rPr>
            </w:pPr>
            <w:r w:rsidRPr="00306115">
              <w:rPr>
                <w:color w:val="000000" w:themeColor="text1"/>
                <w:szCs w:val="24"/>
              </w:rPr>
              <w:t>Sistem Informasi Manajemen Risiko untuk Risiko Hukum tidak dapat dalam menghasilkan informasi dan laporan Risiko Hukum yang komprehensif.</w:t>
            </w:r>
          </w:p>
          <w:p w14:paraId="6EA25911" w14:textId="77777777" w:rsidR="00E96C66" w:rsidRPr="00306115" w:rsidRDefault="00E96C66">
            <w:pPr>
              <w:numPr>
                <w:ilvl w:val="0"/>
                <w:numId w:val="381"/>
              </w:numPr>
              <w:ind w:left="709" w:right="142" w:hanging="567"/>
              <w:rPr>
                <w:color w:val="000000" w:themeColor="text1"/>
                <w:szCs w:val="24"/>
              </w:rPr>
            </w:pPr>
            <w:r w:rsidRPr="00306115">
              <w:rPr>
                <w:color w:val="000000" w:themeColor="text1"/>
                <w:szCs w:val="24"/>
              </w:rPr>
              <w:t>Sumber daya manusia tidak memadai dari segi kuantitas maupun kompetensi pada fungsi Manajemen Risiko untuk Risiko Hukum.</w:t>
            </w:r>
          </w:p>
          <w:p w14:paraId="653FCA39" w14:textId="77777777" w:rsidR="00E96C66" w:rsidRPr="00306115" w:rsidRDefault="00E96C66">
            <w:pPr>
              <w:numPr>
                <w:ilvl w:val="0"/>
                <w:numId w:val="381"/>
              </w:numPr>
              <w:ind w:left="709" w:right="142" w:hanging="567"/>
              <w:rPr>
                <w:color w:val="000000" w:themeColor="text1"/>
                <w:szCs w:val="24"/>
              </w:rPr>
            </w:pPr>
            <w:r w:rsidRPr="00306115">
              <w:rPr>
                <w:color w:val="000000" w:themeColor="text1"/>
                <w:szCs w:val="24"/>
              </w:rPr>
              <w:t>Sistem pengendalian internal tidak efektif dalam mendukung pelaksanaan Manajemen Risiko untuk Risiko Hukum.</w:t>
            </w:r>
          </w:p>
          <w:p w14:paraId="5B3DE005" w14:textId="071B4FCA" w:rsidR="00E96C66" w:rsidRPr="00306115" w:rsidRDefault="00E96C66">
            <w:pPr>
              <w:numPr>
                <w:ilvl w:val="0"/>
                <w:numId w:val="381"/>
              </w:numPr>
              <w:ind w:left="709" w:right="142" w:hanging="567"/>
              <w:rPr>
                <w:color w:val="000000" w:themeColor="text1"/>
                <w:szCs w:val="24"/>
              </w:rPr>
            </w:pPr>
            <w:r w:rsidRPr="00306115">
              <w:rPr>
                <w:color w:val="000000" w:themeColor="text1"/>
                <w:szCs w:val="24"/>
              </w:rPr>
              <w:t xml:space="preserve">Pelaksanaan kaji ulang oleh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 xml:space="preserve">dan fungsi audit internal tidak memadai. Terdapat kelemahan yang signifikan pada </w:t>
            </w:r>
            <w:r w:rsidRPr="00306115">
              <w:rPr>
                <w:color w:val="000000" w:themeColor="text1"/>
                <w:szCs w:val="24"/>
              </w:rPr>
              <w:lastRenderedPageBreak/>
              <w:t>metodologi, frekuensi, maupun pelaporan kepada Direksi dan Dewan Komisaris yang memerlukan perbaikan fundamental.</w:t>
            </w:r>
          </w:p>
          <w:p w14:paraId="6FC80E8F" w14:textId="77777777" w:rsidR="00E96C66" w:rsidRPr="00306115" w:rsidRDefault="00E96C66">
            <w:pPr>
              <w:numPr>
                <w:ilvl w:val="0"/>
                <w:numId w:val="381"/>
              </w:numPr>
              <w:ind w:left="709" w:right="142" w:hanging="567"/>
              <w:rPr>
                <w:color w:val="000000" w:themeColor="text1"/>
                <w:szCs w:val="24"/>
              </w:rPr>
            </w:pPr>
            <w:r w:rsidRPr="00306115">
              <w:rPr>
                <w:color w:val="000000" w:themeColor="text1"/>
                <w:szCs w:val="24"/>
              </w:rPr>
              <w:t>Tindak lanjut atas kaji ulang independen tidak memadai atau tidak ada.</w:t>
            </w:r>
          </w:p>
        </w:tc>
      </w:tr>
    </w:tbl>
    <w:p w14:paraId="6D3258A5" w14:textId="77777777" w:rsidR="00E96C66" w:rsidRPr="00306115" w:rsidRDefault="00E96C66" w:rsidP="00E96C66">
      <w:pPr>
        <w:pStyle w:val="HeadingAwalDaftarIsiLampiran"/>
        <w:numPr>
          <w:ilvl w:val="0"/>
          <w:numId w:val="0"/>
        </w:numPr>
        <w:ind w:left="1134"/>
      </w:pPr>
    </w:p>
    <w:p w14:paraId="2E3A6835" w14:textId="7A70BD40" w:rsidR="001F762D" w:rsidRPr="00306115" w:rsidRDefault="001F762D">
      <w:pPr>
        <w:pStyle w:val="HeadingAwalDaftarIsiLampiran"/>
        <w:numPr>
          <w:ilvl w:val="3"/>
          <w:numId w:val="295"/>
        </w:numPr>
        <w:ind w:left="567" w:hanging="567"/>
      </w:pPr>
      <w:r w:rsidRPr="00306115">
        <w:t>Risiko Kepatuhan</w:t>
      </w:r>
    </w:p>
    <w:p w14:paraId="263A7E0D" w14:textId="77777777" w:rsidR="00451E35" w:rsidRPr="00306115" w:rsidRDefault="00451E35">
      <w:pPr>
        <w:pStyle w:val="HeadingAwalDaftarIsiLampiran"/>
        <w:numPr>
          <w:ilvl w:val="4"/>
          <w:numId w:val="295"/>
        </w:numPr>
        <w:ind w:left="1134" w:hanging="567"/>
      </w:pPr>
      <w:r w:rsidRPr="00306115">
        <w:t>Matriks Penetapan Tingkat Risiko Inheren</w:t>
      </w:r>
    </w:p>
    <w:tbl>
      <w:tblPr>
        <w:tblW w:w="0" w:type="auto"/>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27"/>
        <w:gridCol w:w="5805"/>
      </w:tblGrid>
      <w:tr w:rsidR="00721A01" w:rsidRPr="00306115" w14:paraId="4536EFC3" w14:textId="77777777" w:rsidTr="00721A01">
        <w:trPr>
          <w:trHeight w:val="606"/>
          <w:tblHeader/>
        </w:trPr>
        <w:tc>
          <w:tcPr>
            <w:tcW w:w="2127" w:type="dxa"/>
            <w:shd w:val="clear" w:color="auto" w:fill="D9D9D9"/>
            <w:vAlign w:val="center"/>
          </w:tcPr>
          <w:p w14:paraId="59B7A17C" w14:textId="77777777" w:rsidR="00721A01" w:rsidRPr="00306115" w:rsidRDefault="00721A01" w:rsidP="00721A01">
            <w:pPr>
              <w:pStyle w:val="TableParagraph"/>
              <w:spacing w:before="60" w:after="60"/>
              <w:ind w:left="142" w:right="142"/>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Peringkat</w:t>
            </w:r>
          </w:p>
        </w:tc>
        <w:tc>
          <w:tcPr>
            <w:tcW w:w="5805" w:type="dxa"/>
            <w:shd w:val="clear" w:color="auto" w:fill="D9D9D9"/>
            <w:vAlign w:val="center"/>
          </w:tcPr>
          <w:p w14:paraId="74BB018A" w14:textId="77777777" w:rsidR="00721A01" w:rsidRPr="00306115" w:rsidRDefault="00721A01" w:rsidP="00721A01">
            <w:pPr>
              <w:pStyle w:val="TableParagraph"/>
              <w:spacing w:before="60" w:after="60"/>
              <w:ind w:left="142" w:right="142"/>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Definisi Peringkat</w:t>
            </w:r>
          </w:p>
        </w:tc>
      </w:tr>
      <w:tr w:rsidR="00721A01" w:rsidRPr="00306115" w14:paraId="5F2245DE" w14:textId="77777777" w:rsidTr="007E1152">
        <w:trPr>
          <w:trHeight w:val="865"/>
        </w:trPr>
        <w:tc>
          <w:tcPr>
            <w:tcW w:w="2127" w:type="dxa"/>
          </w:tcPr>
          <w:p w14:paraId="6798E394" w14:textId="77777777" w:rsidR="00721A01" w:rsidRPr="00306115" w:rsidRDefault="00721A01" w:rsidP="00721A01">
            <w:pPr>
              <w:pStyle w:val="TableParagraph"/>
              <w:spacing w:before="60" w:after="60"/>
              <w:ind w:left="142" w:right="142"/>
              <w:jc w:val="center"/>
              <w:rPr>
                <w:rFonts w:ascii="Bookman Old Style" w:hAnsi="Bookman Old Style"/>
                <w:color w:val="000000" w:themeColor="text1"/>
                <w:sz w:val="24"/>
                <w:szCs w:val="24"/>
              </w:rPr>
            </w:pPr>
            <w:r w:rsidRPr="00306115">
              <w:rPr>
                <w:rFonts w:ascii="Bookman Old Style" w:hAnsi="Bookman Old Style"/>
                <w:i/>
                <w:color w:val="000000" w:themeColor="text1"/>
                <w:sz w:val="24"/>
                <w:szCs w:val="24"/>
              </w:rPr>
              <w:t xml:space="preserve">Low </w:t>
            </w:r>
            <w:r w:rsidRPr="00306115">
              <w:rPr>
                <w:rFonts w:ascii="Bookman Old Style" w:hAnsi="Bookman Old Style"/>
                <w:color w:val="000000" w:themeColor="text1"/>
                <w:sz w:val="24"/>
                <w:szCs w:val="24"/>
              </w:rPr>
              <w:t>(1)</w:t>
            </w:r>
          </w:p>
        </w:tc>
        <w:tc>
          <w:tcPr>
            <w:tcW w:w="5805" w:type="dxa"/>
          </w:tcPr>
          <w:p w14:paraId="6F5F9980" w14:textId="77777777" w:rsidR="00721A01" w:rsidRPr="00306115" w:rsidRDefault="00721A01" w:rsidP="00721A01">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Dengan mempertimbangkan aktivitas kegiatan usaha yang dilakukan Manajer Investasi </w:t>
            </w:r>
            <w:r w:rsidRPr="00306115">
              <w:rPr>
                <w:color w:val="000000" w:themeColor="text1"/>
                <w:szCs w:val="24"/>
                <w:lang w:val="en-US"/>
              </w:rPr>
              <w:t>beserta Produk Investasi yang dikelola</w:t>
            </w:r>
            <w:r w:rsidRPr="00306115">
              <w:rPr>
                <w:color w:val="000000" w:themeColor="text1"/>
                <w:szCs w:val="24"/>
              </w:rPr>
              <w:t xml:space="preserve">, kemungkinan timbulnya dampak paparan dari Risiko Kepatuhan tergolong sangat rendah selama periode waktu tertentu pada masa datang. </w:t>
            </w:r>
          </w:p>
          <w:p w14:paraId="4190C38D" w14:textId="77777777" w:rsidR="00721A01" w:rsidRPr="00306115" w:rsidRDefault="00721A01" w:rsidP="00721A01">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Contoh karakteristik Manajer Investasi yang termasuk dalam peringkat </w:t>
            </w:r>
            <w:r w:rsidRPr="00306115">
              <w:rPr>
                <w:i/>
                <w:iCs/>
                <w:color w:val="000000" w:themeColor="text1"/>
                <w:szCs w:val="24"/>
              </w:rPr>
              <w:t>Low</w:t>
            </w:r>
            <w:r w:rsidRPr="00306115">
              <w:rPr>
                <w:color w:val="000000" w:themeColor="text1"/>
                <w:szCs w:val="24"/>
              </w:rPr>
              <w:t xml:space="preserve"> (1) antara lain sebagai berikut:</w:t>
            </w:r>
          </w:p>
          <w:p w14:paraId="69AAE265" w14:textId="77777777" w:rsidR="00721A01" w:rsidRPr="00306115" w:rsidRDefault="00721A01">
            <w:pPr>
              <w:pStyle w:val="ListParagraph"/>
              <w:numPr>
                <w:ilvl w:val="2"/>
                <w:numId w:val="382"/>
              </w:numPr>
              <w:spacing w:after="0" w:line="240" w:lineRule="auto"/>
              <w:ind w:left="709" w:right="142" w:hanging="567"/>
              <w:contextualSpacing w:val="0"/>
              <w:rPr>
                <w:color w:val="000000" w:themeColor="text1"/>
                <w:szCs w:val="24"/>
              </w:rPr>
            </w:pPr>
            <w:r w:rsidRPr="00306115">
              <w:rPr>
                <w:color w:val="000000" w:themeColor="text1"/>
                <w:szCs w:val="24"/>
              </w:rPr>
              <w:t>Tidak terdapat pelanggaran yang dikenakan sanksi dari OJK.</w:t>
            </w:r>
          </w:p>
          <w:p w14:paraId="2C09066F" w14:textId="77777777" w:rsidR="00C70591" w:rsidRPr="00306115" w:rsidRDefault="00C70591">
            <w:pPr>
              <w:pStyle w:val="ListParagraph"/>
              <w:numPr>
                <w:ilvl w:val="2"/>
                <w:numId w:val="382"/>
              </w:numPr>
              <w:spacing w:after="0" w:line="240" w:lineRule="auto"/>
              <w:ind w:left="709" w:right="142" w:hanging="567"/>
              <w:contextualSpacing w:val="0"/>
              <w:rPr>
                <w:color w:val="000000" w:themeColor="text1"/>
                <w:szCs w:val="24"/>
              </w:rPr>
            </w:pPr>
            <w:r w:rsidRPr="00306115">
              <w:rPr>
                <w:color w:val="000000" w:themeColor="text1"/>
                <w:szCs w:val="24"/>
              </w:rPr>
              <w:t>Tidak terdapat si</w:t>
            </w:r>
            <w:r w:rsidRPr="00306115">
              <w:rPr>
                <w:color w:val="000000" w:themeColor="text1"/>
                <w:szCs w:val="24"/>
                <w:lang w:val="en-GB"/>
              </w:rPr>
              <w:t>gnifikansi sanksi dari OJK</w:t>
            </w:r>
          </w:p>
          <w:p w14:paraId="71489122" w14:textId="77777777" w:rsidR="00C70591" w:rsidRPr="00306115" w:rsidRDefault="00C70591">
            <w:pPr>
              <w:pStyle w:val="ListParagraph"/>
              <w:numPr>
                <w:ilvl w:val="2"/>
                <w:numId w:val="382"/>
              </w:numPr>
              <w:spacing w:after="0" w:line="240" w:lineRule="auto"/>
              <w:ind w:left="709" w:right="142" w:hanging="567"/>
              <w:contextualSpacing w:val="0"/>
              <w:rPr>
                <w:color w:val="000000" w:themeColor="text1"/>
                <w:szCs w:val="24"/>
              </w:rPr>
            </w:pPr>
            <w:r w:rsidRPr="00306115">
              <w:rPr>
                <w:color w:val="000000" w:themeColor="text1"/>
                <w:szCs w:val="24"/>
                <w:lang w:val="en-GB"/>
              </w:rPr>
              <w:t>Tidak terdapat</w:t>
            </w:r>
            <w:r w:rsidRPr="00306115">
              <w:rPr>
                <w:color w:val="000000" w:themeColor="text1"/>
                <w:szCs w:val="24"/>
              </w:rPr>
              <w:t xml:space="preserve"> surat teguran Bank Kustodian karena pelanggaran aktif Manajer Investasi sangat rendah.</w:t>
            </w:r>
          </w:p>
          <w:p w14:paraId="5FB20818" w14:textId="77777777" w:rsidR="001A11ED" w:rsidRPr="00306115" w:rsidRDefault="00C70591" w:rsidP="001A11ED">
            <w:pPr>
              <w:pStyle w:val="ListParagraph"/>
              <w:numPr>
                <w:ilvl w:val="2"/>
                <w:numId w:val="382"/>
              </w:numPr>
              <w:spacing w:after="0" w:line="240" w:lineRule="auto"/>
              <w:ind w:left="709" w:right="142" w:hanging="567"/>
              <w:contextualSpacing w:val="0"/>
              <w:rPr>
                <w:color w:val="000000" w:themeColor="text1"/>
                <w:szCs w:val="24"/>
              </w:rPr>
            </w:pPr>
            <w:r w:rsidRPr="00306115">
              <w:rPr>
                <w:color w:val="000000" w:themeColor="text1"/>
                <w:szCs w:val="24"/>
                <w:lang w:val="en-GB"/>
              </w:rPr>
              <w:t>Tidak terdapat Perintah Tindakan Tertentu (PTT) yang dikenakan oleh OJK.</w:t>
            </w:r>
          </w:p>
          <w:p w14:paraId="3A621090" w14:textId="3D181387" w:rsidR="004A52E5" w:rsidRPr="00306115" w:rsidRDefault="00C70591" w:rsidP="001A11ED">
            <w:pPr>
              <w:pStyle w:val="ListParagraph"/>
              <w:numPr>
                <w:ilvl w:val="2"/>
                <w:numId w:val="382"/>
              </w:numPr>
              <w:spacing w:after="0" w:line="240" w:lineRule="auto"/>
              <w:ind w:left="709" w:right="142" w:hanging="567"/>
              <w:contextualSpacing w:val="0"/>
              <w:rPr>
                <w:color w:val="000000" w:themeColor="text1"/>
                <w:szCs w:val="24"/>
              </w:rPr>
            </w:pPr>
            <w:r w:rsidRPr="00306115">
              <w:rPr>
                <w:color w:val="000000" w:themeColor="text1"/>
                <w:szCs w:val="24"/>
                <w:lang w:val="en-GB"/>
              </w:rPr>
              <w:t xml:space="preserve">Tidak terdapat </w:t>
            </w:r>
            <w:r w:rsidR="00543A86" w:rsidRPr="00306115">
              <w:rPr>
                <w:i/>
                <w:iCs/>
                <w:color w:val="000000" w:themeColor="text1"/>
                <w:szCs w:val="24"/>
                <w:lang w:val="id"/>
              </w:rPr>
              <w:t>outstanding</w:t>
            </w:r>
            <w:r w:rsidRPr="00306115">
              <w:rPr>
                <w:color w:val="000000" w:themeColor="text1"/>
                <w:szCs w:val="24"/>
                <w:lang w:val="id"/>
              </w:rPr>
              <w:t xml:space="preserve"> tindakan pembinaan yang belum dipenuhi MI dalam waktu 1 tahun.</w:t>
            </w:r>
          </w:p>
        </w:tc>
      </w:tr>
      <w:tr w:rsidR="00721A01" w:rsidRPr="00306115" w14:paraId="48F43821" w14:textId="77777777" w:rsidTr="001A11ED">
        <w:trPr>
          <w:trHeight w:val="659"/>
        </w:trPr>
        <w:tc>
          <w:tcPr>
            <w:tcW w:w="2127" w:type="dxa"/>
          </w:tcPr>
          <w:p w14:paraId="40DF4285" w14:textId="77777777" w:rsidR="00721A01" w:rsidRPr="00306115" w:rsidRDefault="00721A01" w:rsidP="00721A01">
            <w:pPr>
              <w:pStyle w:val="TableParagraph"/>
              <w:spacing w:before="60" w:after="60"/>
              <w:ind w:left="142" w:right="142"/>
              <w:jc w:val="center"/>
              <w:rPr>
                <w:rFonts w:ascii="Bookman Old Style" w:hAnsi="Bookman Old Style"/>
                <w:color w:val="000000" w:themeColor="text1"/>
                <w:sz w:val="24"/>
                <w:szCs w:val="24"/>
              </w:rPr>
            </w:pPr>
            <w:r w:rsidRPr="00306115">
              <w:rPr>
                <w:rFonts w:ascii="Bookman Old Style" w:hAnsi="Bookman Old Style"/>
                <w:i/>
                <w:color w:val="000000" w:themeColor="text1"/>
                <w:sz w:val="24"/>
                <w:szCs w:val="24"/>
              </w:rPr>
              <w:t xml:space="preserve">Low to Moderate </w:t>
            </w:r>
            <w:r w:rsidRPr="00306115">
              <w:rPr>
                <w:rFonts w:ascii="Bookman Old Style" w:hAnsi="Bookman Old Style"/>
                <w:color w:val="000000" w:themeColor="text1"/>
                <w:sz w:val="24"/>
                <w:szCs w:val="24"/>
              </w:rPr>
              <w:t>(2)</w:t>
            </w:r>
          </w:p>
        </w:tc>
        <w:tc>
          <w:tcPr>
            <w:tcW w:w="5805" w:type="dxa"/>
          </w:tcPr>
          <w:p w14:paraId="5007BF3C" w14:textId="77777777" w:rsidR="00721A01" w:rsidRPr="00306115" w:rsidRDefault="00721A01" w:rsidP="00721A01">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Dengan mempertimbangkan aktivitas kegiatan usaha yang dilakukan Manajer Investasi </w:t>
            </w:r>
            <w:r w:rsidRPr="00306115">
              <w:rPr>
                <w:color w:val="000000" w:themeColor="text1"/>
                <w:szCs w:val="24"/>
                <w:lang w:val="en-US"/>
              </w:rPr>
              <w:t>beserta Produk Investasi yang dikelola</w:t>
            </w:r>
            <w:r w:rsidRPr="00306115">
              <w:rPr>
                <w:color w:val="000000" w:themeColor="text1"/>
                <w:szCs w:val="24"/>
              </w:rPr>
              <w:t>, kemungkinan timbulnya dampak paparan dari Risiko Kepatuhan tergolong rendah selama periode waktu tertentu pada masa datang.</w:t>
            </w:r>
          </w:p>
          <w:p w14:paraId="54402F3F" w14:textId="77777777" w:rsidR="00721A01" w:rsidRPr="00306115" w:rsidRDefault="00721A01" w:rsidP="00721A01">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Contoh karakteristik Manajer Investasi yang termasuk dalam peringkat </w:t>
            </w:r>
            <w:r w:rsidRPr="00306115">
              <w:rPr>
                <w:i/>
                <w:iCs/>
                <w:color w:val="000000" w:themeColor="text1"/>
                <w:szCs w:val="24"/>
              </w:rPr>
              <w:t>Low to Moderate</w:t>
            </w:r>
            <w:r w:rsidRPr="00306115">
              <w:rPr>
                <w:color w:val="000000" w:themeColor="text1"/>
                <w:szCs w:val="24"/>
              </w:rPr>
              <w:t xml:space="preserve"> (2) antara lain </w:t>
            </w:r>
            <w:r w:rsidRPr="00306115">
              <w:rPr>
                <w:color w:val="000000" w:themeColor="text1"/>
                <w:szCs w:val="24"/>
                <w:lang w:val="en-US"/>
              </w:rPr>
              <w:t>sebagai</w:t>
            </w:r>
            <w:r w:rsidRPr="00306115">
              <w:rPr>
                <w:color w:val="000000" w:themeColor="text1"/>
                <w:szCs w:val="24"/>
              </w:rPr>
              <w:t xml:space="preserve"> berikut:</w:t>
            </w:r>
          </w:p>
          <w:p w14:paraId="3D61648B" w14:textId="77777777" w:rsidR="00721A01" w:rsidRPr="00306115" w:rsidRDefault="00721A01">
            <w:pPr>
              <w:pStyle w:val="ListParagraph"/>
              <w:numPr>
                <w:ilvl w:val="0"/>
                <w:numId w:val="383"/>
              </w:numPr>
              <w:spacing w:after="0" w:line="240" w:lineRule="auto"/>
              <w:ind w:left="709" w:right="142" w:hanging="567"/>
              <w:contextualSpacing w:val="0"/>
              <w:rPr>
                <w:color w:val="000000" w:themeColor="text1"/>
                <w:szCs w:val="24"/>
              </w:rPr>
            </w:pPr>
            <w:r w:rsidRPr="00306115">
              <w:rPr>
                <w:color w:val="000000" w:themeColor="text1"/>
                <w:szCs w:val="24"/>
              </w:rPr>
              <w:t>Jumlah pelanggaran yang dikenakan sanksi dari OJK rendah.</w:t>
            </w:r>
          </w:p>
          <w:p w14:paraId="5C5B0E79" w14:textId="77777777" w:rsidR="00721A01" w:rsidRPr="00306115" w:rsidRDefault="00721A01">
            <w:pPr>
              <w:pStyle w:val="ListParagraph"/>
              <w:numPr>
                <w:ilvl w:val="0"/>
                <w:numId w:val="383"/>
              </w:numPr>
              <w:spacing w:after="0" w:line="240" w:lineRule="auto"/>
              <w:ind w:left="709" w:right="142" w:hanging="567"/>
              <w:contextualSpacing w:val="0"/>
              <w:rPr>
                <w:color w:val="000000" w:themeColor="text1"/>
                <w:szCs w:val="24"/>
              </w:rPr>
            </w:pPr>
            <w:r w:rsidRPr="00306115">
              <w:rPr>
                <w:color w:val="000000" w:themeColor="text1"/>
                <w:szCs w:val="24"/>
              </w:rPr>
              <w:t>Sanksi terberat yang diterima Manajer Investasi memiliki signifikansi yang rendah terhadap usaha/kegiatan usaha Manajer Investasi.</w:t>
            </w:r>
          </w:p>
          <w:p w14:paraId="31538A04" w14:textId="77777777" w:rsidR="0058303B" w:rsidRPr="00306115" w:rsidRDefault="00721A01">
            <w:pPr>
              <w:pStyle w:val="ListParagraph"/>
              <w:numPr>
                <w:ilvl w:val="0"/>
                <w:numId w:val="383"/>
              </w:numPr>
              <w:spacing w:after="0" w:line="240" w:lineRule="auto"/>
              <w:ind w:left="709" w:right="142" w:hanging="567"/>
              <w:contextualSpacing w:val="0"/>
              <w:rPr>
                <w:color w:val="000000" w:themeColor="text1"/>
                <w:szCs w:val="24"/>
              </w:rPr>
            </w:pPr>
            <w:r w:rsidRPr="00306115">
              <w:rPr>
                <w:color w:val="000000" w:themeColor="text1"/>
                <w:szCs w:val="24"/>
              </w:rPr>
              <w:t>Jumlah surat teguran Bank Kustodian karena pelanggaran aktif Manajer Investasi rendah.</w:t>
            </w:r>
          </w:p>
          <w:p w14:paraId="6B155443" w14:textId="77777777" w:rsidR="00AA67DF" w:rsidRPr="00306115" w:rsidRDefault="00AA67DF">
            <w:pPr>
              <w:pStyle w:val="ListParagraph"/>
              <w:numPr>
                <w:ilvl w:val="0"/>
                <w:numId w:val="383"/>
              </w:numPr>
              <w:spacing w:after="0" w:line="240" w:lineRule="auto"/>
              <w:ind w:left="709" w:right="142" w:hanging="567"/>
              <w:contextualSpacing w:val="0"/>
              <w:rPr>
                <w:color w:val="000000" w:themeColor="text1"/>
                <w:szCs w:val="24"/>
              </w:rPr>
            </w:pPr>
            <w:r w:rsidRPr="00306115">
              <w:rPr>
                <w:color w:val="000000" w:themeColor="text1"/>
                <w:szCs w:val="24"/>
                <w:lang w:val="en-GB"/>
              </w:rPr>
              <w:t>Jumlah Perintah Tindakan Tertentu (PTT) yang dikenakan oleh OJK rendah.</w:t>
            </w:r>
          </w:p>
          <w:p w14:paraId="3EBBE2AF" w14:textId="61B2129A" w:rsidR="00D67AAB" w:rsidRPr="00306115" w:rsidRDefault="00AA67DF">
            <w:pPr>
              <w:pStyle w:val="ListParagraph"/>
              <w:numPr>
                <w:ilvl w:val="0"/>
                <w:numId w:val="383"/>
              </w:numPr>
              <w:spacing w:after="0" w:line="240" w:lineRule="auto"/>
              <w:ind w:left="709" w:right="142" w:hanging="567"/>
              <w:contextualSpacing w:val="0"/>
              <w:rPr>
                <w:color w:val="000000" w:themeColor="text1"/>
                <w:szCs w:val="24"/>
              </w:rPr>
            </w:pPr>
            <w:r w:rsidRPr="00306115">
              <w:rPr>
                <w:color w:val="000000" w:themeColor="text1"/>
                <w:szCs w:val="24"/>
                <w:lang w:val="en-GB"/>
              </w:rPr>
              <w:lastRenderedPageBreak/>
              <w:t>Jumlah</w:t>
            </w:r>
            <w:r w:rsidRPr="00306115">
              <w:rPr>
                <w:i/>
                <w:iCs/>
                <w:color w:val="000000" w:themeColor="text1"/>
                <w:szCs w:val="24"/>
                <w:lang w:val="en-GB"/>
              </w:rPr>
              <w:t xml:space="preserve"> </w:t>
            </w:r>
            <w:r w:rsidR="00543A86" w:rsidRPr="00306115">
              <w:rPr>
                <w:i/>
                <w:iCs/>
                <w:color w:val="000000" w:themeColor="text1"/>
                <w:szCs w:val="24"/>
                <w:lang w:val="id"/>
              </w:rPr>
              <w:t>outstanding</w:t>
            </w:r>
            <w:r w:rsidRPr="00306115">
              <w:rPr>
                <w:color w:val="000000" w:themeColor="text1"/>
                <w:szCs w:val="24"/>
                <w:lang w:val="id"/>
              </w:rPr>
              <w:t xml:space="preserve"> tindakan pembinaan yang belum dipenuhi MI dalam waktu 1 tahun</w:t>
            </w:r>
            <w:r w:rsidRPr="00306115">
              <w:rPr>
                <w:color w:val="000000" w:themeColor="text1"/>
                <w:szCs w:val="24"/>
                <w:lang w:val="en-GB"/>
              </w:rPr>
              <w:t xml:space="preserve"> rendah.</w:t>
            </w:r>
          </w:p>
        </w:tc>
      </w:tr>
      <w:tr w:rsidR="00721A01" w:rsidRPr="00306115" w14:paraId="2A6CD67E" w14:textId="77777777" w:rsidTr="00721A01">
        <w:trPr>
          <w:trHeight w:val="983"/>
        </w:trPr>
        <w:tc>
          <w:tcPr>
            <w:tcW w:w="2127" w:type="dxa"/>
          </w:tcPr>
          <w:p w14:paraId="5C1A1AAF" w14:textId="77777777" w:rsidR="00721A01" w:rsidRPr="00306115" w:rsidRDefault="00721A01" w:rsidP="00721A01">
            <w:pPr>
              <w:pStyle w:val="TableParagraph"/>
              <w:spacing w:before="60" w:after="60"/>
              <w:ind w:left="142" w:right="142"/>
              <w:jc w:val="center"/>
              <w:rPr>
                <w:rFonts w:ascii="Bookman Old Style" w:hAnsi="Bookman Old Style"/>
                <w:i/>
                <w:color w:val="000000" w:themeColor="text1"/>
                <w:sz w:val="24"/>
                <w:szCs w:val="24"/>
              </w:rPr>
            </w:pPr>
            <w:r w:rsidRPr="00306115">
              <w:rPr>
                <w:rFonts w:ascii="Bookman Old Style" w:hAnsi="Bookman Old Style"/>
                <w:i/>
                <w:color w:val="000000" w:themeColor="text1"/>
                <w:sz w:val="24"/>
                <w:szCs w:val="24"/>
              </w:rPr>
              <w:lastRenderedPageBreak/>
              <w:t>Moderate</w:t>
            </w:r>
          </w:p>
          <w:p w14:paraId="707E9D76" w14:textId="77777777" w:rsidR="00721A01" w:rsidRPr="00306115" w:rsidRDefault="00721A01" w:rsidP="00721A01">
            <w:pPr>
              <w:pStyle w:val="TableParagraph"/>
              <w:spacing w:before="60" w:after="60"/>
              <w:ind w:left="142" w:right="142"/>
              <w:jc w:val="center"/>
              <w:rPr>
                <w:rFonts w:ascii="Bookman Old Style" w:hAnsi="Bookman Old Style"/>
                <w:iCs/>
                <w:color w:val="000000" w:themeColor="text1"/>
                <w:sz w:val="24"/>
                <w:szCs w:val="24"/>
              </w:rPr>
            </w:pPr>
            <w:r w:rsidRPr="00306115">
              <w:rPr>
                <w:rFonts w:ascii="Bookman Old Style" w:hAnsi="Bookman Old Style"/>
                <w:iCs/>
                <w:color w:val="000000" w:themeColor="text1"/>
                <w:sz w:val="24"/>
                <w:szCs w:val="24"/>
              </w:rPr>
              <w:t>(3)</w:t>
            </w:r>
          </w:p>
        </w:tc>
        <w:tc>
          <w:tcPr>
            <w:tcW w:w="5805" w:type="dxa"/>
          </w:tcPr>
          <w:p w14:paraId="446BBBAB" w14:textId="77777777" w:rsidR="00721A01" w:rsidRPr="00306115" w:rsidRDefault="00721A01" w:rsidP="00721A01">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Dengan mempertimbangkan aktivitas kegiatan usaha yang dilakukan Manajer Investasi </w:t>
            </w:r>
            <w:r w:rsidRPr="00306115">
              <w:rPr>
                <w:color w:val="000000" w:themeColor="text1"/>
                <w:szCs w:val="24"/>
                <w:lang w:val="en-US"/>
              </w:rPr>
              <w:t>beserta Produk Investasi yang dikelola</w:t>
            </w:r>
            <w:r w:rsidRPr="00306115">
              <w:rPr>
                <w:color w:val="000000" w:themeColor="text1"/>
                <w:szCs w:val="24"/>
              </w:rPr>
              <w:t xml:space="preserve">, kemungkinan timbulnya </w:t>
            </w:r>
            <w:r w:rsidRPr="00306115">
              <w:rPr>
                <w:color w:val="000000" w:themeColor="text1"/>
                <w:szCs w:val="24"/>
                <w:lang w:val="en-US"/>
              </w:rPr>
              <w:t>dampak</w:t>
            </w:r>
            <w:r w:rsidRPr="00306115">
              <w:rPr>
                <w:color w:val="000000" w:themeColor="text1"/>
                <w:szCs w:val="24"/>
              </w:rPr>
              <w:t xml:space="preserve"> paparan dari Risiko Kepatuhan tergolong cukup tinggi selama periode waktu tertentu pada masa datang. </w:t>
            </w:r>
          </w:p>
          <w:p w14:paraId="740B5613" w14:textId="77777777" w:rsidR="00721A01" w:rsidRPr="00306115" w:rsidRDefault="00721A01" w:rsidP="00721A01">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Contoh karakteristik </w:t>
            </w:r>
            <w:r w:rsidRPr="00306115">
              <w:rPr>
                <w:color w:val="000000" w:themeColor="text1"/>
                <w:szCs w:val="24"/>
                <w:lang w:val="en-US"/>
              </w:rPr>
              <w:t>Manajer</w:t>
            </w:r>
            <w:r w:rsidRPr="00306115">
              <w:rPr>
                <w:color w:val="000000" w:themeColor="text1"/>
                <w:szCs w:val="24"/>
              </w:rPr>
              <w:t xml:space="preserve"> Investasi yang termasuk dalam peringkat </w:t>
            </w:r>
            <w:r w:rsidRPr="00306115">
              <w:rPr>
                <w:i/>
                <w:iCs/>
                <w:color w:val="000000" w:themeColor="text1"/>
                <w:szCs w:val="24"/>
              </w:rPr>
              <w:t>Moderate</w:t>
            </w:r>
            <w:r w:rsidRPr="00306115">
              <w:rPr>
                <w:color w:val="000000" w:themeColor="text1"/>
                <w:szCs w:val="24"/>
              </w:rPr>
              <w:t xml:space="preserve"> (3) antara lain sebagai berikut:</w:t>
            </w:r>
          </w:p>
          <w:p w14:paraId="71F217A0" w14:textId="77777777" w:rsidR="00721A01" w:rsidRPr="00306115" w:rsidRDefault="00721A01">
            <w:pPr>
              <w:pStyle w:val="ListParagraph"/>
              <w:numPr>
                <w:ilvl w:val="0"/>
                <w:numId w:val="384"/>
              </w:numPr>
              <w:spacing w:after="0" w:line="240" w:lineRule="auto"/>
              <w:ind w:left="709" w:right="142" w:hanging="567"/>
              <w:contextualSpacing w:val="0"/>
              <w:rPr>
                <w:color w:val="000000" w:themeColor="text1"/>
                <w:szCs w:val="24"/>
              </w:rPr>
            </w:pPr>
            <w:r w:rsidRPr="00306115">
              <w:rPr>
                <w:color w:val="000000" w:themeColor="text1"/>
                <w:szCs w:val="24"/>
              </w:rPr>
              <w:t>Jumlah pelanggaran yang dikenakan sanksi dari OJK cukup tinggi.</w:t>
            </w:r>
          </w:p>
          <w:p w14:paraId="6F8157B9" w14:textId="77777777" w:rsidR="00721A01" w:rsidRPr="00306115" w:rsidRDefault="00721A01">
            <w:pPr>
              <w:pStyle w:val="ListParagraph"/>
              <w:numPr>
                <w:ilvl w:val="0"/>
                <w:numId w:val="384"/>
              </w:numPr>
              <w:spacing w:after="0" w:line="240" w:lineRule="auto"/>
              <w:ind w:left="709" w:right="142" w:hanging="567"/>
              <w:contextualSpacing w:val="0"/>
              <w:rPr>
                <w:color w:val="000000" w:themeColor="text1"/>
                <w:szCs w:val="24"/>
              </w:rPr>
            </w:pPr>
            <w:r w:rsidRPr="00306115">
              <w:rPr>
                <w:color w:val="000000" w:themeColor="text1"/>
                <w:szCs w:val="24"/>
              </w:rPr>
              <w:t>Sanksi terberat yang diterima Manajer Investasi memiliki signifikansi yang cukup tinggi terhadap usaha/kegiatan usaha Manajer Investasi.</w:t>
            </w:r>
          </w:p>
          <w:p w14:paraId="500F4520" w14:textId="77777777" w:rsidR="00721A01" w:rsidRPr="00306115" w:rsidRDefault="00721A01">
            <w:pPr>
              <w:pStyle w:val="ListParagraph"/>
              <w:numPr>
                <w:ilvl w:val="0"/>
                <w:numId w:val="384"/>
              </w:numPr>
              <w:spacing w:after="0" w:line="240" w:lineRule="auto"/>
              <w:ind w:left="709" w:right="142" w:hanging="567"/>
              <w:contextualSpacing w:val="0"/>
              <w:rPr>
                <w:color w:val="000000" w:themeColor="text1"/>
                <w:szCs w:val="24"/>
              </w:rPr>
            </w:pPr>
            <w:r w:rsidRPr="00306115">
              <w:rPr>
                <w:color w:val="000000" w:themeColor="text1"/>
                <w:szCs w:val="24"/>
              </w:rPr>
              <w:t>Jumlah surat teguran Bank Kustodian karena pelanggaran aktif Manajer Investasi cukup tinggi.</w:t>
            </w:r>
          </w:p>
          <w:p w14:paraId="4174532A" w14:textId="77777777" w:rsidR="000B1FF8" w:rsidRPr="00306115" w:rsidRDefault="000B1FF8">
            <w:pPr>
              <w:pStyle w:val="ListParagraph"/>
              <w:numPr>
                <w:ilvl w:val="0"/>
                <w:numId w:val="384"/>
              </w:numPr>
              <w:spacing w:after="0" w:line="240" w:lineRule="auto"/>
              <w:ind w:left="709" w:right="142" w:hanging="567"/>
              <w:contextualSpacing w:val="0"/>
              <w:rPr>
                <w:color w:val="000000" w:themeColor="text1"/>
                <w:szCs w:val="24"/>
              </w:rPr>
            </w:pPr>
            <w:r w:rsidRPr="00306115">
              <w:rPr>
                <w:color w:val="000000" w:themeColor="text1"/>
                <w:szCs w:val="24"/>
                <w:lang w:val="en-GB"/>
              </w:rPr>
              <w:t>Jumlah Perintah Tindakan Tertentu (PTT) yang dikenakan cukup tinggi.</w:t>
            </w:r>
          </w:p>
          <w:p w14:paraId="74DBAC45" w14:textId="6A7F7DA6" w:rsidR="000B1FF8" w:rsidRPr="00306115" w:rsidRDefault="000B1FF8">
            <w:pPr>
              <w:pStyle w:val="ListParagraph"/>
              <w:numPr>
                <w:ilvl w:val="0"/>
                <w:numId w:val="384"/>
              </w:numPr>
              <w:spacing w:after="0" w:line="240" w:lineRule="auto"/>
              <w:ind w:left="709" w:right="142" w:hanging="567"/>
              <w:contextualSpacing w:val="0"/>
              <w:rPr>
                <w:color w:val="000000" w:themeColor="text1"/>
                <w:szCs w:val="24"/>
              </w:rPr>
            </w:pPr>
            <w:r w:rsidRPr="00306115">
              <w:rPr>
                <w:color w:val="000000" w:themeColor="text1"/>
                <w:szCs w:val="24"/>
              </w:rPr>
              <w:t xml:space="preserve">Jumlah </w:t>
            </w:r>
            <w:r w:rsidR="00543A86" w:rsidRPr="00306115">
              <w:rPr>
                <w:i/>
                <w:iCs/>
                <w:color w:val="000000" w:themeColor="text1"/>
                <w:szCs w:val="24"/>
              </w:rPr>
              <w:t>outstanding</w:t>
            </w:r>
            <w:r w:rsidRPr="00306115">
              <w:rPr>
                <w:color w:val="000000" w:themeColor="text1"/>
                <w:szCs w:val="24"/>
              </w:rPr>
              <w:t xml:space="preserve"> tindakan pembinaan yang belum dipenuhi MI dalam waktu 1 tahun </w:t>
            </w:r>
            <w:r w:rsidRPr="00306115">
              <w:rPr>
                <w:color w:val="000000" w:themeColor="text1"/>
                <w:szCs w:val="24"/>
                <w:lang w:val="en-GB"/>
              </w:rPr>
              <w:t>cukup tinggi.</w:t>
            </w:r>
          </w:p>
        </w:tc>
      </w:tr>
      <w:tr w:rsidR="00721A01" w:rsidRPr="00306115" w14:paraId="7461F58A" w14:textId="77777777" w:rsidTr="00721A01">
        <w:trPr>
          <w:trHeight w:val="982"/>
        </w:trPr>
        <w:tc>
          <w:tcPr>
            <w:tcW w:w="2127" w:type="dxa"/>
          </w:tcPr>
          <w:p w14:paraId="2C6D6A54" w14:textId="77777777" w:rsidR="00721A01" w:rsidRPr="00306115" w:rsidRDefault="00721A01" w:rsidP="00721A01">
            <w:pPr>
              <w:pStyle w:val="TableParagraph"/>
              <w:spacing w:before="60" w:after="60"/>
              <w:ind w:left="142" w:right="142"/>
              <w:jc w:val="center"/>
              <w:rPr>
                <w:rFonts w:ascii="Bookman Old Style" w:hAnsi="Bookman Old Style"/>
                <w:i/>
                <w:color w:val="000000" w:themeColor="text1"/>
                <w:sz w:val="24"/>
                <w:szCs w:val="24"/>
              </w:rPr>
            </w:pPr>
            <w:r w:rsidRPr="00306115">
              <w:rPr>
                <w:rFonts w:ascii="Bookman Old Style" w:hAnsi="Bookman Old Style"/>
                <w:i/>
                <w:color w:val="000000" w:themeColor="text1"/>
                <w:sz w:val="24"/>
                <w:szCs w:val="24"/>
              </w:rPr>
              <w:t xml:space="preserve">Moderate to High </w:t>
            </w:r>
            <w:r w:rsidRPr="00306115">
              <w:rPr>
                <w:rFonts w:ascii="Bookman Old Style" w:hAnsi="Bookman Old Style"/>
                <w:iCs/>
                <w:color w:val="000000" w:themeColor="text1"/>
                <w:sz w:val="24"/>
                <w:szCs w:val="24"/>
              </w:rPr>
              <w:t>(4)</w:t>
            </w:r>
          </w:p>
        </w:tc>
        <w:tc>
          <w:tcPr>
            <w:tcW w:w="5805" w:type="dxa"/>
          </w:tcPr>
          <w:p w14:paraId="7C94E816" w14:textId="77777777" w:rsidR="00721A01" w:rsidRPr="00306115" w:rsidRDefault="00721A01" w:rsidP="00721A01">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Dengan mempertimbangkan aktivitas kegiatan usaha yang dilakukan Manajer Investasi </w:t>
            </w:r>
            <w:r w:rsidRPr="00306115">
              <w:rPr>
                <w:color w:val="000000" w:themeColor="text1"/>
                <w:szCs w:val="24"/>
                <w:lang w:val="en-US"/>
              </w:rPr>
              <w:t>beserta Produk Investasi yang dikelola</w:t>
            </w:r>
            <w:r w:rsidRPr="00306115">
              <w:rPr>
                <w:color w:val="000000" w:themeColor="text1"/>
                <w:szCs w:val="24"/>
              </w:rPr>
              <w:t>, kemungkinan timbulnya dampak paparan dari Risiko Kepatuhan tergolong tinggi selama periode waktu tertentu pada masa datang.</w:t>
            </w:r>
          </w:p>
          <w:p w14:paraId="77989072" w14:textId="77777777" w:rsidR="00721A01" w:rsidRPr="00306115" w:rsidRDefault="00721A01" w:rsidP="00721A01">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Contoh karakteristik Manajer Investasi yang termasuk dalam peringkat </w:t>
            </w:r>
            <w:r w:rsidRPr="00306115">
              <w:rPr>
                <w:i/>
                <w:color w:val="000000" w:themeColor="text1"/>
                <w:szCs w:val="24"/>
              </w:rPr>
              <w:t xml:space="preserve">Moderate to High </w:t>
            </w:r>
            <w:r w:rsidRPr="00306115">
              <w:rPr>
                <w:color w:val="000000" w:themeColor="text1"/>
                <w:szCs w:val="24"/>
              </w:rPr>
              <w:t>(4) antara lain sebagai berikut:</w:t>
            </w:r>
          </w:p>
          <w:p w14:paraId="32EA5A61" w14:textId="77777777" w:rsidR="00721A01" w:rsidRPr="00306115" w:rsidRDefault="00721A01">
            <w:pPr>
              <w:pStyle w:val="ListParagraph"/>
              <w:numPr>
                <w:ilvl w:val="0"/>
                <w:numId w:val="385"/>
              </w:numPr>
              <w:spacing w:after="0" w:line="240" w:lineRule="auto"/>
              <w:ind w:left="709" w:right="142" w:hanging="567"/>
              <w:contextualSpacing w:val="0"/>
              <w:rPr>
                <w:color w:val="000000" w:themeColor="text1"/>
                <w:szCs w:val="24"/>
              </w:rPr>
            </w:pPr>
            <w:r w:rsidRPr="00306115">
              <w:rPr>
                <w:color w:val="000000" w:themeColor="text1"/>
                <w:szCs w:val="24"/>
              </w:rPr>
              <w:t>Jumlah pelanggaran yang dikenakan sanksi dari OJK tinggi.</w:t>
            </w:r>
          </w:p>
          <w:p w14:paraId="639A038B" w14:textId="77777777" w:rsidR="00721A01" w:rsidRPr="00306115" w:rsidRDefault="00721A01">
            <w:pPr>
              <w:pStyle w:val="ListParagraph"/>
              <w:numPr>
                <w:ilvl w:val="0"/>
                <w:numId w:val="385"/>
              </w:numPr>
              <w:spacing w:after="0" w:line="240" w:lineRule="auto"/>
              <w:ind w:left="709" w:right="142" w:hanging="567"/>
              <w:contextualSpacing w:val="0"/>
              <w:rPr>
                <w:color w:val="000000" w:themeColor="text1"/>
                <w:szCs w:val="24"/>
              </w:rPr>
            </w:pPr>
            <w:r w:rsidRPr="00306115">
              <w:rPr>
                <w:color w:val="000000" w:themeColor="text1"/>
                <w:szCs w:val="24"/>
              </w:rPr>
              <w:t>Sanksi terberat yang diterima Manajer Investasi memiliki signifikansi yang tinggi terhadap usaha/kegiatan usaha Manajer Investasi.</w:t>
            </w:r>
          </w:p>
          <w:p w14:paraId="2686D034" w14:textId="77777777" w:rsidR="00721A01" w:rsidRPr="00306115" w:rsidRDefault="00721A01">
            <w:pPr>
              <w:pStyle w:val="ListParagraph"/>
              <w:numPr>
                <w:ilvl w:val="0"/>
                <w:numId w:val="385"/>
              </w:numPr>
              <w:spacing w:after="0" w:line="240" w:lineRule="auto"/>
              <w:ind w:left="709" w:right="142" w:hanging="567"/>
              <w:contextualSpacing w:val="0"/>
              <w:rPr>
                <w:color w:val="000000" w:themeColor="text1"/>
                <w:szCs w:val="24"/>
              </w:rPr>
            </w:pPr>
            <w:r w:rsidRPr="00306115">
              <w:rPr>
                <w:color w:val="000000" w:themeColor="text1"/>
                <w:szCs w:val="24"/>
              </w:rPr>
              <w:t>Jumlah surat teguran Bank Kustodian karena pelanggaran aktif Manajer Investasi tinggi.</w:t>
            </w:r>
          </w:p>
          <w:p w14:paraId="5D6278B3" w14:textId="77777777" w:rsidR="002A602E" w:rsidRPr="00306115" w:rsidRDefault="002A602E">
            <w:pPr>
              <w:pStyle w:val="ListParagraph"/>
              <w:numPr>
                <w:ilvl w:val="0"/>
                <w:numId w:val="385"/>
              </w:numPr>
              <w:spacing w:after="0" w:line="240" w:lineRule="auto"/>
              <w:ind w:left="709" w:right="142" w:hanging="567"/>
              <w:contextualSpacing w:val="0"/>
              <w:rPr>
                <w:color w:val="000000" w:themeColor="text1"/>
                <w:szCs w:val="24"/>
              </w:rPr>
            </w:pPr>
            <w:r w:rsidRPr="00306115">
              <w:rPr>
                <w:color w:val="000000" w:themeColor="text1"/>
                <w:szCs w:val="24"/>
              </w:rPr>
              <w:t xml:space="preserve">Jumlah Perintah Tindakan Tertentu (PTT) yang dikenakan oleh OJK </w:t>
            </w:r>
            <w:r w:rsidRPr="00306115">
              <w:rPr>
                <w:color w:val="000000" w:themeColor="text1"/>
                <w:szCs w:val="24"/>
                <w:lang w:val="en-GB"/>
              </w:rPr>
              <w:t>tinggi.</w:t>
            </w:r>
          </w:p>
          <w:p w14:paraId="1CEE132A" w14:textId="160F22B7" w:rsidR="002A602E" w:rsidRPr="00306115" w:rsidRDefault="002A602E">
            <w:pPr>
              <w:pStyle w:val="ListParagraph"/>
              <w:numPr>
                <w:ilvl w:val="0"/>
                <w:numId w:val="385"/>
              </w:numPr>
              <w:spacing w:after="0" w:line="240" w:lineRule="auto"/>
              <w:ind w:left="709" w:right="142" w:hanging="567"/>
              <w:contextualSpacing w:val="0"/>
              <w:rPr>
                <w:color w:val="000000" w:themeColor="text1"/>
                <w:szCs w:val="24"/>
              </w:rPr>
            </w:pPr>
            <w:r w:rsidRPr="00306115">
              <w:rPr>
                <w:color w:val="000000" w:themeColor="text1"/>
                <w:szCs w:val="24"/>
              </w:rPr>
              <w:t xml:space="preserve">Jumlah </w:t>
            </w:r>
            <w:r w:rsidR="00543A86" w:rsidRPr="00306115">
              <w:rPr>
                <w:i/>
                <w:iCs/>
                <w:color w:val="000000" w:themeColor="text1"/>
                <w:szCs w:val="24"/>
              </w:rPr>
              <w:t>outstanding</w:t>
            </w:r>
            <w:r w:rsidRPr="00306115">
              <w:rPr>
                <w:color w:val="000000" w:themeColor="text1"/>
                <w:szCs w:val="24"/>
              </w:rPr>
              <w:t xml:space="preserve"> tindakan pembinaan yang belum dipenuhi MI dalam waktu 1 tahun </w:t>
            </w:r>
            <w:r w:rsidRPr="00306115">
              <w:rPr>
                <w:color w:val="000000" w:themeColor="text1"/>
                <w:szCs w:val="24"/>
                <w:lang w:val="en-GB"/>
              </w:rPr>
              <w:t>tinggi.</w:t>
            </w:r>
          </w:p>
        </w:tc>
      </w:tr>
      <w:tr w:rsidR="00721A01" w:rsidRPr="00306115" w14:paraId="3DC88005" w14:textId="77777777" w:rsidTr="00721A01">
        <w:trPr>
          <w:trHeight w:val="982"/>
        </w:trPr>
        <w:tc>
          <w:tcPr>
            <w:tcW w:w="2127" w:type="dxa"/>
          </w:tcPr>
          <w:p w14:paraId="6D15B3AE" w14:textId="77777777" w:rsidR="00721A01" w:rsidRPr="00306115" w:rsidRDefault="00721A01" w:rsidP="00721A01">
            <w:pPr>
              <w:pStyle w:val="TableParagraph"/>
              <w:spacing w:before="60" w:after="60"/>
              <w:ind w:left="142" w:right="142"/>
              <w:jc w:val="center"/>
              <w:rPr>
                <w:rFonts w:ascii="Bookman Old Style" w:hAnsi="Bookman Old Style"/>
                <w:i/>
                <w:color w:val="000000" w:themeColor="text1"/>
                <w:sz w:val="24"/>
                <w:szCs w:val="24"/>
              </w:rPr>
            </w:pPr>
            <w:r w:rsidRPr="00306115">
              <w:rPr>
                <w:rFonts w:ascii="Bookman Old Style" w:hAnsi="Bookman Old Style"/>
                <w:i/>
                <w:color w:val="000000" w:themeColor="text1"/>
                <w:sz w:val="24"/>
                <w:szCs w:val="24"/>
              </w:rPr>
              <w:t>High</w:t>
            </w:r>
            <w:r w:rsidRPr="00306115">
              <w:rPr>
                <w:rFonts w:ascii="Bookman Old Style" w:hAnsi="Bookman Old Style"/>
                <w:iCs/>
                <w:color w:val="000000" w:themeColor="text1"/>
                <w:sz w:val="24"/>
                <w:szCs w:val="24"/>
              </w:rPr>
              <w:t xml:space="preserve"> (5)</w:t>
            </w:r>
          </w:p>
        </w:tc>
        <w:tc>
          <w:tcPr>
            <w:tcW w:w="5805" w:type="dxa"/>
          </w:tcPr>
          <w:p w14:paraId="749B007C" w14:textId="77777777" w:rsidR="00721A01" w:rsidRPr="00306115" w:rsidRDefault="00721A01" w:rsidP="00721A01">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Dengan mempertimbangkan aktivitas kegiatan usaha yang dilakukan Manajer Investasi </w:t>
            </w:r>
            <w:r w:rsidRPr="00306115">
              <w:rPr>
                <w:color w:val="000000" w:themeColor="text1"/>
                <w:szCs w:val="24"/>
                <w:lang w:val="en-US"/>
              </w:rPr>
              <w:t>beserta Produk Investasi yang dikelola</w:t>
            </w:r>
            <w:r w:rsidRPr="00306115">
              <w:rPr>
                <w:color w:val="000000" w:themeColor="text1"/>
                <w:szCs w:val="24"/>
              </w:rPr>
              <w:t xml:space="preserve">, </w:t>
            </w:r>
            <w:r w:rsidRPr="00306115">
              <w:rPr>
                <w:color w:val="000000" w:themeColor="text1"/>
                <w:szCs w:val="24"/>
              </w:rPr>
              <w:lastRenderedPageBreak/>
              <w:t xml:space="preserve">kemungkinan dampak paparan dari Risiko Kepatuhan tergolong sangat tinggi selama periode waktu tertentu pada masa datang. </w:t>
            </w:r>
          </w:p>
          <w:p w14:paraId="796E9300" w14:textId="77777777" w:rsidR="00721A01" w:rsidRPr="00306115" w:rsidRDefault="00721A01" w:rsidP="00721A01">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Contoh karakteristik Manajer Investasi yang termasuk dalam peringkat </w:t>
            </w:r>
            <w:r w:rsidRPr="00306115">
              <w:rPr>
                <w:i/>
                <w:iCs/>
                <w:color w:val="000000" w:themeColor="text1"/>
                <w:szCs w:val="24"/>
              </w:rPr>
              <w:t>High</w:t>
            </w:r>
            <w:r w:rsidRPr="00306115">
              <w:rPr>
                <w:color w:val="000000" w:themeColor="text1"/>
                <w:szCs w:val="24"/>
              </w:rPr>
              <w:t xml:space="preserve"> (5) antara lain sebagai berikut:</w:t>
            </w:r>
          </w:p>
          <w:p w14:paraId="220A4DE1" w14:textId="77777777" w:rsidR="00721A01" w:rsidRPr="00306115" w:rsidRDefault="00721A01">
            <w:pPr>
              <w:pStyle w:val="ListParagraph"/>
              <w:numPr>
                <w:ilvl w:val="0"/>
                <w:numId w:val="386"/>
              </w:numPr>
              <w:spacing w:after="0" w:line="240" w:lineRule="auto"/>
              <w:ind w:left="709" w:right="142" w:hanging="567"/>
              <w:contextualSpacing w:val="0"/>
              <w:rPr>
                <w:color w:val="000000" w:themeColor="text1"/>
                <w:szCs w:val="24"/>
              </w:rPr>
            </w:pPr>
            <w:r w:rsidRPr="00306115">
              <w:rPr>
                <w:color w:val="000000" w:themeColor="text1"/>
                <w:szCs w:val="24"/>
              </w:rPr>
              <w:t>Jumlah pelanggaran yang dikenakan sanksi dari OJK sangat tinggi.</w:t>
            </w:r>
          </w:p>
          <w:p w14:paraId="005A735B" w14:textId="77777777" w:rsidR="00721A01" w:rsidRPr="00306115" w:rsidRDefault="00721A01">
            <w:pPr>
              <w:pStyle w:val="ListParagraph"/>
              <w:numPr>
                <w:ilvl w:val="0"/>
                <w:numId w:val="386"/>
              </w:numPr>
              <w:spacing w:after="0" w:line="240" w:lineRule="auto"/>
              <w:ind w:left="709" w:right="142" w:hanging="567"/>
              <w:contextualSpacing w:val="0"/>
              <w:rPr>
                <w:color w:val="000000" w:themeColor="text1"/>
                <w:szCs w:val="24"/>
              </w:rPr>
            </w:pPr>
            <w:r w:rsidRPr="00306115">
              <w:rPr>
                <w:color w:val="000000" w:themeColor="text1"/>
                <w:szCs w:val="24"/>
              </w:rPr>
              <w:t>Sanksi terberat yang diterima Manajer Investasi memiliki signifikansi yang sangat tinggi terhadap usaha/kegiatan usaha Manajer Investasi</w:t>
            </w:r>
          </w:p>
          <w:p w14:paraId="29080988" w14:textId="77777777" w:rsidR="00721A01" w:rsidRPr="00306115" w:rsidRDefault="00721A01">
            <w:pPr>
              <w:pStyle w:val="ListParagraph"/>
              <w:numPr>
                <w:ilvl w:val="0"/>
                <w:numId w:val="386"/>
              </w:numPr>
              <w:spacing w:after="0" w:line="240" w:lineRule="auto"/>
              <w:ind w:left="709" w:right="142" w:hanging="567"/>
              <w:contextualSpacing w:val="0"/>
              <w:rPr>
                <w:color w:val="000000" w:themeColor="text1"/>
                <w:szCs w:val="24"/>
              </w:rPr>
            </w:pPr>
            <w:r w:rsidRPr="00306115">
              <w:rPr>
                <w:color w:val="000000" w:themeColor="text1"/>
                <w:szCs w:val="24"/>
              </w:rPr>
              <w:t>Jumlah surat teguran Bank Kustodian karena pelanggaran aktif Manajer Investasi sangat tinggi.</w:t>
            </w:r>
          </w:p>
          <w:p w14:paraId="0675EE0A" w14:textId="77777777" w:rsidR="00A562B9" w:rsidRPr="00306115" w:rsidRDefault="00A562B9">
            <w:pPr>
              <w:pStyle w:val="ListParagraph"/>
              <w:numPr>
                <w:ilvl w:val="0"/>
                <w:numId w:val="386"/>
              </w:numPr>
              <w:spacing w:after="0" w:line="240" w:lineRule="auto"/>
              <w:ind w:left="709" w:right="142" w:hanging="567"/>
              <w:contextualSpacing w:val="0"/>
              <w:rPr>
                <w:color w:val="000000" w:themeColor="text1"/>
                <w:szCs w:val="24"/>
              </w:rPr>
            </w:pPr>
            <w:r w:rsidRPr="00306115">
              <w:rPr>
                <w:color w:val="000000" w:themeColor="text1"/>
                <w:szCs w:val="24"/>
              </w:rPr>
              <w:t xml:space="preserve">Jumlah Perintah Tindakan Tertentu (PTT) yang dikenakan oleh OJK </w:t>
            </w:r>
            <w:r w:rsidRPr="00306115">
              <w:rPr>
                <w:color w:val="000000" w:themeColor="text1"/>
                <w:szCs w:val="24"/>
                <w:lang w:val="en-GB"/>
              </w:rPr>
              <w:t>sangat tinggi.</w:t>
            </w:r>
          </w:p>
          <w:p w14:paraId="346264F9" w14:textId="491580C8" w:rsidR="00A562B9" w:rsidRPr="00306115" w:rsidRDefault="00A562B9">
            <w:pPr>
              <w:pStyle w:val="ListParagraph"/>
              <w:numPr>
                <w:ilvl w:val="0"/>
                <w:numId w:val="386"/>
              </w:numPr>
              <w:spacing w:after="0" w:line="240" w:lineRule="auto"/>
              <w:ind w:left="709" w:right="142" w:hanging="567"/>
              <w:contextualSpacing w:val="0"/>
              <w:rPr>
                <w:color w:val="000000" w:themeColor="text1"/>
                <w:szCs w:val="24"/>
              </w:rPr>
            </w:pPr>
            <w:r w:rsidRPr="00306115">
              <w:rPr>
                <w:color w:val="000000" w:themeColor="text1"/>
                <w:szCs w:val="24"/>
              </w:rPr>
              <w:t xml:space="preserve">Jumlah </w:t>
            </w:r>
            <w:r w:rsidR="00543A86" w:rsidRPr="00306115">
              <w:rPr>
                <w:i/>
                <w:iCs/>
                <w:color w:val="000000" w:themeColor="text1"/>
                <w:szCs w:val="24"/>
              </w:rPr>
              <w:t>outstanding</w:t>
            </w:r>
            <w:r w:rsidRPr="00306115">
              <w:rPr>
                <w:color w:val="000000" w:themeColor="text1"/>
                <w:szCs w:val="24"/>
              </w:rPr>
              <w:t xml:space="preserve"> tindakan pembinaan yang belum dipenuhi MI dalam waktu 1 tahun </w:t>
            </w:r>
            <w:r w:rsidRPr="00306115">
              <w:rPr>
                <w:color w:val="000000" w:themeColor="text1"/>
                <w:szCs w:val="24"/>
                <w:lang w:val="en-GB"/>
              </w:rPr>
              <w:t>sangat tinggi.</w:t>
            </w:r>
          </w:p>
        </w:tc>
      </w:tr>
    </w:tbl>
    <w:p w14:paraId="0A041573" w14:textId="77777777" w:rsidR="00721A01" w:rsidRPr="00306115" w:rsidRDefault="00721A01" w:rsidP="00721A01">
      <w:pPr>
        <w:pStyle w:val="HeadingAwalDaftarIsiLampiran"/>
        <w:numPr>
          <w:ilvl w:val="0"/>
          <w:numId w:val="0"/>
        </w:numPr>
        <w:ind w:left="1134"/>
      </w:pPr>
    </w:p>
    <w:p w14:paraId="2D02787D" w14:textId="77777777" w:rsidR="00451E35" w:rsidRPr="00306115" w:rsidRDefault="00451E35">
      <w:pPr>
        <w:pStyle w:val="HeadingAwalDaftarIsiLampiran"/>
        <w:numPr>
          <w:ilvl w:val="4"/>
          <w:numId w:val="295"/>
        </w:numPr>
        <w:ind w:left="1134" w:hanging="567"/>
      </w:pPr>
      <w:r w:rsidRPr="00306115">
        <w:t>Matriks Penetapan Kualitas Penerapan Manajemen Risiko</w:t>
      </w:r>
    </w:p>
    <w:tbl>
      <w:tblPr>
        <w:tblStyle w:val="TableGrid"/>
        <w:tblW w:w="0" w:type="auto"/>
        <w:tblInd w:w="1129" w:type="dxa"/>
        <w:tblLook w:val="04A0" w:firstRow="1" w:lastRow="0" w:firstColumn="1" w:lastColumn="0" w:noHBand="0" w:noVBand="1"/>
      </w:tblPr>
      <w:tblGrid>
        <w:gridCol w:w="2176"/>
        <w:gridCol w:w="5756"/>
      </w:tblGrid>
      <w:tr w:rsidR="00BD1EBD" w:rsidRPr="00306115" w14:paraId="3FD87C8F" w14:textId="77777777" w:rsidTr="00BD1EBD">
        <w:trPr>
          <w:tblHeader/>
        </w:trPr>
        <w:tc>
          <w:tcPr>
            <w:tcW w:w="2127" w:type="dxa"/>
            <w:shd w:val="clear" w:color="auto" w:fill="D9D9D9" w:themeFill="background1" w:themeFillShade="D9"/>
            <w:vAlign w:val="center"/>
          </w:tcPr>
          <w:p w14:paraId="7E26335D" w14:textId="77777777" w:rsidR="00BD1EBD" w:rsidRPr="00306115" w:rsidRDefault="00BD1EBD" w:rsidP="00BD1EBD">
            <w:pPr>
              <w:spacing w:before="60" w:after="60"/>
              <w:ind w:left="142" w:right="142"/>
              <w:jc w:val="center"/>
              <w:rPr>
                <w:color w:val="000000" w:themeColor="text1"/>
                <w:szCs w:val="24"/>
              </w:rPr>
            </w:pPr>
            <w:r w:rsidRPr="00306115">
              <w:rPr>
                <w:color w:val="000000" w:themeColor="text1"/>
                <w:szCs w:val="24"/>
              </w:rPr>
              <w:t>Peringkat</w:t>
            </w:r>
          </w:p>
        </w:tc>
        <w:tc>
          <w:tcPr>
            <w:tcW w:w="5805" w:type="dxa"/>
            <w:shd w:val="clear" w:color="auto" w:fill="D9D9D9" w:themeFill="background1" w:themeFillShade="D9"/>
            <w:vAlign w:val="center"/>
          </w:tcPr>
          <w:p w14:paraId="1A8D7544" w14:textId="77777777" w:rsidR="00BD1EBD" w:rsidRPr="00306115" w:rsidRDefault="00BD1EBD" w:rsidP="00BD1EBD">
            <w:pPr>
              <w:ind w:left="142" w:right="142"/>
              <w:jc w:val="center"/>
              <w:rPr>
                <w:color w:val="000000" w:themeColor="text1"/>
                <w:szCs w:val="24"/>
              </w:rPr>
            </w:pPr>
            <w:r w:rsidRPr="00306115">
              <w:rPr>
                <w:color w:val="000000" w:themeColor="text1"/>
                <w:szCs w:val="24"/>
              </w:rPr>
              <w:t>Definisi Peringkat</w:t>
            </w:r>
          </w:p>
        </w:tc>
      </w:tr>
      <w:tr w:rsidR="00BD1EBD" w:rsidRPr="00306115" w14:paraId="6092FB96" w14:textId="77777777" w:rsidTr="00BD1EBD">
        <w:tc>
          <w:tcPr>
            <w:tcW w:w="2127" w:type="dxa"/>
          </w:tcPr>
          <w:p w14:paraId="6F2F3F08" w14:textId="77777777" w:rsidR="00BD1EBD" w:rsidRPr="00306115" w:rsidRDefault="00BD1EBD" w:rsidP="00BD1EBD">
            <w:pPr>
              <w:pStyle w:val="BodyText"/>
              <w:numPr>
                <w:ilvl w:val="0"/>
                <w:numId w:val="0"/>
              </w:numPr>
              <w:spacing w:before="60" w:after="60"/>
              <w:ind w:left="142" w:right="142"/>
              <w:jc w:val="center"/>
              <w:rPr>
                <w:color w:val="000000" w:themeColor="text1"/>
              </w:rPr>
            </w:pPr>
            <w:r w:rsidRPr="00306115">
              <w:rPr>
                <w:i/>
                <w:iCs/>
                <w:color w:val="000000" w:themeColor="text1"/>
              </w:rPr>
              <w:t>Strong</w:t>
            </w:r>
            <w:r w:rsidRPr="00306115">
              <w:rPr>
                <w:color w:val="000000" w:themeColor="text1"/>
              </w:rPr>
              <w:t xml:space="preserve"> (1)</w:t>
            </w:r>
          </w:p>
        </w:tc>
        <w:tc>
          <w:tcPr>
            <w:tcW w:w="5805" w:type="dxa"/>
          </w:tcPr>
          <w:p w14:paraId="029201E2" w14:textId="77777777" w:rsidR="00BD1EBD" w:rsidRPr="00306115" w:rsidRDefault="00BD1EBD" w:rsidP="00BD1EBD">
            <w:pPr>
              <w:ind w:left="142" w:right="142"/>
              <w:rPr>
                <w:color w:val="000000" w:themeColor="text1"/>
                <w:szCs w:val="24"/>
              </w:rPr>
            </w:pPr>
            <w:r w:rsidRPr="00306115">
              <w:rPr>
                <w:color w:val="000000" w:themeColor="text1"/>
                <w:szCs w:val="24"/>
              </w:rPr>
              <w:t>Kualitas penerapan Manajemen Risiko untuk Risiko Kepatuhan sangat memadai. Meskipun terdapat kelemahan minor, tetapi kelemahan tersebut tidak signifikan sehingga dapat diabaikan.</w:t>
            </w:r>
          </w:p>
          <w:p w14:paraId="365EE4D6" w14:textId="133A349C" w:rsidR="00BD1EBD" w:rsidRPr="00306115" w:rsidRDefault="00BD1EBD" w:rsidP="00BD1EBD">
            <w:pPr>
              <w:ind w:left="142" w:right="142"/>
              <w:rPr>
                <w:color w:val="000000" w:themeColor="text1"/>
                <w:szCs w:val="24"/>
              </w:rPr>
            </w:pPr>
            <w:r w:rsidRPr="00306115">
              <w:rPr>
                <w:color w:val="000000" w:themeColor="text1"/>
                <w:szCs w:val="24"/>
              </w:rPr>
              <w:t xml:space="preserve">Contoh </w:t>
            </w:r>
            <w:r w:rsidR="00764ECF" w:rsidRPr="00306115">
              <w:rPr>
                <w:color w:val="000000" w:themeColor="text1"/>
                <w:szCs w:val="24"/>
              </w:rPr>
              <w:t>karakteristik/kondisi</w:t>
            </w:r>
            <w:r w:rsidRPr="00306115">
              <w:rPr>
                <w:color w:val="000000" w:themeColor="text1"/>
                <w:szCs w:val="24"/>
              </w:rPr>
              <w:t xml:space="preserve"> Manajer Investasi yang termasuk dalam peringkat </w:t>
            </w:r>
            <w:r w:rsidRPr="00306115">
              <w:rPr>
                <w:i/>
                <w:color w:val="000000" w:themeColor="text1"/>
                <w:szCs w:val="24"/>
              </w:rPr>
              <w:t xml:space="preserve">Strong </w:t>
            </w:r>
            <w:r w:rsidRPr="00306115">
              <w:rPr>
                <w:color w:val="000000" w:themeColor="text1"/>
                <w:szCs w:val="24"/>
              </w:rPr>
              <w:t>(1) antara lain sebagai berikut:</w:t>
            </w:r>
          </w:p>
          <w:p w14:paraId="717DC640" w14:textId="77777777" w:rsidR="00BD1EBD" w:rsidRPr="00306115" w:rsidRDefault="00BD1EBD">
            <w:pPr>
              <w:pStyle w:val="ListParagraph"/>
              <w:numPr>
                <w:ilvl w:val="0"/>
                <w:numId w:val="387"/>
              </w:numPr>
              <w:ind w:left="709" w:right="142" w:hanging="567"/>
              <w:contextualSpacing w:val="0"/>
              <w:rPr>
                <w:color w:val="000000" w:themeColor="text1"/>
                <w:szCs w:val="24"/>
              </w:rPr>
            </w:pPr>
            <w:r w:rsidRPr="00306115">
              <w:rPr>
                <w:color w:val="000000" w:themeColor="text1"/>
                <w:szCs w:val="24"/>
              </w:rPr>
              <w:t>Perumusan tingkat risiko yang akan diambil (</w:t>
            </w:r>
            <w:r w:rsidRPr="00306115">
              <w:rPr>
                <w:i/>
                <w:iCs/>
                <w:color w:val="000000" w:themeColor="text1"/>
                <w:szCs w:val="24"/>
              </w:rPr>
              <w:t>risk appetite</w:t>
            </w:r>
            <w:r w:rsidRPr="00306115">
              <w:rPr>
                <w:color w:val="000000" w:themeColor="text1"/>
                <w:szCs w:val="24"/>
              </w:rPr>
              <w:t>) dan toleransi (</w:t>
            </w:r>
            <w:r w:rsidRPr="00306115">
              <w:rPr>
                <w:i/>
                <w:iCs/>
                <w:color w:val="000000" w:themeColor="text1"/>
                <w:szCs w:val="24"/>
              </w:rPr>
              <w:t>risk tolerance</w:t>
            </w:r>
            <w:r w:rsidRPr="00306115">
              <w:rPr>
                <w:color w:val="000000" w:themeColor="text1"/>
                <w:szCs w:val="24"/>
              </w:rPr>
              <w:t>) Risiko Kepatuhan sangat memadai dan telah sejalan dengan strategi dan tujuan bisnis secara keseluruhan.</w:t>
            </w:r>
          </w:p>
          <w:p w14:paraId="012B744C" w14:textId="77777777" w:rsidR="00BD1EBD" w:rsidRPr="00306115" w:rsidRDefault="00BD1EBD">
            <w:pPr>
              <w:pStyle w:val="ListParagraph"/>
              <w:numPr>
                <w:ilvl w:val="0"/>
                <w:numId w:val="387"/>
              </w:numPr>
              <w:ind w:left="709" w:right="142" w:hanging="567"/>
              <w:contextualSpacing w:val="0"/>
              <w:rPr>
                <w:color w:val="000000" w:themeColor="text1"/>
                <w:szCs w:val="24"/>
              </w:rPr>
            </w:pPr>
            <w:r w:rsidRPr="00306115">
              <w:rPr>
                <w:color w:val="000000" w:themeColor="text1"/>
                <w:szCs w:val="24"/>
              </w:rPr>
              <w:t>Kesadaran (</w:t>
            </w:r>
            <w:r w:rsidRPr="00306115">
              <w:rPr>
                <w:i/>
                <w:color w:val="000000" w:themeColor="text1"/>
                <w:szCs w:val="24"/>
              </w:rPr>
              <w:t>awareness</w:t>
            </w:r>
            <w:r w:rsidRPr="00306115">
              <w:rPr>
                <w:color w:val="000000" w:themeColor="text1"/>
                <w:szCs w:val="24"/>
              </w:rPr>
              <w:t>) dan pemahaman Direksi dan Dewan Komisaris sangat tinggi atau sangat memadai mengenai pelaksanaan Manajemen Risiko, terutama terkait jenis dan tingkat risiko untuk untuk Risiko Kepatuhan.</w:t>
            </w:r>
          </w:p>
          <w:p w14:paraId="7B194293" w14:textId="77777777" w:rsidR="00BD1EBD" w:rsidRPr="00306115" w:rsidRDefault="00BD1EBD">
            <w:pPr>
              <w:pStyle w:val="ListParagraph"/>
              <w:numPr>
                <w:ilvl w:val="0"/>
                <w:numId w:val="387"/>
              </w:numPr>
              <w:ind w:left="709" w:right="142" w:hanging="567"/>
              <w:contextualSpacing w:val="0"/>
              <w:rPr>
                <w:color w:val="000000" w:themeColor="text1"/>
                <w:szCs w:val="24"/>
              </w:rPr>
            </w:pPr>
            <w:r w:rsidRPr="00306115">
              <w:rPr>
                <w:color w:val="000000" w:themeColor="text1"/>
                <w:szCs w:val="24"/>
              </w:rPr>
              <w:t xml:space="preserve">Budaya Manajemen Risiko untuk Risiko Kepatuhan sangat kuat dan telah diinternalisasikan dengan sangat baik pada seluruh level organisasi. </w:t>
            </w:r>
          </w:p>
          <w:p w14:paraId="131BFFBC" w14:textId="77777777" w:rsidR="00BD1EBD" w:rsidRPr="00306115" w:rsidRDefault="00BD1EBD">
            <w:pPr>
              <w:pStyle w:val="ListParagraph"/>
              <w:numPr>
                <w:ilvl w:val="0"/>
                <w:numId w:val="387"/>
              </w:numPr>
              <w:ind w:left="709" w:right="142" w:hanging="567"/>
              <w:contextualSpacing w:val="0"/>
              <w:rPr>
                <w:color w:val="000000" w:themeColor="text1"/>
                <w:szCs w:val="24"/>
              </w:rPr>
            </w:pPr>
            <w:r w:rsidRPr="00306115">
              <w:rPr>
                <w:color w:val="000000" w:themeColor="text1"/>
                <w:szCs w:val="24"/>
              </w:rPr>
              <w:t>Pelaksanaan tugas Direksi dan Dewan Komisaris secara keseluruhan sangat memadai.</w:t>
            </w:r>
          </w:p>
          <w:p w14:paraId="342E97C1" w14:textId="77777777" w:rsidR="00BD1EBD" w:rsidRPr="00306115" w:rsidRDefault="00BD1EBD">
            <w:pPr>
              <w:pStyle w:val="ListParagraph"/>
              <w:numPr>
                <w:ilvl w:val="0"/>
                <w:numId w:val="387"/>
              </w:numPr>
              <w:ind w:left="709" w:right="142" w:hanging="567"/>
              <w:contextualSpacing w:val="0"/>
              <w:rPr>
                <w:color w:val="000000" w:themeColor="text1"/>
                <w:szCs w:val="24"/>
              </w:rPr>
            </w:pPr>
            <w:r w:rsidRPr="00306115">
              <w:rPr>
                <w:color w:val="000000" w:themeColor="text1"/>
                <w:szCs w:val="24"/>
              </w:rPr>
              <w:t xml:space="preserve">Fungsi Manajemen Risiko untuk Risiko Kepatuhan independen, memiliki tugas </w:t>
            </w:r>
            <w:r w:rsidRPr="00306115">
              <w:rPr>
                <w:color w:val="000000" w:themeColor="text1"/>
                <w:szCs w:val="24"/>
              </w:rPr>
              <w:lastRenderedPageBreak/>
              <w:t xml:space="preserve">dan tanggung jawab yang jelas, dan telah berjalan dengan sangat baik. </w:t>
            </w:r>
          </w:p>
          <w:p w14:paraId="7A809363" w14:textId="77777777" w:rsidR="00BD1EBD" w:rsidRPr="00306115" w:rsidRDefault="00BD1EBD">
            <w:pPr>
              <w:pStyle w:val="ListParagraph"/>
              <w:numPr>
                <w:ilvl w:val="0"/>
                <w:numId w:val="387"/>
              </w:numPr>
              <w:ind w:left="709" w:right="142" w:hanging="567"/>
              <w:contextualSpacing w:val="0"/>
              <w:rPr>
                <w:color w:val="000000" w:themeColor="text1"/>
                <w:szCs w:val="24"/>
              </w:rPr>
            </w:pPr>
            <w:r w:rsidRPr="00306115">
              <w:rPr>
                <w:color w:val="000000" w:themeColor="text1"/>
                <w:szCs w:val="24"/>
              </w:rPr>
              <w:t>Kerangka pedelegasian wewenang sangat memadai.</w:t>
            </w:r>
          </w:p>
          <w:p w14:paraId="31A339B9" w14:textId="77777777" w:rsidR="00BD1EBD" w:rsidRPr="00306115" w:rsidRDefault="00BD1EBD">
            <w:pPr>
              <w:pStyle w:val="ListParagraph"/>
              <w:numPr>
                <w:ilvl w:val="0"/>
                <w:numId w:val="387"/>
              </w:numPr>
              <w:ind w:left="709" w:right="142" w:hanging="567"/>
              <w:contextualSpacing w:val="0"/>
              <w:rPr>
                <w:color w:val="000000" w:themeColor="text1"/>
                <w:szCs w:val="24"/>
              </w:rPr>
            </w:pPr>
            <w:r w:rsidRPr="00306115">
              <w:rPr>
                <w:color w:val="000000" w:themeColor="text1"/>
                <w:szCs w:val="24"/>
              </w:rPr>
              <w:t xml:space="preserve">Strategi Manajemen Risiko untuk Risiko Kepatuhan sangat memadai dan sangat sejalan dengan tingkat risiko yang akan diambil dan toleransi risiko. </w:t>
            </w:r>
          </w:p>
          <w:p w14:paraId="5DEA3251" w14:textId="77777777" w:rsidR="00BD1EBD" w:rsidRPr="00306115" w:rsidRDefault="00BD1EBD">
            <w:pPr>
              <w:pStyle w:val="ListParagraph"/>
              <w:numPr>
                <w:ilvl w:val="0"/>
                <w:numId w:val="387"/>
              </w:numPr>
              <w:ind w:left="709" w:right="142" w:hanging="567"/>
              <w:contextualSpacing w:val="0"/>
              <w:rPr>
                <w:color w:val="000000" w:themeColor="text1"/>
                <w:szCs w:val="24"/>
              </w:rPr>
            </w:pPr>
            <w:r w:rsidRPr="00306115">
              <w:rPr>
                <w:color w:val="000000" w:themeColor="text1"/>
                <w:szCs w:val="24"/>
              </w:rPr>
              <w:t>Kebijakan dan prosedur Manajemen Risiko serta penetapan limit Risiko Kepatuhan sangat memadai, diterapkan dengan sangat baik, dan dipahami dengan sangat baik oleh pegawai.</w:t>
            </w:r>
          </w:p>
          <w:p w14:paraId="7C992B88" w14:textId="77777777" w:rsidR="00BD1EBD" w:rsidRPr="00306115" w:rsidRDefault="00BD1EBD">
            <w:pPr>
              <w:pStyle w:val="ListParagraph"/>
              <w:numPr>
                <w:ilvl w:val="0"/>
                <w:numId w:val="387"/>
              </w:numPr>
              <w:ind w:left="709" w:right="142" w:hanging="567"/>
              <w:contextualSpacing w:val="0"/>
              <w:rPr>
                <w:color w:val="000000" w:themeColor="text1"/>
                <w:szCs w:val="24"/>
              </w:rPr>
            </w:pPr>
            <w:r w:rsidRPr="00306115">
              <w:rPr>
                <w:color w:val="000000" w:themeColor="text1"/>
                <w:szCs w:val="24"/>
              </w:rPr>
              <w:t>Kebijakan dan prosedur tertulis yang mengatur terkait benturan kepentingan sangat memadai.</w:t>
            </w:r>
          </w:p>
          <w:p w14:paraId="5A822582" w14:textId="77777777" w:rsidR="00BD1EBD" w:rsidRPr="00306115" w:rsidRDefault="00BD1EBD">
            <w:pPr>
              <w:pStyle w:val="ListParagraph"/>
              <w:numPr>
                <w:ilvl w:val="0"/>
                <w:numId w:val="387"/>
              </w:numPr>
              <w:ind w:left="709" w:right="142" w:hanging="567"/>
              <w:contextualSpacing w:val="0"/>
              <w:rPr>
                <w:color w:val="000000" w:themeColor="text1"/>
                <w:szCs w:val="24"/>
              </w:rPr>
            </w:pPr>
            <w:r w:rsidRPr="00306115">
              <w:rPr>
                <w:color w:val="000000" w:themeColor="text1"/>
                <w:szCs w:val="24"/>
              </w:rPr>
              <w:t>Proses Manajemen Risiko untuk Risiko Kepatuhan sangat memadai dalam mengidentifikasi, mengukur, memantau, dan mengendalikan Risiko Kepatuhan.</w:t>
            </w:r>
          </w:p>
          <w:p w14:paraId="4DE5C0D2" w14:textId="77777777" w:rsidR="00BD1EBD" w:rsidRPr="00306115" w:rsidRDefault="00BD1EBD">
            <w:pPr>
              <w:pStyle w:val="ListParagraph"/>
              <w:numPr>
                <w:ilvl w:val="0"/>
                <w:numId w:val="387"/>
              </w:numPr>
              <w:ind w:left="709" w:right="142" w:hanging="567"/>
              <w:contextualSpacing w:val="0"/>
              <w:rPr>
                <w:color w:val="000000" w:themeColor="text1"/>
                <w:szCs w:val="24"/>
              </w:rPr>
            </w:pPr>
            <w:r w:rsidRPr="00306115">
              <w:rPr>
                <w:color w:val="000000" w:themeColor="text1"/>
                <w:szCs w:val="24"/>
              </w:rPr>
              <w:t>Sistem Informasi Manajemen Risiko untuk Risiko Kepatuhan sangat baik dalam menghasilkan informasi dan laporan Risiko Kepatuhan yang komprehensif.</w:t>
            </w:r>
          </w:p>
          <w:p w14:paraId="022314E8" w14:textId="77777777" w:rsidR="00BD1EBD" w:rsidRPr="00306115" w:rsidRDefault="00BD1EBD">
            <w:pPr>
              <w:pStyle w:val="ListParagraph"/>
              <w:numPr>
                <w:ilvl w:val="0"/>
                <w:numId w:val="387"/>
              </w:numPr>
              <w:ind w:left="709" w:right="142" w:hanging="567"/>
              <w:contextualSpacing w:val="0"/>
              <w:rPr>
                <w:color w:val="000000" w:themeColor="text1"/>
                <w:szCs w:val="24"/>
              </w:rPr>
            </w:pPr>
            <w:r w:rsidRPr="00306115">
              <w:rPr>
                <w:color w:val="000000" w:themeColor="text1"/>
                <w:szCs w:val="24"/>
              </w:rPr>
              <w:t>Secara umum sumber daya manusia sangat memadai baik dari sisi kuantitas jumlah maupun kompetensi pada fungsi Manajemen Risiko untuk Risiko Kepatuhan.</w:t>
            </w:r>
          </w:p>
          <w:p w14:paraId="16E5A8E1" w14:textId="77777777" w:rsidR="00BD1EBD" w:rsidRPr="00306115" w:rsidRDefault="00BD1EBD">
            <w:pPr>
              <w:pStyle w:val="ListParagraph"/>
              <w:numPr>
                <w:ilvl w:val="0"/>
                <w:numId w:val="387"/>
              </w:numPr>
              <w:ind w:left="709" w:right="142" w:hanging="567"/>
              <w:contextualSpacing w:val="0"/>
              <w:rPr>
                <w:color w:val="000000" w:themeColor="text1"/>
                <w:szCs w:val="24"/>
              </w:rPr>
            </w:pPr>
            <w:r w:rsidRPr="00306115">
              <w:rPr>
                <w:color w:val="000000" w:themeColor="text1"/>
                <w:szCs w:val="24"/>
              </w:rPr>
              <w:t>Sistem pengendalian internal sangat efektif dalam mendukung pelaksanaan Manajemen Risiko untuk Risiko Kepatuhan.</w:t>
            </w:r>
          </w:p>
          <w:p w14:paraId="038C73BF" w14:textId="1DFDDF4C" w:rsidR="00BD1EBD" w:rsidRPr="00306115" w:rsidRDefault="00BD1EBD">
            <w:pPr>
              <w:pStyle w:val="ListParagraph"/>
              <w:numPr>
                <w:ilvl w:val="0"/>
                <w:numId w:val="387"/>
              </w:numPr>
              <w:ind w:left="709" w:right="142" w:hanging="567"/>
              <w:contextualSpacing w:val="0"/>
              <w:rPr>
                <w:color w:val="000000" w:themeColor="text1"/>
                <w:szCs w:val="24"/>
              </w:rPr>
            </w:pPr>
            <w:r w:rsidRPr="00306115">
              <w:rPr>
                <w:color w:val="000000" w:themeColor="text1"/>
                <w:szCs w:val="24"/>
              </w:rPr>
              <w:t xml:space="preserve">Pelaksanaan kaji ulang oleh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 xml:space="preserve">dan fungsi audit internal sangat memadai baik dari metodologi, frekuensi, maupun pelaporan kepada Direksi dan Dewan Komisaris. </w:t>
            </w:r>
          </w:p>
          <w:p w14:paraId="3E410CC0" w14:textId="77777777" w:rsidR="00BD1EBD" w:rsidRPr="00306115" w:rsidRDefault="00BD1EBD">
            <w:pPr>
              <w:pStyle w:val="ListParagraph"/>
              <w:numPr>
                <w:ilvl w:val="0"/>
                <w:numId w:val="387"/>
              </w:numPr>
              <w:ind w:left="709" w:right="142" w:hanging="567"/>
              <w:contextualSpacing w:val="0"/>
              <w:rPr>
                <w:color w:val="000000" w:themeColor="text1"/>
                <w:szCs w:val="24"/>
              </w:rPr>
            </w:pPr>
            <w:r w:rsidRPr="00306115">
              <w:rPr>
                <w:color w:val="000000" w:themeColor="text1"/>
                <w:szCs w:val="24"/>
              </w:rPr>
              <w:t>Tindak lanjut atas kaji ulang telah dilaksanakan dengan sangat memadai.</w:t>
            </w:r>
          </w:p>
        </w:tc>
      </w:tr>
      <w:tr w:rsidR="00BD1EBD" w:rsidRPr="00306115" w14:paraId="150B4A08" w14:textId="77777777" w:rsidTr="00BD1EBD">
        <w:tc>
          <w:tcPr>
            <w:tcW w:w="2127" w:type="dxa"/>
          </w:tcPr>
          <w:p w14:paraId="01CAA188" w14:textId="77777777" w:rsidR="00BD1EBD" w:rsidRPr="00306115" w:rsidRDefault="00BD1EBD" w:rsidP="009C1A63">
            <w:pPr>
              <w:pStyle w:val="BodyText"/>
              <w:numPr>
                <w:ilvl w:val="0"/>
                <w:numId w:val="0"/>
              </w:numPr>
              <w:spacing w:before="60" w:after="60"/>
              <w:ind w:left="142" w:right="142"/>
              <w:jc w:val="center"/>
              <w:rPr>
                <w:color w:val="000000" w:themeColor="text1"/>
              </w:rPr>
            </w:pPr>
            <w:r w:rsidRPr="00306115">
              <w:rPr>
                <w:i/>
                <w:iCs/>
                <w:color w:val="000000" w:themeColor="text1"/>
              </w:rPr>
              <w:lastRenderedPageBreak/>
              <w:t>Satisfactory</w:t>
            </w:r>
            <w:r w:rsidRPr="00306115">
              <w:rPr>
                <w:color w:val="000000" w:themeColor="text1"/>
              </w:rPr>
              <w:t xml:space="preserve"> (2)</w:t>
            </w:r>
          </w:p>
        </w:tc>
        <w:tc>
          <w:tcPr>
            <w:tcW w:w="5805" w:type="dxa"/>
          </w:tcPr>
          <w:p w14:paraId="55A3916E" w14:textId="77777777" w:rsidR="00BD1EBD" w:rsidRPr="00306115" w:rsidRDefault="00BD1EBD" w:rsidP="00BD1EBD">
            <w:pPr>
              <w:ind w:left="142" w:right="142"/>
              <w:rPr>
                <w:color w:val="000000" w:themeColor="text1"/>
                <w:szCs w:val="24"/>
              </w:rPr>
            </w:pPr>
            <w:r w:rsidRPr="00306115">
              <w:rPr>
                <w:color w:val="000000" w:themeColor="text1"/>
                <w:szCs w:val="24"/>
              </w:rPr>
              <w:t>Kualitas penerapan Manajemen Risiko untuk Risiko Kepatuhan memadai. Terdapat beberapa kelemahan minor, tetapi kelemahan tersebut dapat diselesaikan pada aktivitas kegiatan usaha normal.</w:t>
            </w:r>
          </w:p>
          <w:p w14:paraId="7F0F1D8C" w14:textId="2EBE212B" w:rsidR="00BD1EBD" w:rsidRPr="00306115" w:rsidRDefault="00BD1EBD" w:rsidP="00BD1EBD">
            <w:pPr>
              <w:ind w:left="142" w:right="142"/>
              <w:rPr>
                <w:color w:val="000000" w:themeColor="text1"/>
                <w:szCs w:val="24"/>
              </w:rPr>
            </w:pPr>
            <w:r w:rsidRPr="00306115">
              <w:rPr>
                <w:color w:val="000000" w:themeColor="text1"/>
                <w:szCs w:val="24"/>
              </w:rPr>
              <w:t xml:space="preserve">Contoh </w:t>
            </w:r>
            <w:r w:rsidR="00764ECF" w:rsidRPr="00306115">
              <w:rPr>
                <w:color w:val="000000" w:themeColor="text1"/>
                <w:szCs w:val="24"/>
              </w:rPr>
              <w:t>karakteristik/kondisi</w:t>
            </w:r>
            <w:r w:rsidRPr="00306115">
              <w:rPr>
                <w:color w:val="000000" w:themeColor="text1"/>
                <w:szCs w:val="24"/>
              </w:rPr>
              <w:t xml:space="preserve"> Manajer Investasi yang termasuk dalam peringkat </w:t>
            </w:r>
            <w:r w:rsidRPr="00306115">
              <w:rPr>
                <w:i/>
                <w:color w:val="000000" w:themeColor="text1"/>
                <w:szCs w:val="24"/>
              </w:rPr>
              <w:t xml:space="preserve">Satisfactory </w:t>
            </w:r>
            <w:r w:rsidRPr="00306115">
              <w:rPr>
                <w:color w:val="000000" w:themeColor="text1"/>
                <w:szCs w:val="24"/>
              </w:rPr>
              <w:t>(2) antara lain sebagai berikut:</w:t>
            </w:r>
          </w:p>
          <w:p w14:paraId="01ED8CFB" w14:textId="77777777" w:rsidR="00BD1EBD" w:rsidRPr="00306115" w:rsidRDefault="00BD1EBD">
            <w:pPr>
              <w:pStyle w:val="ListParagraph"/>
              <w:numPr>
                <w:ilvl w:val="0"/>
                <w:numId w:val="388"/>
              </w:numPr>
              <w:ind w:left="709" w:right="142" w:hanging="567"/>
              <w:contextualSpacing w:val="0"/>
              <w:rPr>
                <w:color w:val="000000" w:themeColor="text1"/>
                <w:szCs w:val="24"/>
              </w:rPr>
            </w:pPr>
            <w:r w:rsidRPr="00306115">
              <w:rPr>
                <w:color w:val="000000" w:themeColor="text1"/>
                <w:szCs w:val="24"/>
              </w:rPr>
              <w:t xml:space="preserve">Perumusan tingkat risiko yang akan diambil </w:t>
            </w:r>
            <w:r w:rsidRPr="00306115">
              <w:rPr>
                <w:i/>
                <w:iCs/>
                <w:color w:val="000000" w:themeColor="text1"/>
                <w:szCs w:val="24"/>
              </w:rPr>
              <w:t>(risk appetite)</w:t>
            </w:r>
            <w:r w:rsidRPr="00306115">
              <w:rPr>
                <w:color w:val="000000" w:themeColor="text1"/>
                <w:szCs w:val="24"/>
              </w:rPr>
              <w:t xml:space="preserve"> dan toleransi risiko </w:t>
            </w:r>
            <w:r w:rsidRPr="00306115">
              <w:rPr>
                <w:i/>
                <w:iCs/>
                <w:color w:val="000000" w:themeColor="text1"/>
                <w:szCs w:val="24"/>
              </w:rPr>
              <w:t>(risk tolerance)</w:t>
            </w:r>
            <w:r w:rsidRPr="00306115">
              <w:rPr>
                <w:color w:val="000000" w:themeColor="text1"/>
                <w:szCs w:val="24"/>
              </w:rPr>
              <w:t xml:space="preserve"> Investasi memadai </w:t>
            </w:r>
            <w:r w:rsidRPr="00306115">
              <w:rPr>
                <w:color w:val="000000" w:themeColor="text1"/>
                <w:szCs w:val="24"/>
              </w:rPr>
              <w:lastRenderedPageBreak/>
              <w:t>dan telah sejalan dengan strategi dan tujuan bisnis secara keseluruhan.</w:t>
            </w:r>
          </w:p>
          <w:p w14:paraId="11463C3F" w14:textId="77777777" w:rsidR="00BD1EBD" w:rsidRPr="00306115" w:rsidRDefault="00BD1EBD">
            <w:pPr>
              <w:pStyle w:val="ListParagraph"/>
              <w:numPr>
                <w:ilvl w:val="0"/>
                <w:numId w:val="388"/>
              </w:numPr>
              <w:ind w:left="709" w:right="142" w:hanging="567"/>
              <w:contextualSpacing w:val="0"/>
              <w:rPr>
                <w:strike/>
                <w:color w:val="000000" w:themeColor="text1"/>
                <w:szCs w:val="24"/>
              </w:rPr>
            </w:pPr>
            <w:r w:rsidRPr="00306115">
              <w:rPr>
                <w:color w:val="000000" w:themeColor="text1"/>
                <w:szCs w:val="24"/>
              </w:rPr>
              <w:t>Kesadaran (</w:t>
            </w:r>
            <w:r w:rsidRPr="00306115">
              <w:rPr>
                <w:i/>
                <w:color w:val="000000" w:themeColor="text1"/>
                <w:szCs w:val="24"/>
              </w:rPr>
              <w:t>awareness</w:t>
            </w:r>
            <w:r w:rsidRPr="00306115">
              <w:rPr>
                <w:color w:val="000000" w:themeColor="text1"/>
                <w:szCs w:val="24"/>
              </w:rPr>
              <w:t>) dan pemahaman Direksi dan Dewan Komisaris tinggi atau memadai mengenai pelaksanaan Manajemen Risiko, terutama terkait jenis dan tingkat risiko untuk untuk Risiko Kepatuhan.</w:t>
            </w:r>
          </w:p>
          <w:p w14:paraId="4E82062B" w14:textId="77777777" w:rsidR="00BD1EBD" w:rsidRPr="00306115" w:rsidRDefault="00BD1EBD">
            <w:pPr>
              <w:pStyle w:val="ListParagraph"/>
              <w:numPr>
                <w:ilvl w:val="0"/>
                <w:numId w:val="388"/>
              </w:numPr>
              <w:ind w:left="709" w:right="142" w:hanging="567"/>
              <w:contextualSpacing w:val="0"/>
              <w:rPr>
                <w:color w:val="000000" w:themeColor="text1"/>
                <w:szCs w:val="24"/>
              </w:rPr>
            </w:pPr>
            <w:r w:rsidRPr="00306115">
              <w:rPr>
                <w:color w:val="000000" w:themeColor="text1"/>
                <w:szCs w:val="24"/>
              </w:rPr>
              <w:t>Budaya Manajemen Risiko untuk Risiko Kepatuhan kuat dan telah diinternalisasikan dengan baik pada seluruh level organisasi.</w:t>
            </w:r>
          </w:p>
          <w:p w14:paraId="6D3382D3" w14:textId="77777777" w:rsidR="00BD1EBD" w:rsidRPr="00306115" w:rsidRDefault="00BD1EBD">
            <w:pPr>
              <w:pStyle w:val="ListParagraph"/>
              <w:numPr>
                <w:ilvl w:val="0"/>
                <w:numId w:val="388"/>
              </w:numPr>
              <w:ind w:left="709" w:right="142" w:hanging="567"/>
              <w:contextualSpacing w:val="0"/>
              <w:rPr>
                <w:color w:val="000000" w:themeColor="text1"/>
                <w:szCs w:val="24"/>
              </w:rPr>
            </w:pPr>
            <w:r w:rsidRPr="00306115">
              <w:rPr>
                <w:color w:val="000000" w:themeColor="text1"/>
                <w:szCs w:val="24"/>
              </w:rPr>
              <w:t>Pelaksanaan tugas Direksi dan Dewan Komisaris secara keseluruhan memadai. Terdapat beberapa kelemahan yang tidak signifikan dan dapat diperbaiki dengan segera.</w:t>
            </w:r>
          </w:p>
          <w:p w14:paraId="6C2EC55F" w14:textId="77777777" w:rsidR="00BD1EBD" w:rsidRPr="00306115" w:rsidRDefault="00BD1EBD">
            <w:pPr>
              <w:pStyle w:val="ListParagraph"/>
              <w:numPr>
                <w:ilvl w:val="0"/>
                <w:numId w:val="388"/>
              </w:numPr>
              <w:ind w:left="709" w:right="142" w:hanging="567"/>
              <w:contextualSpacing w:val="0"/>
              <w:rPr>
                <w:color w:val="000000" w:themeColor="text1"/>
                <w:szCs w:val="24"/>
              </w:rPr>
            </w:pPr>
            <w:r w:rsidRPr="00306115">
              <w:rPr>
                <w:color w:val="000000" w:themeColor="text1"/>
                <w:szCs w:val="24"/>
              </w:rPr>
              <w:t>Fungsi Manajemen Risiko untuk Risiko Kepatuhan independen, memiliki tugas dan tanggung jawab yang jelas, dan telah berjalan dengan baik. Terdapat kelemahan minor yang dapat diselesaikan pada aktivitas kegiatan usaha normal.</w:t>
            </w:r>
          </w:p>
          <w:p w14:paraId="5956BCEE" w14:textId="77777777" w:rsidR="00BD1EBD" w:rsidRPr="00306115" w:rsidRDefault="00BD1EBD">
            <w:pPr>
              <w:pStyle w:val="ListParagraph"/>
              <w:numPr>
                <w:ilvl w:val="0"/>
                <w:numId w:val="388"/>
              </w:numPr>
              <w:ind w:left="709" w:right="142" w:hanging="567"/>
              <w:contextualSpacing w:val="0"/>
              <w:rPr>
                <w:color w:val="000000" w:themeColor="text1"/>
                <w:szCs w:val="24"/>
              </w:rPr>
            </w:pPr>
            <w:r w:rsidRPr="00306115">
              <w:rPr>
                <w:color w:val="000000" w:themeColor="text1"/>
                <w:szCs w:val="24"/>
              </w:rPr>
              <w:t>Kerangka pedelegasian wewenang memadai.</w:t>
            </w:r>
          </w:p>
          <w:p w14:paraId="6F9AD432" w14:textId="77777777" w:rsidR="00BD1EBD" w:rsidRPr="00306115" w:rsidRDefault="00BD1EBD">
            <w:pPr>
              <w:pStyle w:val="ListParagraph"/>
              <w:numPr>
                <w:ilvl w:val="0"/>
                <w:numId w:val="388"/>
              </w:numPr>
              <w:ind w:left="709" w:right="142" w:hanging="567"/>
              <w:contextualSpacing w:val="0"/>
              <w:rPr>
                <w:color w:val="000000" w:themeColor="text1"/>
                <w:szCs w:val="24"/>
              </w:rPr>
            </w:pPr>
            <w:r w:rsidRPr="00306115">
              <w:rPr>
                <w:color w:val="000000" w:themeColor="text1"/>
                <w:szCs w:val="24"/>
              </w:rPr>
              <w:t>Strategi Manajemen Risiko untuk Risiko Kepatuhan memadai dan sejalan dengan tingkat risiko yang akan diambil dan toleransi risiko.</w:t>
            </w:r>
          </w:p>
          <w:p w14:paraId="21CB64EC" w14:textId="77777777" w:rsidR="00BD1EBD" w:rsidRPr="00306115" w:rsidRDefault="00BD1EBD">
            <w:pPr>
              <w:pStyle w:val="ListParagraph"/>
              <w:numPr>
                <w:ilvl w:val="0"/>
                <w:numId w:val="388"/>
              </w:numPr>
              <w:ind w:left="709" w:right="142" w:hanging="567"/>
              <w:contextualSpacing w:val="0"/>
              <w:rPr>
                <w:color w:val="000000" w:themeColor="text1"/>
                <w:szCs w:val="24"/>
              </w:rPr>
            </w:pPr>
            <w:r w:rsidRPr="00306115">
              <w:rPr>
                <w:color w:val="000000" w:themeColor="text1"/>
                <w:szCs w:val="24"/>
              </w:rPr>
              <w:t>Kebijakan dan prosedur Manajemen Risiko serta penetapan limit Risiko Kepatuhan memadai, diterapkan dengan baik, dan dipahami dengan baik oleh pegawai.</w:t>
            </w:r>
          </w:p>
          <w:p w14:paraId="12EB74CC" w14:textId="77777777" w:rsidR="00BD1EBD" w:rsidRPr="00306115" w:rsidRDefault="00BD1EBD">
            <w:pPr>
              <w:pStyle w:val="ListParagraph"/>
              <w:numPr>
                <w:ilvl w:val="0"/>
                <w:numId w:val="388"/>
              </w:numPr>
              <w:ind w:left="709" w:right="142" w:hanging="567"/>
              <w:contextualSpacing w:val="0"/>
              <w:rPr>
                <w:color w:val="000000" w:themeColor="text1"/>
                <w:szCs w:val="24"/>
              </w:rPr>
            </w:pPr>
            <w:r w:rsidRPr="00306115">
              <w:rPr>
                <w:color w:val="000000" w:themeColor="text1"/>
                <w:szCs w:val="24"/>
              </w:rPr>
              <w:t>Kebijakan dan prosedur tertulis yang mengatur terkait benturan kepentingan memadai.</w:t>
            </w:r>
          </w:p>
          <w:p w14:paraId="4FDB5C15" w14:textId="77777777" w:rsidR="00BD1EBD" w:rsidRPr="00306115" w:rsidRDefault="00BD1EBD">
            <w:pPr>
              <w:pStyle w:val="ListParagraph"/>
              <w:numPr>
                <w:ilvl w:val="0"/>
                <w:numId w:val="388"/>
              </w:numPr>
              <w:ind w:left="709" w:right="142" w:hanging="567"/>
              <w:contextualSpacing w:val="0"/>
              <w:rPr>
                <w:color w:val="000000" w:themeColor="text1"/>
                <w:szCs w:val="24"/>
              </w:rPr>
            </w:pPr>
            <w:r w:rsidRPr="00306115">
              <w:rPr>
                <w:color w:val="000000" w:themeColor="text1"/>
                <w:szCs w:val="24"/>
              </w:rPr>
              <w:t>Proses Manajemen Risiko untuk Risiko Kepatuhan memadai dalam mengidentifikasi, mengukur, memantau, dan mengendalikan Risiko Kepatuhan.</w:t>
            </w:r>
          </w:p>
          <w:p w14:paraId="2D687523" w14:textId="77777777" w:rsidR="00BD1EBD" w:rsidRPr="00306115" w:rsidRDefault="00BD1EBD">
            <w:pPr>
              <w:pStyle w:val="ListParagraph"/>
              <w:numPr>
                <w:ilvl w:val="0"/>
                <w:numId w:val="388"/>
              </w:numPr>
              <w:ind w:left="709" w:right="142" w:hanging="567"/>
              <w:contextualSpacing w:val="0"/>
              <w:rPr>
                <w:color w:val="000000" w:themeColor="text1"/>
                <w:szCs w:val="24"/>
              </w:rPr>
            </w:pPr>
            <w:r w:rsidRPr="00306115">
              <w:rPr>
                <w:color w:val="000000" w:themeColor="text1"/>
                <w:szCs w:val="24"/>
              </w:rPr>
              <w:t>Sistem Informasi Manajemen Risiko untuk Risiko Kepatuhan baik dalam menghasilkan informasi dan laporan Risiko Kepatuhan yang komprehensif.</w:t>
            </w:r>
          </w:p>
          <w:p w14:paraId="1B627B96" w14:textId="77777777" w:rsidR="00BD1EBD" w:rsidRPr="00306115" w:rsidRDefault="00BD1EBD">
            <w:pPr>
              <w:pStyle w:val="ListParagraph"/>
              <w:numPr>
                <w:ilvl w:val="0"/>
                <w:numId w:val="388"/>
              </w:numPr>
              <w:ind w:left="709" w:right="142" w:hanging="567"/>
              <w:contextualSpacing w:val="0"/>
              <w:rPr>
                <w:color w:val="000000" w:themeColor="text1"/>
                <w:szCs w:val="24"/>
              </w:rPr>
            </w:pPr>
            <w:r w:rsidRPr="00306115">
              <w:rPr>
                <w:color w:val="000000" w:themeColor="text1"/>
                <w:szCs w:val="24"/>
              </w:rPr>
              <w:t>Secara umum sumber daya manusia memadai dari segi kuantitas maupun kompetensi pada fungsi Manajemen Risiko untuk Risiko Kepatuhan.</w:t>
            </w:r>
          </w:p>
          <w:p w14:paraId="2C2BE1FD" w14:textId="77777777" w:rsidR="00BD1EBD" w:rsidRPr="00306115" w:rsidRDefault="00BD1EBD">
            <w:pPr>
              <w:pStyle w:val="ListParagraph"/>
              <w:numPr>
                <w:ilvl w:val="0"/>
                <w:numId w:val="388"/>
              </w:numPr>
              <w:ind w:left="709" w:right="142" w:hanging="567"/>
              <w:contextualSpacing w:val="0"/>
              <w:rPr>
                <w:color w:val="000000" w:themeColor="text1"/>
                <w:szCs w:val="24"/>
              </w:rPr>
            </w:pPr>
            <w:r w:rsidRPr="00306115">
              <w:rPr>
                <w:color w:val="000000" w:themeColor="text1"/>
                <w:szCs w:val="24"/>
              </w:rPr>
              <w:t xml:space="preserve">Sistem pengendalian internal efektif dalam mendukung pelaksanaan </w:t>
            </w:r>
            <w:r w:rsidRPr="00306115">
              <w:rPr>
                <w:color w:val="000000" w:themeColor="text1"/>
                <w:szCs w:val="24"/>
              </w:rPr>
              <w:lastRenderedPageBreak/>
              <w:t>Manajemen Risiko untuk Risiko Kepatuhan.</w:t>
            </w:r>
          </w:p>
          <w:p w14:paraId="2A897F1A" w14:textId="6613C28D" w:rsidR="00BD1EBD" w:rsidRPr="00306115" w:rsidRDefault="00BD1EBD">
            <w:pPr>
              <w:pStyle w:val="ListParagraph"/>
              <w:numPr>
                <w:ilvl w:val="0"/>
                <w:numId w:val="388"/>
              </w:numPr>
              <w:ind w:left="709" w:right="142" w:hanging="567"/>
              <w:contextualSpacing w:val="0"/>
              <w:rPr>
                <w:color w:val="000000" w:themeColor="text1"/>
                <w:szCs w:val="24"/>
              </w:rPr>
            </w:pPr>
            <w:r w:rsidRPr="00306115">
              <w:rPr>
                <w:color w:val="000000" w:themeColor="text1"/>
                <w:szCs w:val="24"/>
              </w:rPr>
              <w:t xml:space="preserve">Pelaksanaan kaji ulang oleh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dan fungsi audit internal memadai baik dari metodologi, frekuensi, maupun pelaporan kepada Direksi dan Dewan Komisaris.</w:t>
            </w:r>
          </w:p>
          <w:p w14:paraId="77DDDA44" w14:textId="77777777" w:rsidR="00BD1EBD" w:rsidRPr="00306115" w:rsidRDefault="00BD1EBD">
            <w:pPr>
              <w:pStyle w:val="ListParagraph"/>
              <w:numPr>
                <w:ilvl w:val="0"/>
                <w:numId w:val="388"/>
              </w:numPr>
              <w:ind w:left="709" w:right="142" w:hanging="567"/>
              <w:contextualSpacing w:val="0"/>
              <w:rPr>
                <w:color w:val="000000" w:themeColor="text1"/>
                <w:szCs w:val="24"/>
              </w:rPr>
            </w:pPr>
            <w:r w:rsidRPr="00306115">
              <w:rPr>
                <w:color w:val="000000" w:themeColor="text1"/>
                <w:szCs w:val="24"/>
              </w:rPr>
              <w:t>Tindak lanjut atas kaji ulang independen telah dilaksanakan dengan memadai.</w:t>
            </w:r>
          </w:p>
        </w:tc>
      </w:tr>
      <w:tr w:rsidR="00BD1EBD" w:rsidRPr="00306115" w14:paraId="770435CB" w14:textId="77777777" w:rsidTr="00BD1EBD">
        <w:tc>
          <w:tcPr>
            <w:tcW w:w="2127" w:type="dxa"/>
          </w:tcPr>
          <w:p w14:paraId="6D23DAF6" w14:textId="77777777" w:rsidR="00BD1EBD" w:rsidRPr="00306115" w:rsidRDefault="00BD1EBD" w:rsidP="009C1A63">
            <w:pPr>
              <w:pStyle w:val="BodyText"/>
              <w:numPr>
                <w:ilvl w:val="0"/>
                <w:numId w:val="0"/>
              </w:numPr>
              <w:spacing w:before="60" w:after="60"/>
              <w:ind w:left="142" w:right="142"/>
              <w:jc w:val="center"/>
              <w:rPr>
                <w:color w:val="000000" w:themeColor="text1"/>
              </w:rPr>
            </w:pPr>
            <w:r w:rsidRPr="00306115">
              <w:rPr>
                <w:i/>
                <w:iCs/>
                <w:color w:val="000000" w:themeColor="text1"/>
              </w:rPr>
              <w:lastRenderedPageBreak/>
              <w:t>Fair</w:t>
            </w:r>
            <w:r w:rsidRPr="00306115">
              <w:rPr>
                <w:color w:val="000000" w:themeColor="text1"/>
              </w:rPr>
              <w:t xml:space="preserve"> (3)</w:t>
            </w:r>
          </w:p>
        </w:tc>
        <w:tc>
          <w:tcPr>
            <w:tcW w:w="5805" w:type="dxa"/>
          </w:tcPr>
          <w:p w14:paraId="13940934" w14:textId="77777777" w:rsidR="00BD1EBD" w:rsidRPr="00306115" w:rsidRDefault="00BD1EBD" w:rsidP="00BD1EBD">
            <w:pPr>
              <w:ind w:left="142" w:right="142"/>
              <w:rPr>
                <w:color w:val="000000" w:themeColor="text1"/>
                <w:szCs w:val="24"/>
              </w:rPr>
            </w:pPr>
            <w:r w:rsidRPr="00306115">
              <w:rPr>
                <w:color w:val="000000" w:themeColor="text1"/>
                <w:szCs w:val="24"/>
              </w:rPr>
              <w:t>Kualitas penerapan Manajemen Risiko untuk Risiko Kepatuhan cukup memadai. Meskipun persyaratan minimum terpenuhi, terdapat beberapa kelemahan yang cukup signifikan yang memerlukan perbaikan segera.</w:t>
            </w:r>
          </w:p>
          <w:p w14:paraId="3131D0DB" w14:textId="7D43FB6B" w:rsidR="00BD1EBD" w:rsidRPr="00306115" w:rsidRDefault="00BD1EBD" w:rsidP="00BD1EBD">
            <w:pPr>
              <w:ind w:left="142" w:right="142"/>
              <w:rPr>
                <w:color w:val="000000" w:themeColor="text1"/>
                <w:szCs w:val="24"/>
              </w:rPr>
            </w:pPr>
            <w:r w:rsidRPr="00306115">
              <w:rPr>
                <w:color w:val="000000" w:themeColor="text1"/>
                <w:szCs w:val="24"/>
              </w:rPr>
              <w:t xml:space="preserve">Contoh karakteristik </w:t>
            </w:r>
            <w:r w:rsidR="00764ECF" w:rsidRPr="00306115">
              <w:rPr>
                <w:color w:val="000000" w:themeColor="text1"/>
                <w:szCs w:val="24"/>
              </w:rPr>
              <w:t>karakteristik/kondisi</w:t>
            </w:r>
            <w:r w:rsidRPr="00306115">
              <w:rPr>
                <w:color w:val="000000" w:themeColor="text1"/>
                <w:szCs w:val="24"/>
              </w:rPr>
              <w:t xml:space="preserve"> Manajer Investasi yang termasuk dalam peringkat </w:t>
            </w:r>
            <w:r w:rsidRPr="00306115">
              <w:rPr>
                <w:i/>
                <w:color w:val="000000" w:themeColor="text1"/>
                <w:szCs w:val="24"/>
              </w:rPr>
              <w:t xml:space="preserve">Fair </w:t>
            </w:r>
            <w:r w:rsidRPr="00306115">
              <w:rPr>
                <w:color w:val="000000" w:themeColor="text1"/>
                <w:szCs w:val="24"/>
              </w:rPr>
              <w:t>(3) ini antara lain sebagai berikut:</w:t>
            </w:r>
          </w:p>
          <w:p w14:paraId="5F26278A" w14:textId="77777777" w:rsidR="00BD1EBD" w:rsidRPr="00306115" w:rsidRDefault="00BD1EBD">
            <w:pPr>
              <w:numPr>
                <w:ilvl w:val="0"/>
                <w:numId w:val="389"/>
              </w:numPr>
              <w:ind w:left="709" w:right="142" w:hanging="567"/>
              <w:rPr>
                <w:color w:val="000000" w:themeColor="text1"/>
                <w:szCs w:val="24"/>
              </w:rPr>
            </w:pPr>
            <w:r w:rsidRPr="00306115">
              <w:rPr>
                <w:color w:val="000000" w:themeColor="text1"/>
                <w:szCs w:val="24"/>
              </w:rPr>
              <w:t>Perumusan tingkat Risiko yang akan diambil (</w:t>
            </w:r>
            <w:r w:rsidRPr="00306115">
              <w:rPr>
                <w:i/>
                <w:iCs/>
                <w:color w:val="000000" w:themeColor="text1"/>
                <w:szCs w:val="24"/>
              </w:rPr>
              <w:t>risk appetite</w:t>
            </w:r>
            <w:r w:rsidRPr="00306115">
              <w:rPr>
                <w:color w:val="000000" w:themeColor="text1"/>
                <w:szCs w:val="24"/>
              </w:rPr>
              <w:t>) dan toleransi Risiko (</w:t>
            </w:r>
            <w:r w:rsidRPr="00306115">
              <w:rPr>
                <w:i/>
                <w:iCs/>
                <w:color w:val="000000" w:themeColor="text1"/>
                <w:szCs w:val="24"/>
              </w:rPr>
              <w:t>risk tolerance</w:t>
            </w:r>
            <w:r w:rsidRPr="00306115">
              <w:rPr>
                <w:color w:val="000000" w:themeColor="text1"/>
                <w:szCs w:val="24"/>
              </w:rPr>
              <w:t>) cukup memadai tetapi tidak selalu sejalan dengan strategi dan tujuan bisnis secara keseluruhan.</w:t>
            </w:r>
          </w:p>
          <w:p w14:paraId="55C7CBFF" w14:textId="77777777" w:rsidR="00BD1EBD" w:rsidRPr="00306115" w:rsidRDefault="00BD1EBD">
            <w:pPr>
              <w:numPr>
                <w:ilvl w:val="0"/>
                <w:numId w:val="389"/>
              </w:numPr>
              <w:ind w:left="709" w:right="142" w:hanging="567"/>
              <w:rPr>
                <w:color w:val="000000" w:themeColor="text1"/>
                <w:szCs w:val="24"/>
              </w:rPr>
            </w:pPr>
            <w:r w:rsidRPr="00306115">
              <w:rPr>
                <w:color w:val="000000" w:themeColor="text1"/>
                <w:szCs w:val="24"/>
              </w:rPr>
              <w:t>Kesadaran (</w:t>
            </w:r>
            <w:r w:rsidRPr="00306115">
              <w:rPr>
                <w:i/>
                <w:color w:val="000000" w:themeColor="text1"/>
                <w:szCs w:val="24"/>
              </w:rPr>
              <w:t>awareness</w:t>
            </w:r>
            <w:r w:rsidRPr="00306115">
              <w:rPr>
                <w:color w:val="000000" w:themeColor="text1"/>
                <w:szCs w:val="24"/>
              </w:rPr>
              <w:t>) dan pemahaman Direksi dan Dewan Komisaris cukup tinggi atau cukup memadai mengenai pelaksanaan Manajemen Risiko, terutama terkait jenis dan tingkat risiko untuk untuk Risiko Kepatuhan.</w:t>
            </w:r>
          </w:p>
          <w:p w14:paraId="6CE9E0EE" w14:textId="77777777" w:rsidR="00BD1EBD" w:rsidRPr="00306115" w:rsidRDefault="00BD1EBD">
            <w:pPr>
              <w:numPr>
                <w:ilvl w:val="0"/>
                <w:numId w:val="389"/>
              </w:numPr>
              <w:ind w:left="709" w:right="142" w:hanging="567"/>
              <w:rPr>
                <w:color w:val="000000" w:themeColor="text1"/>
                <w:szCs w:val="24"/>
              </w:rPr>
            </w:pPr>
            <w:r w:rsidRPr="00306115">
              <w:rPr>
                <w:color w:val="000000" w:themeColor="text1"/>
                <w:szCs w:val="24"/>
              </w:rPr>
              <w:t>Budaya Manajemen Risiko untuk Risiko Kepatuhan cukup kuat dan telah diinternalisasikan dengan cukup baik pada seluruh level organisasi.</w:t>
            </w:r>
          </w:p>
          <w:p w14:paraId="63670EDB" w14:textId="77777777" w:rsidR="00BD1EBD" w:rsidRPr="00306115" w:rsidRDefault="00BD1EBD">
            <w:pPr>
              <w:numPr>
                <w:ilvl w:val="0"/>
                <w:numId w:val="389"/>
              </w:numPr>
              <w:ind w:left="709" w:right="142" w:hanging="567"/>
              <w:rPr>
                <w:color w:val="000000" w:themeColor="text1"/>
                <w:szCs w:val="24"/>
              </w:rPr>
            </w:pPr>
            <w:r w:rsidRPr="00306115">
              <w:rPr>
                <w:color w:val="000000" w:themeColor="text1"/>
                <w:szCs w:val="24"/>
              </w:rPr>
              <w:t>Pelaksanaan tugas Direksi dan Dewan Komisaris secara keseluruhan cukup memadai. Terdapat beberapa kelemahan yang cukup signifikan pada beberapa aspek penilaian yang memerlukan perbaikan segera.</w:t>
            </w:r>
          </w:p>
          <w:p w14:paraId="03B1E644" w14:textId="77777777" w:rsidR="00BD1EBD" w:rsidRPr="00306115" w:rsidRDefault="00BD1EBD">
            <w:pPr>
              <w:numPr>
                <w:ilvl w:val="0"/>
                <w:numId w:val="389"/>
              </w:numPr>
              <w:ind w:left="709" w:right="142" w:hanging="567"/>
              <w:rPr>
                <w:color w:val="000000" w:themeColor="text1"/>
                <w:szCs w:val="24"/>
              </w:rPr>
            </w:pPr>
            <w:r w:rsidRPr="00306115">
              <w:rPr>
                <w:color w:val="000000" w:themeColor="text1"/>
                <w:szCs w:val="24"/>
              </w:rPr>
              <w:t>Fungsi Manajemen Risiko untuk Risiko Kepatuhan independen, memiliki tugas dan tanggung jawab yang jelas, dan telah berjalan dengan cukup baik. Terdapat kelemahan yang cukup signifikan yang memerlukan perbaikan segera.</w:t>
            </w:r>
          </w:p>
          <w:p w14:paraId="5ADB7819" w14:textId="77777777" w:rsidR="00BD1EBD" w:rsidRPr="00306115" w:rsidRDefault="00BD1EBD">
            <w:pPr>
              <w:numPr>
                <w:ilvl w:val="0"/>
                <w:numId w:val="389"/>
              </w:numPr>
              <w:ind w:left="709" w:right="142" w:hanging="567"/>
              <w:rPr>
                <w:color w:val="000000" w:themeColor="text1"/>
                <w:szCs w:val="24"/>
              </w:rPr>
            </w:pPr>
            <w:r w:rsidRPr="00306115">
              <w:rPr>
                <w:color w:val="000000" w:themeColor="text1"/>
                <w:szCs w:val="24"/>
              </w:rPr>
              <w:t>Kerangka pedelegasian wewenang cukup memadai.</w:t>
            </w:r>
          </w:p>
          <w:p w14:paraId="309B362B" w14:textId="77777777" w:rsidR="00BD1EBD" w:rsidRPr="00306115" w:rsidRDefault="00BD1EBD">
            <w:pPr>
              <w:numPr>
                <w:ilvl w:val="0"/>
                <w:numId w:val="389"/>
              </w:numPr>
              <w:ind w:left="709" w:right="142" w:hanging="567"/>
              <w:rPr>
                <w:color w:val="000000" w:themeColor="text1"/>
                <w:szCs w:val="24"/>
              </w:rPr>
            </w:pPr>
            <w:r w:rsidRPr="00306115">
              <w:rPr>
                <w:color w:val="000000" w:themeColor="text1"/>
                <w:szCs w:val="24"/>
              </w:rPr>
              <w:t xml:space="preserve">Strategi Risiko Kepatuhan cukup memadai dan cukup sejalan dengan </w:t>
            </w:r>
            <w:r w:rsidRPr="00306115">
              <w:rPr>
                <w:color w:val="000000" w:themeColor="text1"/>
                <w:szCs w:val="24"/>
              </w:rPr>
              <w:lastRenderedPageBreak/>
              <w:t>tingkat risiko yang akan diambil dan toleransi risiko</w:t>
            </w:r>
          </w:p>
          <w:p w14:paraId="4D79D65A" w14:textId="77777777" w:rsidR="00BD1EBD" w:rsidRPr="00306115" w:rsidRDefault="00BD1EBD">
            <w:pPr>
              <w:numPr>
                <w:ilvl w:val="0"/>
                <w:numId w:val="389"/>
              </w:numPr>
              <w:ind w:left="709" w:right="142" w:hanging="567"/>
              <w:rPr>
                <w:color w:val="000000" w:themeColor="text1"/>
                <w:szCs w:val="24"/>
              </w:rPr>
            </w:pPr>
            <w:r w:rsidRPr="00306115">
              <w:rPr>
                <w:color w:val="000000" w:themeColor="text1"/>
                <w:szCs w:val="24"/>
              </w:rPr>
              <w:t>Kebijakan dan prosedur Manajemen Risiko serta penetapan limit Risiko Kepatuhan cukup memadai, diterapkan dengan cukup baik, dan dipahami dengan cukup baik oleh pegawai.</w:t>
            </w:r>
          </w:p>
          <w:p w14:paraId="56212684" w14:textId="77777777" w:rsidR="00BD1EBD" w:rsidRPr="00306115" w:rsidRDefault="00BD1EBD">
            <w:pPr>
              <w:numPr>
                <w:ilvl w:val="0"/>
                <w:numId w:val="389"/>
              </w:numPr>
              <w:ind w:left="709" w:right="142" w:hanging="567"/>
              <w:rPr>
                <w:color w:val="000000" w:themeColor="text1"/>
                <w:szCs w:val="24"/>
              </w:rPr>
            </w:pPr>
            <w:r w:rsidRPr="00306115">
              <w:rPr>
                <w:color w:val="000000" w:themeColor="text1"/>
                <w:szCs w:val="24"/>
              </w:rPr>
              <w:t>Kebijakan dan prosedur tertulis yang mengatur terkait benturan kepentingan cukup memadai.</w:t>
            </w:r>
          </w:p>
          <w:p w14:paraId="342F4131" w14:textId="77777777" w:rsidR="00BD1EBD" w:rsidRPr="00306115" w:rsidRDefault="00BD1EBD">
            <w:pPr>
              <w:numPr>
                <w:ilvl w:val="0"/>
                <w:numId w:val="389"/>
              </w:numPr>
              <w:ind w:left="709" w:right="142" w:hanging="567"/>
              <w:rPr>
                <w:color w:val="000000" w:themeColor="text1"/>
                <w:szCs w:val="24"/>
              </w:rPr>
            </w:pPr>
            <w:r w:rsidRPr="00306115">
              <w:rPr>
                <w:color w:val="000000" w:themeColor="text1"/>
                <w:szCs w:val="24"/>
              </w:rPr>
              <w:t>Proses Manajemen Risiko untuk Risiko Kepatuhan cukup memadai dalam mengidentifikasi, mengukur, memantau, dan mengendalikan Manajemen Risiko untuk Risiko Kepatuhan.</w:t>
            </w:r>
          </w:p>
          <w:p w14:paraId="13E4CD12" w14:textId="77777777" w:rsidR="00BD1EBD" w:rsidRPr="00306115" w:rsidRDefault="00BD1EBD">
            <w:pPr>
              <w:numPr>
                <w:ilvl w:val="0"/>
                <w:numId w:val="389"/>
              </w:numPr>
              <w:ind w:left="709" w:right="142" w:hanging="567"/>
              <w:rPr>
                <w:color w:val="000000" w:themeColor="text1"/>
                <w:szCs w:val="24"/>
              </w:rPr>
            </w:pPr>
            <w:r w:rsidRPr="00306115">
              <w:rPr>
                <w:color w:val="000000" w:themeColor="text1"/>
                <w:szCs w:val="24"/>
              </w:rPr>
              <w:t>Sistem Informasi Manajemen Risiko untuk Risiko Kepatuhan cukup baik dalam menghasilkan informasi dan laporan Risiko Kepatuhan yang komprehensif.</w:t>
            </w:r>
          </w:p>
          <w:p w14:paraId="4B9BDDF7" w14:textId="77777777" w:rsidR="00BD1EBD" w:rsidRPr="00306115" w:rsidRDefault="00BD1EBD">
            <w:pPr>
              <w:numPr>
                <w:ilvl w:val="0"/>
                <w:numId w:val="389"/>
              </w:numPr>
              <w:ind w:left="709" w:right="142" w:hanging="567"/>
              <w:rPr>
                <w:color w:val="000000" w:themeColor="text1"/>
                <w:szCs w:val="24"/>
              </w:rPr>
            </w:pPr>
            <w:r w:rsidRPr="00306115">
              <w:rPr>
                <w:color w:val="000000" w:themeColor="text1"/>
                <w:szCs w:val="24"/>
              </w:rPr>
              <w:t>Secara umum sumber daya manusia cukup memadai dari sisi kuantitas maupun kompetensi pada fungsi Manajemen Risiko untuk Risiko Kepatuhan.</w:t>
            </w:r>
          </w:p>
          <w:p w14:paraId="359F2FF0" w14:textId="77777777" w:rsidR="00BD1EBD" w:rsidRPr="00306115" w:rsidRDefault="00BD1EBD">
            <w:pPr>
              <w:numPr>
                <w:ilvl w:val="0"/>
                <w:numId w:val="389"/>
              </w:numPr>
              <w:ind w:left="709" w:right="142" w:hanging="567"/>
              <w:rPr>
                <w:color w:val="000000" w:themeColor="text1"/>
                <w:szCs w:val="24"/>
              </w:rPr>
            </w:pPr>
            <w:r w:rsidRPr="00306115">
              <w:rPr>
                <w:color w:val="000000" w:themeColor="text1"/>
                <w:szCs w:val="24"/>
              </w:rPr>
              <w:t>Sistem pengendalian internal cukup efektif dalam mendukung pelaksanaan Manajemen Risiko.</w:t>
            </w:r>
          </w:p>
          <w:p w14:paraId="36FED08C" w14:textId="671F3F5B" w:rsidR="00BD1EBD" w:rsidRPr="00306115" w:rsidRDefault="00BD1EBD">
            <w:pPr>
              <w:numPr>
                <w:ilvl w:val="0"/>
                <w:numId w:val="389"/>
              </w:numPr>
              <w:ind w:left="709" w:right="142" w:hanging="567"/>
              <w:rPr>
                <w:color w:val="000000" w:themeColor="text1"/>
                <w:szCs w:val="24"/>
              </w:rPr>
            </w:pPr>
            <w:r w:rsidRPr="00306115">
              <w:rPr>
                <w:color w:val="000000" w:themeColor="text1"/>
                <w:szCs w:val="24"/>
              </w:rPr>
              <w:t xml:space="preserve">Pelaksanaan kaji ulang oleh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dan fungsi audit internal cukup memadai. Terdapat beberapa kelemahan yang cukup signifikan pada metodologi, frekuensi, maupun pelaporan kepada Direksi dan Dewan Komisaris yang memerlukan perbaikan segera.</w:t>
            </w:r>
          </w:p>
          <w:p w14:paraId="689353D6" w14:textId="77777777" w:rsidR="00BD1EBD" w:rsidRPr="00306115" w:rsidRDefault="00BD1EBD">
            <w:pPr>
              <w:numPr>
                <w:ilvl w:val="0"/>
                <w:numId w:val="389"/>
              </w:numPr>
              <w:ind w:left="709" w:right="142" w:hanging="567"/>
              <w:rPr>
                <w:color w:val="000000" w:themeColor="text1"/>
                <w:szCs w:val="24"/>
              </w:rPr>
            </w:pPr>
            <w:r w:rsidRPr="00306115">
              <w:rPr>
                <w:color w:val="000000" w:themeColor="text1"/>
                <w:szCs w:val="24"/>
              </w:rPr>
              <w:t>Tindak lanjut atas kaji ulang independent telah dilaksanakan dengan cukup memadai.</w:t>
            </w:r>
          </w:p>
        </w:tc>
      </w:tr>
      <w:tr w:rsidR="00BD1EBD" w:rsidRPr="00306115" w14:paraId="6C0199B6" w14:textId="77777777" w:rsidTr="00BD1EBD">
        <w:tc>
          <w:tcPr>
            <w:tcW w:w="2127" w:type="dxa"/>
          </w:tcPr>
          <w:p w14:paraId="7790B304" w14:textId="77777777" w:rsidR="00BD1EBD" w:rsidRPr="00306115" w:rsidRDefault="00BD1EBD" w:rsidP="009C1A63">
            <w:pPr>
              <w:pStyle w:val="BodyText"/>
              <w:numPr>
                <w:ilvl w:val="0"/>
                <w:numId w:val="0"/>
              </w:numPr>
              <w:spacing w:before="60" w:after="60"/>
              <w:ind w:left="142" w:right="142"/>
              <w:jc w:val="center"/>
              <w:rPr>
                <w:color w:val="000000" w:themeColor="text1"/>
              </w:rPr>
            </w:pPr>
            <w:r w:rsidRPr="00306115">
              <w:rPr>
                <w:i/>
                <w:iCs/>
                <w:color w:val="000000" w:themeColor="text1"/>
              </w:rPr>
              <w:lastRenderedPageBreak/>
              <w:t>Marginal</w:t>
            </w:r>
            <w:r w:rsidRPr="00306115">
              <w:rPr>
                <w:color w:val="000000" w:themeColor="text1"/>
              </w:rPr>
              <w:t xml:space="preserve"> (4)</w:t>
            </w:r>
          </w:p>
        </w:tc>
        <w:tc>
          <w:tcPr>
            <w:tcW w:w="5805" w:type="dxa"/>
          </w:tcPr>
          <w:p w14:paraId="05308D7A" w14:textId="77777777" w:rsidR="00BD1EBD" w:rsidRPr="00306115" w:rsidRDefault="00BD1EBD" w:rsidP="00BD1EBD">
            <w:pPr>
              <w:ind w:left="142" w:right="142"/>
              <w:rPr>
                <w:color w:val="000000" w:themeColor="text1"/>
                <w:szCs w:val="24"/>
              </w:rPr>
            </w:pPr>
            <w:r w:rsidRPr="00306115">
              <w:rPr>
                <w:color w:val="000000" w:themeColor="text1"/>
                <w:szCs w:val="24"/>
              </w:rPr>
              <w:t>Kualitas penerapan Manajemen Risiko untuk Risiko Kepatuhan kurang memadai. Terdapat kelemahan signifikan pada berbagai aspek Manajemen Risiko untuk Risiko Kepatuhan yang memerlukan perbaikan segera.</w:t>
            </w:r>
          </w:p>
          <w:p w14:paraId="32B03FE3" w14:textId="11BE1861" w:rsidR="00BD1EBD" w:rsidRPr="00306115" w:rsidRDefault="00BD1EBD" w:rsidP="00BD1EBD">
            <w:pPr>
              <w:ind w:left="142" w:right="142"/>
              <w:rPr>
                <w:color w:val="000000" w:themeColor="text1"/>
                <w:szCs w:val="24"/>
              </w:rPr>
            </w:pPr>
            <w:r w:rsidRPr="00306115">
              <w:rPr>
                <w:color w:val="000000" w:themeColor="text1"/>
                <w:szCs w:val="24"/>
              </w:rPr>
              <w:t xml:space="preserve">Contoh </w:t>
            </w:r>
            <w:r w:rsidR="00764ECF" w:rsidRPr="00306115">
              <w:rPr>
                <w:color w:val="000000" w:themeColor="text1"/>
                <w:szCs w:val="24"/>
              </w:rPr>
              <w:t>karakteristik/kondisi</w:t>
            </w:r>
            <w:r w:rsidRPr="00306115">
              <w:rPr>
                <w:color w:val="000000" w:themeColor="text1"/>
                <w:szCs w:val="24"/>
              </w:rPr>
              <w:t xml:space="preserve"> Manajer Investasi yang termasuk dalam peringkat </w:t>
            </w:r>
            <w:r w:rsidRPr="00306115">
              <w:rPr>
                <w:i/>
                <w:color w:val="000000" w:themeColor="text1"/>
                <w:szCs w:val="24"/>
              </w:rPr>
              <w:t xml:space="preserve">Marginal </w:t>
            </w:r>
            <w:r w:rsidRPr="00306115">
              <w:rPr>
                <w:color w:val="000000" w:themeColor="text1"/>
                <w:szCs w:val="24"/>
              </w:rPr>
              <w:t>(4) antara lain sebagai berikut:</w:t>
            </w:r>
          </w:p>
          <w:p w14:paraId="2E8FB4A4" w14:textId="77777777" w:rsidR="00BD1EBD" w:rsidRPr="00306115" w:rsidRDefault="00BD1EBD">
            <w:pPr>
              <w:numPr>
                <w:ilvl w:val="0"/>
                <w:numId w:val="390"/>
              </w:numPr>
              <w:ind w:left="709" w:right="142" w:hanging="567"/>
              <w:rPr>
                <w:color w:val="000000" w:themeColor="text1"/>
                <w:szCs w:val="24"/>
              </w:rPr>
            </w:pPr>
            <w:r w:rsidRPr="00306115">
              <w:rPr>
                <w:color w:val="000000" w:themeColor="text1"/>
                <w:szCs w:val="24"/>
              </w:rPr>
              <w:t>Perumusan tingkat Risiko yang akan diambil (</w:t>
            </w:r>
            <w:r w:rsidRPr="00306115">
              <w:rPr>
                <w:i/>
                <w:iCs/>
                <w:color w:val="000000" w:themeColor="text1"/>
                <w:szCs w:val="24"/>
              </w:rPr>
              <w:t>risk appetite</w:t>
            </w:r>
            <w:r w:rsidRPr="00306115">
              <w:rPr>
                <w:color w:val="000000" w:themeColor="text1"/>
                <w:szCs w:val="24"/>
              </w:rPr>
              <w:t>) dan toleransi Risiko (</w:t>
            </w:r>
            <w:r w:rsidRPr="00306115">
              <w:rPr>
                <w:i/>
                <w:iCs/>
                <w:color w:val="000000" w:themeColor="text1"/>
                <w:szCs w:val="24"/>
              </w:rPr>
              <w:t>risk tolerance</w:t>
            </w:r>
            <w:r w:rsidRPr="00306115">
              <w:rPr>
                <w:color w:val="000000" w:themeColor="text1"/>
                <w:szCs w:val="24"/>
              </w:rPr>
              <w:t>) kurang memadai serta tidak sejalan dengan strategi dan tujuan bisnis secara keseluruhan.</w:t>
            </w:r>
          </w:p>
          <w:p w14:paraId="5A11D4DD" w14:textId="77777777" w:rsidR="00BD1EBD" w:rsidRPr="00306115" w:rsidRDefault="00BD1EBD">
            <w:pPr>
              <w:numPr>
                <w:ilvl w:val="0"/>
                <w:numId w:val="390"/>
              </w:numPr>
              <w:ind w:left="709" w:right="142" w:hanging="567"/>
              <w:rPr>
                <w:color w:val="000000" w:themeColor="text1"/>
                <w:szCs w:val="24"/>
              </w:rPr>
            </w:pPr>
            <w:r w:rsidRPr="00306115">
              <w:rPr>
                <w:color w:val="000000" w:themeColor="text1"/>
                <w:szCs w:val="24"/>
              </w:rPr>
              <w:lastRenderedPageBreak/>
              <w:t>Kesadaran (</w:t>
            </w:r>
            <w:r w:rsidRPr="00306115">
              <w:rPr>
                <w:i/>
                <w:color w:val="000000" w:themeColor="text1"/>
                <w:szCs w:val="24"/>
              </w:rPr>
              <w:t>awareness</w:t>
            </w:r>
            <w:r w:rsidRPr="00306115">
              <w:rPr>
                <w:color w:val="000000" w:themeColor="text1"/>
                <w:szCs w:val="24"/>
              </w:rPr>
              <w:t>) dan pemahaman Direksi dan Dewan Komisaris rendah atau tidak memadai mengenai pelaksanaan Manajemen Risiko, terutama terkait jenis dan tingkat risiko untuk untuk Risiko Kepatuhan.</w:t>
            </w:r>
          </w:p>
          <w:p w14:paraId="79200197" w14:textId="77777777" w:rsidR="00BD1EBD" w:rsidRPr="00306115" w:rsidRDefault="00BD1EBD">
            <w:pPr>
              <w:numPr>
                <w:ilvl w:val="0"/>
                <w:numId w:val="390"/>
              </w:numPr>
              <w:ind w:left="709" w:right="142" w:hanging="567"/>
              <w:rPr>
                <w:color w:val="000000" w:themeColor="text1"/>
                <w:szCs w:val="24"/>
              </w:rPr>
            </w:pPr>
            <w:r w:rsidRPr="00306115">
              <w:rPr>
                <w:color w:val="000000" w:themeColor="text1"/>
                <w:szCs w:val="24"/>
              </w:rPr>
              <w:t>Budaya Manajemen Risiko untuk Risiko Kepatuhan kurang kuat dan belum diinternalisasikan dengan baik pada setiap level organisasi.</w:t>
            </w:r>
          </w:p>
          <w:p w14:paraId="5BE9FFDB" w14:textId="77777777" w:rsidR="00BD1EBD" w:rsidRPr="00306115" w:rsidRDefault="00BD1EBD">
            <w:pPr>
              <w:numPr>
                <w:ilvl w:val="0"/>
                <w:numId w:val="390"/>
              </w:numPr>
              <w:ind w:left="709" w:right="142" w:hanging="567"/>
              <w:rPr>
                <w:color w:val="000000" w:themeColor="text1"/>
                <w:szCs w:val="24"/>
              </w:rPr>
            </w:pPr>
            <w:r w:rsidRPr="00306115">
              <w:rPr>
                <w:color w:val="000000" w:themeColor="text1"/>
                <w:szCs w:val="24"/>
              </w:rPr>
              <w:t>Pelaksanaan tugas Direksi dan Dewan Komisaris secara keseluruhan kurang memadai. Terdapat beberapa kelemahan signigikan pada beberapa aspek penilaian yang memerlukan perbaikan segera</w:t>
            </w:r>
          </w:p>
          <w:p w14:paraId="3B095418" w14:textId="77777777" w:rsidR="00BD1EBD" w:rsidRPr="00306115" w:rsidRDefault="00BD1EBD">
            <w:pPr>
              <w:numPr>
                <w:ilvl w:val="0"/>
                <w:numId w:val="390"/>
              </w:numPr>
              <w:ind w:left="709" w:right="142" w:hanging="567"/>
              <w:rPr>
                <w:color w:val="000000" w:themeColor="text1"/>
                <w:szCs w:val="24"/>
              </w:rPr>
            </w:pPr>
            <w:r w:rsidRPr="00306115">
              <w:rPr>
                <w:color w:val="000000" w:themeColor="text1"/>
                <w:szCs w:val="24"/>
              </w:rPr>
              <w:t>Fungsi Manajemen Risiko untuk Risiko Kepatuhan belum sepenuhnya independen. Terdapat beberapa kelemahan signifikan yang memerlukan perbaikan segera.</w:t>
            </w:r>
          </w:p>
          <w:p w14:paraId="6FEBE6E5" w14:textId="77777777" w:rsidR="00BD1EBD" w:rsidRPr="00306115" w:rsidRDefault="00BD1EBD">
            <w:pPr>
              <w:numPr>
                <w:ilvl w:val="0"/>
                <w:numId w:val="390"/>
              </w:numPr>
              <w:ind w:left="709" w:right="142" w:hanging="567"/>
              <w:rPr>
                <w:color w:val="000000" w:themeColor="text1"/>
                <w:szCs w:val="24"/>
              </w:rPr>
            </w:pPr>
            <w:r w:rsidRPr="00306115">
              <w:rPr>
                <w:color w:val="000000" w:themeColor="text1"/>
                <w:szCs w:val="24"/>
              </w:rPr>
              <w:t>Kerangka pedelegasian wewenang kurang memadai.</w:t>
            </w:r>
          </w:p>
          <w:p w14:paraId="4805D8A6" w14:textId="77777777" w:rsidR="00BD1EBD" w:rsidRPr="00306115" w:rsidRDefault="00BD1EBD">
            <w:pPr>
              <w:numPr>
                <w:ilvl w:val="0"/>
                <w:numId w:val="390"/>
              </w:numPr>
              <w:ind w:left="709" w:right="142" w:hanging="567"/>
              <w:rPr>
                <w:color w:val="000000" w:themeColor="text1"/>
                <w:szCs w:val="24"/>
              </w:rPr>
            </w:pPr>
            <w:r w:rsidRPr="00306115">
              <w:rPr>
                <w:color w:val="000000" w:themeColor="text1"/>
                <w:szCs w:val="24"/>
              </w:rPr>
              <w:t>Strategi pengelolaan Risiko Kepatuhan kurang sejalan dengan tingkat risiko yang akan diambil dan toleransi risiko.</w:t>
            </w:r>
          </w:p>
          <w:p w14:paraId="23554314" w14:textId="77777777" w:rsidR="00BD1EBD" w:rsidRPr="00306115" w:rsidRDefault="00BD1EBD">
            <w:pPr>
              <w:numPr>
                <w:ilvl w:val="0"/>
                <w:numId w:val="390"/>
              </w:numPr>
              <w:ind w:left="709" w:right="142" w:hanging="567"/>
              <w:rPr>
                <w:color w:val="000000" w:themeColor="text1"/>
                <w:szCs w:val="24"/>
              </w:rPr>
            </w:pPr>
            <w:r w:rsidRPr="00306115">
              <w:rPr>
                <w:color w:val="000000" w:themeColor="text1"/>
                <w:szCs w:val="24"/>
              </w:rPr>
              <w:t>Kebijakan dan prosedur Manajemen Risiko serta penetapan limit Risiko Kepatuhan kurang memadai, diterapkan dengan kurang baik, dan dipahami dengan kurang baik oleh pegawai, sehingga memerlukan perbaikan segera.</w:t>
            </w:r>
          </w:p>
          <w:p w14:paraId="18FB29E3" w14:textId="77777777" w:rsidR="00BD1EBD" w:rsidRPr="00306115" w:rsidRDefault="00BD1EBD">
            <w:pPr>
              <w:numPr>
                <w:ilvl w:val="0"/>
                <w:numId w:val="390"/>
              </w:numPr>
              <w:ind w:left="709" w:right="142" w:hanging="567"/>
              <w:rPr>
                <w:color w:val="000000" w:themeColor="text1"/>
                <w:szCs w:val="24"/>
              </w:rPr>
            </w:pPr>
            <w:r w:rsidRPr="00306115">
              <w:rPr>
                <w:color w:val="000000" w:themeColor="text1"/>
                <w:szCs w:val="24"/>
              </w:rPr>
              <w:t>Kebijakan dan prosedur tertulis yang mengatur terkait benturan kepentingan kurang memadai.</w:t>
            </w:r>
          </w:p>
          <w:p w14:paraId="3DABD200" w14:textId="77777777" w:rsidR="00BD1EBD" w:rsidRPr="00306115" w:rsidRDefault="00BD1EBD">
            <w:pPr>
              <w:numPr>
                <w:ilvl w:val="0"/>
                <w:numId w:val="390"/>
              </w:numPr>
              <w:ind w:left="709" w:right="142" w:hanging="567"/>
              <w:rPr>
                <w:color w:val="000000" w:themeColor="text1"/>
                <w:szCs w:val="24"/>
              </w:rPr>
            </w:pPr>
            <w:r w:rsidRPr="00306115">
              <w:rPr>
                <w:color w:val="000000" w:themeColor="text1"/>
                <w:szCs w:val="24"/>
              </w:rPr>
              <w:t>Proses Manajemen Risiko untuk Risiko Kepatuhan kurang memadai dalam mengidentifikasi, mengukur, memantau, dan mengendalikan Risiko Kepatuhan.</w:t>
            </w:r>
          </w:p>
          <w:p w14:paraId="03A40EB7" w14:textId="77777777" w:rsidR="00BD1EBD" w:rsidRPr="00306115" w:rsidRDefault="00BD1EBD">
            <w:pPr>
              <w:numPr>
                <w:ilvl w:val="0"/>
                <w:numId w:val="390"/>
              </w:numPr>
              <w:ind w:left="709" w:right="142" w:hanging="567"/>
              <w:rPr>
                <w:color w:val="000000" w:themeColor="text1"/>
                <w:szCs w:val="24"/>
              </w:rPr>
            </w:pPr>
            <w:r w:rsidRPr="00306115">
              <w:rPr>
                <w:color w:val="000000" w:themeColor="text1"/>
                <w:szCs w:val="24"/>
              </w:rPr>
              <w:t>Sistem Informasi Manajemen Risiko untuk Risiko Kepatuhan kurang baik dalam menghasilkan informasi dan laporan Risiko Kepatuhan yang komprehensif.</w:t>
            </w:r>
          </w:p>
          <w:p w14:paraId="47D53C40" w14:textId="77777777" w:rsidR="00BD1EBD" w:rsidRPr="00306115" w:rsidRDefault="00BD1EBD">
            <w:pPr>
              <w:numPr>
                <w:ilvl w:val="0"/>
                <w:numId w:val="390"/>
              </w:numPr>
              <w:ind w:left="709" w:right="142" w:hanging="567"/>
              <w:rPr>
                <w:color w:val="000000" w:themeColor="text1"/>
                <w:szCs w:val="24"/>
              </w:rPr>
            </w:pPr>
            <w:r w:rsidRPr="00306115">
              <w:rPr>
                <w:color w:val="000000" w:themeColor="text1"/>
                <w:szCs w:val="24"/>
              </w:rPr>
              <w:t>Sumber daya manusia kurang memadai dari segi kuantitas maupun kompetensi pada fungsi Manajemen Risiko untuk Risiko Kepatuhan.</w:t>
            </w:r>
          </w:p>
          <w:p w14:paraId="5A753ED0" w14:textId="77777777" w:rsidR="00BD1EBD" w:rsidRPr="00306115" w:rsidRDefault="00BD1EBD">
            <w:pPr>
              <w:numPr>
                <w:ilvl w:val="0"/>
                <w:numId w:val="390"/>
              </w:numPr>
              <w:ind w:left="709" w:right="142" w:hanging="567"/>
              <w:rPr>
                <w:color w:val="000000" w:themeColor="text1"/>
                <w:szCs w:val="24"/>
              </w:rPr>
            </w:pPr>
            <w:r w:rsidRPr="00306115">
              <w:rPr>
                <w:color w:val="000000" w:themeColor="text1"/>
                <w:szCs w:val="24"/>
              </w:rPr>
              <w:t>Sistem pengendalian internal kurang efektif dalam mendukung pelaksanaan Manajemen Risiko.</w:t>
            </w:r>
          </w:p>
          <w:p w14:paraId="5EF78A0D" w14:textId="051492AA" w:rsidR="00BD1EBD" w:rsidRPr="00306115" w:rsidRDefault="00BD1EBD">
            <w:pPr>
              <w:numPr>
                <w:ilvl w:val="0"/>
                <w:numId w:val="390"/>
              </w:numPr>
              <w:ind w:left="709" w:right="142" w:hanging="567"/>
              <w:rPr>
                <w:color w:val="000000" w:themeColor="text1"/>
                <w:szCs w:val="24"/>
              </w:rPr>
            </w:pPr>
            <w:r w:rsidRPr="00306115">
              <w:rPr>
                <w:color w:val="000000" w:themeColor="text1"/>
                <w:szCs w:val="24"/>
              </w:rPr>
              <w:lastRenderedPageBreak/>
              <w:t xml:space="preserve">Pelaksanaan kaji ulang oleh fungsi </w:t>
            </w:r>
            <w:r w:rsidR="00DA0D2E" w:rsidRPr="00306115">
              <w:rPr>
                <w:color w:val="000000" w:themeColor="text1"/>
              </w:rPr>
              <w:t xml:space="preserve">Manajemen Risiko </w:t>
            </w:r>
            <w:r w:rsidRPr="00306115">
              <w:rPr>
                <w:color w:val="000000" w:themeColor="text1"/>
                <w:szCs w:val="24"/>
              </w:rPr>
              <w:t>dan fungsi audit internal kurang memadai. Terdapat beberapa kelemahan yang signifikan pada metodologi, frekuensi, maupun pelaporan kepada Direksi dan Dewan Komisaris yang memerlukan perbaikan segera.</w:t>
            </w:r>
          </w:p>
          <w:p w14:paraId="5978026B" w14:textId="77777777" w:rsidR="00BD1EBD" w:rsidRPr="00306115" w:rsidRDefault="00BD1EBD">
            <w:pPr>
              <w:numPr>
                <w:ilvl w:val="0"/>
                <w:numId w:val="390"/>
              </w:numPr>
              <w:ind w:left="709" w:right="142" w:hanging="567"/>
              <w:rPr>
                <w:color w:val="000000" w:themeColor="text1"/>
                <w:szCs w:val="24"/>
              </w:rPr>
            </w:pPr>
            <w:r w:rsidRPr="00306115">
              <w:rPr>
                <w:color w:val="000000" w:themeColor="text1"/>
                <w:szCs w:val="24"/>
              </w:rPr>
              <w:t>Tindak lanjut atas kaji ulang independen kurang memadai.</w:t>
            </w:r>
          </w:p>
        </w:tc>
      </w:tr>
      <w:tr w:rsidR="00BD1EBD" w:rsidRPr="00306115" w14:paraId="738430C1" w14:textId="77777777" w:rsidTr="00BD1EBD">
        <w:tc>
          <w:tcPr>
            <w:tcW w:w="2127" w:type="dxa"/>
          </w:tcPr>
          <w:p w14:paraId="1472C8F7" w14:textId="77777777" w:rsidR="00BD1EBD" w:rsidRPr="00306115" w:rsidRDefault="00BD1EBD" w:rsidP="009C1A63">
            <w:pPr>
              <w:pStyle w:val="BodyText"/>
              <w:numPr>
                <w:ilvl w:val="0"/>
                <w:numId w:val="0"/>
              </w:numPr>
              <w:spacing w:before="60" w:after="60"/>
              <w:ind w:left="142" w:right="142"/>
              <w:jc w:val="center"/>
              <w:rPr>
                <w:color w:val="000000" w:themeColor="text1"/>
              </w:rPr>
            </w:pPr>
            <w:r w:rsidRPr="00306115">
              <w:rPr>
                <w:i/>
                <w:iCs/>
                <w:color w:val="000000" w:themeColor="text1"/>
              </w:rPr>
              <w:lastRenderedPageBreak/>
              <w:t>Unsatisfactory</w:t>
            </w:r>
            <w:r w:rsidRPr="00306115">
              <w:rPr>
                <w:color w:val="000000" w:themeColor="text1"/>
              </w:rPr>
              <w:t xml:space="preserve"> (5)</w:t>
            </w:r>
          </w:p>
        </w:tc>
        <w:tc>
          <w:tcPr>
            <w:tcW w:w="5805" w:type="dxa"/>
          </w:tcPr>
          <w:p w14:paraId="12946A4C" w14:textId="77777777" w:rsidR="00BD1EBD" w:rsidRPr="00306115" w:rsidRDefault="00BD1EBD" w:rsidP="00BD1EBD">
            <w:pPr>
              <w:ind w:left="142" w:right="142"/>
              <w:rPr>
                <w:color w:val="000000" w:themeColor="text1"/>
                <w:szCs w:val="24"/>
              </w:rPr>
            </w:pPr>
            <w:r w:rsidRPr="00306115">
              <w:rPr>
                <w:color w:val="000000" w:themeColor="text1"/>
                <w:szCs w:val="24"/>
              </w:rPr>
              <w:t>Kualitas penerapan Manajemen Risiko untuk Risiko Kepatuhan tidak memadai. Terdapat kelemahan signifikan pada berbagai aspek Manajemen Risiko untuk Risiko Kepatuhan yang tindakan penyelesaiannya di luar kemampuan manajemen.</w:t>
            </w:r>
          </w:p>
          <w:p w14:paraId="62BEB2C9" w14:textId="2E2CF3CC" w:rsidR="00BD1EBD" w:rsidRPr="00306115" w:rsidRDefault="00BD1EBD" w:rsidP="00BD1EBD">
            <w:pPr>
              <w:ind w:left="142" w:right="142"/>
              <w:rPr>
                <w:color w:val="000000" w:themeColor="text1"/>
                <w:szCs w:val="24"/>
              </w:rPr>
            </w:pPr>
            <w:r w:rsidRPr="00306115">
              <w:rPr>
                <w:color w:val="000000" w:themeColor="text1"/>
                <w:szCs w:val="24"/>
              </w:rPr>
              <w:t xml:space="preserve">Contoh </w:t>
            </w:r>
            <w:r w:rsidR="00764ECF" w:rsidRPr="00306115">
              <w:rPr>
                <w:color w:val="000000" w:themeColor="text1"/>
                <w:szCs w:val="24"/>
              </w:rPr>
              <w:t>karakteristik/kondisi</w:t>
            </w:r>
            <w:r w:rsidRPr="00306115">
              <w:rPr>
                <w:color w:val="000000" w:themeColor="text1"/>
                <w:szCs w:val="24"/>
              </w:rPr>
              <w:t xml:space="preserve"> Manajer Investasi yang termasuk dalam peringkat </w:t>
            </w:r>
            <w:r w:rsidRPr="00306115">
              <w:rPr>
                <w:i/>
                <w:color w:val="000000" w:themeColor="text1"/>
                <w:szCs w:val="24"/>
              </w:rPr>
              <w:t xml:space="preserve">Unsatisfactory </w:t>
            </w:r>
            <w:r w:rsidRPr="00306115">
              <w:rPr>
                <w:color w:val="000000" w:themeColor="text1"/>
                <w:szCs w:val="24"/>
              </w:rPr>
              <w:t>(5) ini antara lain sebagai berikut:</w:t>
            </w:r>
          </w:p>
          <w:p w14:paraId="48DDA64E" w14:textId="77777777" w:rsidR="00BD1EBD" w:rsidRPr="00306115" w:rsidRDefault="00BD1EBD">
            <w:pPr>
              <w:numPr>
                <w:ilvl w:val="0"/>
                <w:numId w:val="391"/>
              </w:numPr>
              <w:ind w:left="709" w:right="142" w:hanging="567"/>
              <w:rPr>
                <w:color w:val="000000" w:themeColor="text1"/>
                <w:szCs w:val="24"/>
              </w:rPr>
            </w:pPr>
            <w:r w:rsidRPr="00306115">
              <w:rPr>
                <w:color w:val="000000" w:themeColor="text1"/>
                <w:szCs w:val="24"/>
              </w:rPr>
              <w:t>Perumusan tingkat Risiko yang akan diambil (</w:t>
            </w:r>
            <w:r w:rsidRPr="00306115">
              <w:rPr>
                <w:i/>
                <w:iCs/>
                <w:color w:val="000000" w:themeColor="text1"/>
                <w:szCs w:val="24"/>
              </w:rPr>
              <w:t>risk appetite</w:t>
            </w:r>
            <w:r w:rsidRPr="00306115">
              <w:rPr>
                <w:color w:val="000000" w:themeColor="text1"/>
                <w:szCs w:val="24"/>
              </w:rPr>
              <w:t>) dan toleransi Risiko (</w:t>
            </w:r>
            <w:r w:rsidRPr="00306115">
              <w:rPr>
                <w:i/>
                <w:iCs/>
                <w:color w:val="000000" w:themeColor="text1"/>
                <w:szCs w:val="24"/>
              </w:rPr>
              <w:t>risk tolerance</w:t>
            </w:r>
            <w:r w:rsidRPr="00306115">
              <w:rPr>
                <w:color w:val="000000" w:themeColor="text1"/>
                <w:szCs w:val="24"/>
              </w:rPr>
              <w:t>) tidak memadai serta tidak sejalan dengan strategi dan tujuan bisnis Manajer Investasi secara keseluruhan.</w:t>
            </w:r>
          </w:p>
          <w:p w14:paraId="7A41DDA4" w14:textId="77777777" w:rsidR="00BD1EBD" w:rsidRPr="00306115" w:rsidRDefault="00BD1EBD">
            <w:pPr>
              <w:numPr>
                <w:ilvl w:val="0"/>
                <w:numId w:val="391"/>
              </w:numPr>
              <w:ind w:left="709" w:right="142" w:hanging="567"/>
              <w:rPr>
                <w:color w:val="000000" w:themeColor="text1"/>
                <w:szCs w:val="24"/>
              </w:rPr>
            </w:pPr>
            <w:r w:rsidRPr="00306115">
              <w:rPr>
                <w:color w:val="000000" w:themeColor="text1"/>
                <w:szCs w:val="24"/>
              </w:rPr>
              <w:t>Kesadaran (</w:t>
            </w:r>
            <w:r w:rsidRPr="00306115">
              <w:rPr>
                <w:i/>
                <w:color w:val="000000" w:themeColor="text1"/>
                <w:szCs w:val="24"/>
              </w:rPr>
              <w:t>awareness</w:t>
            </w:r>
            <w:r w:rsidRPr="00306115">
              <w:rPr>
                <w:color w:val="000000" w:themeColor="text1"/>
                <w:szCs w:val="24"/>
              </w:rPr>
              <w:t>) dan pemahaman Direksi dan Dewan Komisaris sangat rendah atau sangat tidak memadai mengenai pelaksanaan Manajemen Risiko, terutama terkait jenis dan tingkat risiko untuk Risiko Kepatuhan.</w:t>
            </w:r>
          </w:p>
          <w:p w14:paraId="4BE0DE94" w14:textId="77777777" w:rsidR="00BD1EBD" w:rsidRPr="00306115" w:rsidRDefault="00BD1EBD">
            <w:pPr>
              <w:numPr>
                <w:ilvl w:val="0"/>
                <w:numId w:val="391"/>
              </w:numPr>
              <w:ind w:left="709" w:right="142" w:hanging="567"/>
              <w:rPr>
                <w:color w:val="000000" w:themeColor="text1"/>
                <w:szCs w:val="24"/>
              </w:rPr>
            </w:pPr>
            <w:r w:rsidRPr="00306115">
              <w:rPr>
                <w:color w:val="000000" w:themeColor="text1"/>
                <w:szCs w:val="24"/>
              </w:rPr>
              <w:t>Budaya Manajemen Risiko untuk Risiko Kepatuhan tidak kuat atau belum ada sama sekali.</w:t>
            </w:r>
          </w:p>
          <w:p w14:paraId="0CC7B34D" w14:textId="77777777" w:rsidR="00BD1EBD" w:rsidRPr="00306115" w:rsidRDefault="00BD1EBD">
            <w:pPr>
              <w:numPr>
                <w:ilvl w:val="0"/>
                <w:numId w:val="391"/>
              </w:numPr>
              <w:ind w:left="709" w:right="142" w:hanging="567"/>
              <w:rPr>
                <w:color w:val="000000" w:themeColor="text1"/>
                <w:szCs w:val="24"/>
              </w:rPr>
            </w:pPr>
            <w:r w:rsidRPr="00306115">
              <w:rPr>
                <w:color w:val="000000" w:themeColor="text1"/>
                <w:szCs w:val="24"/>
              </w:rPr>
              <w:t>Pelaksanaan tugas Direksi dan Dewan Komisaris secara keseluruhan tidak memadai. Terdapat beberapa kelemahan yang signifikan pada hampir seluruh aspek penilaian yang tindakan penyelesaiannya di luar kemampuan manajemen.</w:t>
            </w:r>
          </w:p>
          <w:p w14:paraId="64365B26" w14:textId="77777777" w:rsidR="00BD1EBD" w:rsidRPr="00306115" w:rsidRDefault="00BD1EBD">
            <w:pPr>
              <w:numPr>
                <w:ilvl w:val="0"/>
                <w:numId w:val="391"/>
              </w:numPr>
              <w:ind w:left="709" w:right="142" w:hanging="567"/>
              <w:rPr>
                <w:color w:val="000000" w:themeColor="text1"/>
                <w:szCs w:val="24"/>
              </w:rPr>
            </w:pPr>
            <w:r w:rsidRPr="00306115">
              <w:rPr>
                <w:color w:val="000000" w:themeColor="text1"/>
                <w:szCs w:val="24"/>
              </w:rPr>
              <w:t>Fungsi Manajemen Risiko untuk Risiko Kepatuhan tidak independen, serta terdapat kelemahan signifikan yang memerlukan perbaikan fundamental.</w:t>
            </w:r>
          </w:p>
          <w:p w14:paraId="1453BA44" w14:textId="77777777" w:rsidR="00BD1EBD" w:rsidRPr="00306115" w:rsidRDefault="00BD1EBD">
            <w:pPr>
              <w:numPr>
                <w:ilvl w:val="0"/>
                <w:numId w:val="391"/>
              </w:numPr>
              <w:ind w:left="709" w:right="142" w:hanging="567"/>
              <w:rPr>
                <w:color w:val="000000" w:themeColor="text1"/>
                <w:szCs w:val="24"/>
              </w:rPr>
            </w:pPr>
            <w:r w:rsidRPr="00306115">
              <w:rPr>
                <w:color w:val="000000" w:themeColor="text1"/>
                <w:szCs w:val="24"/>
              </w:rPr>
              <w:t>Kerangka pedelegasian wewenang tidak memadai.</w:t>
            </w:r>
          </w:p>
          <w:p w14:paraId="6B1D8709" w14:textId="77777777" w:rsidR="00BD1EBD" w:rsidRPr="00306115" w:rsidRDefault="00BD1EBD">
            <w:pPr>
              <w:numPr>
                <w:ilvl w:val="0"/>
                <w:numId w:val="391"/>
              </w:numPr>
              <w:ind w:left="709" w:right="142" w:hanging="567"/>
              <w:rPr>
                <w:color w:val="000000" w:themeColor="text1"/>
                <w:szCs w:val="24"/>
              </w:rPr>
            </w:pPr>
            <w:r w:rsidRPr="00306115">
              <w:rPr>
                <w:color w:val="000000" w:themeColor="text1"/>
                <w:szCs w:val="24"/>
              </w:rPr>
              <w:t>Strategi pengelolaan Risiko untuk Risiko Kepatuhan tidak sejalan dengan tingkat risiko yang akan diambil dan toleransi risiko.</w:t>
            </w:r>
          </w:p>
          <w:p w14:paraId="66D25748" w14:textId="77777777" w:rsidR="00BD1EBD" w:rsidRPr="00306115" w:rsidRDefault="00BD1EBD">
            <w:pPr>
              <w:numPr>
                <w:ilvl w:val="0"/>
                <w:numId w:val="391"/>
              </w:numPr>
              <w:ind w:left="709" w:right="142" w:hanging="567"/>
              <w:rPr>
                <w:color w:val="000000" w:themeColor="text1"/>
                <w:szCs w:val="24"/>
              </w:rPr>
            </w:pPr>
            <w:r w:rsidRPr="00306115">
              <w:rPr>
                <w:color w:val="000000" w:themeColor="text1"/>
                <w:szCs w:val="24"/>
              </w:rPr>
              <w:lastRenderedPageBreak/>
              <w:t>Kebijakan dan prosedur Manajemen Risiko serta penetapan limit Risiko Kepatuhan tidak memadai, tidak diterapkan, dan tidak dipahami oleh pegawai, sehingga memerlukan perbaikan fundamental.</w:t>
            </w:r>
          </w:p>
          <w:p w14:paraId="2E6B5E77" w14:textId="77777777" w:rsidR="00BD1EBD" w:rsidRPr="00306115" w:rsidRDefault="00BD1EBD">
            <w:pPr>
              <w:numPr>
                <w:ilvl w:val="0"/>
                <w:numId w:val="391"/>
              </w:numPr>
              <w:ind w:left="709" w:right="142" w:hanging="567"/>
              <w:rPr>
                <w:color w:val="000000" w:themeColor="text1"/>
                <w:szCs w:val="24"/>
              </w:rPr>
            </w:pPr>
            <w:r w:rsidRPr="00306115">
              <w:rPr>
                <w:color w:val="000000" w:themeColor="text1"/>
                <w:szCs w:val="24"/>
              </w:rPr>
              <w:t>Kebijakan dan prosedur tertulis yang mengatur terkait benturan kepentingan tidak memadai atau tidak ada.</w:t>
            </w:r>
          </w:p>
          <w:p w14:paraId="3D64BD1A" w14:textId="77777777" w:rsidR="00BD1EBD" w:rsidRPr="00306115" w:rsidRDefault="00BD1EBD">
            <w:pPr>
              <w:numPr>
                <w:ilvl w:val="0"/>
                <w:numId w:val="391"/>
              </w:numPr>
              <w:ind w:left="709" w:right="142" w:hanging="567"/>
              <w:rPr>
                <w:color w:val="000000" w:themeColor="text1"/>
                <w:szCs w:val="24"/>
              </w:rPr>
            </w:pPr>
            <w:r w:rsidRPr="00306115">
              <w:rPr>
                <w:color w:val="000000" w:themeColor="text1"/>
                <w:szCs w:val="24"/>
              </w:rPr>
              <w:t>Proses Manajemen Risiko untuk Risiko Kepatuhan tidak memadai dalam mengidentifikasi, mengukur, memantau, dan mengendalikan Risiko Kepatuhan.</w:t>
            </w:r>
          </w:p>
          <w:p w14:paraId="5CB76DC1" w14:textId="77777777" w:rsidR="00BD1EBD" w:rsidRPr="00306115" w:rsidRDefault="00BD1EBD">
            <w:pPr>
              <w:numPr>
                <w:ilvl w:val="0"/>
                <w:numId w:val="391"/>
              </w:numPr>
              <w:ind w:left="709" w:right="142" w:hanging="567"/>
              <w:rPr>
                <w:color w:val="000000" w:themeColor="text1"/>
                <w:szCs w:val="24"/>
              </w:rPr>
            </w:pPr>
            <w:r w:rsidRPr="00306115">
              <w:rPr>
                <w:color w:val="000000" w:themeColor="text1"/>
                <w:szCs w:val="24"/>
              </w:rPr>
              <w:t>Sistem Informasi Manajemen Risiko untuk Risiko Kepatuhan tidak dapat dalam menghasilkan informasi dan laporan Risiko Kepatuhan yang komprehensif.</w:t>
            </w:r>
          </w:p>
          <w:p w14:paraId="03FA60C1" w14:textId="77777777" w:rsidR="00BD1EBD" w:rsidRPr="00306115" w:rsidRDefault="00BD1EBD">
            <w:pPr>
              <w:numPr>
                <w:ilvl w:val="0"/>
                <w:numId w:val="391"/>
              </w:numPr>
              <w:ind w:left="709" w:right="142" w:hanging="567"/>
              <w:rPr>
                <w:color w:val="000000" w:themeColor="text1"/>
                <w:szCs w:val="24"/>
              </w:rPr>
            </w:pPr>
            <w:r w:rsidRPr="00306115">
              <w:rPr>
                <w:color w:val="000000" w:themeColor="text1"/>
                <w:szCs w:val="24"/>
              </w:rPr>
              <w:t>Sumber daya manusia tidak memadai dari segi kuantitas maupun kompetensi pada fungsi Manajemen Risiko untuk Risiko Kepatuhan.</w:t>
            </w:r>
          </w:p>
          <w:p w14:paraId="375E8536" w14:textId="77777777" w:rsidR="00BD1EBD" w:rsidRPr="00306115" w:rsidRDefault="00BD1EBD">
            <w:pPr>
              <w:numPr>
                <w:ilvl w:val="0"/>
                <w:numId w:val="391"/>
              </w:numPr>
              <w:ind w:left="709" w:right="142" w:hanging="567"/>
              <w:rPr>
                <w:color w:val="000000" w:themeColor="text1"/>
                <w:szCs w:val="24"/>
              </w:rPr>
            </w:pPr>
            <w:r w:rsidRPr="00306115">
              <w:rPr>
                <w:color w:val="000000" w:themeColor="text1"/>
                <w:szCs w:val="24"/>
              </w:rPr>
              <w:t>Sistem pengendalian internal tidak efektif dalam mendukung pelaksanaan Manajemen Risiko untuk Risiko Kepatuhan.</w:t>
            </w:r>
          </w:p>
          <w:p w14:paraId="40292BD4" w14:textId="473BFF1D" w:rsidR="00BD1EBD" w:rsidRPr="00306115" w:rsidRDefault="00BD1EBD">
            <w:pPr>
              <w:numPr>
                <w:ilvl w:val="0"/>
                <w:numId w:val="391"/>
              </w:numPr>
              <w:ind w:left="709" w:right="142" w:hanging="567"/>
              <w:rPr>
                <w:color w:val="000000" w:themeColor="text1"/>
                <w:szCs w:val="24"/>
              </w:rPr>
            </w:pPr>
            <w:r w:rsidRPr="00306115">
              <w:rPr>
                <w:color w:val="000000" w:themeColor="text1"/>
                <w:szCs w:val="24"/>
              </w:rPr>
              <w:t xml:space="preserve">Pelaksanaan kaji ulang oleh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dan fungsi audit internal tidak memadai. Terdapat kelemahan yang signifikan pada metodologi, frekuensi, maupun pelaporan kepada Direksi dan Dewan Komisaris yang memerlukan perbaikan fundamental.</w:t>
            </w:r>
          </w:p>
          <w:p w14:paraId="06833B3C" w14:textId="77777777" w:rsidR="00BD1EBD" w:rsidRPr="00306115" w:rsidRDefault="00BD1EBD">
            <w:pPr>
              <w:numPr>
                <w:ilvl w:val="0"/>
                <w:numId w:val="391"/>
              </w:numPr>
              <w:ind w:left="709" w:right="142" w:hanging="567"/>
              <w:rPr>
                <w:color w:val="000000" w:themeColor="text1"/>
                <w:szCs w:val="24"/>
              </w:rPr>
            </w:pPr>
            <w:r w:rsidRPr="00306115">
              <w:rPr>
                <w:color w:val="000000" w:themeColor="text1"/>
                <w:szCs w:val="24"/>
              </w:rPr>
              <w:t>Tindak lanjut atas kaji ulang independen tidak memadai atau tidak ada.</w:t>
            </w:r>
          </w:p>
        </w:tc>
      </w:tr>
    </w:tbl>
    <w:p w14:paraId="52FE3AE5" w14:textId="77777777" w:rsidR="00BD1EBD" w:rsidRPr="00306115" w:rsidRDefault="00BD1EBD" w:rsidP="00BD1EBD">
      <w:pPr>
        <w:pStyle w:val="HeadingAwalDaftarIsiLampiran"/>
        <w:numPr>
          <w:ilvl w:val="0"/>
          <w:numId w:val="0"/>
        </w:numPr>
        <w:ind w:left="1134"/>
      </w:pPr>
    </w:p>
    <w:p w14:paraId="2ABF76DD" w14:textId="7C6A341E" w:rsidR="001F762D" w:rsidRPr="00306115" w:rsidRDefault="001F762D">
      <w:pPr>
        <w:pStyle w:val="HeadingAwalDaftarIsiLampiran"/>
        <w:numPr>
          <w:ilvl w:val="3"/>
          <w:numId w:val="295"/>
        </w:numPr>
        <w:ind w:left="567" w:hanging="567"/>
      </w:pPr>
      <w:r w:rsidRPr="00306115">
        <w:t>Risiko Reputasi</w:t>
      </w:r>
    </w:p>
    <w:p w14:paraId="0AA6E321" w14:textId="77777777" w:rsidR="00451E35" w:rsidRPr="00306115" w:rsidRDefault="00451E35">
      <w:pPr>
        <w:pStyle w:val="HeadingAwalDaftarIsiLampiran"/>
        <w:numPr>
          <w:ilvl w:val="4"/>
          <w:numId w:val="295"/>
        </w:numPr>
        <w:ind w:left="1134" w:hanging="567"/>
      </w:pPr>
      <w:r w:rsidRPr="00306115">
        <w:t>Matriks Penetapan Tingkat Risiko Inheren</w:t>
      </w:r>
    </w:p>
    <w:tbl>
      <w:tblPr>
        <w:tblW w:w="7938"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7"/>
        <w:gridCol w:w="5811"/>
      </w:tblGrid>
      <w:tr w:rsidR="00C70883" w:rsidRPr="00306115" w14:paraId="316BA854" w14:textId="77777777" w:rsidTr="00151194">
        <w:trPr>
          <w:trHeight w:val="503"/>
          <w:tblHeader/>
        </w:trPr>
        <w:tc>
          <w:tcPr>
            <w:tcW w:w="2127" w:type="dxa"/>
            <w:shd w:val="clear" w:color="auto" w:fill="D9D9D9" w:themeFill="background1" w:themeFillShade="D9"/>
          </w:tcPr>
          <w:p w14:paraId="7E7E708C" w14:textId="77777777" w:rsidR="00C70883" w:rsidRPr="00306115" w:rsidRDefault="00C70883" w:rsidP="00151194">
            <w:pPr>
              <w:pStyle w:val="TableParagraph"/>
              <w:spacing w:before="60" w:after="60"/>
              <w:ind w:left="142" w:right="142"/>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Peringkat</w:t>
            </w:r>
          </w:p>
        </w:tc>
        <w:tc>
          <w:tcPr>
            <w:tcW w:w="5811" w:type="dxa"/>
            <w:shd w:val="clear" w:color="auto" w:fill="D9D9D9" w:themeFill="background1" w:themeFillShade="D9"/>
          </w:tcPr>
          <w:p w14:paraId="671BD29C" w14:textId="72591EF8" w:rsidR="00C70883" w:rsidRPr="00306115" w:rsidRDefault="00C70883" w:rsidP="00151194">
            <w:pPr>
              <w:pStyle w:val="TableParagraph"/>
              <w:spacing w:before="60" w:after="60"/>
              <w:ind w:left="142" w:right="142"/>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Definisi Peringkat</w:t>
            </w:r>
          </w:p>
        </w:tc>
      </w:tr>
      <w:tr w:rsidR="00C70883" w:rsidRPr="00306115" w14:paraId="67CB32DE" w14:textId="77777777" w:rsidTr="001A11ED">
        <w:trPr>
          <w:trHeight w:val="190"/>
        </w:trPr>
        <w:tc>
          <w:tcPr>
            <w:tcW w:w="2127" w:type="dxa"/>
          </w:tcPr>
          <w:p w14:paraId="0A256973" w14:textId="77777777" w:rsidR="00C70883" w:rsidRPr="00306115" w:rsidRDefault="00C70883" w:rsidP="00BB14D2">
            <w:pPr>
              <w:pStyle w:val="TableParagraph"/>
              <w:spacing w:before="60" w:after="60"/>
              <w:ind w:left="142" w:right="142"/>
              <w:jc w:val="center"/>
              <w:rPr>
                <w:rFonts w:ascii="Bookman Old Style" w:hAnsi="Bookman Old Style"/>
                <w:color w:val="000000" w:themeColor="text1"/>
                <w:sz w:val="24"/>
                <w:szCs w:val="24"/>
              </w:rPr>
            </w:pPr>
            <w:r w:rsidRPr="00306115">
              <w:rPr>
                <w:rFonts w:ascii="Bookman Old Style" w:hAnsi="Bookman Old Style"/>
                <w:i/>
                <w:color w:val="000000" w:themeColor="text1"/>
                <w:sz w:val="24"/>
                <w:szCs w:val="24"/>
              </w:rPr>
              <w:t xml:space="preserve">Low </w:t>
            </w:r>
            <w:r w:rsidRPr="00306115">
              <w:rPr>
                <w:rFonts w:ascii="Bookman Old Style" w:hAnsi="Bookman Old Style"/>
                <w:color w:val="000000" w:themeColor="text1"/>
                <w:sz w:val="24"/>
                <w:szCs w:val="24"/>
              </w:rPr>
              <w:t>(1)</w:t>
            </w:r>
          </w:p>
        </w:tc>
        <w:tc>
          <w:tcPr>
            <w:tcW w:w="5811" w:type="dxa"/>
          </w:tcPr>
          <w:p w14:paraId="584B0677" w14:textId="77777777" w:rsidR="00C70883" w:rsidRPr="00306115" w:rsidRDefault="00C70883" w:rsidP="00BB14D2">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Dengan mempertimbangkan aktivitas kegiatan usaha yang dilakukan Manajer Investasi </w:t>
            </w:r>
            <w:r w:rsidRPr="00306115">
              <w:rPr>
                <w:color w:val="000000" w:themeColor="text1"/>
                <w:szCs w:val="24"/>
                <w:lang w:val="en-US"/>
              </w:rPr>
              <w:t>beserta Produk Investasi yang dikelola</w:t>
            </w:r>
            <w:r w:rsidRPr="00306115">
              <w:rPr>
                <w:color w:val="000000" w:themeColor="text1"/>
                <w:szCs w:val="24"/>
              </w:rPr>
              <w:t xml:space="preserve">, kemungkinan timbulnya dampak paparan dari Risiko Reputasi tergolong sangat rendah selama periode waktu tertentu pada masa datang. </w:t>
            </w:r>
          </w:p>
          <w:p w14:paraId="5143EB15" w14:textId="77777777" w:rsidR="00C70883" w:rsidRPr="00306115" w:rsidRDefault="00C70883" w:rsidP="00BB14D2">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Contoh karakteristik Manajer Investasi yang termasuk dalam peringkat </w:t>
            </w:r>
            <w:r w:rsidRPr="00306115">
              <w:rPr>
                <w:i/>
                <w:iCs/>
                <w:color w:val="000000" w:themeColor="text1"/>
                <w:szCs w:val="24"/>
              </w:rPr>
              <w:t>Low</w:t>
            </w:r>
            <w:r w:rsidRPr="00306115">
              <w:rPr>
                <w:color w:val="000000" w:themeColor="text1"/>
                <w:szCs w:val="24"/>
              </w:rPr>
              <w:t xml:space="preserve"> (1) antara lain sebagai berikut:</w:t>
            </w:r>
          </w:p>
          <w:p w14:paraId="359E5507" w14:textId="77777777" w:rsidR="00C70883" w:rsidRPr="00306115" w:rsidRDefault="00C70883">
            <w:pPr>
              <w:pStyle w:val="ListParagraph"/>
              <w:numPr>
                <w:ilvl w:val="4"/>
                <w:numId w:val="392"/>
              </w:numPr>
              <w:spacing w:after="0" w:line="240" w:lineRule="auto"/>
              <w:ind w:left="709" w:right="142" w:hanging="567"/>
              <w:contextualSpacing w:val="0"/>
              <w:rPr>
                <w:color w:val="000000" w:themeColor="text1"/>
                <w:szCs w:val="24"/>
              </w:rPr>
            </w:pPr>
            <w:r w:rsidRPr="00306115">
              <w:rPr>
                <w:color w:val="000000" w:themeColor="text1"/>
                <w:szCs w:val="24"/>
              </w:rPr>
              <w:t>Tidak terdapat pengaduan nasabah.</w:t>
            </w:r>
          </w:p>
          <w:p w14:paraId="1630C390" w14:textId="77777777" w:rsidR="00C70883" w:rsidRPr="00306115" w:rsidRDefault="00C70883">
            <w:pPr>
              <w:pStyle w:val="ListParagraph"/>
              <w:numPr>
                <w:ilvl w:val="4"/>
                <w:numId w:val="392"/>
              </w:numPr>
              <w:spacing w:after="0" w:line="240" w:lineRule="auto"/>
              <w:ind w:left="709" w:right="142" w:hanging="567"/>
              <w:contextualSpacing w:val="0"/>
              <w:rPr>
                <w:color w:val="000000" w:themeColor="text1"/>
                <w:szCs w:val="24"/>
              </w:rPr>
            </w:pPr>
            <w:r w:rsidRPr="00306115">
              <w:rPr>
                <w:color w:val="000000" w:themeColor="text1"/>
                <w:szCs w:val="24"/>
              </w:rPr>
              <w:lastRenderedPageBreak/>
              <w:t>Tidak terdapat pemberitaan negatif.</w:t>
            </w:r>
          </w:p>
        </w:tc>
      </w:tr>
      <w:tr w:rsidR="00C70883" w:rsidRPr="00306115" w14:paraId="2BA4A392" w14:textId="77777777" w:rsidTr="00BB14D2">
        <w:trPr>
          <w:trHeight w:val="1054"/>
        </w:trPr>
        <w:tc>
          <w:tcPr>
            <w:tcW w:w="2127" w:type="dxa"/>
          </w:tcPr>
          <w:p w14:paraId="796B5A64" w14:textId="77777777" w:rsidR="00C70883" w:rsidRPr="00306115" w:rsidRDefault="00C70883" w:rsidP="00BB14D2">
            <w:pPr>
              <w:pStyle w:val="TableParagraph"/>
              <w:spacing w:before="60" w:after="60"/>
              <w:ind w:left="142" w:right="142"/>
              <w:jc w:val="center"/>
              <w:rPr>
                <w:rFonts w:ascii="Bookman Old Style" w:hAnsi="Bookman Old Style"/>
                <w:color w:val="000000" w:themeColor="text1"/>
                <w:sz w:val="24"/>
                <w:szCs w:val="24"/>
              </w:rPr>
            </w:pPr>
            <w:r w:rsidRPr="00306115">
              <w:rPr>
                <w:rFonts w:ascii="Bookman Old Style" w:hAnsi="Bookman Old Style"/>
                <w:i/>
                <w:color w:val="000000" w:themeColor="text1"/>
                <w:sz w:val="24"/>
                <w:szCs w:val="24"/>
              </w:rPr>
              <w:lastRenderedPageBreak/>
              <w:t xml:space="preserve">Low to Moderate </w:t>
            </w:r>
            <w:r w:rsidRPr="00306115">
              <w:rPr>
                <w:rFonts w:ascii="Bookman Old Style" w:hAnsi="Bookman Old Style"/>
                <w:color w:val="000000" w:themeColor="text1"/>
                <w:sz w:val="24"/>
                <w:szCs w:val="24"/>
              </w:rPr>
              <w:t>(2)</w:t>
            </w:r>
          </w:p>
        </w:tc>
        <w:tc>
          <w:tcPr>
            <w:tcW w:w="5811" w:type="dxa"/>
          </w:tcPr>
          <w:p w14:paraId="2677B62D" w14:textId="77777777" w:rsidR="00C70883" w:rsidRPr="00306115" w:rsidRDefault="00C70883" w:rsidP="00BB14D2">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Dengan mempertimbangkan aktivitas kegiatan usaha yang dilakukan Manajer Investasi </w:t>
            </w:r>
            <w:r w:rsidRPr="00306115">
              <w:rPr>
                <w:color w:val="000000" w:themeColor="text1"/>
                <w:szCs w:val="24"/>
                <w:lang w:val="en-US"/>
              </w:rPr>
              <w:t>beserta Produk Investasi yang dikelola</w:t>
            </w:r>
            <w:r w:rsidRPr="00306115">
              <w:rPr>
                <w:color w:val="000000" w:themeColor="text1"/>
                <w:szCs w:val="24"/>
              </w:rPr>
              <w:t xml:space="preserve">, kemungkinan timbulnya dampak </w:t>
            </w:r>
            <w:r w:rsidRPr="00306115">
              <w:rPr>
                <w:color w:val="000000" w:themeColor="text1"/>
                <w:szCs w:val="24"/>
                <w:lang w:val="en-US"/>
              </w:rPr>
              <w:t>paparan</w:t>
            </w:r>
            <w:r w:rsidRPr="00306115">
              <w:rPr>
                <w:color w:val="000000" w:themeColor="text1"/>
                <w:szCs w:val="24"/>
              </w:rPr>
              <w:t xml:space="preserve"> dari Risiko Reputasi tergolong rendah selama periode waktu tertentu pada masa datang. </w:t>
            </w:r>
          </w:p>
          <w:p w14:paraId="59949BF6" w14:textId="77777777" w:rsidR="00C70883" w:rsidRPr="00306115" w:rsidRDefault="00C70883" w:rsidP="00BB14D2">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Contoh karakteristik Manajer Investasi yang termasuk dalam peringkat </w:t>
            </w:r>
            <w:r w:rsidRPr="00306115">
              <w:rPr>
                <w:i/>
                <w:iCs/>
                <w:color w:val="000000" w:themeColor="text1"/>
                <w:szCs w:val="24"/>
              </w:rPr>
              <w:t xml:space="preserve">Low to Moderate </w:t>
            </w:r>
            <w:r w:rsidRPr="00306115">
              <w:rPr>
                <w:color w:val="000000" w:themeColor="text1"/>
                <w:szCs w:val="24"/>
              </w:rPr>
              <w:t>(2) antara lain sebagai berikut:</w:t>
            </w:r>
          </w:p>
          <w:p w14:paraId="35300E60" w14:textId="77777777" w:rsidR="00C70883" w:rsidRPr="00306115" w:rsidRDefault="00C70883">
            <w:pPr>
              <w:pStyle w:val="ListParagraph"/>
              <w:numPr>
                <w:ilvl w:val="0"/>
                <w:numId w:val="393"/>
              </w:numPr>
              <w:spacing w:after="0" w:line="240" w:lineRule="auto"/>
              <w:ind w:left="709" w:right="142" w:hanging="567"/>
              <w:contextualSpacing w:val="0"/>
              <w:rPr>
                <w:color w:val="000000" w:themeColor="text1"/>
                <w:szCs w:val="24"/>
              </w:rPr>
            </w:pPr>
            <w:r w:rsidRPr="00306115">
              <w:rPr>
                <w:color w:val="000000" w:themeColor="text1"/>
                <w:szCs w:val="24"/>
              </w:rPr>
              <w:t>Rasio jumlah pengaduan nasabah rendah.</w:t>
            </w:r>
          </w:p>
          <w:p w14:paraId="0FA442D5" w14:textId="2AE1CB16" w:rsidR="00C70883" w:rsidRPr="00306115" w:rsidRDefault="00C70883">
            <w:pPr>
              <w:pStyle w:val="ListParagraph"/>
              <w:numPr>
                <w:ilvl w:val="0"/>
                <w:numId w:val="393"/>
              </w:numPr>
              <w:spacing w:after="0" w:line="240" w:lineRule="auto"/>
              <w:ind w:left="709" w:right="142" w:hanging="567"/>
              <w:contextualSpacing w:val="0"/>
              <w:rPr>
                <w:color w:val="000000" w:themeColor="text1"/>
                <w:szCs w:val="24"/>
              </w:rPr>
            </w:pPr>
            <w:r w:rsidRPr="00306115">
              <w:rPr>
                <w:color w:val="000000" w:themeColor="text1"/>
                <w:szCs w:val="24"/>
              </w:rPr>
              <w:t>Jumlah topik pemberitaan negatif di media massa cetak/elektronik renda</w:t>
            </w:r>
            <w:r w:rsidR="00151194" w:rsidRPr="00306115">
              <w:rPr>
                <w:color w:val="000000" w:themeColor="text1"/>
                <w:szCs w:val="24"/>
              </w:rPr>
              <w:t xml:space="preserve">h, </w:t>
            </w:r>
            <w:r w:rsidRPr="00306115">
              <w:rPr>
                <w:color w:val="000000" w:themeColor="text1"/>
                <w:szCs w:val="24"/>
              </w:rPr>
              <w:t>memiliki signifikansi yang rendah terhadap Manajer Investasi, serta durasi pemberitaan relatif singkat.</w:t>
            </w:r>
          </w:p>
        </w:tc>
      </w:tr>
      <w:tr w:rsidR="00C70883" w:rsidRPr="00306115" w14:paraId="27DDE460" w14:textId="77777777" w:rsidTr="00151194">
        <w:trPr>
          <w:trHeight w:val="4322"/>
        </w:trPr>
        <w:tc>
          <w:tcPr>
            <w:tcW w:w="2127" w:type="dxa"/>
          </w:tcPr>
          <w:p w14:paraId="6623E8BC" w14:textId="77777777" w:rsidR="00C70883" w:rsidRPr="00306115" w:rsidRDefault="00C70883" w:rsidP="00BB14D2">
            <w:pPr>
              <w:pStyle w:val="TableParagraph"/>
              <w:spacing w:before="60" w:after="60"/>
              <w:ind w:left="142" w:right="142"/>
              <w:jc w:val="center"/>
              <w:rPr>
                <w:rFonts w:ascii="Bookman Old Style" w:hAnsi="Bookman Old Style"/>
                <w:i/>
                <w:color w:val="000000" w:themeColor="text1"/>
                <w:sz w:val="24"/>
                <w:szCs w:val="24"/>
              </w:rPr>
            </w:pPr>
            <w:r w:rsidRPr="00306115">
              <w:rPr>
                <w:rFonts w:ascii="Bookman Old Style" w:hAnsi="Bookman Old Style"/>
                <w:i/>
                <w:color w:val="000000" w:themeColor="text1"/>
                <w:sz w:val="24"/>
                <w:szCs w:val="24"/>
              </w:rPr>
              <w:t>Moderate</w:t>
            </w:r>
          </w:p>
          <w:p w14:paraId="0AA46631" w14:textId="77777777" w:rsidR="00C70883" w:rsidRPr="00306115" w:rsidRDefault="00C70883" w:rsidP="00BB14D2">
            <w:pPr>
              <w:pStyle w:val="TableParagraph"/>
              <w:spacing w:before="60" w:after="60"/>
              <w:ind w:left="142" w:right="142"/>
              <w:jc w:val="center"/>
              <w:rPr>
                <w:rFonts w:ascii="Bookman Old Style" w:hAnsi="Bookman Old Style"/>
                <w:iCs/>
                <w:color w:val="000000" w:themeColor="text1"/>
                <w:sz w:val="24"/>
                <w:szCs w:val="24"/>
              </w:rPr>
            </w:pPr>
            <w:r w:rsidRPr="00306115">
              <w:rPr>
                <w:rFonts w:ascii="Bookman Old Style" w:hAnsi="Bookman Old Style"/>
                <w:iCs/>
                <w:color w:val="000000" w:themeColor="text1"/>
                <w:sz w:val="24"/>
                <w:szCs w:val="24"/>
              </w:rPr>
              <w:t>(3)</w:t>
            </w:r>
          </w:p>
        </w:tc>
        <w:tc>
          <w:tcPr>
            <w:tcW w:w="5811" w:type="dxa"/>
          </w:tcPr>
          <w:p w14:paraId="5FF11CDF" w14:textId="77777777" w:rsidR="00C70883" w:rsidRPr="00306115" w:rsidRDefault="00C70883" w:rsidP="00BB14D2">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Dengan mempertimbangkan aktivitas kegiatan usaha yang dilakukan Manajer Investasi </w:t>
            </w:r>
            <w:r w:rsidRPr="00306115">
              <w:rPr>
                <w:color w:val="000000" w:themeColor="text1"/>
                <w:szCs w:val="24"/>
                <w:lang w:val="en-US"/>
              </w:rPr>
              <w:t xml:space="preserve">beserta </w:t>
            </w:r>
            <w:r w:rsidRPr="00306115">
              <w:rPr>
                <w:color w:val="000000" w:themeColor="text1"/>
                <w:szCs w:val="24"/>
              </w:rPr>
              <w:t>Produk</w:t>
            </w:r>
            <w:r w:rsidRPr="00306115">
              <w:rPr>
                <w:color w:val="000000" w:themeColor="text1"/>
                <w:szCs w:val="24"/>
                <w:lang w:val="en-US"/>
              </w:rPr>
              <w:t xml:space="preserve"> Investasi yang dikelola</w:t>
            </w:r>
            <w:r w:rsidRPr="00306115">
              <w:rPr>
                <w:color w:val="000000" w:themeColor="text1"/>
                <w:szCs w:val="24"/>
              </w:rPr>
              <w:t xml:space="preserve">, kemungkinan timbulnya dampak paparan dari Risiko Reputasi tergolong cukup tinggi selama periode waktu tertentu pada masa datang. </w:t>
            </w:r>
          </w:p>
          <w:p w14:paraId="3FED8442" w14:textId="77777777" w:rsidR="00C70883" w:rsidRPr="00306115" w:rsidRDefault="00C70883" w:rsidP="00BB14D2">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Contoh karakteristik Manajer Investasi yang termasuk dalam peringkat </w:t>
            </w:r>
            <w:r w:rsidRPr="00306115">
              <w:rPr>
                <w:i/>
                <w:iCs/>
                <w:color w:val="000000" w:themeColor="text1"/>
                <w:szCs w:val="24"/>
              </w:rPr>
              <w:t>Moderate</w:t>
            </w:r>
            <w:r w:rsidRPr="00306115">
              <w:rPr>
                <w:color w:val="000000" w:themeColor="text1"/>
                <w:szCs w:val="24"/>
              </w:rPr>
              <w:t xml:space="preserve"> (3) antara lain sebagai berikut:</w:t>
            </w:r>
          </w:p>
          <w:p w14:paraId="15F7AB60" w14:textId="77777777" w:rsidR="00C70883" w:rsidRPr="00306115" w:rsidRDefault="00C70883">
            <w:pPr>
              <w:pStyle w:val="ListParagraph"/>
              <w:numPr>
                <w:ilvl w:val="0"/>
                <w:numId w:val="394"/>
              </w:numPr>
              <w:spacing w:after="0" w:line="240" w:lineRule="auto"/>
              <w:ind w:left="709" w:right="142" w:hanging="567"/>
              <w:contextualSpacing w:val="0"/>
              <w:rPr>
                <w:color w:val="000000" w:themeColor="text1"/>
                <w:szCs w:val="24"/>
              </w:rPr>
            </w:pPr>
            <w:r w:rsidRPr="00306115">
              <w:rPr>
                <w:color w:val="000000" w:themeColor="text1"/>
                <w:szCs w:val="24"/>
              </w:rPr>
              <w:t>Rasio jumlah pengaduan nasabah cukup tinggi.</w:t>
            </w:r>
          </w:p>
          <w:p w14:paraId="59763BB8" w14:textId="139ECE41" w:rsidR="00C70883" w:rsidRPr="00306115" w:rsidRDefault="00C70883">
            <w:pPr>
              <w:pStyle w:val="ListParagraph"/>
              <w:numPr>
                <w:ilvl w:val="0"/>
                <w:numId w:val="394"/>
              </w:numPr>
              <w:spacing w:after="0" w:line="240" w:lineRule="auto"/>
              <w:ind w:left="709" w:right="142" w:hanging="567"/>
              <w:contextualSpacing w:val="0"/>
              <w:rPr>
                <w:color w:val="000000" w:themeColor="text1"/>
                <w:szCs w:val="24"/>
              </w:rPr>
            </w:pPr>
            <w:r w:rsidRPr="00306115">
              <w:rPr>
                <w:color w:val="000000" w:themeColor="text1"/>
                <w:szCs w:val="24"/>
              </w:rPr>
              <w:t>Jumlah topik pemberitaan negatif di media massa cetak/elektronik cukup tinggi</w:t>
            </w:r>
            <w:r w:rsidR="00151194" w:rsidRPr="00306115">
              <w:rPr>
                <w:color w:val="000000" w:themeColor="text1"/>
                <w:szCs w:val="24"/>
              </w:rPr>
              <w:t xml:space="preserve">, </w:t>
            </w:r>
            <w:r w:rsidRPr="00306115">
              <w:rPr>
                <w:color w:val="000000" w:themeColor="text1"/>
                <w:szCs w:val="24"/>
              </w:rPr>
              <w:t>memiliki signifikansi yang cukup tinggi terhadap Manajer Investasi, dan durasi pemberitaan cukup panjang.</w:t>
            </w:r>
          </w:p>
        </w:tc>
      </w:tr>
      <w:tr w:rsidR="00C70883" w:rsidRPr="00306115" w14:paraId="2E4DBE41" w14:textId="77777777" w:rsidTr="00BB14D2">
        <w:trPr>
          <w:trHeight w:val="982"/>
        </w:trPr>
        <w:tc>
          <w:tcPr>
            <w:tcW w:w="2127" w:type="dxa"/>
          </w:tcPr>
          <w:p w14:paraId="068F0B40" w14:textId="77777777" w:rsidR="00C70883" w:rsidRPr="00306115" w:rsidRDefault="00C70883" w:rsidP="00BB14D2">
            <w:pPr>
              <w:pStyle w:val="TableParagraph"/>
              <w:spacing w:before="60" w:after="60"/>
              <w:ind w:left="142" w:right="142"/>
              <w:jc w:val="center"/>
              <w:rPr>
                <w:rFonts w:ascii="Bookman Old Style" w:hAnsi="Bookman Old Style"/>
                <w:i/>
                <w:color w:val="000000" w:themeColor="text1"/>
                <w:sz w:val="24"/>
                <w:szCs w:val="24"/>
              </w:rPr>
            </w:pPr>
            <w:r w:rsidRPr="00306115">
              <w:rPr>
                <w:rFonts w:ascii="Bookman Old Style" w:hAnsi="Bookman Old Style"/>
                <w:i/>
                <w:color w:val="000000" w:themeColor="text1"/>
                <w:sz w:val="24"/>
                <w:szCs w:val="24"/>
              </w:rPr>
              <w:t xml:space="preserve">Moderate to High </w:t>
            </w:r>
            <w:r w:rsidRPr="00306115">
              <w:rPr>
                <w:rFonts w:ascii="Bookman Old Style" w:hAnsi="Bookman Old Style"/>
                <w:iCs/>
                <w:color w:val="000000" w:themeColor="text1"/>
                <w:sz w:val="24"/>
                <w:szCs w:val="24"/>
              </w:rPr>
              <w:t>(4)</w:t>
            </w:r>
          </w:p>
        </w:tc>
        <w:tc>
          <w:tcPr>
            <w:tcW w:w="5811" w:type="dxa"/>
          </w:tcPr>
          <w:p w14:paraId="38AF3798" w14:textId="77777777" w:rsidR="00C70883" w:rsidRPr="00306115" w:rsidRDefault="00C70883" w:rsidP="00BB14D2">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Dengan mempertimbangkan aktivitas kegiatan usaha yang dilakukan Manajer Investasi </w:t>
            </w:r>
            <w:r w:rsidRPr="00306115">
              <w:rPr>
                <w:color w:val="000000" w:themeColor="text1"/>
                <w:szCs w:val="24"/>
                <w:lang w:val="en-US"/>
              </w:rPr>
              <w:t>beserta Produk Investasi yang dikelola</w:t>
            </w:r>
            <w:r w:rsidRPr="00306115">
              <w:rPr>
                <w:color w:val="000000" w:themeColor="text1"/>
                <w:szCs w:val="24"/>
              </w:rPr>
              <w:t>, kemungkinan timbulnya dampak paparan dari Risiko Reputasi tergolong tinggi selama periode waktu tertentu pada masa datang.</w:t>
            </w:r>
          </w:p>
          <w:p w14:paraId="34F4958A" w14:textId="77777777" w:rsidR="00C70883" w:rsidRPr="00306115" w:rsidRDefault="00C70883" w:rsidP="00BB14D2">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Contoh karakteristik Manajer </w:t>
            </w:r>
            <w:r w:rsidRPr="00306115">
              <w:rPr>
                <w:color w:val="000000" w:themeColor="text1"/>
                <w:szCs w:val="24"/>
                <w:lang w:val="en-US"/>
              </w:rPr>
              <w:t>Investasi</w:t>
            </w:r>
            <w:r w:rsidRPr="00306115">
              <w:rPr>
                <w:color w:val="000000" w:themeColor="text1"/>
                <w:szCs w:val="24"/>
              </w:rPr>
              <w:t xml:space="preserve"> yang termasuk dalam peringkat </w:t>
            </w:r>
            <w:r w:rsidRPr="00306115">
              <w:rPr>
                <w:i/>
                <w:color w:val="000000" w:themeColor="text1"/>
                <w:szCs w:val="24"/>
              </w:rPr>
              <w:t xml:space="preserve">Moderate to High </w:t>
            </w:r>
            <w:r w:rsidRPr="00306115">
              <w:rPr>
                <w:color w:val="000000" w:themeColor="text1"/>
                <w:szCs w:val="24"/>
              </w:rPr>
              <w:t>(4) antara lain sebagai berikut:</w:t>
            </w:r>
          </w:p>
          <w:p w14:paraId="2619A860" w14:textId="77777777" w:rsidR="00C70883" w:rsidRPr="00306115" w:rsidRDefault="00C70883">
            <w:pPr>
              <w:pStyle w:val="ListParagraph"/>
              <w:numPr>
                <w:ilvl w:val="0"/>
                <w:numId w:val="395"/>
              </w:numPr>
              <w:spacing w:after="0" w:line="240" w:lineRule="auto"/>
              <w:ind w:left="709" w:right="142" w:hanging="567"/>
              <w:contextualSpacing w:val="0"/>
              <w:rPr>
                <w:color w:val="000000" w:themeColor="text1"/>
                <w:szCs w:val="24"/>
              </w:rPr>
            </w:pPr>
            <w:r w:rsidRPr="00306115">
              <w:rPr>
                <w:color w:val="000000" w:themeColor="text1"/>
                <w:szCs w:val="24"/>
              </w:rPr>
              <w:t>Rasio jumlah pengaduan nasabah tinggi.</w:t>
            </w:r>
          </w:p>
          <w:p w14:paraId="415D2B2A" w14:textId="47BA7308" w:rsidR="00C70883" w:rsidRPr="00306115" w:rsidRDefault="00C70883">
            <w:pPr>
              <w:pStyle w:val="ListParagraph"/>
              <w:numPr>
                <w:ilvl w:val="0"/>
                <w:numId w:val="395"/>
              </w:numPr>
              <w:spacing w:after="0" w:line="240" w:lineRule="auto"/>
              <w:ind w:left="709" w:right="142" w:hanging="567"/>
              <w:contextualSpacing w:val="0"/>
              <w:rPr>
                <w:color w:val="000000" w:themeColor="text1"/>
                <w:szCs w:val="24"/>
              </w:rPr>
            </w:pPr>
            <w:r w:rsidRPr="00306115">
              <w:rPr>
                <w:color w:val="000000" w:themeColor="text1"/>
                <w:szCs w:val="24"/>
              </w:rPr>
              <w:t>Jumlah topik pemberitaan negatif di media massa cetak/elektronik tinggi,</w:t>
            </w:r>
            <w:r w:rsidR="00151194" w:rsidRPr="00306115">
              <w:rPr>
                <w:color w:val="000000" w:themeColor="text1"/>
                <w:szCs w:val="24"/>
              </w:rPr>
              <w:t xml:space="preserve"> </w:t>
            </w:r>
            <w:r w:rsidRPr="00306115">
              <w:rPr>
                <w:color w:val="000000" w:themeColor="text1"/>
                <w:szCs w:val="24"/>
              </w:rPr>
              <w:t>memiliki signifikansi yang tinggi terhadap Manajer Investasi,</w:t>
            </w:r>
            <w:r w:rsidR="00151194" w:rsidRPr="00306115">
              <w:rPr>
                <w:color w:val="000000" w:themeColor="text1"/>
                <w:szCs w:val="24"/>
              </w:rPr>
              <w:t xml:space="preserve"> </w:t>
            </w:r>
            <w:r w:rsidRPr="00306115">
              <w:rPr>
                <w:color w:val="000000" w:themeColor="text1"/>
                <w:szCs w:val="24"/>
              </w:rPr>
              <w:t>dan durasi pemberitaan relatif panjang atau berulang</w:t>
            </w:r>
            <w:r w:rsidR="00151194" w:rsidRPr="00306115">
              <w:rPr>
                <w:color w:val="000000" w:themeColor="text1"/>
                <w:szCs w:val="24"/>
              </w:rPr>
              <w:t xml:space="preserve"> </w:t>
            </w:r>
            <w:r w:rsidRPr="00306115">
              <w:rPr>
                <w:color w:val="000000" w:themeColor="text1"/>
                <w:szCs w:val="24"/>
              </w:rPr>
              <w:t>.</w:t>
            </w:r>
          </w:p>
        </w:tc>
      </w:tr>
      <w:tr w:rsidR="00C70883" w:rsidRPr="00306115" w14:paraId="30B642D8" w14:textId="77777777" w:rsidTr="00BB14D2">
        <w:trPr>
          <w:trHeight w:val="982"/>
        </w:trPr>
        <w:tc>
          <w:tcPr>
            <w:tcW w:w="2127" w:type="dxa"/>
          </w:tcPr>
          <w:p w14:paraId="77888ED7" w14:textId="77777777" w:rsidR="00C70883" w:rsidRPr="00306115" w:rsidRDefault="00C70883" w:rsidP="00BB14D2">
            <w:pPr>
              <w:pStyle w:val="TableParagraph"/>
              <w:spacing w:before="60" w:after="60"/>
              <w:ind w:left="142" w:right="142"/>
              <w:jc w:val="center"/>
              <w:rPr>
                <w:rFonts w:ascii="Bookman Old Style" w:hAnsi="Bookman Old Style"/>
                <w:i/>
                <w:color w:val="000000" w:themeColor="text1"/>
                <w:sz w:val="24"/>
                <w:szCs w:val="24"/>
              </w:rPr>
            </w:pPr>
            <w:r w:rsidRPr="00306115">
              <w:rPr>
                <w:rFonts w:ascii="Bookman Old Style" w:hAnsi="Bookman Old Style"/>
                <w:i/>
                <w:color w:val="000000" w:themeColor="text1"/>
                <w:sz w:val="24"/>
                <w:szCs w:val="24"/>
              </w:rPr>
              <w:t>High</w:t>
            </w:r>
            <w:r w:rsidRPr="00306115">
              <w:rPr>
                <w:rFonts w:ascii="Bookman Old Style" w:hAnsi="Bookman Old Style"/>
                <w:iCs/>
                <w:color w:val="000000" w:themeColor="text1"/>
                <w:sz w:val="24"/>
                <w:szCs w:val="24"/>
              </w:rPr>
              <w:t xml:space="preserve"> (5)</w:t>
            </w:r>
          </w:p>
        </w:tc>
        <w:tc>
          <w:tcPr>
            <w:tcW w:w="5811" w:type="dxa"/>
          </w:tcPr>
          <w:p w14:paraId="4CDCB608" w14:textId="77777777" w:rsidR="00C70883" w:rsidRPr="00306115" w:rsidRDefault="00C70883" w:rsidP="00BB14D2">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Dengan mempertimbangkan aktivitas kegiatan usaha yang dilakukan Manajer Investasi </w:t>
            </w:r>
            <w:r w:rsidRPr="00306115">
              <w:rPr>
                <w:color w:val="000000" w:themeColor="text1"/>
                <w:szCs w:val="24"/>
                <w:lang w:val="en-US"/>
              </w:rPr>
              <w:t>beserta Produk Investasi yang dikelola</w:t>
            </w:r>
            <w:r w:rsidRPr="00306115">
              <w:rPr>
                <w:color w:val="000000" w:themeColor="text1"/>
                <w:szCs w:val="24"/>
              </w:rPr>
              <w:t xml:space="preserve">, kemungkinan timbulnya dampak paparan dari Risiko Reputasi tergolong sangat tinggi selama periode waktu tertentu </w:t>
            </w:r>
            <w:r w:rsidRPr="00306115">
              <w:rPr>
                <w:color w:val="000000" w:themeColor="text1"/>
                <w:szCs w:val="24"/>
                <w:lang w:val="en-US"/>
              </w:rPr>
              <w:t>pada</w:t>
            </w:r>
            <w:r w:rsidRPr="00306115">
              <w:rPr>
                <w:color w:val="000000" w:themeColor="text1"/>
                <w:szCs w:val="24"/>
              </w:rPr>
              <w:t xml:space="preserve"> masa datang. </w:t>
            </w:r>
          </w:p>
          <w:p w14:paraId="4A402859" w14:textId="77777777" w:rsidR="00C70883" w:rsidRPr="00306115" w:rsidRDefault="00C70883" w:rsidP="00BB14D2">
            <w:pPr>
              <w:pStyle w:val="ListParagraph"/>
              <w:spacing w:after="0" w:line="240" w:lineRule="auto"/>
              <w:ind w:left="142" w:right="142"/>
              <w:contextualSpacing w:val="0"/>
              <w:rPr>
                <w:color w:val="000000" w:themeColor="text1"/>
                <w:szCs w:val="24"/>
              </w:rPr>
            </w:pPr>
            <w:r w:rsidRPr="00306115">
              <w:rPr>
                <w:color w:val="000000" w:themeColor="text1"/>
                <w:szCs w:val="24"/>
              </w:rPr>
              <w:lastRenderedPageBreak/>
              <w:t xml:space="preserve">Contoh </w:t>
            </w:r>
            <w:r w:rsidRPr="00306115">
              <w:rPr>
                <w:color w:val="000000" w:themeColor="text1"/>
                <w:szCs w:val="24"/>
                <w:lang w:val="en-US"/>
              </w:rPr>
              <w:t>karakteristik</w:t>
            </w:r>
            <w:r w:rsidRPr="00306115">
              <w:rPr>
                <w:color w:val="000000" w:themeColor="text1"/>
                <w:szCs w:val="24"/>
              </w:rPr>
              <w:t xml:space="preserve"> Manajer Investasi yang termasuk dalam peringkat </w:t>
            </w:r>
            <w:r w:rsidRPr="00306115">
              <w:rPr>
                <w:i/>
                <w:color w:val="000000" w:themeColor="text1"/>
                <w:szCs w:val="24"/>
              </w:rPr>
              <w:t xml:space="preserve">High </w:t>
            </w:r>
            <w:r w:rsidRPr="00306115">
              <w:rPr>
                <w:color w:val="000000" w:themeColor="text1"/>
                <w:szCs w:val="24"/>
              </w:rPr>
              <w:t>(5) antara lain sebagai berikut:</w:t>
            </w:r>
          </w:p>
          <w:p w14:paraId="1A58B733" w14:textId="77777777" w:rsidR="00C70883" w:rsidRPr="00306115" w:rsidRDefault="00C70883">
            <w:pPr>
              <w:pStyle w:val="ListParagraph"/>
              <w:numPr>
                <w:ilvl w:val="0"/>
                <w:numId w:val="396"/>
              </w:numPr>
              <w:spacing w:after="0" w:line="240" w:lineRule="auto"/>
              <w:ind w:left="709" w:right="142" w:hanging="567"/>
              <w:contextualSpacing w:val="0"/>
              <w:rPr>
                <w:color w:val="000000" w:themeColor="text1"/>
                <w:szCs w:val="24"/>
              </w:rPr>
            </w:pPr>
            <w:r w:rsidRPr="00306115">
              <w:rPr>
                <w:color w:val="000000" w:themeColor="text1"/>
                <w:szCs w:val="24"/>
              </w:rPr>
              <w:t>Rasio jumlah pengaduan nasabah sangat tinggi.</w:t>
            </w:r>
          </w:p>
          <w:p w14:paraId="5878E356" w14:textId="7DF9B079" w:rsidR="00C70883" w:rsidRPr="00306115" w:rsidRDefault="00C70883">
            <w:pPr>
              <w:pStyle w:val="ListParagraph"/>
              <w:numPr>
                <w:ilvl w:val="0"/>
                <w:numId w:val="396"/>
              </w:numPr>
              <w:spacing w:after="0" w:line="240" w:lineRule="auto"/>
              <w:ind w:left="709" w:right="142" w:hanging="567"/>
              <w:contextualSpacing w:val="0"/>
              <w:rPr>
                <w:color w:val="000000" w:themeColor="text1"/>
                <w:szCs w:val="24"/>
              </w:rPr>
            </w:pPr>
            <w:r w:rsidRPr="00306115">
              <w:rPr>
                <w:color w:val="000000" w:themeColor="text1"/>
                <w:szCs w:val="24"/>
              </w:rPr>
              <w:t xml:space="preserve">Jumlah topik pemberitaan negatif di media massa cetak/elektronik sangat tinggi, </w:t>
            </w:r>
            <w:r w:rsidRPr="00306115">
              <w:rPr>
                <w:strike/>
                <w:color w:val="000000" w:themeColor="text1"/>
                <w:szCs w:val="24"/>
              </w:rPr>
              <w:t>dan</w:t>
            </w:r>
            <w:r w:rsidRPr="00306115">
              <w:rPr>
                <w:color w:val="000000" w:themeColor="text1"/>
                <w:szCs w:val="24"/>
              </w:rPr>
              <w:t xml:space="preserve"> memiliki signifikansi yang sangat tinggi terhadap Manajer Investasi</w:t>
            </w:r>
            <w:r w:rsidR="00151194" w:rsidRPr="00306115">
              <w:rPr>
                <w:color w:val="000000" w:themeColor="text1"/>
                <w:szCs w:val="24"/>
              </w:rPr>
              <w:t>,</w:t>
            </w:r>
            <w:r w:rsidRPr="00306115">
              <w:rPr>
                <w:color w:val="000000" w:themeColor="text1"/>
                <w:szCs w:val="24"/>
              </w:rPr>
              <w:t xml:space="preserve"> dan durasi pemberitaan berlangsung lama atau persisten dalam periode waktu tertentu.</w:t>
            </w:r>
          </w:p>
        </w:tc>
      </w:tr>
    </w:tbl>
    <w:p w14:paraId="0FCB1F5A" w14:textId="77777777" w:rsidR="00C70883" w:rsidRPr="00306115" w:rsidRDefault="00C70883" w:rsidP="00C70883">
      <w:pPr>
        <w:pStyle w:val="HeadingAwalDaftarIsiLampiran"/>
        <w:numPr>
          <w:ilvl w:val="0"/>
          <w:numId w:val="0"/>
        </w:numPr>
        <w:ind w:left="1134"/>
      </w:pPr>
    </w:p>
    <w:p w14:paraId="3F640FF4" w14:textId="77777777" w:rsidR="00451E35" w:rsidRPr="00306115" w:rsidRDefault="00451E35">
      <w:pPr>
        <w:pStyle w:val="HeadingAwalDaftarIsiLampiran"/>
        <w:numPr>
          <w:ilvl w:val="4"/>
          <w:numId w:val="295"/>
        </w:numPr>
        <w:ind w:left="1134" w:hanging="567"/>
      </w:pPr>
      <w:r w:rsidRPr="00306115">
        <w:t>Matriks Penetapan Kualitas Penerapan Manajemen Risiko</w:t>
      </w:r>
    </w:p>
    <w:tbl>
      <w:tblPr>
        <w:tblStyle w:val="TableGrid"/>
        <w:tblW w:w="0" w:type="auto"/>
        <w:tblInd w:w="1129" w:type="dxa"/>
        <w:tblLook w:val="04A0" w:firstRow="1" w:lastRow="0" w:firstColumn="1" w:lastColumn="0" w:noHBand="0" w:noVBand="1"/>
      </w:tblPr>
      <w:tblGrid>
        <w:gridCol w:w="2176"/>
        <w:gridCol w:w="5756"/>
      </w:tblGrid>
      <w:tr w:rsidR="001C1F84" w:rsidRPr="00306115" w14:paraId="7C34563D" w14:textId="77777777" w:rsidTr="006B63E1">
        <w:trPr>
          <w:tblHeader/>
        </w:trPr>
        <w:tc>
          <w:tcPr>
            <w:tcW w:w="2127" w:type="dxa"/>
            <w:shd w:val="clear" w:color="auto" w:fill="D9D9D9"/>
            <w:vAlign w:val="center"/>
          </w:tcPr>
          <w:p w14:paraId="521F6949" w14:textId="77777777" w:rsidR="001C1F84" w:rsidRPr="00306115" w:rsidRDefault="001C1F84" w:rsidP="001C1F84">
            <w:pPr>
              <w:spacing w:before="60" w:after="60"/>
              <w:ind w:left="142" w:right="142"/>
              <w:jc w:val="center"/>
              <w:rPr>
                <w:color w:val="000000" w:themeColor="text1"/>
                <w:szCs w:val="24"/>
              </w:rPr>
            </w:pPr>
            <w:r w:rsidRPr="00306115">
              <w:rPr>
                <w:color w:val="000000" w:themeColor="text1"/>
                <w:szCs w:val="24"/>
              </w:rPr>
              <w:t>Peringkat</w:t>
            </w:r>
          </w:p>
        </w:tc>
        <w:tc>
          <w:tcPr>
            <w:tcW w:w="5805" w:type="dxa"/>
            <w:shd w:val="clear" w:color="auto" w:fill="D9D9D9"/>
            <w:vAlign w:val="center"/>
          </w:tcPr>
          <w:p w14:paraId="1A16EAA4" w14:textId="77777777" w:rsidR="001C1F84" w:rsidRPr="00306115" w:rsidRDefault="001C1F84" w:rsidP="001C1F84">
            <w:pPr>
              <w:spacing w:before="60" w:after="60"/>
              <w:ind w:left="142" w:right="142"/>
              <w:jc w:val="center"/>
              <w:rPr>
                <w:color w:val="000000" w:themeColor="text1"/>
                <w:szCs w:val="24"/>
              </w:rPr>
            </w:pPr>
            <w:r w:rsidRPr="00306115">
              <w:rPr>
                <w:color w:val="000000" w:themeColor="text1"/>
                <w:szCs w:val="24"/>
              </w:rPr>
              <w:t>Definisi Peringkat</w:t>
            </w:r>
          </w:p>
        </w:tc>
      </w:tr>
      <w:tr w:rsidR="001C1F84" w:rsidRPr="00306115" w14:paraId="71D71F0E" w14:textId="77777777" w:rsidTr="006B63E1">
        <w:tc>
          <w:tcPr>
            <w:tcW w:w="2127" w:type="dxa"/>
          </w:tcPr>
          <w:p w14:paraId="7EDD58FE" w14:textId="77777777" w:rsidR="001C1F84" w:rsidRPr="00306115" w:rsidRDefault="001C1F84" w:rsidP="001C1F84">
            <w:pPr>
              <w:pStyle w:val="BodyText"/>
              <w:numPr>
                <w:ilvl w:val="0"/>
                <w:numId w:val="0"/>
              </w:numPr>
              <w:spacing w:before="60" w:after="60"/>
              <w:ind w:left="142" w:right="142"/>
              <w:jc w:val="center"/>
              <w:rPr>
                <w:color w:val="000000" w:themeColor="text1"/>
              </w:rPr>
            </w:pPr>
            <w:r w:rsidRPr="00306115">
              <w:rPr>
                <w:i/>
                <w:iCs/>
                <w:color w:val="000000" w:themeColor="text1"/>
              </w:rPr>
              <w:t>Strong</w:t>
            </w:r>
            <w:r w:rsidRPr="00306115">
              <w:rPr>
                <w:color w:val="000000" w:themeColor="text1"/>
              </w:rPr>
              <w:t xml:space="preserve"> (1)</w:t>
            </w:r>
          </w:p>
        </w:tc>
        <w:tc>
          <w:tcPr>
            <w:tcW w:w="5805" w:type="dxa"/>
          </w:tcPr>
          <w:p w14:paraId="0CAC0BC7" w14:textId="77777777" w:rsidR="001C1F84" w:rsidRPr="00306115" w:rsidRDefault="001C1F84" w:rsidP="001C1F84">
            <w:pPr>
              <w:ind w:left="142" w:right="142"/>
              <w:rPr>
                <w:color w:val="000000" w:themeColor="text1"/>
                <w:szCs w:val="24"/>
              </w:rPr>
            </w:pPr>
            <w:r w:rsidRPr="00306115">
              <w:rPr>
                <w:color w:val="000000" w:themeColor="text1"/>
                <w:szCs w:val="24"/>
              </w:rPr>
              <w:t>Kualitas penerapan Manajemen Risiko untuk Risiko Reputasi sangat memadai. Meskipun terdapat kelemahan minor, tetapi kelemahan tersebut tidak signifikan sehingga dapat diabaikan.</w:t>
            </w:r>
          </w:p>
          <w:p w14:paraId="3F4C7C61" w14:textId="29E9C1AF" w:rsidR="001C1F84" w:rsidRPr="00306115" w:rsidRDefault="001C1F84" w:rsidP="001C1F84">
            <w:pPr>
              <w:ind w:left="142" w:right="142"/>
              <w:rPr>
                <w:color w:val="000000" w:themeColor="text1"/>
                <w:szCs w:val="24"/>
              </w:rPr>
            </w:pPr>
            <w:r w:rsidRPr="00306115">
              <w:rPr>
                <w:color w:val="000000" w:themeColor="text1"/>
                <w:szCs w:val="24"/>
              </w:rPr>
              <w:t xml:space="preserve">Contoh </w:t>
            </w:r>
            <w:r w:rsidR="00764ECF" w:rsidRPr="00306115">
              <w:rPr>
                <w:color w:val="000000" w:themeColor="text1"/>
                <w:szCs w:val="24"/>
              </w:rPr>
              <w:t>karakteristik/kondisi</w:t>
            </w:r>
            <w:r w:rsidRPr="00306115">
              <w:rPr>
                <w:color w:val="000000" w:themeColor="text1"/>
                <w:szCs w:val="24"/>
              </w:rPr>
              <w:t xml:space="preserve"> Manajer Investasi yang termasuk dalam peringkat </w:t>
            </w:r>
            <w:r w:rsidRPr="00306115">
              <w:rPr>
                <w:i/>
                <w:color w:val="000000" w:themeColor="text1"/>
                <w:szCs w:val="24"/>
              </w:rPr>
              <w:t xml:space="preserve">Strong </w:t>
            </w:r>
            <w:r w:rsidRPr="00306115">
              <w:rPr>
                <w:color w:val="000000" w:themeColor="text1"/>
                <w:szCs w:val="24"/>
              </w:rPr>
              <w:t>(1) antara lain sebagai berikut:</w:t>
            </w:r>
          </w:p>
          <w:p w14:paraId="744C59B8" w14:textId="77777777" w:rsidR="001C1F84" w:rsidRPr="00306115" w:rsidRDefault="001C1F84">
            <w:pPr>
              <w:pStyle w:val="ListParagraph"/>
              <w:numPr>
                <w:ilvl w:val="0"/>
                <w:numId w:val="397"/>
              </w:numPr>
              <w:ind w:left="709" w:right="142" w:hanging="567"/>
              <w:contextualSpacing w:val="0"/>
              <w:rPr>
                <w:color w:val="000000" w:themeColor="text1"/>
                <w:szCs w:val="24"/>
              </w:rPr>
            </w:pPr>
            <w:r w:rsidRPr="00306115">
              <w:rPr>
                <w:color w:val="000000" w:themeColor="text1"/>
                <w:szCs w:val="24"/>
              </w:rPr>
              <w:t>Perumusan tingkat risiko yang akan diambil (</w:t>
            </w:r>
            <w:r w:rsidRPr="00306115">
              <w:rPr>
                <w:i/>
                <w:iCs/>
                <w:color w:val="000000" w:themeColor="text1"/>
                <w:szCs w:val="24"/>
              </w:rPr>
              <w:t>risk appetite</w:t>
            </w:r>
            <w:r w:rsidRPr="00306115">
              <w:rPr>
                <w:color w:val="000000" w:themeColor="text1"/>
                <w:szCs w:val="24"/>
              </w:rPr>
              <w:t>) dan toleransi (</w:t>
            </w:r>
            <w:r w:rsidRPr="00306115">
              <w:rPr>
                <w:i/>
                <w:iCs/>
                <w:color w:val="000000" w:themeColor="text1"/>
                <w:szCs w:val="24"/>
              </w:rPr>
              <w:t>risk tolerance</w:t>
            </w:r>
            <w:r w:rsidRPr="00306115">
              <w:rPr>
                <w:color w:val="000000" w:themeColor="text1"/>
                <w:szCs w:val="24"/>
              </w:rPr>
              <w:t>) Risiko Reputasi sangat memadai dan telah sejalan dengan strategi dan tujuan bisnis secara keseluruhan.</w:t>
            </w:r>
          </w:p>
          <w:p w14:paraId="301AE8CC" w14:textId="77777777" w:rsidR="001C1F84" w:rsidRPr="00306115" w:rsidRDefault="001C1F84">
            <w:pPr>
              <w:pStyle w:val="ListParagraph"/>
              <w:numPr>
                <w:ilvl w:val="0"/>
                <w:numId w:val="397"/>
              </w:numPr>
              <w:ind w:left="709" w:right="142" w:hanging="567"/>
              <w:contextualSpacing w:val="0"/>
              <w:rPr>
                <w:color w:val="000000" w:themeColor="text1"/>
                <w:szCs w:val="24"/>
              </w:rPr>
            </w:pPr>
            <w:r w:rsidRPr="00306115">
              <w:rPr>
                <w:color w:val="000000" w:themeColor="text1"/>
                <w:szCs w:val="24"/>
              </w:rPr>
              <w:t>Kesadaran (</w:t>
            </w:r>
            <w:r w:rsidRPr="00306115">
              <w:rPr>
                <w:i/>
                <w:color w:val="000000" w:themeColor="text1"/>
                <w:szCs w:val="24"/>
              </w:rPr>
              <w:t>awareness</w:t>
            </w:r>
            <w:r w:rsidRPr="00306115">
              <w:rPr>
                <w:color w:val="000000" w:themeColor="text1"/>
                <w:szCs w:val="24"/>
              </w:rPr>
              <w:t>) dan pemahaman Direksi dan Dewan Komisaris sangat tinggi atau sangat memadai mengenai pelaksanaan Manajemen Risiko, terutama terkait jenis dan tingkat risiko untuk untuk Risiko Reputasi.</w:t>
            </w:r>
          </w:p>
          <w:p w14:paraId="1361A4D1" w14:textId="77777777" w:rsidR="001C1F84" w:rsidRPr="00306115" w:rsidRDefault="001C1F84">
            <w:pPr>
              <w:pStyle w:val="ListParagraph"/>
              <w:numPr>
                <w:ilvl w:val="0"/>
                <w:numId w:val="397"/>
              </w:numPr>
              <w:ind w:left="709" w:right="142" w:hanging="567"/>
              <w:contextualSpacing w:val="0"/>
              <w:rPr>
                <w:color w:val="000000" w:themeColor="text1"/>
                <w:szCs w:val="24"/>
              </w:rPr>
            </w:pPr>
            <w:r w:rsidRPr="00306115">
              <w:rPr>
                <w:color w:val="000000" w:themeColor="text1"/>
                <w:szCs w:val="24"/>
              </w:rPr>
              <w:t xml:space="preserve">Budaya Manajemen Risiko untuk Risiko Reputasi sangat kuat dan telah diinternalisasikan dengan sangat baik pada seluruh level organisasi. </w:t>
            </w:r>
          </w:p>
          <w:p w14:paraId="23FC9D13" w14:textId="77777777" w:rsidR="001C1F84" w:rsidRPr="00306115" w:rsidRDefault="001C1F84">
            <w:pPr>
              <w:pStyle w:val="ListParagraph"/>
              <w:numPr>
                <w:ilvl w:val="0"/>
                <w:numId w:val="397"/>
              </w:numPr>
              <w:ind w:left="709" w:right="142" w:hanging="567"/>
              <w:contextualSpacing w:val="0"/>
              <w:rPr>
                <w:color w:val="000000" w:themeColor="text1"/>
                <w:szCs w:val="24"/>
              </w:rPr>
            </w:pPr>
            <w:r w:rsidRPr="00306115">
              <w:rPr>
                <w:color w:val="000000" w:themeColor="text1"/>
                <w:szCs w:val="24"/>
              </w:rPr>
              <w:t>Pelaksanaan tugas Direksi dan Dewan Komisaris secara keseluruhan sangat memadai.</w:t>
            </w:r>
          </w:p>
          <w:p w14:paraId="2D22AFC1" w14:textId="77777777" w:rsidR="001C1F84" w:rsidRPr="00306115" w:rsidRDefault="001C1F84">
            <w:pPr>
              <w:pStyle w:val="ListParagraph"/>
              <w:numPr>
                <w:ilvl w:val="0"/>
                <w:numId w:val="397"/>
              </w:numPr>
              <w:ind w:left="709" w:right="142" w:hanging="567"/>
              <w:contextualSpacing w:val="0"/>
              <w:rPr>
                <w:color w:val="000000" w:themeColor="text1"/>
                <w:szCs w:val="24"/>
              </w:rPr>
            </w:pPr>
            <w:r w:rsidRPr="00306115">
              <w:rPr>
                <w:color w:val="000000" w:themeColor="text1"/>
                <w:szCs w:val="24"/>
              </w:rPr>
              <w:t xml:space="preserve">Fungsi Manajemen Risiko untuk Risiko Reputasi independen, memiliki tugas dan tanggung jawab yang jelas, dan telah berjalan dengan sangat baik. </w:t>
            </w:r>
          </w:p>
          <w:p w14:paraId="26BD4E64" w14:textId="77777777" w:rsidR="001C1F84" w:rsidRPr="00306115" w:rsidRDefault="001C1F84">
            <w:pPr>
              <w:pStyle w:val="ListParagraph"/>
              <w:numPr>
                <w:ilvl w:val="0"/>
                <w:numId w:val="397"/>
              </w:numPr>
              <w:ind w:left="709" w:right="142" w:hanging="567"/>
              <w:contextualSpacing w:val="0"/>
              <w:rPr>
                <w:color w:val="000000" w:themeColor="text1"/>
                <w:szCs w:val="24"/>
              </w:rPr>
            </w:pPr>
            <w:r w:rsidRPr="00306115">
              <w:rPr>
                <w:color w:val="000000" w:themeColor="text1"/>
                <w:szCs w:val="24"/>
              </w:rPr>
              <w:t>Kerangka pedelegasian wewenang sangat memadai.</w:t>
            </w:r>
          </w:p>
          <w:p w14:paraId="47750C8C" w14:textId="77777777" w:rsidR="001C1F84" w:rsidRPr="00306115" w:rsidRDefault="001C1F84">
            <w:pPr>
              <w:pStyle w:val="ListParagraph"/>
              <w:numPr>
                <w:ilvl w:val="0"/>
                <w:numId w:val="397"/>
              </w:numPr>
              <w:ind w:left="709" w:right="142" w:hanging="567"/>
              <w:contextualSpacing w:val="0"/>
              <w:rPr>
                <w:color w:val="000000" w:themeColor="text1"/>
                <w:szCs w:val="24"/>
              </w:rPr>
            </w:pPr>
            <w:r w:rsidRPr="00306115">
              <w:rPr>
                <w:color w:val="000000" w:themeColor="text1"/>
                <w:szCs w:val="24"/>
              </w:rPr>
              <w:t xml:space="preserve">Strategi Manajemen Risiko untuk Risiko Reputasi sangat memadai dan sangat sejalan dengan tingkat risiko yang akan diambil dan toleransi risiko. </w:t>
            </w:r>
          </w:p>
          <w:p w14:paraId="706F35DE" w14:textId="77777777" w:rsidR="001C1F84" w:rsidRPr="00306115" w:rsidRDefault="001C1F84">
            <w:pPr>
              <w:pStyle w:val="ListParagraph"/>
              <w:numPr>
                <w:ilvl w:val="0"/>
                <w:numId w:val="397"/>
              </w:numPr>
              <w:ind w:left="709" w:right="142" w:hanging="567"/>
              <w:contextualSpacing w:val="0"/>
              <w:rPr>
                <w:color w:val="000000" w:themeColor="text1"/>
                <w:szCs w:val="24"/>
              </w:rPr>
            </w:pPr>
            <w:r w:rsidRPr="00306115">
              <w:rPr>
                <w:color w:val="000000" w:themeColor="text1"/>
                <w:szCs w:val="24"/>
              </w:rPr>
              <w:lastRenderedPageBreak/>
              <w:t>Kebijakan dan prosedur Manajemen Risiko serta penetapan limit Risiko Reputasi sangat memadai, diterapkan dengan sangat baik, dan dipahami dengan sangat baik oleh pegawai.</w:t>
            </w:r>
          </w:p>
          <w:p w14:paraId="75726BC6" w14:textId="77777777" w:rsidR="001C1F84" w:rsidRPr="00306115" w:rsidRDefault="001C1F84">
            <w:pPr>
              <w:pStyle w:val="ListParagraph"/>
              <w:numPr>
                <w:ilvl w:val="0"/>
                <w:numId w:val="397"/>
              </w:numPr>
              <w:ind w:left="709" w:right="142" w:hanging="567"/>
              <w:contextualSpacing w:val="0"/>
              <w:rPr>
                <w:color w:val="000000" w:themeColor="text1"/>
                <w:szCs w:val="24"/>
              </w:rPr>
            </w:pPr>
            <w:r w:rsidRPr="00306115">
              <w:rPr>
                <w:color w:val="000000" w:themeColor="text1"/>
                <w:szCs w:val="24"/>
              </w:rPr>
              <w:t>Proses Manajemen Risiko untuk Risiko Reputasi sangat memadai dalam mengidentifikasi, mengukur, memantau, dan mengendalikan Risiko Reputasi.</w:t>
            </w:r>
          </w:p>
          <w:p w14:paraId="419D7AF3" w14:textId="77777777" w:rsidR="001C1F84" w:rsidRPr="00306115" w:rsidRDefault="001C1F84">
            <w:pPr>
              <w:pStyle w:val="ListParagraph"/>
              <w:numPr>
                <w:ilvl w:val="0"/>
                <w:numId w:val="397"/>
              </w:numPr>
              <w:ind w:left="709" w:right="142" w:hanging="567"/>
              <w:contextualSpacing w:val="0"/>
              <w:rPr>
                <w:color w:val="000000" w:themeColor="text1"/>
                <w:szCs w:val="24"/>
              </w:rPr>
            </w:pPr>
            <w:r w:rsidRPr="00306115">
              <w:rPr>
                <w:color w:val="000000" w:themeColor="text1"/>
                <w:szCs w:val="24"/>
              </w:rPr>
              <w:t>Sistem Informasi Manajemen Risiko untuk Risiko Reputasi sangat baik dalam menghasilkan informasi dan laporan Risiko Reputasi yang komprehensif.</w:t>
            </w:r>
          </w:p>
          <w:p w14:paraId="51828508" w14:textId="77777777" w:rsidR="001C1F84" w:rsidRPr="00306115" w:rsidRDefault="001C1F84">
            <w:pPr>
              <w:pStyle w:val="ListParagraph"/>
              <w:numPr>
                <w:ilvl w:val="0"/>
                <w:numId w:val="397"/>
              </w:numPr>
              <w:ind w:left="709" w:right="142" w:hanging="567"/>
              <w:contextualSpacing w:val="0"/>
              <w:rPr>
                <w:color w:val="000000" w:themeColor="text1"/>
                <w:szCs w:val="24"/>
              </w:rPr>
            </w:pPr>
            <w:r w:rsidRPr="00306115">
              <w:rPr>
                <w:color w:val="000000" w:themeColor="text1"/>
                <w:szCs w:val="24"/>
              </w:rPr>
              <w:t>Secara umum sumber daya manusia sangat memadai baik dari sisi kuantitas jumlah maupun kompetensi pada fungsi Manajemen Risiko untuk Risiko Reputasi.</w:t>
            </w:r>
          </w:p>
          <w:p w14:paraId="17366C0F" w14:textId="77777777" w:rsidR="001C1F84" w:rsidRPr="00306115" w:rsidRDefault="001C1F84">
            <w:pPr>
              <w:pStyle w:val="ListParagraph"/>
              <w:numPr>
                <w:ilvl w:val="0"/>
                <w:numId w:val="397"/>
              </w:numPr>
              <w:ind w:left="709" w:right="142" w:hanging="567"/>
              <w:contextualSpacing w:val="0"/>
              <w:rPr>
                <w:color w:val="000000" w:themeColor="text1"/>
                <w:szCs w:val="24"/>
              </w:rPr>
            </w:pPr>
            <w:r w:rsidRPr="00306115">
              <w:rPr>
                <w:color w:val="000000" w:themeColor="text1"/>
                <w:szCs w:val="24"/>
              </w:rPr>
              <w:t>Sistem pengendalian internal sangat efektif dalam mendukung pelaksanaan Manajemen Risiko untuk Risiko Reputasi.</w:t>
            </w:r>
          </w:p>
          <w:p w14:paraId="1DDC415C" w14:textId="582E4216" w:rsidR="001C1F84" w:rsidRPr="00306115" w:rsidRDefault="001C1F84">
            <w:pPr>
              <w:pStyle w:val="ListParagraph"/>
              <w:numPr>
                <w:ilvl w:val="0"/>
                <w:numId w:val="397"/>
              </w:numPr>
              <w:ind w:left="709" w:right="142" w:hanging="567"/>
              <w:contextualSpacing w:val="0"/>
              <w:rPr>
                <w:color w:val="000000" w:themeColor="text1"/>
                <w:szCs w:val="24"/>
              </w:rPr>
            </w:pPr>
            <w:r w:rsidRPr="00306115">
              <w:rPr>
                <w:color w:val="000000" w:themeColor="text1"/>
                <w:szCs w:val="24"/>
              </w:rPr>
              <w:t xml:space="preserve">Pelaksanaan kaji ulang oleh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 xml:space="preserve">dan fungsi audit internal sangat memadai baik dari metodologi, frekuensi, maupun pelaporan kepada Direksi dan Dewan Komisaris. </w:t>
            </w:r>
          </w:p>
          <w:p w14:paraId="25C42BF5" w14:textId="77777777" w:rsidR="001C1F84" w:rsidRPr="00306115" w:rsidRDefault="001C1F84">
            <w:pPr>
              <w:pStyle w:val="ListParagraph"/>
              <w:numPr>
                <w:ilvl w:val="0"/>
                <w:numId w:val="397"/>
              </w:numPr>
              <w:ind w:left="709" w:right="142" w:hanging="567"/>
              <w:contextualSpacing w:val="0"/>
              <w:rPr>
                <w:color w:val="000000" w:themeColor="text1"/>
                <w:szCs w:val="24"/>
              </w:rPr>
            </w:pPr>
            <w:r w:rsidRPr="00306115">
              <w:rPr>
                <w:color w:val="000000" w:themeColor="text1"/>
                <w:szCs w:val="24"/>
              </w:rPr>
              <w:t>Tindak lanjut atas kaji ulang telah dilaksanakan dengan sangat memadai.</w:t>
            </w:r>
          </w:p>
        </w:tc>
      </w:tr>
      <w:tr w:rsidR="001C1F84" w:rsidRPr="00306115" w14:paraId="16032600" w14:textId="77777777" w:rsidTr="006B63E1">
        <w:tc>
          <w:tcPr>
            <w:tcW w:w="2127" w:type="dxa"/>
          </w:tcPr>
          <w:p w14:paraId="64CF601C" w14:textId="77777777" w:rsidR="001C1F84" w:rsidRPr="00306115" w:rsidRDefault="001C1F84" w:rsidP="009953FD">
            <w:pPr>
              <w:pStyle w:val="BodyText"/>
              <w:numPr>
                <w:ilvl w:val="0"/>
                <w:numId w:val="0"/>
              </w:numPr>
              <w:spacing w:before="60" w:after="60"/>
              <w:ind w:left="142" w:right="142"/>
              <w:jc w:val="center"/>
              <w:rPr>
                <w:color w:val="000000" w:themeColor="text1"/>
              </w:rPr>
            </w:pPr>
            <w:r w:rsidRPr="00306115">
              <w:rPr>
                <w:i/>
                <w:iCs/>
                <w:color w:val="000000" w:themeColor="text1"/>
              </w:rPr>
              <w:lastRenderedPageBreak/>
              <w:t>Satisfactory</w:t>
            </w:r>
            <w:r w:rsidRPr="00306115">
              <w:rPr>
                <w:color w:val="000000" w:themeColor="text1"/>
              </w:rPr>
              <w:t xml:space="preserve"> (2)</w:t>
            </w:r>
          </w:p>
        </w:tc>
        <w:tc>
          <w:tcPr>
            <w:tcW w:w="5805" w:type="dxa"/>
          </w:tcPr>
          <w:p w14:paraId="02A6EE1D" w14:textId="77777777" w:rsidR="001C1F84" w:rsidRPr="00306115" w:rsidRDefault="001C1F84" w:rsidP="001C1F84">
            <w:pPr>
              <w:ind w:left="142" w:right="142"/>
              <w:rPr>
                <w:color w:val="000000" w:themeColor="text1"/>
                <w:szCs w:val="24"/>
              </w:rPr>
            </w:pPr>
            <w:r w:rsidRPr="00306115">
              <w:rPr>
                <w:color w:val="000000" w:themeColor="text1"/>
                <w:szCs w:val="24"/>
              </w:rPr>
              <w:t>Kualitas penerapan Manajemen Risiko untuk Risiko Reputasi memadai. Terdapat beberapa kelemahan minor, tetapi kelemahan tersebut dapat diselesaikan pada aktivitas kegiatan usaha normal.</w:t>
            </w:r>
          </w:p>
          <w:p w14:paraId="59097D24" w14:textId="3CF2E90A" w:rsidR="001C1F84" w:rsidRPr="00306115" w:rsidRDefault="001C1F84" w:rsidP="001C1F84">
            <w:pPr>
              <w:ind w:left="142" w:right="142"/>
              <w:rPr>
                <w:color w:val="000000" w:themeColor="text1"/>
                <w:szCs w:val="24"/>
              </w:rPr>
            </w:pPr>
            <w:r w:rsidRPr="00306115">
              <w:rPr>
                <w:color w:val="000000" w:themeColor="text1"/>
                <w:szCs w:val="24"/>
              </w:rPr>
              <w:t xml:space="preserve">Contoh </w:t>
            </w:r>
            <w:r w:rsidR="00764ECF" w:rsidRPr="00306115">
              <w:rPr>
                <w:color w:val="000000" w:themeColor="text1"/>
                <w:szCs w:val="24"/>
              </w:rPr>
              <w:t>karakteristik/kondisi</w:t>
            </w:r>
            <w:r w:rsidRPr="00306115">
              <w:rPr>
                <w:color w:val="000000" w:themeColor="text1"/>
                <w:szCs w:val="24"/>
              </w:rPr>
              <w:t xml:space="preserve"> Manajer Investasi yang termasuk dalam peringkat </w:t>
            </w:r>
            <w:r w:rsidRPr="00306115">
              <w:rPr>
                <w:i/>
                <w:color w:val="000000" w:themeColor="text1"/>
                <w:szCs w:val="24"/>
              </w:rPr>
              <w:t xml:space="preserve">Satisfactory </w:t>
            </w:r>
            <w:r w:rsidRPr="00306115">
              <w:rPr>
                <w:color w:val="000000" w:themeColor="text1"/>
                <w:szCs w:val="24"/>
              </w:rPr>
              <w:t>(2) antara lain sebagai berikut:</w:t>
            </w:r>
          </w:p>
          <w:p w14:paraId="5C12A72B" w14:textId="77777777" w:rsidR="001C1F84" w:rsidRPr="00306115" w:rsidRDefault="001C1F84">
            <w:pPr>
              <w:pStyle w:val="ListParagraph"/>
              <w:numPr>
                <w:ilvl w:val="0"/>
                <w:numId w:val="398"/>
              </w:numPr>
              <w:ind w:left="709" w:right="142" w:hanging="567"/>
              <w:contextualSpacing w:val="0"/>
              <w:rPr>
                <w:color w:val="000000" w:themeColor="text1"/>
                <w:szCs w:val="24"/>
              </w:rPr>
            </w:pPr>
            <w:r w:rsidRPr="00306115">
              <w:rPr>
                <w:color w:val="000000" w:themeColor="text1"/>
                <w:szCs w:val="24"/>
              </w:rPr>
              <w:t xml:space="preserve">Perumusan tingkat risiko yang akan diambil </w:t>
            </w:r>
            <w:r w:rsidRPr="00306115">
              <w:rPr>
                <w:i/>
                <w:iCs/>
                <w:color w:val="000000" w:themeColor="text1"/>
                <w:szCs w:val="24"/>
              </w:rPr>
              <w:t>(risk appetite)</w:t>
            </w:r>
            <w:r w:rsidRPr="00306115">
              <w:rPr>
                <w:color w:val="000000" w:themeColor="text1"/>
                <w:szCs w:val="24"/>
              </w:rPr>
              <w:t xml:space="preserve"> dan toleransi risiko </w:t>
            </w:r>
            <w:r w:rsidRPr="00306115">
              <w:rPr>
                <w:i/>
                <w:iCs/>
                <w:color w:val="000000" w:themeColor="text1"/>
                <w:szCs w:val="24"/>
              </w:rPr>
              <w:t>(risk tolerance)</w:t>
            </w:r>
            <w:r w:rsidRPr="00306115">
              <w:rPr>
                <w:color w:val="000000" w:themeColor="text1"/>
                <w:szCs w:val="24"/>
              </w:rPr>
              <w:t xml:space="preserve"> Reputasi memadai dan telah sejalan dengan strategi dan tujuan bisnis secara keseluruhan.</w:t>
            </w:r>
          </w:p>
          <w:p w14:paraId="52A40C57" w14:textId="77777777" w:rsidR="001C1F84" w:rsidRPr="00306115" w:rsidRDefault="001C1F84">
            <w:pPr>
              <w:pStyle w:val="ListParagraph"/>
              <w:numPr>
                <w:ilvl w:val="0"/>
                <w:numId w:val="398"/>
              </w:numPr>
              <w:ind w:left="709" w:right="142" w:hanging="567"/>
              <w:contextualSpacing w:val="0"/>
              <w:rPr>
                <w:strike/>
                <w:color w:val="000000" w:themeColor="text1"/>
                <w:szCs w:val="24"/>
              </w:rPr>
            </w:pPr>
            <w:r w:rsidRPr="00306115">
              <w:rPr>
                <w:color w:val="000000" w:themeColor="text1"/>
                <w:szCs w:val="24"/>
              </w:rPr>
              <w:t>Kesadaran (</w:t>
            </w:r>
            <w:r w:rsidRPr="00306115">
              <w:rPr>
                <w:i/>
                <w:color w:val="000000" w:themeColor="text1"/>
                <w:szCs w:val="24"/>
              </w:rPr>
              <w:t>awareness</w:t>
            </w:r>
            <w:r w:rsidRPr="00306115">
              <w:rPr>
                <w:color w:val="000000" w:themeColor="text1"/>
                <w:szCs w:val="24"/>
              </w:rPr>
              <w:t>) dan pemahaman Direksi dan Dewan Komisaris tinggi atau memadai mengenai pelaksanaan Manajemen Risiko, terutama terkait jenis dan tingkat risiko untuk untuk Risiko Reputasi.</w:t>
            </w:r>
          </w:p>
          <w:p w14:paraId="7A7A38C6" w14:textId="77777777" w:rsidR="001C1F84" w:rsidRPr="00306115" w:rsidRDefault="001C1F84">
            <w:pPr>
              <w:pStyle w:val="ListParagraph"/>
              <w:numPr>
                <w:ilvl w:val="0"/>
                <w:numId w:val="398"/>
              </w:numPr>
              <w:ind w:left="709" w:right="142" w:hanging="567"/>
              <w:contextualSpacing w:val="0"/>
              <w:rPr>
                <w:color w:val="000000" w:themeColor="text1"/>
                <w:szCs w:val="24"/>
              </w:rPr>
            </w:pPr>
            <w:r w:rsidRPr="00306115">
              <w:rPr>
                <w:color w:val="000000" w:themeColor="text1"/>
                <w:szCs w:val="24"/>
              </w:rPr>
              <w:t xml:space="preserve">Budaya Manajemen Risiko untuk Risiko Reputasi kuat dan telah </w:t>
            </w:r>
            <w:r w:rsidRPr="00306115">
              <w:rPr>
                <w:color w:val="000000" w:themeColor="text1"/>
                <w:szCs w:val="24"/>
              </w:rPr>
              <w:lastRenderedPageBreak/>
              <w:t>diinternalisasikan dengan baik pada seluruh level organisasi.</w:t>
            </w:r>
          </w:p>
          <w:p w14:paraId="3DE0F599" w14:textId="77777777" w:rsidR="001C1F84" w:rsidRPr="00306115" w:rsidRDefault="001C1F84">
            <w:pPr>
              <w:pStyle w:val="ListParagraph"/>
              <w:numPr>
                <w:ilvl w:val="0"/>
                <w:numId w:val="398"/>
              </w:numPr>
              <w:ind w:left="709" w:right="142" w:hanging="567"/>
              <w:contextualSpacing w:val="0"/>
              <w:rPr>
                <w:color w:val="000000" w:themeColor="text1"/>
                <w:szCs w:val="24"/>
              </w:rPr>
            </w:pPr>
            <w:r w:rsidRPr="00306115">
              <w:rPr>
                <w:color w:val="000000" w:themeColor="text1"/>
                <w:szCs w:val="24"/>
              </w:rPr>
              <w:t>Pelaksanaan tugas Direksi dan Dewan Komisaris secara keseluruhan memadai. Terdapat beberapa kelemahan yang tidak signifikan dan dapat diperbaiki dengan segera.</w:t>
            </w:r>
          </w:p>
          <w:p w14:paraId="7A3AB72F" w14:textId="77777777" w:rsidR="001C1F84" w:rsidRPr="00306115" w:rsidRDefault="001C1F84">
            <w:pPr>
              <w:pStyle w:val="ListParagraph"/>
              <w:numPr>
                <w:ilvl w:val="0"/>
                <w:numId w:val="398"/>
              </w:numPr>
              <w:ind w:left="709" w:right="142" w:hanging="567"/>
              <w:contextualSpacing w:val="0"/>
              <w:rPr>
                <w:color w:val="000000" w:themeColor="text1"/>
                <w:szCs w:val="24"/>
              </w:rPr>
            </w:pPr>
            <w:r w:rsidRPr="00306115">
              <w:rPr>
                <w:color w:val="000000" w:themeColor="text1"/>
                <w:szCs w:val="24"/>
              </w:rPr>
              <w:t>Fungsi Manajemen Risiko untuk Risiko Reputasi independen, memiliki tugas dan tanggung jawab yang jelas, dan telah berjalan dengan baik. Terdapat kelemahan minor yang dapat diselesaikan pada aktivitas kegiatan usaha normal.</w:t>
            </w:r>
          </w:p>
          <w:p w14:paraId="399286A7" w14:textId="77777777" w:rsidR="001C1F84" w:rsidRPr="00306115" w:rsidRDefault="001C1F84">
            <w:pPr>
              <w:pStyle w:val="ListParagraph"/>
              <w:numPr>
                <w:ilvl w:val="0"/>
                <w:numId w:val="398"/>
              </w:numPr>
              <w:ind w:left="709" w:right="142" w:hanging="567"/>
              <w:contextualSpacing w:val="0"/>
              <w:rPr>
                <w:color w:val="000000" w:themeColor="text1"/>
                <w:szCs w:val="24"/>
              </w:rPr>
            </w:pPr>
            <w:r w:rsidRPr="00306115">
              <w:rPr>
                <w:color w:val="000000" w:themeColor="text1"/>
                <w:szCs w:val="24"/>
              </w:rPr>
              <w:t>Kerangka pedelegasian wewenang memadai.</w:t>
            </w:r>
          </w:p>
          <w:p w14:paraId="454482D1" w14:textId="77777777" w:rsidR="001C1F84" w:rsidRPr="00306115" w:rsidRDefault="001C1F84">
            <w:pPr>
              <w:pStyle w:val="ListParagraph"/>
              <w:numPr>
                <w:ilvl w:val="0"/>
                <w:numId w:val="398"/>
              </w:numPr>
              <w:ind w:left="709" w:right="142" w:hanging="567"/>
              <w:contextualSpacing w:val="0"/>
              <w:rPr>
                <w:color w:val="000000" w:themeColor="text1"/>
                <w:szCs w:val="24"/>
              </w:rPr>
            </w:pPr>
            <w:r w:rsidRPr="00306115">
              <w:rPr>
                <w:color w:val="000000" w:themeColor="text1"/>
                <w:szCs w:val="24"/>
              </w:rPr>
              <w:t>Strategi Manajemen Risiko untuk Risiko Reputasi memadai dan sejalan dengan tingkat risiko yang akan diambil dan toleransi risiko.</w:t>
            </w:r>
          </w:p>
          <w:p w14:paraId="705B7712" w14:textId="77777777" w:rsidR="001C1F84" w:rsidRPr="00306115" w:rsidRDefault="001C1F84">
            <w:pPr>
              <w:pStyle w:val="ListParagraph"/>
              <w:numPr>
                <w:ilvl w:val="0"/>
                <w:numId w:val="398"/>
              </w:numPr>
              <w:ind w:left="709" w:right="142" w:hanging="567"/>
              <w:contextualSpacing w:val="0"/>
              <w:rPr>
                <w:color w:val="000000" w:themeColor="text1"/>
                <w:szCs w:val="24"/>
              </w:rPr>
            </w:pPr>
            <w:r w:rsidRPr="00306115">
              <w:rPr>
                <w:color w:val="000000" w:themeColor="text1"/>
                <w:szCs w:val="24"/>
              </w:rPr>
              <w:t>Kebijakan dan prosedur Manajemen Risiko serta penetapan limit Risiko Reputasi memadai, diterapkan dengan baik, dan dipahami dengan baik oleh pegawai.</w:t>
            </w:r>
          </w:p>
          <w:p w14:paraId="7FF3E3FF" w14:textId="77777777" w:rsidR="001C1F84" w:rsidRPr="00306115" w:rsidRDefault="001C1F84">
            <w:pPr>
              <w:pStyle w:val="ListParagraph"/>
              <w:numPr>
                <w:ilvl w:val="0"/>
                <w:numId w:val="398"/>
              </w:numPr>
              <w:ind w:left="709" w:right="142" w:hanging="567"/>
              <w:contextualSpacing w:val="0"/>
              <w:rPr>
                <w:color w:val="000000" w:themeColor="text1"/>
                <w:szCs w:val="24"/>
              </w:rPr>
            </w:pPr>
            <w:r w:rsidRPr="00306115">
              <w:rPr>
                <w:color w:val="000000" w:themeColor="text1"/>
                <w:szCs w:val="24"/>
              </w:rPr>
              <w:t>Proses Manajemen Risiko untuk Risiko Reputasi memadai dalam mengidentifikasi, mengukur, memantau, dan mengendalikan Risiko Reputasi.</w:t>
            </w:r>
          </w:p>
          <w:p w14:paraId="4A7EB495" w14:textId="77777777" w:rsidR="001C1F84" w:rsidRPr="00306115" w:rsidRDefault="001C1F84">
            <w:pPr>
              <w:pStyle w:val="ListParagraph"/>
              <w:numPr>
                <w:ilvl w:val="0"/>
                <w:numId w:val="398"/>
              </w:numPr>
              <w:ind w:left="709" w:right="142" w:hanging="567"/>
              <w:contextualSpacing w:val="0"/>
              <w:rPr>
                <w:color w:val="000000" w:themeColor="text1"/>
                <w:szCs w:val="24"/>
              </w:rPr>
            </w:pPr>
            <w:r w:rsidRPr="00306115">
              <w:rPr>
                <w:color w:val="000000" w:themeColor="text1"/>
                <w:szCs w:val="24"/>
              </w:rPr>
              <w:t>Sistem Informasi Manajemen Risiko untuk Risiko Reputasi baik dalam menghasilkan informasi dan laporan Risiko Reputasi yang komprehensif.</w:t>
            </w:r>
          </w:p>
          <w:p w14:paraId="79E29736" w14:textId="77777777" w:rsidR="001C1F84" w:rsidRPr="00306115" w:rsidRDefault="001C1F84">
            <w:pPr>
              <w:pStyle w:val="ListParagraph"/>
              <w:numPr>
                <w:ilvl w:val="0"/>
                <w:numId w:val="398"/>
              </w:numPr>
              <w:ind w:left="709" w:right="142" w:hanging="567"/>
              <w:contextualSpacing w:val="0"/>
              <w:rPr>
                <w:color w:val="000000" w:themeColor="text1"/>
                <w:szCs w:val="24"/>
              </w:rPr>
            </w:pPr>
            <w:r w:rsidRPr="00306115">
              <w:rPr>
                <w:color w:val="000000" w:themeColor="text1"/>
                <w:szCs w:val="24"/>
              </w:rPr>
              <w:t>Secara umum sumber daya manusia memadai dari segi kuantitas maupun kompetensi pada fungsi Manajemen Risiko untuk Risiko Reputasi.</w:t>
            </w:r>
          </w:p>
          <w:p w14:paraId="04CFDFB7" w14:textId="77777777" w:rsidR="001C1F84" w:rsidRPr="00306115" w:rsidRDefault="001C1F84">
            <w:pPr>
              <w:pStyle w:val="ListParagraph"/>
              <w:numPr>
                <w:ilvl w:val="0"/>
                <w:numId w:val="398"/>
              </w:numPr>
              <w:ind w:left="709" w:right="142" w:hanging="567"/>
              <w:contextualSpacing w:val="0"/>
              <w:rPr>
                <w:color w:val="000000" w:themeColor="text1"/>
                <w:szCs w:val="24"/>
              </w:rPr>
            </w:pPr>
            <w:r w:rsidRPr="00306115">
              <w:rPr>
                <w:color w:val="000000" w:themeColor="text1"/>
                <w:szCs w:val="24"/>
              </w:rPr>
              <w:t>Sistem pengendalian internal efektif dalam mendukung pelaksanaan Manajemen Risiko untuk Risiko Reputasi.</w:t>
            </w:r>
          </w:p>
          <w:p w14:paraId="35C634F1" w14:textId="3A54292E" w:rsidR="001C1F84" w:rsidRPr="00306115" w:rsidRDefault="001C1F84">
            <w:pPr>
              <w:pStyle w:val="ListParagraph"/>
              <w:numPr>
                <w:ilvl w:val="0"/>
                <w:numId w:val="398"/>
              </w:numPr>
              <w:ind w:left="709" w:right="142" w:hanging="567"/>
              <w:contextualSpacing w:val="0"/>
              <w:rPr>
                <w:color w:val="000000" w:themeColor="text1"/>
                <w:szCs w:val="24"/>
              </w:rPr>
            </w:pPr>
            <w:r w:rsidRPr="00306115">
              <w:rPr>
                <w:color w:val="000000" w:themeColor="text1"/>
                <w:szCs w:val="24"/>
              </w:rPr>
              <w:t xml:space="preserve">Pelaksanaan kaji ulang oleh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dan fungsi audit internal memadai baik dari metodologi, frekuensi, maupun pelaporan kepada Direksi dan Dewan Komisaris.</w:t>
            </w:r>
          </w:p>
          <w:p w14:paraId="0FE9C3A4" w14:textId="77777777" w:rsidR="001C1F84" w:rsidRPr="00306115" w:rsidRDefault="001C1F84">
            <w:pPr>
              <w:pStyle w:val="ListParagraph"/>
              <w:numPr>
                <w:ilvl w:val="0"/>
                <w:numId w:val="398"/>
              </w:numPr>
              <w:ind w:left="709" w:right="142" w:hanging="567"/>
              <w:contextualSpacing w:val="0"/>
              <w:rPr>
                <w:color w:val="000000" w:themeColor="text1"/>
                <w:szCs w:val="24"/>
              </w:rPr>
            </w:pPr>
            <w:r w:rsidRPr="00306115">
              <w:rPr>
                <w:color w:val="000000" w:themeColor="text1"/>
                <w:szCs w:val="24"/>
              </w:rPr>
              <w:t>Tindak lanjut atas kaji ulang independen telah dilaksanakan dengan memadai.</w:t>
            </w:r>
          </w:p>
        </w:tc>
      </w:tr>
      <w:tr w:rsidR="001C1F84" w:rsidRPr="00306115" w14:paraId="4DF62697" w14:textId="77777777" w:rsidTr="006B63E1">
        <w:tc>
          <w:tcPr>
            <w:tcW w:w="2127" w:type="dxa"/>
          </w:tcPr>
          <w:p w14:paraId="11D5830D" w14:textId="77777777" w:rsidR="001C1F84" w:rsidRPr="00306115" w:rsidRDefault="001C1F84" w:rsidP="009953FD">
            <w:pPr>
              <w:pStyle w:val="BodyText"/>
              <w:numPr>
                <w:ilvl w:val="0"/>
                <w:numId w:val="0"/>
              </w:numPr>
              <w:spacing w:before="60" w:after="60"/>
              <w:ind w:left="142" w:right="142"/>
              <w:jc w:val="center"/>
              <w:rPr>
                <w:color w:val="000000" w:themeColor="text1"/>
              </w:rPr>
            </w:pPr>
            <w:r w:rsidRPr="00306115">
              <w:rPr>
                <w:i/>
                <w:iCs/>
                <w:color w:val="000000" w:themeColor="text1"/>
              </w:rPr>
              <w:lastRenderedPageBreak/>
              <w:t>Fair</w:t>
            </w:r>
            <w:r w:rsidRPr="00306115">
              <w:rPr>
                <w:color w:val="000000" w:themeColor="text1"/>
              </w:rPr>
              <w:t xml:space="preserve"> (3)</w:t>
            </w:r>
          </w:p>
        </w:tc>
        <w:tc>
          <w:tcPr>
            <w:tcW w:w="5805" w:type="dxa"/>
          </w:tcPr>
          <w:p w14:paraId="47115447" w14:textId="77777777" w:rsidR="001C1F84" w:rsidRPr="00306115" w:rsidRDefault="001C1F84" w:rsidP="001C1F84">
            <w:pPr>
              <w:ind w:left="142" w:right="142"/>
              <w:rPr>
                <w:color w:val="000000" w:themeColor="text1"/>
                <w:szCs w:val="24"/>
              </w:rPr>
            </w:pPr>
            <w:r w:rsidRPr="00306115">
              <w:rPr>
                <w:color w:val="000000" w:themeColor="text1"/>
                <w:szCs w:val="24"/>
              </w:rPr>
              <w:t xml:space="preserve">Kualitas penerapan Manajemen Risiko untuk Risiko Reputasi cukup memadai. Meskipun persyaratan minimum terpenuhi, terdapat beberapa kelemahan yang cukup </w:t>
            </w:r>
            <w:r w:rsidRPr="00306115">
              <w:rPr>
                <w:color w:val="000000" w:themeColor="text1"/>
                <w:szCs w:val="24"/>
              </w:rPr>
              <w:lastRenderedPageBreak/>
              <w:t>signifikan yang memerlukan perbaikan segera.</w:t>
            </w:r>
          </w:p>
          <w:p w14:paraId="7EDAF75D" w14:textId="1601B3E3" w:rsidR="001C1F84" w:rsidRPr="00306115" w:rsidRDefault="001C1F84" w:rsidP="001C1F84">
            <w:pPr>
              <w:ind w:left="142" w:right="142"/>
              <w:rPr>
                <w:color w:val="000000" w:themeColor="text1"/>
                <w:szCs w:val="24"/>
              </w:rPr>
            </w:pPr>
            <w:r w:rsidRPr="00306115">
              <w:rPr>
                <w:color w:val="000000" w:themeColor="text1"/>
                <w:szCs w:val="24"/>
              </w:rPr>
              <w:t xml:space="preserve">Contoh karakteristik </w:t>
            </w:r>
            <w:r w:rsidR="00764ECF" w:rsidRPr="00306115">
              <w:rPr>
                <w:color w:val="000000" w:themeColor="text1"/>
                <w:szCs w:val="24"/>
              </w:rPr>
              <w:t>karakteristik/kondisi</w:t>
            </w:r>
            <w:r w:rsidRPr="00306115">
              <w:rPr>
                <w:color w:val="000000" w:themeColor="text1"/>
                <w:szCs w:val="24"/>
              </w:rPr>
              <w:t xml:space="preserve"> Manajer Investasi yang termasuk dalam peringkat </w:t>
            </w:r>
            <w:r w:rsidRPr="00306115">
              <w:rPr>
                <w:i/>
                <w:color w:val="000000" w:themeColor="text1"/>
                <w:szCs w:val="24"/>
              </w:rPr>
              <w:t xml:space="preserve">Fair </w:t>
            </w:r>
            <w:r w:rsidRPr="00306115">
              <w:rPr>
                <w:color w:val="000000" w:themeColor="text1"/>
                <w:szCs w:val="24"/>
              </w:rPr>
              <w:t>(3) ini antara lain sebagai berikut:</w:t>
            </w:r>
          </w:p>
          <w:p w14:paraId="3150A73E" w14:textId="77777777" w:rsidR="001C1F84" w:rsidRPr="00306115" w:rsidRDefault="001C1F84">
            <w:pPr>
              <w:pStyle w:val="ListParagraph"/>
              <w:numPr>
                <w:ilvl w:val="0"/>
                <w:numId w:val="399"/>
              </w:numPr>
              <w:ind w:left="709" w:right="142" w:hanging="567"/>
              <w:contextualSpacing w:val="0"/>
              <w:rPr>
                <w:color w:val="000000" w:themeColor="text1"/>
                <w:szCs w:val="24"/>
              </w:rPr>
            </w:pPr>
            <w:r w:rsidRPr="00306115">
              <w:rPr>
                <w:color w:val="000000" w:themeColor="text1"/>
                <w:szCs w:val="24"/>
              </w:rPr>
              <w:t>Perumusan tingkat Risiko yang akan diambil (</w:t>
            </w:r>
            <w:r w:rsidRPr="00306115">
              <w:rPr>
                <w:i/>
                <w:iCs/>
                <w:color w:val="000000" w:themeColor="text1"/>
                <w:szCs w:val="24"/>
              </w:rPr>
              <w:t>risk appetite</w:t>
            </w:r>
            <w:r w:rsidRPr="00306115">
              <w:rPr>
                <w:color w:val="000000" w:themeColor="text1"/>
                <w:szCs w:val="24"/>
              </w:rPr>
              <w:t>) dan toleransi Risiko (</w:t>
            </w:r>
            <w:r w:rsidRPr="00306115">
              <w:rPr>
                <w:i/>
                <w:iCs/>
                <w:color w:val="000000" w:themeColor="text1"/>
                <w:szCs w:val="24"/>
              </w:rPr>
              <w:t>risk tolerance</w:t>
            </w:r>
            <w:r w:rsidRPr="00306115">
              <w:rPr>
                <w:color w:val="000000" w:themeColor="text1"/>
                <w:szCs w:val="24"/>
              </w:rPr>
              <w:t>) cukup memadai tetapi tidak selalu sejalan dengan strategi dan tujuan bisnis secara keseluruhan.</w:t>
            </w:r>
          </w:p>
          <w:p w14:paraId="7E2CC41F" w14:textId="77777777" w:rsidR="001C1F84" w:rsidRPr="00306115" w:rsidRDefault="001C1F84">
            <w:pPr>
              <w:pStyle w:val="ListParagraph"/>
              <w:numPr>
                <w:ilvl w:val="0"/>
                <w:numId w:val="399"/>
              </w:numPr>
              <w:ind w:left="709" w:right="142" w:hanging="567"/>
              <w:contextualSpacing w:val="0"/>
              <w:rPr>
                <w:color w:val="000000" w:themeColor="text1"/>
                <w:szCs w:val="24"/>
              </w:rPr>
            </w:pPr>
            <w:r w:rsidRPr="00306115">
              <w:rPr>
                <w:color w:val="000000" w:themeColor="text1"/>
                <w:szCs w:val="24"/>
              </w:rPr>
              <w:t>Kesadaran (</w:t>
            </w:r>
            <w:r w:rsidRPr="00306115">
              <w:rPr>
                <w:i/>
                <w:color w:val="000000" w:themeColor="text1"/>
                <w:szCs w:val="24"/>
              </w:rPr>
              <w:t>awareness</w:t>
            </w:r>
            <w:r w:rsidRPr="00306115">
              <w:rPr>
                <w:color w:val="000000" w:themeColor="text1"/>
                <w:szCs w:val="24"/>
              </w:rPr>
              <w:t>) dan pemahaman Direksi dan Dewan Komisaris cukup tinggi atau cukup memadai mengenai pelaksanaan Manajemen Risiko, terutama terkait jenis dan tingkat risiko untuk untuk Risiko Reputasi.</w:t>
            </w:r>
          </w:p>
          <w:p w14:paraId="166CC7DC" w14:textId="77777777" w:rsidR="001C1F84" w:rsidRPr="00306115" w:rsidRDefault="001C1F84">
            <w:pPr>
              <w:pStyle w:val="ListParagraph"/>
              <w:numPr>
                <w:ilvl w:val="0"/>
                <w:numId w:val="399"/>
              </w:numPr>
              <w:ind w:left="709" w:right="142" w:hanging="567"/>
              <w:contextualSpacing w:val="0"/>
              <w:rPr>
                <w:color w:val="000000" w:themeColor="text1"/>
                <w:szCs w:val="24"/>
              </w:rPr>
            </w:pPr>
            <w:r w:rsidRPr="00306115">
              <w:rPr>
                <w:color w:val="000000" w:themeColor="text1"/>
                <w:szCs w:val="24"/>
              </w:rPr>
              <w:t>Budaya Manajemen Risiko untuk Risiko Reputasi cukup kuat dan telah diinternalisasikan dengan cukup baik pada seluruh level organisasi.</w:t>
            </w:r>
          </w:p>
          <w:p w14:paraId="663BFA4B" w14:textId="77777777" w:rsidR="001C1F84" w:rsidRPr="00306115" w:rsidRDefault="001C1F84">
            <w:pPr>
              <w:pStyle w:val="ListParagraph"/>
              <w:numPr>
                <w:ilvl w:val="0"/>
                <w:numId w:val="399"/>
              </w:numPr>
              <w:ind w:left="709" w:right="142" w:hanging="567"/>
              <w:contextualSpacing w:val="0"/>
              <w:rPr>
                <w:color w:val="000000" w:themeColor="text1"/>
                <w:szCs w:val="24"/>
              </w:rPr>
            </w:pPr>
            <w:r w:rsidRPr="00306115">
              <w:rPr>
                <w:color w:val="000000" w:themeColor="text1"/>
                <w:szCs w:val="24"/>
              </w:rPr>
              <w:t>Pelaksanaan tugas Direksi dan Dewan Komisaris secara keseluruhan cukup memadai. Terdapat beberapa kelemahan yang cukup signifikan pada beberapa aspek penilaian yang memerlukan perbaikan segera.</w:t>
            </w:r>
          </w:p>
          <w:p w14:paraId="25FDF201" w14:textId="77777777" w:rsidR="001C1F84" w:rsidRPr="00306115" w:rsidRDefault="001C1F84">
            <w:pPr>
              <w:pStyle w:val="ListParagraph"/>
              <w:numPr>
                <w:ilvl w:val="0"/>
                <w:numId w:val="399"/>
              </w:numPr>
              <w:ind w:left="709" w:right="142" w:hanging="567"/>
              <w:contextualSpacing w:val="0"/>
              <w:rPr>
                <w:color w:val="000000" w:themeColor="text1"/>
                <w:szCs w:val="24"/>
              </w:rPr>
            </w:pPr>
            <w:r w:rsidRPr="00306115">
              <w:rPr>
                <w:color w:val="000000" w:themeColor="text1"/>
                <w:szCs w:val="24"/>
              </w:rPr>
              <w:t>Fungsi Manajemen Risiko untuk Risiko Reputasi independen, memiliki tugas dan tanggung jawab yang jelas, dan telah berjalan dengan cukup baik. Terdapat kelemahan yang cukup signifikan yang memerlukan perbaikan segera.</w:t>
            </w:r>
          </w:p>
          <w:p w14:paraId="1A39D347" w14:textId="77777777" w:rsidR="001C1F84" w:rsidRPr="00306115" w:rsidRDefault="001C1F84">
            <w:pPr>
              <w:pStyle w:val="ListParagraph"/>
              <w:numPr>
                <w:ilvl w:val="0"/>
                <w:numId w:val="399"/>
              </w:numPr>
              <w:ind w:left="709" w:right="142" w:hanging="567"/>
              <w:contextualSpacing w:val="0"/>
              <w:rPr>
                <w:color w:val="000000" w:themeColor="text1"/>
                <w:szCs w:val="24"/>
              </w:rPr>
            </w:pPr>
            <w:r w:rsidRPr="00306115">
              <w:rPr>
                <w:color w:val="000000" w:themeColor="text1"/>
                <w:szCs w:val="24"/>
              </w:rPr>
              <w:t>Kerangka pedelegasian wewenang cukup memadai.</w:t>
            </w:r>
          </w:p>
          <w:p w14:paraId="376B0623" w14:textId="77777777" w:rsidR="001C1F84" w:rsidRPr="00306115" w:rsidRDefault="001C1F84">
            <w:pPr>
              <w:pStyle w:val="ListParagraph"/>
              <w:numPr>
                <w:ilvl w:val="0"/>
                <w:numId w:val="399"/>
              </w:numPr>
              <w:ind w:left="709" w:right="142" w:hanging="567"/>
              <w:contextualSpacing w:val="0"/>
              <w:rPr>
                <w:color w:val="000000" w:themeColor="text1"/>
                <w:szCs w:val="24"/>
              </w:rPr>
            </w:pPr>
            <w:r w:rsidRPr="00306115">
              <w:rPr>
                <w:color w:val="000000" w:themeColor="text1"/>
                <w:szCs w:val="24"/>
              </w:rPr>
              <w:t>Strategi Risiko Reputasi cukup memadai dan cukup sejalan dengan tingkat risiko yang akan diambil dan toleransi risiko</w:t>
            </w:r>
          </w:p>
          <w:p w14:paraId="1FD74129" w14:textId="77777777" w:rsidR="001C1F84" w:rsidRPr="00306115" w:rsidRDefault="001C1F84">
            <w:pPr>
              <w:pStyle w:val="ListParagraph"/>
              <w:numPr>
                <w:ilvl w:val="0"/>
                <w:numId w:val="399"/>
              </w:numPr>
              <w:ind w:left="709" w:right="142" w:hanging="567"/>
              <w:contextualSpacing w:val="0"/>
              <w:rPr>
                <w:color w:val="000000" w:themeColor="text1"/>
                <w:szCs w:val="24"/>
              </w:rPr>
            </w:pPr>
            <w:r w:rsidRPr="00306115">
              <w:rPr>
                <w:color w:val="000000" w:themeColor="text1"/>
                <w:szCs w:val="24"/>
              </w:rPr>
              <w:t>Kebijakan dan prosedur Manajemen Risiko serta penetapan limit Risiko Reputasi cukup memadai, diterapkan dengan cukup baik, dan dipahami dengan cukup baik oleh pegawai</w:t>
            </w:r>
          </w:p>
          <w:p w14:paraId="1FEB9092" w14:textId="77777777" w:rsidR="001C1F84" w:rsidRPr="00306115" w:rsidRDefault="001C1F84">
            <w:pPr>
              <w:pStyle w:val="ListParagraph"/>
              <w:numPr>
                <w:ilvl w:val="0"/>
                <w:numId w:val="399"/>
              </w:numPr>
              <w:ind w:left="709" w:right="142" w:hanging="567"/>
              <w:contextualSpacing w:val="0"/>
              <w:rPr>
                <w:color w:val="000000" w:themeColor="text1"/>
                <w:szCs w:val="24"/>
              </w:rPr>
            </w:pPr>
            <w:r w:rsidRPr="00306115">
              <w:rPr>
                <w:color w:val="000000" w:themeColor="text1"/>
                <w:szCs w:val="24"/>
              </w:rPr>
              <w:t>Proses Manajemen Risiko untuk Risiko Reputasi cukup memadai dalam mengidentifikasi, mengukur, memantau, dan mengendalikan Manajemen Risiko untuk Risiko Reputasi.</w:t>
            </w:r>
          </w:p>
          <w:p w14:paraId="2B16003D" w14:textId="77777777" w:rsidR="001C1F84" w:rsidRPr="00306115" w:rsidRDefault="001C1F84">
            <w:pPr>
              <w:pStyle w:val="ListParagraph"/>
              <w:numPr>
                <w:ilvl w:val="0"/>
                <w:numId w:val="399"/>
              </w:numPr>
              <w:ind w:left="709" w:right="142" w:hanging="567"/>
              <w:contextualSpacing w:val="0"/>
              <w:rPr>
                <w:color w:val="000000" w:themeColor="text1"/>
                <w:szCs w:val="24"/>
              </w:rPr>
            </w:pPr>
            <w:r w:rsidRPr="00306115">
              <w:rPr>
                <w:color w:val="000000" w:themeColor="text1"/>
                <w:szCs w:val="24"/>
              </w:rPr>
              <w:lastRenderedPageBreak/>
              <w:t>Sistem Informasi Manajemen Risiko untuk Risiko Reputasi cukup baik dalam menghasilkan informasi dan laporan Risiko Reputasi yang komprehensif.</w:t>
            </w:r>
          </w:p>
          <w:p w14:paraId="0613FDC7" w14:textId="77777777" w:rsidR="001C1F84" w:rsidRPr="00306115" w:rsidRDefault="001C1F84">
            <w:pPr>
              <w:pStyle w:val="ListParagraph"/>
              <w:numPr>
                <w:ilvl w:val="0"/>
                <w:numId w:val="399"/>
              </w:numPr>
              <w:ind w:left="709" w:right="142" w:hanging="567"/>
              <w:contextualSpacing w:val="0"/>
              <w:rPr>
                <w:color w:val="000000" w:themeColor="text1"/>
                <w:szCs w:val="24"/>
              </w:rPr>
            </w:pPr>
            <w:r w:rsidRPr="00306115">
              <w:rPr>
                <w:color w:val="000000" w:themeColor="text1"/>
                <w:szCs w:val="24"/>
              </w:rPr>
              <w:t>Secara umum sumber daya manusia cukup memadai dari sisi kuantitas maupun kompetensi pada fungsi Manajemen Risiko untuk Risiko Reputasi.</w:t>
            </w:r>
          </w:p>
          <w:p w14:paraId="47FB780F" w14:textId="77777777" w:rsidR="001C1F84" w:rsidRPr="00306115" w:rsidRDefault="001C1F84">
            <w:pPr>
              <w:pStyle w:val="ListParagraph"/>
              <w:numPr>
                <w:ilvl w:val="0"/>
                <w:numId w:val="399"/>
              </w:numPr>
              <w:ind w:left="709" w:right="142" w:hanging="567"/>
              <w:contextualSpacing w:val="0"/>
              <w:rPr>
                <w:color w:val="000000" w:themeColor="text1"/>
                <w:szCs w:val="24"/>
              </w:rPr>
            </w:pPr>
            <w:r w:rsidRPr="00306115">
              <w:rPr>
                <w:color w:val="000000" w:themeColor="text1"/>
                <w:szCs w:val="24"/>
              </w:rPr>
              <w:t>Sistem pengendalian internal cukup efektif dalam mendukung pelaksanaan Manajemen Risiko.</w:t>
            </w:r>
          </w:p>
          <w:p w14:paraId="1539BD34" w14:textId="1B9618E5" w:rsidR="001C1F84" w:rsidRPr="00306115" w:rsidRDefault="001C1F84">
            <w:pPr>
              <w:pStyle w:val="ListParagraph"/>
              <w:numPr>
                <w:ilvl w:val="0"/>
                <w:numId w:val="399"/>
              </w:numPr>
              <w:ind w:left="709" w:right="142" w:hanging="567"/>
              <w:contextualSpacing w:val="0"/>
              <w:rPr>
                <w:color w:val="000000" w:themeColor="text1"/>
                <w:szCs w:val="24"/>
              </w:rPr>
            </w:pPr>
            <w:r w:rsidRPr="00306115">
              <w:rPr>
                <w:color w:val="000000" w:themeColor="text1"/>
                <w:szCs w:val="24"/>
              </w:rPr>
              <w:t xml:space="preserve">Pelaksanaan kaji ulang oleh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dan fungsi audit internal cukup memadai. Terdapat beberapa kelemahan yang cukup signifikan pada metodologi, frekuensi, maupun pelaporan kepada Direksi dan Dewan Komisaris yang memerlukan perbaikan segera.</w:t>
            </w:r>
          </w:p>
          <w:p w14:paraId="631C40FD" w14:textId="77777777" w:rsidR="001C1F84" w:rsidRPr="00306115" w:rsidRDefault="001C1F84">
            <w:pPr>
              <w:pStyle w:val="ListParagraph"/>
              <w:numPr>
                <w:ilvl w:val="0"/>
                <w:numId w:val="399"/>
              </w:numPr>
              <w:ind w:left="709" w:right="142" w:hanging="567"/>
              <w:contextualSpacing w:val="0"/>
              <w:rPr>
                <w:color w:val="000000" w:themeColor="text1"/>
                <w:szCs w:val="24"/>
              </w:rPr>
            </w:pPr>
            <w:r w:rsidRPr="00306115">
              <w:rPr>
                <w:color w:val="000000" w:themeColor="text1"/>
                <w:szCs w:val="24"/>
              </w:rPr>
              <w:t>Tindak lanjut atas kaji ulang independent telah dilaksanakan dengan cukup memadai.</w:t>
            </w:r>
          </w:p>
        </w:tc>
      </w:tr>
      <w:tr w:rsidR="001C1F84" w:rsidRPr="00306115" w14:paraId="2FC8E451" w14:textId="77777777" w:rsidTr="006B63E1">
        <w:tc>
          <w:tcPr>
            <w:tcW w:w="2127" w:type="dxa"/>
          </w:tcPr>
          <w:p w14:paraId="77335248" w14:textId="77777777" w:rsidR="001C1F84" w:rsidRPr="00306115" w:rsidRDefault="001C1F84" w:rsidP="009953FD">
            <w:pPr>
              <w:pStyle w:val="BodyText"/>
              <w:numPr>
                <w:ilvl w:val="0"/>
                <w:numId w:val="0"/>
              </w:numPr>
              <w:spacing w:before="60" w:after="60"/>
              <w:ind w:left="142" w:right="142"/>
              <w:jc w:val="center"/>
              <w:rPr>
                <w:color w:val="000000" w:themeColor="text1"/>
              </w:rPr>
            </w:pPr>
            <w:r w:rsidRPr="00306115">
              <w:rPr>
                <w:i/>
                <w:iCs/>
                <w:color w:val="000000" w:themeColor="text1"/>
              </w:rPr>
              <w:lastRenderedPageBreak/>
              <w:t>Marginal</w:t>
            </w:r>
            <w:r w:rsidRPr="00306115">
              <w:rPr>
                <w:color w:val="000000" w:themeColor="text1"/>
              </w:rPr>
              <w:t xml:space="preserve"> (4)</w:t>
            </w:r>
          </w:p>
        </w:tc>
        <w:tc>
          <w:tcPr>
            <w:tcW w:w="5805" w:type="dxa"/>
          </w:tcPr>
          <w:p w14:paraId="06E895C9" w14:textId="77777777" w:rsidR="001C1F84" w:rsidRPr="00306115" w:rsidRDefault="001C1F84" w:rsidP="001C1F84">
            <w:pPr>
              <w:ind w:left="142" w:right="142"/>
              <w:rPr>
                <w:color w:val="000000" w:themeColor="text1"/>
                <w:szCs w:val="24"/>
              </w:rPr>
            </w:pPr>
            <w:r w:rsidRPr="00306115">
              <w:rPr>
                <w:color w:val="000000" w:themeColor="text1"/>
                <w:szCs w:val="24"/>
              </w:rPr>
              <w:t>Kualitas penerapan Manajemen Risiko untuk Risiko Reputasi kurang memadai. Terdapat kelemahan signifikan pada berbagai aspek Manajemen Risiko untuk Risiko Reputasi yang memerlukan perbaikan segera.</w:t>
            </w:r>
          </w:p>
          <w:p w14:paraId="23C6FCCA" w14:textId="7EA222CC" w:rsidR="001C1F84" w:rsidRPr="00306115" w:rsidRDefault="001C1F84" w:rsidP="001C1F84">
            <w:pPr>
              <w:ind w:left="142" w:right="142"/>
              <w:rPr>
                <w:color w:val="000000" w:themeColor="text1"/>
                <w:szCs w:val="24"/>
              </w:rPr>
            </w:pPr>
            <w:r w:rsidRPr="00306115">
              <w:rPr>
                <w:color w:val="000000" w:themeColor="text1"/>
                <w:szCs w:val="24"/>
              </w:rPr>
              <w:t xml:space="preserve">Contoh </w:t>
            </w:r>
            <w:r w:rsidR="00764ECF" w:rsidRPr="00306115">
              <w:rPr>
                <w:color w:val="000000" w:themeColor="text1"/>
                <w:szCs w:val="24"/>
              </w:rPr>
              <w:t>karakteristik/kondisi</w:t>
            </w:r>
            <w:r w:rsidRPr="00306115">
              <w:rPr>
                <w:color w:val="000000" w:themeColor="text1"/>
                <w:szCs w:val="24"/>
              </w:rPr>
              <w:t xml:space="preserve"> Manajer Investasi yang termasuk dalam peringkat </w:t>
            </w:r>
            <w:r w:rsidRPr="00306115">
              <w:rPr>
                <w:i/>
                <w:color w:val="000000" w:themeColor="text1"/>
                <w:szCs w:val="24"/>
              </w:rPr>
              <w:t xml:space="preserve">Marginal </w:t>
            </w:r>
            <w:r w:rsidRPr="00306115">
              <w:rPr>
                <w:color w:val="000000" w:themeColor="text1"/>
                <w:szCs w:val="24"/>
              </w:rPr>
              <w:t>(4) antara lain sebagai berikut:</w:t>
            </w:r>
          </w:p>
          <w:p w14:paraId="23DC90C6" w14:textId="77777777" w:rsidR="001C1F84" w:rsidRPr="00306115" w:rsidRDefault="001C1F84">
            <w:pPr>
              <w:numPr>
                <w:ilvl w:val="0"/>
                <w:numId w:val="400"/>
              </w:numPr>
              <w:ind w:left="709" w:right="142" w:hanging="567"/>
              <w:rPr>
                <w:color w:val="000000" w:themeColor="text1"/>
                <w:szCs w:val="24"/>
              </w:rPr>
            </w:pPr>
            <w:r w:rsidRPr="00306115">
              <w:rPr>
                <w:color w:val="000000" w:themeColor="text1"/>
                <w:szCs w:val="24"/>
              </w:rPr>
              <w:t>Perumusan tingkat Risiko yang akan diambil (</w:t>
            </w:r>
            <w:r w:rsidRPr="00306115">
              <w:rPr>
                <w:i/>
                <w:iCs/>
                <w:color w:val="000000" w:themeColor="text1"/>
                <w:szCs w:val="24"/>
              </w:rPr>
              <w:t>risk appetite</w:t>
            </w:r>
            <w:r w:rsidRPr="00306115">
              <w:rPr>
                <w:color w:val="000000" w:themeColor="text1"/>
                <w:szCs w:val="24"/>
              </w:rPr>
              <w:t>) dan toleransi Risiko (</w:t>
            </w:r>
            <w:r w:rsidRPr="00306115">
              <w:rPr>
                <w:i/>
                <w:iCs/>
                <w:color w:val="000000" w:themeColor="text1"/>
                <w:szCs w:val="24"/>
              </w:rPr>
              <w:t>risk tolerance</w:t>
            </w:r>
            <w:r w:rsidRPr="00306115">
              <w:rPr>
                <w:color w:val="000000" w:themeColor="text1"/>
                <w:szCs w:val="24"/>
              </w:rPr>
              <w:t>) kurang memadai serta tidak sejalan dengan strategi dan tujuan bisnis secara keseluruhan.</w:t>
            </w:r>
          </w:p>
          <w:p w14:paraId="5FAAC907" w14:textId="77777777" w:rsidR="001C1F84" w:rsidRPr="00306115" w:rsidRDefault="001C1F84">
            <w:pPr>
              <w:numPr>
                <w:ilvl w:val="0"/>
                <w:numId w:val="400"/>
              </w:numPr>
              <w:ind w:left="709" w:right="142" w:hanging="567"/>
              <w:rPr>
                <w:color w:val="000000" w:themeColor="text1"/>
                <w:szCs w:val="24"/>
              </w:rPr>
            </w:pPr>
            <w:r w:rsidRPr="00306115">
              <w:rPr>
                <w:color w:val="000000" w:themeColor="text1"/>
                <w:szCs w:val="24"/>
              </w:rPr>
              <w:t>Kesadaran (</w:t>
            </w:r>
            <w:r w:rsidRPr="00306115">
              <w:rPr>
                <w:i/>
                <w:color w:val="000000" w:themeColor="text1"/>
                <w:szCs w:val="24"/>
              </w:rPr>
              <w:t>awareness</w:t>
            </w:r>
            <w:r w:rsidRPr="00306115">
              <w:rPr>
                <w:color w:val="000000" w:themeColor="text1"/>
                <w:szCs w:val="24"/>
              </w:rPr>
              <w:t>) dan pemahaman Direksi dan Dewan Komisaris rendah atau tidak memadai mengenai pelaksanaan Manajemen Risiko, terutama terkait jenis dan tingkat risiko untuk untuk Risiko Reputasi.</w:t>
            </w:r>
          </w:p>
          <w:p w14:paraId="35EF0E39" w14:textId="77777777" w:rsidR="001C1F84" w:rsidRPr="00306115" w:rsidRDefault="001C1F84">
            <w:pPr>
              <w:numPr>
                <w:ilvl w:val="0"/>
                <w:numId w:val="400"/>
              </w:numPr>
              <w:ind w:left="709" w:right="142" w:hanging="567"/>
              <w:rPr>
                <w:color w:val="000000" w:themeColor="text1"/>
                <w:szCs w:val="24"/>
              </w:rPr>
            </w:pPr>
            <w:r w:rsidRPr="00306115">
              <w:rPr>
                <w:color w:val="000000" w:themeColor="text1"/>
                <w:szCs w:val="24"/>
              </w:rPr>
              <w:t>Budaya Manajemen Risiko untuk Risiko Reputasi kurang kuat dan belum diinternalisasikan dengan baik pada setiap level organisasi.</w:t>
            </w:r>
          </w:p>
          <w:p w14:paraId="2F018423" w14:textId="77777777" w:rsidR="001C1F84" w:rsidRPr="00306115" w:rsidRDefault="001C1F84">
            <w:pPr>
              <w:numPr>
                <w:ilvl w:val="0"/>
                <w:numId w:val="400"/>
              </w:numPr>
              <w:ind w:left="709" w:right="142" w:hanging="567"/>
              <w:rPr>
                <w:color w:val="000000" w:themeColor="text1"/>
                <w:szCs w:val="24"/>
              </w:rPr>
            </w:pPr>
            <w:r w:rsidRPr="00306115">
              <w:rPr>
                <w:color w:val="000000" w:themeColor="text1"/>
                <w:szCs w:val="24"/>
              </w:rPr>
              <w:t xml:space="preserve">Pelaksanaan tugas Direksi dan Dewan Komisaris secara keseluruhan kurang memadai. Terdapat beberapa kelemahan signigikan pada beberapa </w:t>
            </w:r>
            <w:r w:rsidRPr="00306115">
              <w:rPr>
                <w:color w:val="000000" w:themeColor="text1"/>
                <w:szCs w:val="24"/>
              </w:rPr>
              <w:lastRenderedPageBreak/>
              <w:t>aspek penilaian yang memerlukan perbaikan segera</w:t>
            </w:r>
          </w:p>
          <w:p w14:paraId="68370DFA" w14:textId="77777777" w:rsidR="001C1F84" w:rsidRPr="00306115" w:rsidRDefault="001C1F84">
            <w:pPr>
              <w:numPr>
                <w:ilvl w:val="0"/>
                <w:numId w:val="400"/>
              </w:numPr>
              <w:ind w:left="709" w:right="142" w:hanging="567"/>
              <w:rPr>
                <w:color w:val="000000" w:themeColor="text1"/>
                <w:szCs w:val="24"/>
              </w:rPr>
            </w:pPr>
            <w:r w:rsidRPr="00306115">
              <w:rPr>
                <w:color w:val="000000" w:themeColor="text1"/>
                <w:szCs w:val="24"/>
              </w:rPr>
              <w:t>Fungsi Manajemen Risiko untuk Risiko Reputasi belum sepenuhnya independen. Terdapat beberapa kelemahan signifikan yang memerlukan perbaikan segera.</w:t>
            </w:r>
          </w:p>
          <w:p w14:paraId="232012CD" w14:textId="77777777" w:rsidR="001C1F84" w:rsidRPr="00306115" w:rsidRDefault="001C1F84">
            <w:pPr>
              <w:numPr>
                <w:ilvl w:val="0"/>
                <w:numId w:val="400"/>
              </w:numPr>
              <w:ind w:left="709" w:right="142" w:hanging="567"/>
              <w:rPr>
                <w:color w:val="000000" w:themeColor="text1"/>
                <w:szCs w:val="24"/>
              </w:rPr>
            </w:pPr>
            <w:r w:rsidRPr="00306115">
              <w:rPr>
                <w:color w:val="000000" w:themeColor="text1"/>
                <w:szCs w:val="24"/>
              </w:rPr>
              <w:t>Kerangka pedelegasian wewenang kurang memadai.</w:t>
            </w:r>
          </w:p>
          <w:p w14:paraId="207E1A4A" w14:textId="77777777" w:rsidR="001C1F84" w:rsidRPr="00306115" w:rsidRDefault="001C1F84">
            <w:pPr>
              <w:numPr>
                <w:ilvl w:val="0"/>
                <w:numId w:val="400"/>
              </w:numPr>
              <w:ind w:left="709" w:right="142" w:hanging="567"/>
              <w:rPr>
                <w:color w:val="000000" w:themeColor="text1"/>
                <w:szCs w:val="24"/>
              </w:rPr>
            </w:pPr>
            <w:r w:rsidRPr="00306115">
              <w:rPr>
                <w:color w:val="000000" w:themeColor="text1"/>
                <w:szCs w:val="24"/>
              </w:rPr>
              <w:t>Strategi pengelolaan Risiko Reputasi kurang sejalan dengan tingkat risiko yang akan diambil dan toleransi risiko.</w:t>
            </w:r>
          </w:p>
          <w:p w14:paraId="20C35E3A" w14:textId="77777777" w:rsidR="001C1F84" w:rsidRPr="00306115" w:rsidRDefault="001C1F84">
            <w:pPr>
              <w:numPr>
                <w:ilvl w:val="0"/>
                <w:numId w:val="400"/>
              </w:numPr>
              <w:ind w:left="709" w:right="142" w:hanging="567"/>
              <w:rPr>
                <w:color w:val="000000" w:themeColor="text1"/>
                <w:szCs w:val="24"/>
              </w:rPr>
            </w:pPr>
            <w:r w:rsidRPr="00306115">
              <w:rPr>
                <w:color w:val="000000" w:themeColor="text1"/>
                <w:szCs w:val="24"/>
              </w:rPr>
              <w:t>Kebijakan dan prosedur Manajemen Risiko serta penetapan limit Risiko Reputasi kurang memadai, diterapkan dengan kurang baik, dan dipahami dengan kurang baik oleh pegawai, sehingga memerlukan perbaikan segera.</w:t>
            </w:r>
          </w:p>
          <w:p w14:paraId="0202ACA4" w14:textId="77777777" w:rsidR="001C1F84" w:rsidRPr="00306115" w:rsidRDefault="001C1F84">
            <w:pPr>
              <w:numPr>
                <w:ilvl w:val="0"/>
                <w:numId w:val="400"/>
              </w:numPr>
              <w:ind w:left="709" w:right="142" w:hanging="567"/>
              <w:rPr>
                <w:color w:val="000000" w:themeColor="text1"/>
                <w:szCs w:val="24"/>
              </w:rPr>
            </w:pPr>
            <w:r w:rsidRPr="00306115">
              <w:rPr>
                <w:color w:val="000000" w:themeColor="text1"/>
                <w:szCs w:val="24"/>
              </w:rPr>
              <w:t>Proses Manajemen Risiko untuk Risiko Reputasi kurang memadai dalam mengidentifikasi, mengukur, memantau, dan mengendalikan Risiko Reputasi.</w:t>
            </w:r>
          </w:p>
          <w:p w14:paraId="3BA5D3B0" w14:textId="77777777" w:rsidR="001C1F84" w:rsidRPr="00306115" w:rsidRDefault="001C1F84">
            <w:pPr>
              <w:numPr>
                <w:ilvl w:val="0"/>
                <w:numId w:val="400"/>
              </w:numPr>
              <w:ind w:left="709" w:right="142" w:hanging="567"/>
              <w:rPr>
                <w:color w:val="000000" w:themeColor="text1"/>
                <w:szCs w:val="24"/>
              </w:rPr>
            </w:pPr>
            <w:r w:rsidRPr="00306115">
              <w:rPr>
                <w:color w:val="000000" w:themeColor="text1"/>
                <w:szCs w:val="24"/>
              </w:rPr>
              <w:t>Sistem Informasi Manajemen Risiko untuk Risiko Reputasi kurang baik dalam menghasilkan informasi dan laporan Risiko Reputasi yang komprehensif.</w:t>
            </w:r>
          </w:p>
          <w:p w14:paraId="63B6E50C" w14:textId="77777777" w:rsidR="001C1F84" w:rsidRPr="00306115" w:rsidRDefault="001C1F84">
            <w:pPr>
              <w:numPr>
                <w:ilvl w:val="0"/>
                <w:numId w:val="400"/>
              </w:numPr>
              <w:ind w:left="709" w:right="142" w:hanging="567"/>
              <w:rPr>
                <w:color w:val="000000" w:themeColor="text1"/>
                <w:szCs w:val="24"/>
              </w:rPr>
            </w:pPr>
            <w:r w:rsidRPr="00306115">
              <w:rPr>
                <w:color w:val="000000" w:themeColor="text1"/>
                <w:szCs w:val="24"/>
              </w:rPr>
              <w:t>Sumber daya manusia kurang memadai dari segi kuantitas maupun kompetensi pada fungsi Manajemen Risiko untuk Risiko Reputasi.</w:t>
            </w:r>
          </w:p>
          <w:p w14:paraId="7A7DF398" w14:textId="77777777" w:rsidR="001C1F84" w:rsidRPr="00306115" w:rsidRDefault="001C1F84">
            <w:pPr>
              <w:numPr>
                <w:ilvl w:val="0"/>
                <w:numId w:val="400"/>
              </w:numPr>
              <w:ind w:left="709" w:right="142" w:hanging="567"/>
              <w:rPr>
                <w:color w:val="000000" w:themeColor="text1"/>
                <w:szCs w:val="24"/>
              </w:rPr>
            </w:pPr>
            <w:r w:rsidRPr="00306115">
              <w:rPr>
                <w:color w:val="000000" w:themeColor="text1"/>
                <w:szCs w:val="24"/>
              </w:rPr>
              <w:t>Sistem pengendalian internal kurang efektif dalam mendukung pelaksanaan Manajemen Risiko.</w:t>
            </w:r>
          </w:p>
          <w:p w14:paraId="4CF7002F" w14:textId="3B25C7AA" w:rsidR="001C1F84" w:rsidRPr="00306115" w:rsidRDefault="001C1F84">
            <w:pPr>
              <w:numPr>
                <w:ilvl w:val="0"/>
                <w:numId w:val="400"/>
              </w:numPr>
              <w:ind w:left="709" w:right="142" w:hanging="567"/>
              <w:rPr>
                <w:color w:val="000000" w:themeColor="text1"/>
                <w:szCs w:val="24"/>
              </w:rPr>
            </w:pPr>
            <w:r w:rsidRPr="00306115">
              <w:rPr>
                <w:color w:val="000000" w:themeColor="text1"/>
                <w:szCs w:val="24"/>
              </w:rPr>
              <w:t xml:space="preserve">Pelaksanaan kaji ulang oleh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dan fungsi audit internal kurang memadai. Terdapat beberapa kelemahan yang signifikan pada metodologi, frekuensi, maupun pelaporan kepada Direksi dan Dewan Komisaris yang memerlukan perbaikan segera.</w:t>
            </w:r>
          </w:p>
          <w:p w14:paraId="3ACEEF8E" w14:textId="77777777" w:rsidR="001C1F84" w:rsidRPr="00306115" w:rsidRDefault="001C1F84">
            <w:pPr>
              <w:numPr>
                <w:ilvl w:val="0"/>
                <w:numId w:val="400"/>
              </w:numPr>
              <w:ind w:left="709" w:right="142" w:hanging="567"/>
              <w:rPr>
                <w:color w:val="000000" w:themeColor="text1"/>
                <w:szCs w:val="24"/>
              </w:rPr>
            </w:pPr>
            <w:r w:rsidRPr="00306115">
              <w:rPr>
                <w:color w:val="000000" w:themeColor="text1"/>
                <w:szCs w:val="24"/>
              </w:rPr>
              <w:t>Tindak lanjut atas kaji ulang independen kurang memadai.</w:t>
            </w:r>
          </w:p>
        </w:tc>
      </w:tr>
      <w:tr w:rsidR="001C1F84" w:rsidRPr="00306115" w14:paraId="3942F0D6" w14:textId="77777777" w:rsidTr="006B63E1">
        <w:tc>
          <w:tcPr>
            <w:tcW w:w="2127" w:type="dxa"/>
          </w:tcPr>
          <w:p w14:paraId="48EBC713" w14:textId="77777777" w:rsidR="001C1F84" w:rsidRPr="00306115" w:rsidRDefault="001C1F84" w:rsidP="009953FD">
            <w:pPr>
              <w:pStyle w:val="BodyText"/>
              <w:numPr>
                <w:ilvl w:val="0"/>
                <w:numId w:val="0"/>
              </w:numPr>
              <w:spacing w:before="60" w:after="60"/>
              <w:ind w:left="142" w:right="142"/>
              <w:jc w:val="center"/>
              <w:rPr>
                <w:color w:val="000000" w:themeColor="text1"/>
              </w:rPr>
            </w:pPr>
            <w:r w:rsidRPr="00306115">
              <w:rPr>
                <w:i/>
                <w:iCs/>
                <w:color w:val="000000" w:themeColor="text1"/>
              </w:rPr>
              <w:lastRenderedPageBreak/>
              <w:t>Unsatisfactory</w:t>
            </w:r>
            <w:r w:rsidRPr="00306115">
              <w:rPr>
                <w:color w:val="000000" w:themeColor="text1"/>
              </w:rPr>
              <w:t xml:space="preserve"> (5)</w:t>
            </w:r>
          </w:p>
        </w:tc>
        <w:tc>
          <w:tcPr>
            <w:tcW w:w="5805" w:type="dxa"/>
          </w:tcPr>
          <w:p w14:paraId="184100F7" w14:textId="77777777" w:rsidR="001C1F84" w:rsidRPr="00306115" w:rsidRDefault="001C1F84" w:rsidP="001C1F84">
            <w:pPr>
              <w:ind w:left="142" w:right="142"/>
              <w:rPr>
                <w:color w:val="000000" w:themeColor="text1"/>
                <w:szCs w:val="24"/>
              </w:rPr>
            </w:pPr>
            <w:r w:rsidRPr="00306115">
              <w:rPr>
                <w:color w:val="000000" w:themeColor="text1"/>
                <w:szCs w:val="24"/>
              </w:rPr>
              <w:t>Kualitas penerapan Manajemen Risiko untuk Risiko Reputasi tidak memadai. Terdapat kelemahan signifikan pada berbagai aspek Manajemen Risiko untuk Risiko Reputasi yang tindakan penyelesaiannya di luar kemampuan manajemen.</w:t>
            </w:r>
          </w:p>
          <w:p w14:paraId="10CECE23" w14:textId="71895904" w:rsidR="001C1F84" w:rsidRPr="00306115" w:rsidRDefault="001C1F84" w:rsidP="001C1F84">
            <w:pPr>
              <w:ind w:left="142" w:right="142"/>
              <w:rPr>
                <w:color w:val="000000" w:themeColor="text1"/>
                <w:szCs w:val="24"/>
              </w:rPr>
            </w:pPr>
            <w:r w:rsidRPr="00306115">
              <w:rPr>
                <w:color w:val="000000" w:themeColor="text1"/>
                <w:szCs w:val="24"/>
              </w:rPr>
              <w:lastRenderedPageBreak/>
              <w:t xml:space="preserve">Contoh </w:t>
            </w:r>
            <w:r w:rsidR="00764ECF" w:rsidRPr="00306115">
              <w:rPr>
                <w:color w:val="000000" w:themeColor="text1"/>
                <w:szCs w:val="24"/>
              </w:rPr>
              <w:t>karakteristik/kondisi</w:t>
            </w:r>
            <w:r w:rsidRPr="00306115">
              <w:rPr>
                <w:color w:val="000000" w:themeColor="text1"/>
                <w:szCs w:val="24"/>
              </w:rPr>
              <w:t xml:space="preserve"> Manajer Investasi yang termasuk dalam peringkat </w:t>
            </w:r>
            <w:r w:rsidRPr="00306115">
              <w:rPr>
                <w:i/>
                <w:color w:val="000000" w:themeColor="text1"/>
                <w:szCs w:val="24"/>
              </w:rPr>
              <w:t xml:space="preserve">Unsatisfactory </w:t>
            </w:r>
            <w:r w:rsidRPr="00306115">
              <w:rPr>
                <w:color w:val="000000" w:themeColor="text1"/>
                <w:szCs w:val="24"/>
              </w:rPr>
              <w:t>(5) ini antara lain sebagai berikut:</w:t>
            </w:r>
          </w:p>
          <w:p w14:paraId="68C6D65A" w14:textId="77777777" w:rsidR="001C1F84" w:rsidRPr="00306115" w:rsidRDefault="001C1F84">
            <w:pPr>
              <w:numPr>
                <w:ilvl w:val="0"/>
                <w:numId w:val="401"/>
              </w:numPr>
              <w:ind w:left="709" w:right="142" w:hanging="567"/>
              <w:rPr>
                <w:color w:val="000000" w:themeColor="text1"/>
                <w:szCs w:val="24"/>
              </w:rPr>
            </w:pPr>
            <w:r w:rsidRPr="00306115">
              <w:rPr>
                <w:color w:val="000000" w:themeColor="text1"/>
                <w:szCs w:val="24"/>
              </w:rPr>
              <w:t>Perumusan tingkat Risiko yang akan diambil (</w:t>
            </w:r>
            <w:r w:rsidRPr="00306115">
              <w:rPr>
                <w:i/>
                <w:iCs/>
                <w:color w:val="000000" w:themeColor="text1"/>
                <w:szCs w:val="24"/>
              </w:rPr>
              <w:t>risk appetite</w:t>
            </w:r>
            <w:r w:rsidRPr="00306115">
              <w:rPr>
                <w:color w:val="000000" w:themeColor="text1"/>
                <w:szCs w:val="24"/>
              </w:rPr>
              <w:t>) dan toleransi Risiko (</w:t>
            </w:r>
            <w:r w:rsidRPr="00306115">
              <w:rPr>
                <w:i/>
                <w:iCs/>
                <w:color w:val="000000" w:themeColor="text1"/>
                <w:szCs w:val="24"/>
              </w:rPr>
              <w:t>risk tolerance</w:t>
            </w:r>
            <w:r w:rsidRPr="00306115">
              <w:rPr>
                <w:color w:val="000000" w:themeColor="text1"/>
                <w:szCs w:val="24"/>
              </w:rPr>
              <w:t>) tidak memadai serta tidak sejalan dengan strategi dan tujuan bisnis Manajer Investasi secara keseluruhan.</w:t>
            </w:r>
          </w:p>
          <w:p w14:paraId="2F1A1908" w14:textId="77777777" w:rsidR="001C1F84" w:rsidRPr="00306115" w:rsidRDefault="001C1F84">
            <w:pPr>
              <w:numPr>
                <w:ilvl w:val="0"/>
                <w:numId w:val="401"/>
              </w:numPr>
              <w:ind w:left="709" w:right="142" w:hanging="567"/>
              <w:rPr>
                <w:color w:val="000000" w:themeColor="text1"/>
                <w:szCs w:val="24"/>
              </w:rPr>
            </w:pPr>
            <w:r w:rsidRPr="00306115">
              <w:rPr>
                <w:color w:val="000000" w:themeColor="text1"/>
                <w:szCs w:val="24"/>
              </w:rPr>
              <w:t>Kesadaran (</w:t>
            </w:r>
            <w:r w:rsidRPr="00306115">
              <w:rPr>
                <w:i/>
                <w:color w:val="000000" w:themeColor="text1"/>
                <w:szCs w:val="24"/>
              </w:rPr>
              <w:t>awareness</w:t>
            </w:r>
            <w:r w:rsidRPr="00306115">
              <w:rPr>
                <w:color w:val="000000" w:themeColor="text1"/>
                <w:szCs w:val="24"/>
              </w:rPr>
              <w:t>) dan pemahaman Direksi dan Dewan Komisaris sangat rendah atau sangat tidak memadai mengenai pelaksanaan Manajemen Risiko, terutama terkait jenis dan tingkat risiko untuk Risiko Reputasi.</w:t>
            </w:r>
          </w:p>
          <w:p w14:paraId="173F15AF" w14:textId="77777777" w:rsidR="001C1F84" w:rsidRPr="00306115" w:rsidRDefault="001C1F84">
            <w:pPr>
              <w:numPr>
                <w:ilvl w:val="0"/>
                <w:numId w:val="401"/>
              </w:numPr>
              <w:ind w:left="709" w:right="142" w:hanging="567"/>
              <w:rPr>
                <w:color w:val="000000" w:themeColor="text1"/>
                <w:szCs w:val="24"/>
              </w:rPr>
            </w:pPr>
            <w:r w:rsidRPr="00306115">
              <w:rPr>
                <w:color w:val="000000" w:themeColor="text1"/>
                <w:szCs w:val="24"/>
              </w:rPr>
              <w:t>Budaya Manajemen Risiko untuk Risiko Reputasi tidak kuat atau belum ada sama sekali.</w:t>
            </w:r>
          </w:p>
          <w:p w14:paraId="6A2FA2E1" w14:textId="77777777" w:rsidR="001C1F84" w:rsidRPr="00306115" w:rsidRDefault="001C1F84">
            <w:pPr>
              <w:numPr>
                <w:ilvl w:val="0"/>
                <w:numId w:val="401"/>
              </w:numPr>
              <w:ind w:left="709" w:right="142" w:hanging="567"/>
              <w:rPr>
                <w:color w:val="000000" w:themeColor="text1"/>
                <w:szCs w:val="24"/>
              </w:rPr>
            </w:pPr>
            <w:r w:rsidRPr="00306115">
              <w:rPr>
                <w:color w:val="000000" w:themeColor="text1"/>
                <w:szCs w:val="24"/>
              </w:rPr>
              <w:t>Pelaksanaan tugas Direksi dan Dewan Komisaris secara keseluruhan tidak memadai. Terdapat beberapa kelemahan yang signifikan pada hampir seluruh aspek penilaian yang tindakan penyelesaiannya di luar kemampuan manajemen.</w:t>
            </w:r>
          </w:p>
          <w:p w14:paraId="40887671" w14:textId="77777777" w:rsidR="001C1F84" w:rsidRPr="00306115" w:rsidRDefault="001C1F84">
            <w:pPr>
              <w:numPr>
                <w:ilvl w:val="0"/>
                <w:numId w:val="401"/>
              </w:numPr>
              <w:ind w:left="709" w:right="142" w:hanging="567"/>
              <w:rPr>
                <w:color w:val="000000" w:themeColor="text1"/>
                <w:szCs w:val="24"/>
              </w:rPr>
            </w:pPr>
            <w:r w:rsidRPr="00306115">
              <w:rPr>
                <w:color w:val="000000" w:themeColor="text1"/>
                <w:szCs w:val="24"/>
              </w:rPr>
              <w:t>Fungsi Manajemen Risiko untuk Risiko Reputasi tidak independen, serta terdapat kelemahan signifikan yang memerlukan perbaikan fundamental.</w:t>
            </w:r>
          </w:p>
          <w:p w14:paraId="4E34ABAF" w14:textId="77777777" w:rsidR="001C1F84" w:rsidRPr="00306115" w:rsidRDefault="001C1F84">
            <w:pPr>
              <w:numPr>
                <w:ilvl w:val="0"/>
                <w:numId w:val="401"/>
              </w:numPr>
              <w:ind w:left="709" w:right="142" w:hanging="567"/>
              <w:rPr>
                <w:color w:val="000000" w:themeColor="text1"/>
                <w:szCs w:val="24"/>
              </w:rPr>
            </w:pPr>
            <w:r w:rsidRPr="00306115">
              <w:rPr>
                <w:color w:val="000000" w:themeColor="text1"/>
                <w:szCs w:val="24"/>
              </w:rPr>
              <w:t>Kerangka pedelegasian wewenang tidak memadai.</w:t>
            </w:r>
          </w:p>
          <w:p w14:paraId="55AB4239" w14:textId="77777777" w:rsidR="001C1F84" w:rsidRPr="00306115" w:rsidRDefault="001C1F84">
            <w:pPr>
              <w:numPr>
                <w:ilvl w:val="0"/>
                <w:numId w:val="401"/>
              </w:numPr>
              <w:ind w:left="709" w:right="142" w:hanging="567"/>
              <w:rPr>
                <w:color w:val="000000" w:themeColor="text1"/>
                <w:szCs w:val="24"/>
              </w:rPr>
            </w:pPr>
            <w:r w:rsidRPr="00306115">
              <w:rPr>
                <w:color w:val="000000" w:themeColor="text1"/>
                <w:szCs w:val="24"/>
              </w:rPr>
              <w:t>Strategi pengelolaan risiko untuk Risiko Reputasi tidak sejalan dengan tingkat risiko yang akan diambil dan toleransi risiko.</w:t>
            </w:r>
          </w:p>
          <w:p w14:paraId="261862E5" w14:textId="77777777" w:rsidR="001C1F84" w:rsidRPr="00306115" w:rsidRDefault="001C1F84">
            <w:pPr>
              <w:numPr>
                <w:ilvl w:val="0"/>
                <w:numId w:val="401"/>
              </w:numPr>
              <w:ind w:left="709" w:right="142" w:hanging="567"/>
              <w:rPr>
                <w:color w:val="000000" w:themeColor="text1"/>
                <w:szCs w:val="24"/>
              </w:rPr>
            </w:pPr>
            <w:r w:rsidRPr="00306115">
              <w:rPr>
                <w:color w:val="000000" w:themeColor="text1"/>
                <w:szCs w:val="24"/>
              </w:rPr>
              <w:t>Kebijakan dan prosedur Manajemen Risiko serta penetapan limit Risiko Reputasi tidak memadai, tidak diterapkan, dan tidak dipahami oleh pegawai, sehingga memerlukan perbaikan fundamental.</w:t>
            </w:r>
          </w:p>
          <w:p w14:paraId="1096AB09" w14:textId="77777777" w:rsidR="001C1F84" w:rsidRPr="00306115" w:rsidRDefault="001C1F84">
            <w:pPr>
              <w:numPr>
                <w:ilvl w:val="0"/>
                <w:numId w:val="401"/>
              </w:numPr>
              <w:ind w:left="709" w:right="142" w:hanging="567"/>
              <w:rPr>
                <w:color w:val="000000" w:themeColor="text1"/>
                <w:szCs w:val="24"/>
              </w:rPr>
            </w:pPr>
            <w:r w:rsidRPr="00306115">
              <w:rPr>
                <w:color w:val="000000" w:themeColor="text1"/>
                <w:szCs w:val="24"/>
              </w:rPr>
              <w:t>Proses Manajemen Risiko untuk Risiko Reputasi tidak memadai dalam mengidentifikasi, mengukur, memantau, dan mengendalikan Risiko Reputasi.</w:t>
            </w:r>
          </w:p>
          <w:p w14:paraId="7F2C2273" w14:textId="77777777" w:rsidR="001C1F84" w:rsidRPr="00306115" w:rsidRDefault="001C1F84">
            <w:pPr>
              <w:numPr>
                <w:ilvl w:val="0"/>
                <w:numId w:val="401"/>
              </w:numPr>
              <w:ind w:left="709" w:right="142" w:hanging="567"/>
              <w:rPr>
                <w:color w:val="000000" w:themeColor="text1"/>
                <w:szCs w:val="24"/>
              </w:rPr>
            </w:pPr>
            <w:r w:rsidRPr="00306115">
              <w:rPr>
                <w:color w:val="000000" w:themeColor="text1"/>
                <w:szCs w:val="24"/>
              </w:rPr>
              <w:t>Sistem Informasi Manajemen Risiko untuk Risiko Reputasi tidak dapat dalam menghasilkan informasi dan laporan Risiko Reputasi yang komprehensif.</w:t>
            </w:r>
          </w:p>
          <w:p w14:paraId="5B32A018" w14:textId="77777777" w:rsidR="001C1F84" w:rsidRPr="00306115" w:rsidRDefault="001C1F84">
            <w:pPr>
              <w:numPr>
                <w:ilvl w:val="0"/>
                <w:numId w:val="401"/>
              </w:numPr>
              <w:ind w:left="709" w:right="142" w:hanging="567"/>
              <w:rPr>
                <w:color w:val="000000" w:themeColor="text1"/>
                <w:szCs w:val="24"/>
              </w:rPr>
            </w:pPr>
            <w:r w:rsidRPr="00306115">
              <w:rPr>
                <w:color w:val="000000" w:themeColor="text1"/>
                <w:szCs w:val="24"/>
              </w:rPr>
              <w:lastRenderedPageBreak/>
              <w:t>Sumber daya manusia tidak memadai dari segi kuantitas maupun kompetensi pada fungsi Manajemen Risiko untuk Risiko Reputasi.</w:t>
            </w:r>
          </w:p>
          <w:p w14:paraId="40349E8C" w14:textId="77777777" w:rsidR="001C1F84" w:rsidRPr="00306115" w:rsidRDefault="001C1F84">
            <w:pPr>
              <w:numPr>
                <w:ilvl w:val="0"/>
                <w:numId w:val="401"/>
              </w:numPr>
              <w:ind w:left="709" w:right="142" w:hanging="567"/>
              <w:rPr>
                <w:color w:val="000000" w:themeColor="text1"/>
                <w:szCs w:val="24"/>
              </w:rPr>
            </w:pPr>
            <w:r w:rsidRPr="00306115">
              <w:rPr>
                <w:color w:val="000000" w:themeColor="text1"/>
                <w:szCs w:val="24"/>
              </w:rPr>
              <w:t>Sistem pengendalian internal tidak efektif dalam mendukung pelaksanaan Manajemen Risiko untuk Risiko Reputasi.</w:t>
            </w:r>
          </w:p>
          <w:p w14:paraId="3DB334EE" w14:textId="4256D287" w:rsidR="001C1F84" w:rsidRPr="00306115" w:rsidRDefault="001C1F84">
            <w:pPr>
              <w:numPr>
                <w:ilvl w:val="0"/>
                <w:numId w:val="401"/>
              </w:numPr>
              <w:ind w:left="709" w:right="142" w:hanging="567"/>
              <w:rPr>
                <w:color w:val="000000" w:themeColor="text1"/>
                <w:szCs w:val="24"/>
              </w:rPr>
            </w:pPr>
            <w:r w:rsidRPr="00306115">
              <w:rPr>
                <w:color w:val="000000" w:themeColor="text1"/>
                <w:szCs w:val="24"/>
              </w:rPr>
              <w:t xml:space="preserve">Pelaksanaan kaji ulang oleh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dan fungsi audit internal tidak memadai. Terdapat kelemahan yang signifikan pada metodologi, frekuensi, maupun pelaporan kepada Direksi dan Dewan Komisaris yang memerlukan perbaikan fundamental.</w:t>
            </w:r>
          </w:p>
          <w:p w14:paraId="1F0260A9" w14:textId="77777777" w:rsidR="001C1F84" w:rsidRPr="00306115" w:rsidRDefault="001C1F84">
            <w:pPr>
              <w:numPr>
                <w:ilvl w:val="0"/>
                <w:numId w:val="401"/>
              </w:numPr>
              <w:ind w:left="709" w:right="142" w:hanging="567"/>
              <w:rPr>
                <w:color w:val="000000" w:themeColor="text1"/>
                <w:szCs w:val="24"/>
              </w:rPr>
            </w:pPr>
            <w:r w:rsidRPr="00306115">
              <w:rPr>
                <w:color w:val="000000" w:themeColor="text1"/>
                <w:szCs w:val="24"/>
              </w:rPr>
              <w:t>Tindak lanjut atas kaji ulang independen tidak memadai atau tidak ada</w:t>
            </w:r>
          </w:p>
        </w:tc>
      </w:tr>
    </w:tbl>
    <w:p w14:paraId="1553FD0C" w14:textId="77777777" w:rsidR="001C1F84" w:rsidRPr="00306115" w:rsidRDefault="001C1F84" w:rsidP="001C1F84">
      <w:pPr>
        <w:pStyle w:val="HeadingAwalDaftarIsiLampiran"/>
        <w:numPr>
          <w:ilvl w:val="0"/>
          <w:numId w:val="0"/>
        </w:numPr>
        <w:ind w:left="1134"/>
      </w:pPr>
    </w:p>
    <w:p w14:paraId="6E30CD1D" w14:textId="0C8E00A2" w:rsidR="001F762D" w:rsidRPr="00306115" w:rsidRDefault="001F762D">
      <w:pPr>
        <w:pStyle w:val="HeadingAwalDaftarIsiLampiran"/>
        <w:numPr>
          <w:ilvl w:val="3"/>
          <w:numId w:val="295"/>
        </w:numPr>
        <w:ind w:left="567" w:hanging="567"/>
      </w:pPr>
      <w:r w:rsidRPr="00306115">
        <w:t>Risiko Strategis</w:t>
      </w:r>
    </w:p>
    <w:p w14:paraId="3E96B0D7" w14:textId="77777777" w:rsidR="00451E35" w:rsidRPr="00306115" w:rsidRDefault="00451E35">
      <w:pPr>
        <w:pStyle w:val="HeadingAwalDaftarIsiLampiran"/>
        <w:numPr>
          <w:ilvl w:val="4"/>
          <w:numId w:val="295"/>
        </w:numPr>
        <w:ind w:left="1134" w:hanging="567"/>
      </w:pPr>
      <w:r w:rsidRPr="00306115">
        <w:t>Matriks Penetapan Tingkat Risiko Inheren</w:t>
      </w:r>
    </w:p>
    <w:tbl>
      <w:tblPr>
        <w:tblW w:w="7938"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7"/>
        <w:gridCol w:w="5811"/>
      </w:tblGrid>
      <w:tr w:rsidR="006B63E1" w:rsidRPr="00306115" w14:paraId="61043ED8" w14:textId="77777777" w:rsidTr="006B63E1">
        <w:trPr>
          <w:trHeight w:val="606"/>
          <w:tblHeader/>
        </w:trPr>
        <w:tc>
          <w:tcPr>
            <w:tcW w:w="2127" w:type="dxa"/>
            <w:shd w:val="clear" w:color="auto" w:fill="D9D9D9" w:themeFill="background1" w:themeFillShade="D9"/>
          </w:tcPr>
          <w:p w14:paraId="219F447E" w14:textId="77777777" w:rsidR="006B63E1" w:rsidRPr="00306115" w:rsidRDefault="006B63E1" w:rsidP="006B63E1">
            <w:pPr>
              <w:pStyle w:val="TableParagraph"/>
              <w:spacing w:before="60" w:after="60"/>
              <w:ind w:left="142" w:right="142"/>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Peringkat</w:t>
            </w:r>
          </w:p>
        </w:tc>
        <w:tc>
          <w:tcPr>
            <w:tcW w:w="5811" w:type="dxa"/>
            <w:shd w:val="clear" w:color="auto" w:fill="D9D9D9" w:themeFill="background1" w:themeFillShade="D9"/>
          </w:tcPr>
          <w:p w14:paraId="76136485" w14:textId="77777777" w:rsidR="006B63E1" w:rsidRPr="00306115" w:rsidRDefault="006B63E1" w:rsidP="006B63E1">
            <w:pPr>
              <w:pStyle w:val="TableParagraph"/>
              <w:spacing w:before="60" w:after="60"/>
              <w:ind w:left="142" w:right="142"/>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Definisi Peringkat</w:t>
            </w:r>
          </w:p>
        </w:tc>
      </w:tr>
      <w:tr w:rsidR="006B63E1" w:rsidRPr="00306115" w14:paraId="60765B01" w14:textId="77777777" w:rsidTr="006B63E1">
        <w:trPr>
          <w:trHeight w:val="820"/>
        </w:trPr>
        <w:tc>
          <w:tcPr>
            <w:tcW w:w="2127" w:type="dxa"/>
          </w:tcPr>
          <w:p w14:paraId="7AEBE079" w14:textId="77777777" w:rsidR="006B63E1" w:rsidRPr="00306115" w:rsidRDefault="006B63E1" w:rsidP="006B63E1">
            <w:pPr>
              <w:pStyle w:val="TableParagraph"/>
              <w:spacing w:before="60" w:after="60"/>
              <w:ind w:left="142" w:right="142"/>
              <w:jc w:val="center"/>
              <w:rPr>
                <w:rFonts w:ascii="Bookman Old Style" w:hAnsi="Bookman Old Style"/>
                <w:color w:val="000000" w:themeColor="text1"/>
                <w:sz w:val="24"/>
                <w:szCs w:val="24"/>
              </w:rPr>
            </w:pPr>
            <w:r w:rsidRPr="00306115">
              <w:rPr>
                <w:rFonts w:ascii="Bookman Old Style" w:hAnsi="Bookman Old Style"/>
                <w:i/>
                <w:color w:val="000000" w:themeColor="text1"/>
                <w:sz w:val="24"/>
                <w:szCs w:val="24"/>
              </w:rPr>
              <w:t xml:space="preserve">Low </w:t>
            </w:r>
            <w:r w:rsidRPr="00306115">
              <w:rPr>
                <w:rFonts w:ascii="Bookman Old Style" w:hAnsi="Bookman Old Style"/>
                <w:color w:val="000000" w:themeColor="text1"/>
                <w:sz w:val="24"/>
                <w:szCs w:val="24"/>
              </w:rPr>
              <w:t>(1)</w:t>
            </w:r>
          </w:p>
        </w:tc>
        <w:tc>
          <w:tcPr>
            <w:tcW w:w="5811" w:type="dxa"/>
          </w:tcPr>
          <w:p w14:paraId="460F7366" w14:textId="77777777" w:rsidR="006B63E1" w:rsidRPr="00306115" w:rsidRDefault="006B63E1" w:rsidP="006B63E1">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Dengan mempertimbangkan aktivitas kegiatan usaha yang dilakukan Manajer Investasi </w:t>
            </w:r>
            <w:r w:rsidRPr="00306115">
              <w:rPr>
                <w:color w:val="000000" w:themeColor="text1"/>
                <w:szCs w:val="24"/>
                <w:lang w:val="en-US"/>
              </w:rPr>
              <w:t>beserta Produk Investasi yang dikelola</w:t>
            </w:r>
            <w:r w:rsidRPr="00306115">
              <w:rPr>
                <w:color w:val="000000" w:themeColor="text1"/>
                <w:szCs w:val="24"/>
              </w:rPr>
              <w:t xml:space="preserve">, kemungkinan timbulnya dampak paparan dari Risiko Strategis tergolong sangat rendah selama periode waktu tertentu pada masa datang. </w:t>
            </w:r>
          </w:p>
          <w:p w14:paraId="2181BBE3" w14:textId="16E2BD77" w:rsidR="006B63E1" w:rsidRPr="00306115" w:rsidRDefault="006B63E1" w:rsidP="008C0593">
            <w:pPr>
              <w:pStyle w:val="TableParagraph"/>
              <w:ind w:left="142" w:right="142"/>
              <w:jc w:val="both"/>
              <w:rPr>
                <w:rFonts w:ascii="Bookman Old Style" w:hAnsi="Bookman Old Style"/>
                <w:color w:val="000000" w:themeColor="text1"/>
                <w:sz w:val="24"/>
                <w:szCs w:val="24"/>
              </w:rPr>
            </w:pPr>
            <w:r w:rsidRPr="00306115">
              <w:rPr>
                <w:rFonts w:ascii="Bookman Old Style" w:hAnsi="Bookman Old Style"/>
                <w:color w:val="000000" w:themeColor="text1"/>
                <w:sz w:val="24"/>
                <w:szCs w:val="24"/>
              </w:rPr>
              <w:t xml:space="preserve">Contoh karakteristik Manajer Investasi yang termasuk dalam peringkat </w:t>
            </w:r>
            <w:r w:rsidRPr="00306115">
              <w:rPr>
                <w:rFonts w:ascii="Bookman Old Style" w:hAnsi="Bookman Old Style"/>
                <w:i/>
                <w:iCs/>
                <w:color w:val="000000" w:themeColor="text1"/>
                <w:sz w:val="24"/>
                <w:szCs w:val="24"/>
              </w:rPr>
              <w:t>Low</w:t>
            </w:r>
            <w:r w:rsidRPr="00306115">
              <w:rPr>
                <w:rFonts w:ascii="Bookman Old Style" w:hAnsi="Bookman Old Style"/>
                <w:color w:val="000000" w:themeColor="text1"/>
                <w:sz w:val="24"/>
                <w:szCs w:val="24"/>
              </w:rPr>
              <w:t xml:space="preserve"> (1) adalah Manajer Investasi yang memiliki:</w:t>
            </w:r>
          </w:p>
          <w:p w14:paraId="119C5AFA" w14:textId="77777777" w:rsidR="008C0593" w:rsidRPr="00306115" w:rsidRDefault="006B63E1">
            <w:pPr>
              <w:pStyle w:val="TableParagraph"/>
              <w:numPr>
                <w:ilvl w:val="0"/>
                <w:numId w:val="402"/>
              </w:numPr>
              <w:ind w:left="709" w:right="142" w:hanging="567"/>
              <w:jc w:val="both"/>
              <w:rPr>
                <w:rFonts w:ascii="Bookman Old Style" w:hAnsi="Bookman Old Style"/>
                <w:color w:val="000000" w:themeColor="text1"/>
                <w:sz w:val="24"/>
                <w:szCs w:val="24"/>
              </w:rPr>
            </w:pPr>
            <w:r w:rsidRPr="00306115">
              <w:rPr>
                <w:rFonts w:ascii="Bookman Old Style" w:hAnsi="Bookman Old Style"/>
                <w:color w:val="000000" w:themeColor="text1"/>
                <w:sz w:val="24"/>
                <w:szCs w:val="24"/>
              </w:rPr>
              <w:t>persentase capaian realisasi strategi pengembangan bisnis ≥80% terhadap Rencana Bisnis Manajer Investasi;</w:t>
            </w:r>
          </w:p>
          <w:p w14:paraId="122C6BB6" w14:textId="77777777" w:rsidR="008C0593" w:rsidRPr="00306115" w:rsidRDefault="006B63E1">
            <w:pPr>
              <w:pStyle w:val="TableParagraph"/>
              <w:numPr>
                <w:ilvl w:val="0"/>
                <w:numId w:val="402"/>
              </w:numPr>
              <w:ind w:left="709" w:right="142" w:hanging="567"/>
              <w:jc w:val="both"/>
              <w:rPr>
                <w:rFonts w:ascii="Bookman Old Style" w:hAnsi="Bookman Old Style"/>
                <w:color w:val="000000" w:themeColor="text1"/>
                <w:sz w:val="24"/>
                <w:szCs w:val="24"/>
              </w:rPr>
            </w:pPr>
            <w:r w:rsidRPr="00306115">
              <w:rPr>
                <w:rFonts w:ascii="Bookman Old Style" w:hAnsi="Bookman Old Style"/>
                <w:color w:val="000000" w:themeColor="text1"/>
                <w:sz w:val="24"/>
                <w:szCs w:val="24"/>
              </w:rPr>
              <w:t>persentase realisasi proyeksi keuangan dalam Rencana Bisnis ≥80%; dan</w:t>
            </w:r>
          </w:p>
          <w:p w14:paraId="7CA6FCC9" w14:textId="60CC2175" w:rsidR="006B63E1" w:rsidRPr="00306115" w:rsidRDefault="006B63E1">
            <w:pPr>
              <w:pStyle w:val="TableParagraph"/>
              <w:numPr>
                <w:ilvl w:val="0"/>
                <w:numId w:val="402"/>
              </w:numPr>
              <w:ind w:left="709" w:right="142" w:hanging="567"/>
              <w:jc w:val="both"/>
              <w:rPr>
                <w:rFonts w:ascii="Bookman Old Style" w:hAnsi="Bookman Old Style"/>
                <w:color w:val="000000" w:themeColor="text1"/>
                <w:sz w:val="24"/>
                <w:szCs w:val="24"/>
              </w:rPr>
            </w:pPr>
            <w:r w:rsidRPr="00306115">
              <w:rPr>
                <w:rFonts w:ascii="Bookman Old Style" w:hAnsi="Bookman Old Style"/>
                <w:color w:val="000000" w:themeColor="text1"/>
                <w:sz w:val="24"/>
                <w:szCs w:val="24"/>
              </w:rPr>
              <w:t>persentase realisasi Rencana Aksi Keuangan Berkelanjutan ≥80%.</w:t>
            </w:r>
          </w:p>
          <w:p w14:paraId="08488080" w14:textId="4D2CCF4D" w:rsidR="006B63E1" w:rsidRPr="00306115" w:rsidRDefault="006B63E1" w:rsidP="008C0593">
            <w:pPr>
              <w:pStyle w:val="TableParagraph"/>
              <w:ind w:left="142" w:right="142"/>
              <w:jc w:val="both"/>
              <w:rPr>
                <w:rFonts w:ascii="Bookman Old Style" w:hAnsi="Bookman Old Style"/>
                <w:color w:val="000000" w:themeColor="text1"/>
              </w:rPr>
            </w:pPr>
            <w:r w:rsidRPr="00306115">
              <w:rPr>
                <w:rFonts w:ascii="Bookman Old Style" w:hAnsi="Bookman Old Style"/>
                <w:color w:val="000000" w:themeColor="text1"/>
                <w:sz w:val="24"/>
                <w:szCs w:val="24"/>
              </w:rPr>
              <w:t>Penetapan</w:t>
            </w:r>
            <w:r w:rsidRPr="00306115">
              <w:rPr>
                <w:rFonts w:ascii="Bookman Old Style" w:hAnsi="Bookman Old Style"/>
                <w:color w:val="000000" w:themeColor="text1"/>
              </w:rPr>
              <w:t xml:space="preserve"> peringkat Risiko Strategis dilakukan berdasarkan hasil penilaian seluruh parameter atau indikator dengan menggunakan analisis yang komprehensif dan terstruktur untuk memberikan gambaran menyeluruh terhadap tingkat Risiko Strategis Manajer Investasi.</w:t>
            </w:r>
          </w:p>
        </w:tc>
      </w:tr>
      <w:tr w:rsidR="006B63E1" w:rsidRPr="00306115" w14:paraId="7747B85F" w14:textId="77777777" w:rsidTr="006B63E1">
        <w:trPr>
          <w:trHeight w:val="1054"/>
        </w:trPr>
        <w:tc>
          <w:tcPr>
            <w:tcW w:w="2127" w:type="dxa"/>
          </w:tcPr>
          <w:p w14:paraId="378E3185" w14:textId="77777777" w:rsidR="006B63E1" w:rsidRPr="00306115" w:rsidRDefault="006B63E1" w:rsidP="006B63E1">
            <w:pPr>
              <w:pStyle w:val="TableParagraph"/>
              <w:spacing w:before="60" w:after="60"/>
              <w:ind w:left="142" w:right="142"/>
              <w:jc w:val="center"/>
              <w:rPr>
                <w:rFonts w:ascii="Bookman Old Style" w:hAnsi="Bookman Old Style"/>
                <w:color w:val="000000" w:themeColor="text1"/>
                <w:sz w:val="24"/>
                <w:szCs w:val="24"/>
              </w:rPr>
            </w:pPr>
            <w:r w:rsidRPr="00306115">
              <w:rPr>
                <w:rFonts w:ascii="Bookman Old Style" w:hAnsi="Bookman Old Style"/>
                <w:i/>
                <w:color w:val="000000" w:themeColor="text1"/>
                <w:sz w:val="24"/>
                <w:szCs w:val="24"/>
              </w:rPr>
              <w:t xml:space="preserve">Low to Moderate </w:t>
            </w:r>
            <w:r w:rsidRPr="00306115">
              <w:rPr>
                <w:rFonts w:ascii="Bookman Old Style" w:hAnsi="Bookman Old Style"/>
                <w:color w:val="000000" w:themeColor="text1"/>
                <w:sz w:val="24"/>
                <w:szCs w:val="24"/>
              </w:rPr>
              <w:t>(2)</w:t>
            </w:r>
          </w:p>
        </w:tc>
        <w:tc>
          <w:tcPr>
            <w:tcW w:w="5811" w:type="dxa"/>
          </w:tcPr>
          <w:p w14:paraId="650E9454" w14:textId="77777777" w:rsidR="006B63E1" w:rsidRPr="00306115" w:rsidRDefault="006B63E1" w:rsidP="006B63E1">
            <w:pPr>
              <w:pStyle w:val="ListParagraph"/>
              <w:spacing w:after="0" w:line="240" w:lineRule="auto"/>
              <w:ind w:left="142" w:right="142"/>
              <w:contextualSpacing w:val="0"/>
              <w:rPr>
                <w:strike/>
                <w:color w:val="000000" w:themeColor="text1"/>
                <w:szCs w:val="24"/>
              </w:rPr>
            </w:pPr>
            <w:r w:rsidRPr="00306115">
              <w:rPr>
                <w:color w:val="000000" w:themeColor="text1"/>
                <w:szCs w:val="24"/>
              </w:rPr>
              <w:t xml:space="preserve">Dengan mempertimbangkan aktivitas kegiatan usaha yang dilakukan Manajer Investasi </w:t>
            </w:r>
            <w:r w:rsidRPr="00306115">
              <w:rPr>
                <w:color w:val="000000" w:themeColor="text1"/>
                <w:szCs w:val="24"/>
                <w:lang w:val="en-US"/>
              </w:rPr>
              <w:t>beserta Produk Investasi yang dikelola</w:t>
            </w:r>
            <w:r w:rsidRPr="00306115">
              <w:rPr>
                <w:color w:val="000000" w:themeColor="text1"/>
                <w:szCs w:val="24"/>
              </w:rPr>
              <w:t xml:space="preserve">, kemungkinan timbulnya dampak paparan dari Risiko Strategis tergolong rendah selama periode waktu tertentu pada masa datang. </w:t>
            </w:r>
          </w:p>
          <w:p w14:paraId="73BF0245" w14:textId="40FF0476" w:rsidR="006B63E1" w:rsidRPr="00306115" w:rsidRDefault="006B63E1" w:rsidP="00C60CA1">
            <w:pPr>
              <w:pStyle w:val="TableParagraph"/>
              <w:ind w:left="142" w:right="142"/>
              <w:jc w:val="both"/>
              <w:rPr>
                <w:rFonts w:ascii="Bookman Old Style" w:hAnsi="Bookman Old Style"/>
                <w:color w:val="000000" w:themeColor="text1"/>
                <w:sz w:val="24"/>
                <w:szCs w:val="24"/>
              </w:rPr>
            </w:pPr>
            <w:r w:rsidRPr="00306115">
              <w:rPr>
                <w:rFonts w:ascii="Bookman Old Style" w:hAnsi="Bookman Old Style"/>
                <w:color w:val="000000" w:themeColor="text1"/>
                <w:sz w:val="24"/>
                <w:szCs w:val="24"/>
              </w:rPr>
              <w:t xml:space="preserve">Contoh karakteristik Manajer Investasi yang </w:t>
            </w:r>
            <w:r w:rsidRPr="00306115">
              <w:rPr>
                <w:rFonts w:ascii="Bookman Old Style" w:hAnsi="Bookman Old Style"/>
                <w:color w:val="000000" w:themeColor="text1"/>
                <w:sz w:val="24"/>
                <w:szCs w:val="24"/>
              </w:rPr>
              <w:lastRenderedPageBreak/>
              <w:t xml:space="preserve">termasuk dalam peringkat </w:t>
            </w:r>
            <w:r w:rsidRPr="00306115">
              <w:rPr>
                <w:rFonts w:ascii="Bookman Old Style" w:hAnsi="Bookman Old Style"/>
                <w:i/>
                <w:iCs/>
                <w:color w:val="000000" w:themeColor="text1"/>
                <w:sz w:val="24"/>
                <w:szCs w:val="24"/>
              </w:rPr>
              <w:t>Low to Moderate</w:t>
            </w:r>
            <w:r w:rsidRPr="00306115">
              <w:rPr>
                <w:rFonts w:ascii="Bookman Old Style" w:hAnsi="Bookman Old Style"/>
                <w:color w:val="000000" w:themeColor="text1"/>
                <w:sz w:val="24"/>
                <w:szCs w:val="24"/>
              </w:rPr>
              <w:t xml:space="preserve"> (2) adalah Manajer Investasi yang memiliki:</w:t>
            </w:r>
          </w:p>
          <w:p w14:paraId="40FAA942" w14:textId="77777777" w:rsidR="008C70B6" w:rsidRPr="00306115" w:rsidRDefault="006B63E1">
            <w:pPr>
              <w:pStyle w:val="NormalWeb"/>
              <w:numPr>
                <w:ilvl w:val="0"/>
                <w:numId w:val="403"/>
              </w:numPr>
              <w:spacing w:before="0" w:beforeAutospacing="0" w:after="0" w:afterAutospacing="0"/>
              <w:ind w:left="709" w:right="142" w:hanging="567"/>
              <w:jc w:val="both"/>
              <w:rPr>
                <w:rFonts w:ascii="Bookman Old Style" w:eastAsia="Cambria" w:hAnsi="Bookman Old Style" w:cs="Cambria"/>
                <w:color w:val="000000" w:themeColor="text1"/>
                <w:lang w:val="id"/>
              </w:rPr>
            </w:pPr>
            <w:r w:rsidRPr="00306115">
              <w:rPr>
                <w:rFonts w:ascii="Bookman Old Style" w:eastAsia="Cambria" w:hAnsi="Bookman Old Style" w:cs="Cambria"/>
                <w:color w:val="000000" w:themeColor="text1"/>
                <w:lang w:val="id"/>
              </w:rPr>
              <w:t>persentase capaian realisasi strategi pengembangan bisnis ≥60% s.d. &lt;80% terhadap Rencana Bisnis Manajer Investasi;</w:t>
            </w:r>
          </w:p>
          <w:p w14:paraId="7CC05EC8" w14:textId="77777777" w:rsidR="008C70B6" w:rsidRPr="00306115" w:rsidRDefault="006B63E1">
            <w:pPr>
              <w:pStyle w:val="NormalWeb"/>
              <w:numPr>
                <w:ilvl w:val="0"/>
                <w:numId w:val="403"/>
              </w:numPr>
              <w:spacing w:before="0" w:beforeAutospacing="0" w:after="0" w:afterAutospacing="0"/>
              <w:ind w:left="709" w:right="142" w:hanging="567"/>
              <w:jc w:val="both"/>
              <w:rPr>
                <w:rFonts w:ascii="Bookman Old Style" w:eastAsia="Cambria" w:hAnsi="Bookman Old Style" w:cs="Cambria"/>
                <w:color w:val="000000" w:themeColor="text1"/>
                <w:lang w:val="id"/>
              </w:rPr>
            </w:pPr>
            <w:r w:rsidRPr="00306115">
              <w:rPr>
                <w:rFonts w:ascii="Bookman Old Style" w:eastAsia="Cambria" w:hAnsi="Bookman Old Style" w:cs="Cambria"/>
                <w:color w:val="000000" w:themeColor="text1"/>
                <w:lang w:val="id"/>
              </w:rPr>
              <w:t>persentase realisasi proyeksi keuangan dalam Rencana Bisnis ≥60% s.d. &lt;80%; dan</w:t>
            </w:r>
          </w:p>
          <w:p w14:paraId="242740CA" w14:textId="754BEC97" w:rsidR="006B63E1" w:rsidRPr="00306115" w:rsidRDefault="006B63E1">
            <w:pPr>
              <w:pStyle w:val="NormalWeb"/>
              <w:numPr>
                <w:ilvl w:val="0"/>
                <w:numId w:val="403"/>
              </w:numPr>
              <w:spacing w:before="0" w:beforeAutospacing="0" w:after="0" w:afterAutospacing="0"/>
              <w:ind w:left="709" w:right="142" w:hanging="567"/>
              <w:jc w:val="both"/>
              <w:rPr>
                <w:rFonts w:ascii="Bookman Old Style" w:eastAsia="Cambria" w:hAnsi="Bookman Old Style" w:cs="Cambria"/>
                <w:color w:val="000000" w:themeColor="text1"/>
                <w:lang w:val="id"/>
              </w:rPr>
            </w:pPr>
            <w:r w:rsidRPr="00306115">
              <w:rPr>
                <w:rFonts w:ascii="Bookman Old Style" w:eastAsia="Cambria" w:hAnsi="Bookman Old Style" w:cs="Cambria"/>
                <w:color w:val="000000" w:themeColor="text1"/>
                <w:lang w:val="id"/>
              </w:rPr>
              <w:t>persentase realisasi Rencana Aksi Keuangan Berkelanjutan ≥60% s.d. &lt;80%.</w:t>
            </w:r>
          </w:p>
          <w:p w14:paraId="7797027F" w14:textId="7B010E39" w:rsidR="006B63E1" w:rsidRPr="00306115" w:rsidRDefault="006B63E1" w:rsidP="00C60CA1">
            <w:pPr>
              <w:pStyle w:val="NormalWeb"/>
              <w:spacing w:before="0" w:beforeAutospacing="0" w:after="0" w:afterAutospacing="0"/>
              <w:ind w:left="142" w:right="142"/>
              <w:jc w:val="both"/>
              <w:rPr>
                <w:rFonts w:ascii="Bookman Old Style" w:eastAsia="Cambria" w:hAnsi="Bookman Old Style" w:cs="Cambria"/>
                <w:color w:val="000000" w:themeColor="text1"/>
                <w:lang w:val="id"/>
              </w:rPr>
            </w:pPr>
            <w:r w:rsidRPr="00306115">
              <w:rPr>
                <w:rFonts w:ascii="Bookman Old Style" w:eastAsia="Cambria" w:hAnsi="Bookman Old Style" w:cs="Cambria"/>
                <w:color w:val="000000" w:themeColor="text1"/>
                <w:lang w:val="id"/>
              </w:rPr>
              <w:t>Penetapan peringkat Risiko Strategis dilakukan berdasarkan hasil penilaian seluruh parameter atau indikator dengan menggunakan analisis yang komprehensif dan terstruktur.</w:t>
            </w:r>
          </w:p>
        </w:tc>
      </w:tr>
      <w:tr w:rsidR="006B63E1" w:rsidRPr="00306115" w14:paraId="3C65BB63" w14:textId="77777777" w:rsidTr="006B63E1">
        <w:trPr>
          <w:trHeight w:val="1116"/>
        </w:trPr>
        <w:tc>
          <w:tcPr>
            <w:tcW w:w="2127" w:type="dxa"/>
          </w:tcPr>
          <w:p w14:paraId="157906A1" w14:textId="77777777" w:rsidR="006B63E1" w:rsidRPr="00306115" w:rsidRDefault="006B63E1" w:rsidP="006B63E1">
            <w:pPr>
              <w:pStyle w:val="TableParagraph"/>
              <w:spacing w:before="60" w:after="60"/>
              <w:ind w:left="142" w:right="142"/>
              <w:jc w:val="center"/>
              <w:rPr>
                <w:rFonts w:ascii="Bookman Old Style" w:hAnsi="Bookman Old Style"/>
                <w:i/>
                <w:color w:val="000000" w:themeColor="text1"/>
                <w:sz w:val="24"/>
                <w:szCs w:val="24"/>
              </w:rPr>
            </w:pPr>
            <w:r w:rsidRPr="00306115">
              <w:rPr>
                <w:rFonts w:ascii="Bookman Old Style" w:hAnsi="Bookman Old Style"/>
                <w:i/>
                <w:color w:val="000000" w:themeColor="text1"/>
                <w:sz w:val="24"/>
                <w:szCs w:val="24"/>
              </w:rPr>
              <w:lastRenderedPageBreak/>
              <w:t>Moderate</w:t>
            </w:r>
          </w:p>
          <w:p w14:paraId="5F001A8A" w14:textId="77777777" w:rsidR="006B63E1" w:rsidRPr="00306115" w:rsidRDefault="006B63E1" w:rsidP="006B63E1">
            <w:pPr>
              <w:pStyle w:val="TableParagraph"/>
              <w:spacing w:before="60" w:after="60"/>
              <w:ind w:left="142" w:right="142"/>
              <w:jc w:val="center"/>
              <w:rPr>
                <w:rFonts w:ascii="Bookman Old Style" w:hAnsi="Bookman Old Style"/>
                <w:iCs/>
                <w:color w:val="000000" w:themeColor="text1"/>
                <w:sz w:val="24"/>
                <w:szCs w:val="24"/>
              </w:rPr>
            </w:pPr>
            <w:r w:rsidRPr="00306115">
              <w:rPr>
                <w:rFonts w:ascii="Bookman Old Style" w:hAnsi="Bookman Old Style"/>
                <w:iCs/>
                <w:color w:val="000000" w:themeColor="text1"/>
                <w:sz w:val="24"/>
                <w:szCs w:val="24"/>
              </w:rPr>
              <w:t>(3)</w:t>
            </w:r>
          </w:p>
        </w:tc>
        <w:tc>
          <w:tcPr>
            <w:tcW w:w="5811" w:type="dxa"/>
          </w:tcPr>
          <w:p w14:paraId="220707FC" w14:textId="77777777" w:rsidR="006B63E1" w:rsidRPr="00306115" w:rsidRDefault="006B63E1" w:rsidP="006B63E1">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Dengan mempertimbangkan aktivitas kegiatan usaha yang dilakukan Manajer Investasi </w:t>
            </w:r>
            <w:r w:rsidRPr="00306115">
              <w:rPr>
                <w:color w:val="000000" w:themeColor="text1"/>
                <w:szCs w:val="24"/>
                <w:lang w:val="en-US"/>
              </w:rPr>
              <w:t xml:space="preserve">beserta Produk </w:t>
            </w:r>
            <w:r w:rsidRPr="00306115">
              <w:rPr>
                <w:color w:val="000000" w:themeColor="text1"/>
                <w:szCs w:val="24"/>
              </w:rPr>
              <w:t>Investasi</w:t>
            </w:r>
            <w:r w:rsidRPr="00306115">
              <w:rPr>
                <w:color w:val="000000" w:themeColor="text1"/>
                <w:szCs w:val="24"/>
                <w:lang w:val="en-US"/>
              </w:rPr>
              <w:t xml:space="preserve"> yang dikelola</w:t>
            </w:r>
            <w:r w:rsidRPr="00306115">
              <w:rPr>
                <w:color w:val="000000" w:themeColor="text1"/>
                <w:szCs w:val="24"/>
              </w:rPr>
              <w:t xml:space="preserve">, kemungkinan timbulnya dampak paparan dari Risiko Strategis tergolong cukup tinggi selama periode waktu tertentu pada masa datang. </w:t>
            </w:r>
          </w:p>
          <w:p w14:paraId="721E04B3" w14:textId="5AB964CE" w:rsidR="006B63E1" w:rsidRPr="00306115" w:rsidRDefault="006B63E1" w:rsidP="00B0583D">
            <w:pPr>
              <w:pStyle w:val="TableParagraph"/>
              <w:ind w:left="142" w:right="142"/>
              <w:jc w:val="both"/>
              <w:rPr>
                <w:rFonts w:ascii="Bookman Old Style" w:hAnsi="Bookman Old Style"/>
                <w:color w:val="000000" w:themeColor="text1"/>
                <w:sz w:val="24"/>
                <w:szCs w:val="24"/>
              </w:rPr>
            </w:pPr>
            <w:r w:rsidRPr="00306115">
              <w:rPr>
                <w:rFonts w:ascii="Bookman Old Style" w:hAnsi="Bookman Old Style"/>
                <w:color w:val="000000" w:themeColor="text1"/>
                <w:sz w:val="24"/>
                <w:szCs w:val="24"/>
              </w:rPr>
              <w:t xml:space="preserve">Contoh karakteristik Manajer Investasi yang termasuk dalam peringkat </w:t>
            </w:r>
            <w:r w:rsidRPr="00306115">
              <w:rPr>
                <w:rFonts w:ascii="Bookman Old Style" w:hAnsi="Bookman Old Style"/>
                <w:i/>
                <w:iCs/>
                <w:color w:val="000000" w:themeColor="text1"/>
                <w:sz w:val="24"/>
                <w:szCs w:val="24"/>
              </w:rPr>
              <w:t>Moderate</w:t>
            </w:r>
            <w:r w:rsidRPr="00306115">
              <w:rPr>
                <w:rFonts w:ascii="Bookman Old Style" w:hAnsi="Bookman Old Style"/>
                <w:color w:val="000000" w:themeColor="text1"/>
                <w:sz w:val="24"/>
                <w:szCs w:val="24"/>
              </w:rPr>
              <w:t xml:space="preserve"> (3) adalah Manajer Investasi yang memiliki:</w:t>
            </w:r>
          </w:p>
          <w:p w14:paraId="04A73480" w14:textId="77777777" w:rsidR="006B63E1" w:rsidRPr="00306115" w:rsidRDefault="006B63E1">
            <w:pPr>
              <w:pStyle w:val="NormalWeb"/>
              <w:numPr>
                <w:ilvl w:val="0"/>
                <w:numId w:val="404"/>
              </w:numPr>
              <w:spacing w:before="0" w:beforeAutospacing="0" w:after="0" w:afterAutospacing="0"/>
              <w:ind w:left="709" w:right="142" w:hanging="567"/>
              <w:jc w:val="both"/>
              <w:rPr>
                <w:rFonts w:ascii="Bookman Old Style" w:eastAsia="Cambria" w:hAnsi="Bookman Old Style" w:cs="Cambria"/>
                <w:color w:val="000000" w:themeColor="text1"/>
                <w:lang w:val="id"/>
              </w:rPr>
            </w:pPr>
            <w:r w:rsidRPr="00306115">
              <w:rPr>
                <w:rFonts w:ascii="Bookman Old Style" w:eastAsia="Cambria" w:hAnsi="Bookman Old Style" w:cs="Cambria"/>
                <w:color w:val="000000" w:themeColor="text1"/>
                <w:lang w:val="id"/>
              </w:rPr>
              <w:t>persentase capaian realisasi strategi pengembangan bisnis ≥40% s.d. &lt;60% terhadap Rencana Bisnis Manajer Investasi;</w:t>
            </w:r>
          </w:p>
          <w:p w14:paraId="1D95D484" w14:textId="77777777" w:rsidR="006B63E1" w:rsidRPr="00306115" w:rsidRDefault="006B63E1">
            <w:pPr>
              <w:pStyle w:val="NormalWeb"/>
              <w:numPr>
                <w:ilvl w:val="0"/>
                <w:numId w:val="404"/>
              </w:numPr>
              <w:spacing w:before="0" w:beforeAutospacing="0" w:after="0" w:afterAutospacing="0"/>
              <w:ind w:left="709" w:right="142" w:hanging="567"/>
              <w:jc w:val="both"/>
              <w:rPr>
                <w:rFonts w:ascii="Bookman Old Style" w:eastAsia="Cambria" w:hAnsi="Bookman Old Style" w:cs="Cambria"/>
                <w:color w:val="000000" w:themeColor="text1"/>
                <w:lang w:val="id"/>
              </w:rPr>
            </w:pPr>
            <w:r w:rsidRPr="00306115">
              <w:rPr>
                <w:rFonts w:ascii="Bookman Old Style" w:eastAsia="Cambria" w:hAnsi="Bookman Old Style" w:cs="Cambria"/>
                <w:color w:val="000000" w:themeColor="text1"/>
                <w:lang w:val="id"/>
              </w:rPr>
              <w:t>persentase realisasi proyeksi keuangan dalam Rencana Bisnis ≥40% s.d. &lt;60%; dan</w:t>
            </w:r>
          </w:p>
          <w:p w14:paraId="18068068" w14:textId="77777777" w:rsidR="006B63E1" w:rsidRPr="00306115" w:rsidRDefault="006B63E1">
            <w:pPr>
              <w:pStyle w:val="NormalWeb"/>
              <w:numPr>
                <w:ilvl w:val="0"/>
                <w:numId w:val="404"/>
              </w:numPr>
              <w:spacing w:before="0" w:beforeAutospacing="0" w:after="0" w:afterAutospacing="0"/>
              <w:ind w:left="709" w:right="142" w:hanging="567"/>
              <w:jc w:val="both"/>
              <w:rPr>
                <w:rFonts w:ascii="Bookman Old Style" w:eastAsia="Cambria" w:hAnsi="Bookman Old Style" w:cs="Cambria"/>
                <w:color w:val="000000" w:themeColor="text1"/>
                <w:lang w:val="id"/>
              </w:rPr>
            </w:pPr>
            <w:r w:rsidRPr="00306115">
              <w:rPr>
                <w:rFonts w:ascii="Bookman Old Style" w:eastAsia="Cambria" w:hAnsi="Bookman Old Style" w:cs="Cambria"/>
                <w:color w:val="000000" w:themeColor="text1"/>
                <w:lang w:val="id"/>
              </w:rPr>
              <w:t>persentase realisasi Rencana Aksi Keuangan Berkelanjutan ≥40% s.d. &lt;60%.</w:t>
            </w:r>
          </w:p>
          <w:p w14:paraId="51A830D2" w14:textId="0837320A" w:rsidR="006B63E1" w:rsidRPr="00306115" w:rsidRDefault="006B63E1" w:rsidP="00B0583D">
            <w:pPr>
              <w:pStyle w:val="NormalWeb"/>
              <w:spacing w:before="0" w:beforeAutospacing="0" w:after="0" w:afterAutospacing="0"/>
              <w:ind w:left="142" w:right="142"/>
              <w:jc w:val="both"/>
              <w:rPr>
                <w:rFonts w:ascii="Bookman Old Style" w:eastAsia="Cambria" w:hAnsi="Bookman Old Style" w:cs="Cambria"/>
                <w:color w:val="000000" w:themeColor="text1"/>
                <w:lang w:val="id"/>
              </w:rPr>
            </w:pPr>
            <w:r w:rsidRPr="00306115">
              <w:rPr>
                <w:rFonts w:ascii="Bookman Old Style" w:eastAsia="Cambria" w:hAnsi="Bookman Old Style" w:cs="Cambria"/>
                <w:color w:val="000000" w:themeColor="text1"/>
                <w:lang w:val="id"/>
              </w:rPr>
              <w:t>Penetapan peringkat Risiko Strategis dilakukan berdasarkan hasil penilaian seluruh parameter atau indikator dengan menggunakan analisis yang komprehensif dan terstruktur.</w:t>
            </w:r>
          </w:p>
        </w:tc>
      </w:tr>
      <w:tr w:rsidR="006B63E1" w:rsidRPr="00306115" w14:paraId="1B9166DB" w14:textId="77777777" w:rsidTr="006B63E1">
        <w:trPr>
          <w:trHeight w:val="982"/>
        </w:trPr>
        <w:tc>
          <w:tcPr>
            <w:tcW w:w="2127" w:type="dxa"/>
          </w:tcPr>
          <w:p w14:paraId="25D2894D" w14:textId="77777777" w:rsidR="006B63E1" w:rsidRPr="00306115" w:rsidRDefault="006B63E1" w:rsidP="006B63E1">
            <w:pPr>
              <w:pStyle w:val="TableParagraph"/>
              <w:spacing w:before="60" w:after="60"/>
              <w:ind w:left="142" w:right="142"/>
              <w:jc w:val="center"/>
              <w:rPr>
                <w:rFonts w:ascii="Bookman Old Style" w:hAnsi="Bookman Old Style"/>
                <w:i/>
                <w:color w:val="000000" w:themeColor="text1"/>
                <w:sz w:val="24"/>
                <w:szCs w:val="24"/>
              </w:rPr>
            </w:pPr>
            <w:r w:rsidRPr="00306115">
              <w:rPr>
                <w:rFonts w:ascii="Bookman Old Style" w:hAnsi="Bookman Old Style"/>
                <w:i/>
                <w:color w:val="000000" w:themeColor="text1"/>
                <w:sz w:val="24"/>
                <w:szCs w:val="24"/>
              </w:rPr>
              <w:t xml:space="preserve">Moderate to High </w:t>
            </w:r>
            <w:r w:rsidRPr="00306115">
              <w:rPr>
                <w:rFonts w:ascii="Bookman Old Style" w:hAnsi="Bookman Old Style"/>
                <w:iCs/>
                <w:color w:val="000000" w:themeColor="text1"/>
                <w:sz w:val="24"/>
                <w:szCs w:val="24"/>
              </w:rPr>
              <w:t>(4)</w:t>
            </w:r>
          </w:p>
        </w:tc>
        <w:tc>
          <w:tcPr>
            <w:tcW w:w="5811" w:type="dxa"/>
          </w:tcPr>
          <w:p w14:paraId="18EA1BA1" w14:textId="77777777" w:rsidR="006B63E1" w:rsidRPr="00306115" w:rsidRDefault="006B63E1" w:rsidP="006B63E1">
            <w:pPr>
              <w:pStyle w:val="ListParagraph"/>
              <w:spacing w:after="0" w:line="240" w:lineRule="auto"/>
              <w:ind w:left="142" w:right="142"/>
              <w:contextualSpacing w:val="0"/>
              <w:rPr>
                <w:strike/>
                <w:color w:val="000000" w:themeColor="text1"/>
                <w:szCs w:val="24"/>
              </w:rPr>
            </w:pPr>
            <w:r w:rsidRPr="00306115">
              <w:rPr>
                <w:color w:val="000000" w:themeColor="text1"/>
                <w:szCs w:val="24"/>
              </w:rPr>
              <w:t xml:space="preserve">Dengan mempertimbangkan aktivitas kegiatan usaha yang dilakukan Manajer Investasi </w:t>
            </w:r>
            <w:r w:rsidRPr="00306115">
              <w:rPr>
                <w:color w:val="000000" w:themeColor="text1"/>
                <w:szCs w:val="24"/>
                <w:lang w:val="en-US"/>
              </w:rPr>
              <w:t>beserta Produk Investasi yang dikelola</w:t>
            </w:r>
            <w:r w:rsidRPr="00306115">
              <w:rPr>
                <w:color w:val="000000" w:themeColor="text1"/>
                <w:szCs w:val="24"/>
              </w:rPr>
              <w:t xml:space="preserve">, kemungkinan timbulnya dampak paparan dari Risiko Strategis tergolong tinggi selama periode waktu tertentu pada masa datang. </w:t>
            </w:r>
          </w:p>
          <w:p w14:paraId="44F6D401" w14:textId="53363C3E" w:rsidR="006B63E1" w:rsidRPr="00306115" w:rsidRDefault="006B63E1" w:rsidP="00B0583D">
            <w:pPr>
              <w:pStyle w:val="TableParagraph"/>
              <w:ind w:left="142" w:right="142"/>
              <w:jc w:val="both"/>
              <w:rPr>
                <w:rFonts w:ascii="Bookman Old Style" w:hAnsi="Bookman Old Style"/>
                <w:color w:val="000000" w:themeColor="text1"/>
                <w:sz w:val="24"/>
                <w:szCs w:val="24"/>
              </w:rPr>
            </w:pPr>
            <w:r w:rsidRPr="00306115">
              <w:rPr>
                <w:rFonts w:ascii="Bookman Old Style" w:hAnsi="Bookman Old Style"/>
                <w:color w:val="000000" w:themeColor="text1"/>
                <w:sz w:val="24"/>
                <w:szCs w:val="24"/>
              </w:rPr>
              <w:t xml:space="preserve">Contoh karakteristik Manajer Investasi yang termasuk dalam peringkat </w:t>
            </w:r>
            <w:r w:rsidRPr="00306115">
              <w:rPr>
                <w:rFonts w:ascii="Bookman Old Style" w:hAnsi="Bookman Old Style"/>
                <w:i/>
                <w:iCs/>
                <w:color w:val="000000" w:themeColor="text1"/>
                <w:sz w:val="24"/>
                <w:szCs w:val="24"/>
              </w:rPr>
              <w:t>Moderate to High</w:t>
            </w:r>
            <w:r w:rsidRPr="00306115">
              <w:rPr>
                <w:rFonts w:ascii="Bookman Old Style" w:hAnsi="Bookman Old Style"/>
                <w:color w:val="000000" w:themeColor="text1"/>
                <w:sz w:val="24"/>
                <w:szCs w:val="24"/>
              </w:rPr>
              <w:t xml:space="preserve"> (4) adalah Manajer Investasi yang memiliki:</w:t>
            </w:r>
          </w:p>
          <w:p w14:paraId="4C2FF2D2" w14:textId="77777777" w:rsidR="006B63E1" w:rsidRPr="00306115" w:rsidRDefault="006B63E1">
            <w:pPr>
              <w:pStyle w:val="NormalWeb"/>
              <w:numPr>
                <w:ilvl w:val="0"/>
                <w:numId w:val="405"/>
              </w:numPr>
              <w:spacing w:before="0" w:beforeAutospacing="0" w:after="0" w:afterAutospacing="0"/>
              <w:ind w:left="709" w:right="142" w:hanging="567"/>
              <w:jc w:val="both"/>
              <w:rPr>
                <w:rFonts w:ascii="Bookman Old Style" w:eastAsia="Cambria" w:hAnsi="Bookman Old Style" w:cs="Cambria"/>
                <w:color w:val="000000" w:themeColor="text1"/>
                <w:lang w:val="id"/>
              </w:rPr>
            </w:pPr>
            <w:r w:rsidRPr="00306115">
              <w:rPr>
                <w:rFonts w:ascii="Bookman Old Style" w:eastAsia="Cambria" w:hAnsi="Bookman Old Style" w:cs="Cambria"/>
                <w:color w:val="000000" w:themeColor="text1"/>
                <w:lang w:val="id"/>
              </w:rPr>
              <w:t>persentase capaian realisasi strategi pengembangan bisnis ≥20% s.d. &lt;40% terhadap Rencana Bisnis Manajer Investasi;</w:t>
            </w:r>
          </w:p>
          <w:p w14:paraId="66832E90" w14:textId="77777777" w:rsidR="006B63E1" w:rsidRPr="00306115" w:rsidRDefault="006B63E1">
            <w:pPr>
              <w:pStyle w:val="NormalWeb"/>
              <w:numPr>
                <w:ilvl w:val="0"/>
                <w:numId w:val="405"/>
              </w:numPr>
              <w:spacing w:before="0" w:beforeAutospacing="0" w:after="0" w:afterAutospacing="0"/>
              <w:ind w:left="709" w:right="142" w:hanging="567"/>
              <w:jc w:val="both"/>
              <w:rPr>
                <w:rFonts w:ascii="Bookman Old Style" w:eastAsia="Cambria" w:hAnsi="Bookman Old Style" w:cs="Cambria"/>
                <w:color w:val="000000" w:themeColor="text1"/>
                <w:lang w:val="id"/>
              </w:rPr>
            </w:pPr>
            <w:r w:rsidRPr="00306115">
              <w:rPr>
                <w:rFonts w:ascii="Bookman Old Style" w:eastAsia="Cambria" w:hAnsi="Bookman Old Style" w:cs="Cambria"/>
                <w:color w:val="000000" w:themeColor="text1"/>
                <w:lang w:val="id"/>
              </w:rPr>
              <w:lastRenderedPageBreak/>
              <w:t>persentase realisasi proyeksi keuangan dalam Rencana Bisnis ≥20% s.d. &lt;40%; dan</w:t>
            </w:r>
          </w:p>
          <w:p w14:paraId="519E4711" w14:textId="77777777" w:rsidR="006B63E1" w:rsidRPr="00306115" w:rsidRDefault="006B63E1">
            <w:pPr>
              <w:pStyle w:val="NormalWeb"/>
              <w:numPr>
                <w:ilvl w:val="0"/>
                <w:numId w:val="405"/>
              </w:numPr>
              <w:spacing w:before="0" w:beforeAutospacing="0" w:after="0" w:afterAutospacing="0"/>
              <w:ind w:left="709" w:right="142" w:hanging="567"/>
              <w:jc w:val="both"/>
              <w:rPr>
                <w:rFonts w:ascii="Bookman Old Style" w:eastAsia="Cambria" w:hAnsi="Bookman Old Style" w:cs="Cambria"/>
                <w:color w:val="000000" w:themeColor="text1"/>
                <w:lang w:val="id"/>
              </w:rPr>
            </w:pPr>
            <w:r w:rsidRPr="00306115">
              <w:rPr>
                <w:rFonts w:ascii="Bookman Old Style" w:eastAsia="Cambria" w:hAnsi="Bookman Old Style" w:cs="Cambria"/>
                <w:color w:val="000000" w:themeColor="text1"/>
                <w:lang w:val="id"/>
              </w:rPr>
              <w:t>persentase realisasi Rencana Aksi Keuangan Berkelanjutan ≥20% s.d. &lt;40%.</w:t>
            </w:r>
          </w:p>
          <w:p w14:paraId="23F57B8C" w14:textId="2E5AF1DD" w:rsidR="006B63E1" w:rsidRPr="00306115" w:rsidRDefault="006B63E1" w:rsidP="00B0583D">
            <w:pPr>
              <w:pStyle w:val="NormalWeb"/>
              <w:spacing w:before="0" w:beforeAutospacing="0" w:after="0" w:afterAutospacing="0"/>
              <w:ind w:left="142" w:right="142"/>
              <w:jc w:val="both"/>
              <w:rPr>
                <w:rFonts w:ascii="Bookman Old Style" w:eastAsia="Cambria" w:hAnsi="Bookman Old Style" w:cs="Cambria"/>
                <w:color w:val="000000" w:themeColor="text1"/>
                <w:lang w:val="id"/>
              </w:rPr>
            </w:pPr>
            <w:r w:rsidRPr="00306115">
              <w:rPr>
                <w:rFonts w:ascii="Bookman Old Style" w:eastAsia="Cambria" w:hAnsi="Bookman Old Style" w:cs="Cambria"/>
                <w:color w:val="000000" w:themeColor="text1"/>
                <w:lang w:val="id"/>
              </w:rPr>
              <w:t>Penetapan peringkat Risiko Strategis dilakukan berdasarkan hasil penilaian seluruh parameter atau indikator dengan menggunakan analisis yang komprehensif dan terstruktur.</w:t>
            </w:r>
          </w:p>
        </w:tc>
      </w:tr>
      <w:tr w:rsidR="006B63E1" w:rsidRPr="00306115" w14:paraId="183CA8CD" w14:textId="77777777" w:rsidTr="006B63E1">
        <w:trPr>
          <w:trHeight w:val="346"/>
        </w:trPr>
        <w:tc>
          <w:tcPr>
            <w:tcW w:w="2127" w:type="dxa"/>
          </w:tcPr>
          <w:p w14:paraId="34238D7E" w14:textId="77777777" w:rsidR="006B63E1" w:rsidRPr="00306115" w:rsidRDefault="006B63E1" w:rsidP="006B63E1">
            <w:pPr>
              <w:pStyle w:val="TableParagraph"/>
              <w:spacing w:before="60" w:after="60"/>
              <w:ind w:left="142" w:right="142"/>
              <w:jc w:val="center"/>
              <w:rPr>
                <w:rFonts w:ascii="Bookman Old Style" w:hAnsi="Bookman Old Style"/>
                <w:i/>
                <w:color w:val="000000" w:themeColor="text1"/>
                <w:sz w:val="24"/>
                <w:szCs w:val="24"/>
              </w:rPr>
            </w:pPr>
            <w:r w:rsidRPr="00306115">
              <w:rPr>
                <w:rFonts w:ascii="Bookman Old Style" w:hAnsi="Bookman Old Style"/>
                <w:i/>
                <w:color w:val="000000" w:themeColor="text1"/>
                <w:sz w:val="24"/>
                <w:szCs w:val="24"/>
              </w:rPr>
              <w:lastRenderedPageBreak/>
              <w:t>High</w:t>
            </w:r>
            <w:r w:rsidRPr="00306115">
              <w:rPr>
                <w:rFonts w:ascii="Bookman Old Style" w:hAnsi="Bookman Old Style"/>
                <w:iCs/>
                <w:color w:val="000000" w:themeColor="text1"/>
                <w:sz w:val="24"/>
                <w:szCs w:val="24"/>
              </w:rPr>
              <w:t xml:space="preserve"> (5)</w:t>
            </w:r>
          </w:p>
        </w:tc>
        <w:tc>
          <w:tcPr>
            <w:tcW w:w="5811" w:type="dxa"/>
          </w:tcPr>
          <w:p w14:paraId="52F7DB83" w14:textId="77777777" w:rsidR="006B63E1" w:rsidRPr="00306115" w:rsidRDefault="006B63E1" w:rsidP="006B63E1">
            <w:pPr>
              <w:pStyle w:val="ListParagraph"/>
              <w:spacing w:after="0" w:line="240" w:lineRule="auto"/>
              <w:ind w:left="142" w:right="142"/>
              <w:contextualSpacing w:val="0"/>
              <w:rPr>
                <w:strike/>
                <w:color w:val="000000" w:themeColor="text1"/>
                <w:szCs w:val="24"/>
              </w:rPr>
            </w:pPr>
            <w:r w:rsidRPr="00306115">
              <w:rPr>
                <w:color w:val="000000" w:themeColor="text1"/>
                <w:szCs w:val="24"/>
              </w:rPr>
              <w:t xml:space="preserve">Dengan mempertimbangkan aktivitas kegiatan usaha yang dilakukan Manajer Investasi </w:t>
            </w:r>
            <w:r w:rsidRPr="00306115">
              <w:rPr>
                <w:color w:val="000000" w:themeColor="text1"/>
                <w:szCs w:val="24"/>
                <w:lang w:val="en-US"/>
              </w:rPr>
              <w:t>beserta Produk Investasi yang dikelola</w:t>
            </w:r>
            <w:r w:rsidRPr="00306115">
              <w:rPr>
                <w:color w:val="000000" w:themeColor="text1"/>
                <w:szCs w:val="24"/>
              </w:rPr>
              <w:t>, kemungkinan timbulnya dampak paparan dari Risiko Strategis tergolong sangat tinggi selama periode waktu tertentu pada masa datang.</w:t>
            </w:r>
          </w:p>
          <w:p w14:paraId="66C0680B" w14:textId="1939BD9C" w:rsidR="006B63E1" w:rsidRPr="00306115" w:rsidRDefault="006B63E1" w:rsidP="00973EA8">
            <w:pPr>
              <w:pStyle w:val="TableParagraph"/>
              <w:ind w:left="142" w:right="142"/>
              <w:jc w:val="both"/>
              <w:rPr>
                <w:rFonts w:ascii="Bookman Old Style" w:hAnsi="Bookman Old Style"/>
                <w:color w:val="000000" w:themeColor="text1"/>
                <w:sz w:val="24"/>
                <w:szCs w:val="24"/>
              </w:rPr>
            </w:pPr>
            <w:r w:rsidRPr="00306115">
              <w:rPr>
                <w:rFonts w:ascii="Bookman Old Style" w:hAnsi="Bookman Old Style"/>
                <w:color w:val="000000" w:themeColor="text1"/>
                <w:sz w:val="24"/>
                <w:szCs w:val="24"/>
              </w:rPr>
              <w:t xml:space="preserve">Contoh karakteristik Manajer Investasi yang termasuk dalam peringkat </w:t>
            </w:r>
            <w:r w:rsidRPr="00306115">
              <w:rPr>
                <w:rFonts w:ascii="Bookman Old Style" w:hAnsi="Bookman Old Style"/>
                <w:i/>
                <w:iCs/>
                <w:color w:val="000000" w:themeColor="text1"/>
                <w:sz w:val="24"/>
                <w:szCs w:val="24"/>
              </w:rPr>
              <w:t>High</w:t>
            </w:r>
            <w:r w:rsidRPr="00306115">
              <w:rPr>
                <w:rFonts w:ascii="Bookman Old Style" w:hAnsi="Bookman Old Style"/>
                <w:color w:val="000000" w:themeColor="text1"/>
                <w:sz w:val="24"/>
                <w:szCs w:val="24"/>
              </w:rPr>
              <w:t xml:space="preserve"> (5) adalah Manajer Investasi yang memiliki:</w:t>
            </w:r>
          </w:p>
          <w:p w14:paraId="7E645CE3" w14:textId="77777777" w:rsidR="006B63E1" w:rsidRPr="00306115" w:rsidRDefault="006B63E1">
            <w:pPr>
              <w:pStyle w:val="NormalWeb"/>
              <w:numPr>
                <w:ilvl w:val="0"/>
                <w:numId w:val="406"/>
              </w:numPr>
              <w:spacing w:before="0" w:beforeAutospacing="0" w:after="0" w:afterAutospacing="0"/>
              <w:ind w:left="709" w:right="142" w:hanging="567"/>
              <w:jc w:val="both"/>
              <w:rPr>
                <w:rFonts w:ascii="Bookman Old Style" w:eastAsia="Cambria" w:hAnsi="Bookman Old Style" w:cs="Cambria"/>
                <w:color w:val="000000" w:themeColor="text1"/>
                <w:lang w:val="id"/>
              </w:rPr>
            </w:pPr>
            <w:r w:rsidRPr="00306115">
              <w:rPr>
                <w:rFonts w:ascii="Bookman Old Style" w:eastAsia="Cambria" w:hAnsi="Bookman Old Style" w:cs="Cambria"/>
                <w:color w:val="000000" w:themeColor="text1"/>
                <w:lang w:val="id"/>
              </w:rPr>
              <w:t>persentase capaian realisasi strategi pengembangan bisnis &lt;20% terhadap Rencana Bisnis Manajer Investasi;</w:t>
            </w:r>
          </w:p>
          <w:p w14:paraId="6B4C6A12" w14:textId="77777777" w:rsidR="006B63E1" w:rsidRPr="00306115" w:rsidRDefault="006B63E1">
            <w:pPr>
              <w:pStyle w:val="NormalWeb"/>
              <w:numPr>
                <w:ilvl w:val="0"/>
                <w:numId w:val="406"/>
              </w:numPr>
              <w:spacing w:before="0" w:beforeAutospacing="0" w:after="0" w:afterAutospacing="0"/>
              <w:ind w:left="709" w:right="142" w:hanging="567"/>
              <w:jc w:val="both"/>
              <w:rPr>
                <w:rFonts w:ascii="Bookman Old Style" w:eastAsia="Cambria" w:hAnsi="Bookman Old Style" w:cs="Cambria"/>
                <w:color w:val="000000" w:themeColor="text1"/>
                <w:lang w:val="id"/>
              </w:rPr>
            </w:pPr>
            <w:r w:rsidRPr="00306115">
              <w:rPr>
                <w:rFonts w:ascii="Bookman Old Style" w:eastAsia="Cambria" w:hAnsi="Bookman Old Style" w:cs="Cambria"/>
                <w:color w:val="000000" w:themeColor="text1"/>
                <w:lang w:val="id"/>
              </w:rPr>
              <w:t>persentase realisasi proyeksi keuangan dalam Rencana Bisnis &lt;20%; dan</w:t>
            </w:r>
          </w:p>
          <w:p w14:paraId="6D8E2D3F" w14:textId="77777777" w:rsidR="006B63E1" w:rsidRPr="00306115" w:rsidRDefault="006B63E1">
            <w:pPr>
              <w:pStyle w:val="NormalWeb"/>
              <w:numPr>
                <w:ilvl w:val="0"/>
                <w:numId w:val="406"/>
              </w:numPr>
              <w:spacing w:before="0" w:beforeAutospacing="0" w:after="0" w:afterAutospacing="0"/>
              <w:ind w:left="709" w:right="142" w:hanging="567"/>
              <w:jc w:val="both"/>
              <w:rPr>
                <w:rFonts w:ascii="Bookman Old Style" w:eastAsia="Cambria" w:hAnsi="Bookman Old Style" w:cs="Cambria"/>
                <w:color w:val="000000" w:themeColor="text1"/>
                <w:lang w:val="id"/>
              </w:rPr>
            </w:pPr>
            <w:r w:rsidRPr="00306115">
              <w:rPr>
                <w:rFonts w:ascii="Bookman Old Style" w:eastAsia="Cambria" w:hAnsi="Bookman Old Style" w:cs="Cambria"/>
                <w:color w:val="000000" w:themeColor="text1"/>
                <w:lang w:val="id"/>
              </w:rPr>
              <w:t>persentase realisasi Rencana Aksi Keuangan Berkelanjutan &lt;20%.</w:t>
            </w:r>
          </w:p>
          <w:p w14:paraId="53AFBEEF" w14:textId="23DEC859" w:rsidR="006B63E1" w:rsidRPr="00306115" w:rsidRDefault="006B63E1" w:rsidP="00973EA8">
            <w:pPr>
              <w:pStyle w:val="NormalWeb"/>
              <w:spacing w:before="0" w:beforeAutospacing="0" w:after="0" w:afterAutospacing="0"/>
              <w:ind w:left="142" w:right="142"/>
              <w:jc w:val="both"/>
              <w:rPr>
                <w:rFonts w:ascii="Bookman Old Style" w:eastAsia="Cambria" w:hAnsi="Bookman Old Style" w:cs="Cambria"/>
                <w:color w:val="000000" w:themeColor="text1"/>
                <w:lang w:val="id"/>
              </w:rPr>
            </w:pPr>
            <w:r w:rsidRPr="00306115">
              <w:rPr>
                <w:rFonts w:ascii="Bookman Old Style" w:eastAsia="Cambria" w:hAnsi="Bookman Old Style" w:cs="Cambria"/>
                <w:color w:val="000000" w:themeColor="text1"/>
                <w:lang w:val="id"/>
              </w:rPr>
              <w:t>Penetapan peringkat Risiko Strategis dilakukan berdasarkan hasil penilaian seluruh parameter atau indikator dengan menggunakan analisis yang komprehensif dan terstruktur.</w:t>
            </w:r>
          </w:p>
        </w:tc>
      </w:tr>
    </w:tbl>
    <w:p w14:paraId="36C43E85" w14:textId="77777777" w:rsidR="006B63E1" w:rsidRPr="00306115" w:rsidRDefault="006B63E1" w:rsidP="006B63E1">
      <w:pPr>
        <w:pStyle w:val="HeadingAwalDaftarIsiLampiran"/>
        <w:numPr>
          <w:ilvl w:val="0"/>
          <w:numId w:val="0"/>
        </w:numPr>
        <w:ind w:left="1134"/>
      </w:pPr>
    </w:p>
    <w:p w14:paraId="360AFFB3" w14:textId="77777777" w:rsidR="00451E35" w:rsidRPr="00306115" w:rsidRDefault="00451E35">
      <w:pPr>
        <w:pStyle w:val="HeadingAwalDaftarIsiLampiran"/>
        <w:numPr>
          <w:ilvl w:val="4"/>
          <w:numId w:val="295"/>
        </w:numPr>
        <w:ind w:left="1134" w:hanging="567"/>
      </w:pPr>
      <w:r w:rsidRPr="00306115">
        <w:t>Matriks Penetapan Kualitas Penerapan Manajemen Risiko</w:t>
      </w:r>
    </w:p>
    <w:tbl>
      <w:tblPr>
        <w:tblStyle w:val="TableGrid"/>
        <w:tblW w:w="0" w:type="auto"/>
        <w:tblInd w:w="1129" w:type="dxa"/>
        <w:tblLook w:val="04A0" w:firstRow="1" w:lastRow="0" w:firstColumn="1" w:lastColumn="0" w:noHBand="0" w:noVBand="1"/>
      </w:tblPr>
      <w:tblGrid>
        <w:gridCol w:w="2176"/>
        <w:gridCol w:w="5756"/>
      </w:tblGrid>
      <w:tr w:rsidR="002A00A1" w:rsidRPr="00306115" w14:paraId="0B71CCF1" w14:textId="77777777" w:rsidTr="00EF48BA">
        <w:trPr>
          <w:tblHeader/>
        </w:trPr>
        <w:tc>
          <w:tcPr>
            <w:tcW w:w="2127" w:type="dxa"/>
            <w:shd w:val="clear" w:color="auto" w:fill="D9D9D9"/>
            <w:vAlign w:val="center"/>
          </w:tcPr>
          <w:p w14:paraId="0DE905E0" w14:textId="77777777" w:rsidR="002A00A1" w:rsidRPr="00306115" w:rsidRDefault="002A00A1" w:rsidP="00EF48BA">
            <w:pPr>
              <w:spacing w:before="60" w:after="60"/>
              <w:ind w:left="142" w:right="142"/>
              <w:jc w:val="center"/>
              <w:rPr>
                <w:color w:val="000000" w:themeColor="text1"/>
                <w:szCs w:val="24"/>
              </w:rPr>
            </w:pPr>
            <w:r w:rsidRPr="00306115">
              <w:rPr>
                <w:color w:val="000000" w:themeColor="text1"/>
                <w:szCs w:val="24"/>
              </w:rPr>
              <w:t>Peringkat</w:t>
            </w:r>
          </w:p>
        </w:tc>
        <w:tc>
          <w:tcPr>
            <w:tcW w:w="5805" w:type="dxa"/>
            <w:shd w:val="clear" w:color="auto" w:fill="D9D9D9"/>
            <w:vAlign w:val="center"/>
          </w:tcPr>
          <w:p w14:paraId="3F9327FC" w14:textId="77777777" w:rsidR="002A00A1" w:rsidRPr="00306115" w:rsidRDefault="002A00A1" w:rsidP="00EF48BA">
            <w:pPr>
              <w:spacing w:before="60" w:after="60"/>
              <w:ind w:left="142" w:right="142"/>
              <w:jc w:val="center"/>
              <w:rPr>
                <w:color w:val="000000" w:themeColor="text1"/>
                <w:szCs w:val="24"/>
              </w:rPr>
            </w:pPr>
            <w:r w:rsidRPr="00306115">
              <w:rPr>
                <w:color w:val="000000" w:themeColor="text1"/>
                <w:szCs w:val="24"/>
              </w:rPr>
              <w:t>Definisi Peringkat</w:t>
            </w:r>
          </w:p>
        </w:tc>
      </w:tr>
      <w:tr w:rsidR="002A00A1" w:rsidRPr="00306115" w14:paraId="6DEA58CF" w14:textId="77777777" w:rsidTr="00EF48BA">
        <w:tc>
          <w:tcPr>
            <w:tcW w:w="2127" w:type="dxa"/>
          </w:tcPr>
          <w:p w14:paraId="27CFEFCD" w14:textId="77777777" w:rsidR="002A00A1" w:rsidRPr="00306115" w:rsidRDefault="002A00A1" w:rsidP="00EF48BA">
            <w:pPr>
              <w:pStyle w:val="BodyText"/>
              <w:numPr>
                <w:ilvl w:val="0"/>
                <w:numId w:val="0"/>
              </w:numPr>
              <w:spacing w:before="60" w:after="60"/>
              <w:ind w:left="142" w:right="142"/>
              <w:jc w:val="center"/>
              <w:rPr>
                <w:color w:val="000000" w:themeColor="text1"/>
              </w:rPr>
            </w:pPr>
            <w:r w:rsidRPr="00306115">
              <w:rPr>
                <w:i/>
                <w:iCs/>
                <w:color w:val="000000" w:themeColor="text1"/>
              </w:rPr>
              <w:t>Strong</w:t>
            </w:r>
            <w:r w:rsidRPr="00306115">
              <w:rPr>
                <w:color w:val="000000" w:themeColor="text1"/>
              </w:rPr>
              <w:t xml:space="preserve"> (1)</w:t>
            </w:r>
          </w:p>
        </w:tc>
        <w:tc>
          <w:tcPr>
            <w:tcW w:w="5805" w:type="dxa"/>
          </w:tcPr>
          <w:p w14:paraId="6F2F526D" w14:textId="77777777" w:rsidR="002A00A1" w:rsidRPr="00306115" w:rsidRDefault="002A00A1" w:rsidP="00EF48BA">
            <w:pPr>
              <w:ind w:left="142" w:right="142"/>
              <w:rPr>
                <w:color w:val="000000" w:themeColor="text1"/>
                <w:szCs w:val="24"/>
              </w:rPr>
            </w:pPr>
            <w:r w:rsidRPr="00306115">
              <w:rPr>
                <w:color w:val="000000" w:themeColor="text1"/>
                <w:szCs w:val="24"/>
              </w:rPr>
              <w:t>Kualitas penerapan Manajemen Risiko untuk Risiko Strategis sangat memadai. Meskipun terdapat kelemahan minor, tetapi kelemahan tersebut tidak signifikan sehingga dapat diabaikan.</w:t>
            </w:r>
          </w:p>
          <w:p w14:paraId="057A2054" w14:textId="62284517" w:rsidR="002A00A1" w:rsidRPr="00306115" w:rsidRDefault="002A00A1" w:rsidP="00EF48BA">
            <w:pPr>
              <w:ind w:left="142" w:right="142"/>
              <w:rPr>
                <w:color w:val="000000" w:themeColor="text1"/>
                <w:szCs w:val="24"/>
              </w:rPr>
            </w:pPr>
            <w:r w:rsidRPr="00306115">
              <w:rPr>
                <w:color w:val="000000" w:themeColor="text1"/>
                <w:szCs w:val="24"/>
              </w:rPr>
              <w:t xml:space="preserve">Contoh </w:t>
            </w:r>
            <w:r w:rsidR="00764ECF" w:rsidRPr="00306115">
              <w:rPr>
                <w:color w:val="000000" w:themeColor="text1"/>
                <w:szCs w:val="24"/>
              </w:rPr>
              <w:t>karakteristik/kondisi</w:t>
            </w:r>
            <w:r w:rsidRPr="00306115">
              <w:rPr>
                <w:color w:val="000000" w:themeColor="text1"/>
                <w:szCs w:val="24"/>
              </w:rPr>
              <w:t xml:space="preserve"> Manajer Investasi yang termasuk dalam peringkat </w:t>
            </w:r>
            <w:r w:rsidRPr="00306115">
              <w:rPr>
                <w:i/>
                <w:color w:val="000000" w:themeColor="text1"/>
                <w:szCs w:val="24"/>
              </w:rPr>
              <w:t xml:space="preserve">Strong </w:t>
            </w:r>
            <w:r w:rsidRPr="00306115">
              <w:rPr>
                <w:color w:val="000000" w:themeColor="text1"/>
                <w:szCs w:val="24"/>
              </w:rPr>
              <w:t>(1) antara lain sebagai berikut:</w:t>
            </w:r>
          </w:p>
          <w:p w14:paraId="3936EC64" w14:textId="77777777" w:rsidR="002A00A1" w:rsidRPr="00306115" w:rsidRDefault="002A00A1">
            <w:pPr>
              <w:pStyle w:val="ListParagraph"/>
              <w:numPr>
                <w:ilvl w:val="0"/>
                <w:numId w:val="407"/>
              </w:numPr>
              <w:ind w:left="709" w:right="142" w:hanging="567"/>
              <w:contextualSpacing w:val="0"/>
              <w:rPr>
                <w:color w:val="000000" w:themeColor="text1"/>
                <w:szCs w:val="24"/>
              </w:rPr>
            </w:pPr>
            <w:r w:rsidRPr="00306115">
              <w:rPr>
                <w:color w:val="000000" w:themeColor="text1"/>
                <w:szCs w:val="24"/>
              </w:rPr>
              <w:t>Perumusan tingkat risiko yang akan diambil (</w:t>
            </w:r>
            <w:r w:rsidRPr="00306115">
              <w:rPr>
                <w:i/>
                <w:iCs/>
                <w:color w:val="000000" w:themeColor="text1"/>
                <w:szCs w:val="24"/>
              </w:rPr>
              <w:t>risk appetite</w:t>
            </w:r>
            <w:r w:rsidRPr="00306115">
              <w:rPr>
                <w:color w:val="000000" w:themeColor="text1"/>
                <w:szCs w:val="24"/>
              </w:rPr>
              <w:t>) dan toleransi (</w:t>
            </w:r>
            <w:r w:rsidRPr="00306115">
              <w:rPr>
                <w:i/>
                <w:iCs/>
                <w:color w:val="000000" w:themeColor="text1"/>
                <w:szCs w:val="24"/>
              </w:rPr>
              <w:t>risk tolerance</w:t>
            </w:r>
            <w:r w:rsidRPr="00306115">
              <w:rPr>
                <w:color w:val="000000" w:themeColor="text1"/>
                <w:szCs w:val="24"/>
              </w:rPr>
              <w:t>) Risiko Strategis sangat memadai dan telah sejalan dengan strategi dan tujuan bisnis secara keseluruhan.</w:t>
            </w:r>
          </w:p>
          <w:p w14:paraId="0B1782CF" w14:textId="77777777" w:rsidR="002A00A1" w:rsidRPr="00306115" w:rsidRDefault="002A00A1">
            <w:pPr>
              <w:pStyle w:val="ListParagraph"/>
              <w:numPr>
                <w:ilvl w:val="0"/>
                <w:numId w:val="407"/>
              </w:numPr>
              <w:ind w:left="709" w:right="142" w:hanging="567"/>
              <w:contextualSpacing w:val="0"/>
              <w:rPr>
                <w:color w:val="000000" w:themeColor="text1"/>
                <w:szCs w:val="24"/>
              </w:rPr>
            </w:pPr>
            <w:r w:rsidRPr="00306115">
              <w:rPr>
                <w:color w:val="000000" w:themeColor="text1"/>
                <w:szCs w:val="24"/>
              </w:rPr>
              <w:t>Kesadaran (</w:t>
            </w:r>
            <w:r w:rsidRPr="00306115">
              <w:rPr>
                <w:i/>
                <w:color w:val="000000" w:themeColor="text1"/>
                <w:szCs w:val="24"/>
              </w:rPr>
              <w:t>awareness</w:t>
            </w:r>
            <w:r w:rsidRPr="00306115">
              <w:rPr>
                <w:color w:val="000000" w:themeColor="text1"/>
                <w:szCs w:val="24"/>
              </w:rPr>
              <w:t xml:space="preserve">) dan pemahaman Direksi dan Dewan Komisaris sangat tinggi atau sangat memadai mengenai pelaksanaan Manajemen Risiko, terutama terkait </w:t>
            </w:r>
            <w:r w:rsidRPr="00306115">
              <w:rPr>
                <w:color w:val="000000" w:themeColor="text1"/>
                <w:szCs w:val="24"/>
              </w:rPr>
              <w:lastRenderedPageBreak/>
              <w:t>jenis dan tingkat risiko untuk untuk Risiko Strategis.</w:t>
            </w:r>
          </w:p>
          <w:p w14:paraId="200207CF" w14:textId="77777777" w:rsidR="002A00A1" w:rsidRPr="00306115" w:rsidRDefault="002A00A1">
            <w:pPr>
              <w:pStyle w:val="ListParagraph"/>
              <w:numPr>
                <w:ilvl w:val="0"/>
                <w:numId w:val="407"/>
              </w:numPr>
              <w:ind w:left="709" w:right="142" w:hanging="567"/>
              <w:contextualSpacing w:val="0"/>
              <w:rPr>
                <w:color w:val="000000" w:themeColor="text1"/>
                <w:szCs w:val="24"/>
              </w:rPr>
            </w:pPr>
            <w:r w:rsidRPr="00306115">
              <w:rPr>
                <w:color w:val="000000" w:themeColor="text1"/>
                <w:szCs w:val="24"/>
              </w:rPr>
              <w:t xml:space="preserve">Budaya Manajemen Risiko untuk Risiko Strategis sangat kuat dan telah diinternalisasikan dengan sangat baik pada seluruh level organisasi. </w:t>
            </w:r>
          </w:p>
          <w:p w14:paraId="08F2440E" w14:textId="77777777" w:rsidR="002A00A1" w:rsidRPr="00306115" w:rsidRDefault="002A00A1">
            <w:pPr>
              <w:pStyle w:val="ListParagraph"/>
              <w:numPr>
                <w:ilvl w:val="0"/>
                <w:numId w:val="407"/>
              </w:numPr>
              <w:ind w:left="709" w:right="142" w:hanging="567"/>
              <w:contextualSpacing w:val="0"/>
              <w:rPr>
                <w:color w:val="000000" w:themeColor="text1"/>
                <w:szCs w:val="24"/>
              </w:rPr>
            </w:pPr>
            <w:r w:rsidRPr="00306115">
              <w:rPr>
                <w:color w:val="000000" w:themeColor="text1"/>
                <w:szCs w:val="24"/>
              </w:rPr>
              <w:t>Pelaksanaan tugas Direksi dan Dewan Komisaris secara keseluruhan sangat memadai.</w:t>
            </w:r>
          </w:p>
          <w:p w14:paraId="512974DF" w14:textId="77777777" w:rsidR="002A00A1" w:rsidRPr="00306115" w:rsidRDefault="002A00A1">
            <w:pPr>
              <w:pStyle w:val="ListParagraph"/>
              <w:numPr>
                <w:ilvl w:val="0"/>
                <w:numId w:val="407"/>
              </w:numPr>
              <w:ind w:left="709" w:right="142" w:hanging="567"/>
              <w:contextualSpacing w:val="0"/>
              <w:rPr>
                <w:color w:val="000000" w:themeColor="text1"/>
                <w:szCs w:val="24"/>
              </w:rPr>
            </w:pPr>
            <w:r w:rsidRPr="00306115">
              <w:rPr>
                <w:color w:val="000000" w:themeColor="text1"/>
                <w:szCs w:val="24"/>
              </w:rPr>
              <w:t xml:space="preserve">Fungsi Manajemen Risiko untuk Risiko Strategis independen, memiliki tugas dan tanggung jawab yang jelas, dan telah berjalan dengan sangat baik. </w:t>
            </w:r>
          </w:p>
          <w:p w14:paraId="3E757A29" w14:textId="77777777" w:rsidR="002A00A1" w:rsidRPr="00306115" w:rsidRDefault="002A00A1">
            <w:pPr>
              <w:pStyle w:val="ListParagraph"/>
              <w:numPr>
                <w:ilvl w:val="0"/>
                <w:numId w:val="407"/>
              </w:numPr>
              <w:ind w:left="709" w:right="142" w:hanging="567"/>
              <w:contextualSpacing w:val="0"/>
              <w:rPr>
                <w:color w:val="000000" w:themeColor="text1"/>
                <w:szCs w:val="24"/>
              </w:rPr>
            </w:pPr>
            <w:r w:rsidRPr="00306115">
              <w:rPr>
                <w:color w:val="000000" w:themeColor="text1"/>
                <w:szCs w:val="24"/>
              </w:rPr>
              <w:t>Kerangka pedelegasian wewenang sangat memadai.</w:t>
            </w:r>
          </w:p>
          <w:p w14:paraId="3BDC46FE" w14:textId="77777777" w:rsidR="002A00A1" w:rsidRPr="00306115" w:rsidRDefault="002A00A1">
            <w:pPr>
              <w:pStyle w:val="ListParagraph"/>
              <w:numPr>
                <w:ilvl w:val="0"/>
                <w:numId w:val="407"/>
              </w:numPr>
              <w:ind w:left="709" w:right="142" w:hanging="567"/>
              <w:contextualSpacing w:val="0"/>
              <w:rPr>
                <w:color w:val="000000" w:themeColor="text1"/>
                <w:szCs w:val="24"/>
              </w:rPr>
            </w:pPr>
            <w:r w:rsidRPr="00306115">
              <w:rPr>
                <w:color w:val="000000" w:themeColor="text1"/>
                <w:szCs w:val="24"/>
              </w:rPr>
              <w:t xml:space="preserve">Strategi Manajemen Risiko untuk Risiko Strategis sangat memadai dan sangat sejalan dengan tingkat risiko yang akan diambil dan toleransi risiko. </w:t>
            </w:r>
          </w:p>
          <w:p w14:paraId="0C9C5EC9" w14:textId="77777777" w:rsidR="002A00A1" w:rsidRPr="00306115" w:rsidRDefault="002A00A1">
            <w:pPr>
              <w:pStyle w:val="ListParagraph"/>
              <w:numPr>
                <w:ilvl w:val="0"/>
                <w:numId w:val="407"/>
              </w:numPr>
              <w:ind w:left="709" w:right="142" w:hanging="567"/>
              <w:contextualSpacing w:val="0"/>
              <w:rPr>
                <w:color w:val="000000" w:themeColor="text1"/>
                <w:szCs w:val="24"/>
              </w:rPr>
            </w:pPr>
            <w:r w:rsidRPr="00306115">
              <w:rPr>
                <w:color w:val="000000" w:themeColor="text1"/>
                <w:szCs w:val="24"/>
              </w:rPr>
              <w:t>Kebijakan dan prosedur Manajemen Risiko serta penetapan limit Risiko Strategis sangat memadai, diterapkan dengan sangat baik, dan dipahami dengan sangat baik oleh pegawai.</w:t>
            </w:r>
          </w:p>
          <w:p w14:paraId="65ECF6B2" w14:textId="77777777" w:rsidR="002A00A1" w:rsidRPr="00306115" w:rsidRDefault="002A00A1">
            <w:pPr>
              <w:pStyle w:val="ListParagraph"/>
              <w:numPr>
                <w:ilvl w:val="0"/>
                <w:numId w:val="407"/>
              </w:numPr>
              <w:ind w:left="709" w:right="142" w:hanging="567"/>
              <w:contextualSpacing w:val="0"/>
              <w:rPr>
                <w:color w:val="000000" w:themeColor="text1"/>
                <w:szCs w:val="24"/>
              </w:rPr>
            </w:pPr>
            <w:r w:rsidRPr="00306115">
              <w:rPr>
                <w:color w:val="000000" w:themeColor="text1"/>
                <w:szCs w:val="24"/>
              </w:rPr>
              <w:t>Proses Manajemen Risiko untuk Risiko Strategis sangat memadai dalam mengidentifikasi, mengukur, memantau, dan mengendalikan Risiko Strategis.</w:t>
            </w:r>
          </w:p>
          <w:p w14:paraId="4EC0F4E9" w14:textId="77777777" w:rsidR="002A00A1" w:rsidRPr="00306115" w:rsidRDefault="002A00A1">
            <w:pPr>
              <w:pStyle w:val="ListParagraph"/>
              <w:numPr>
                <w:ilvl w:val="0"/>
                <w:numId w:val="407"/>
              </w:numPr>
              <w:ind w:left="709" w:right="142" w:hanging="567"/>
              <w:contextualSpacing w:val="0"/>
              <w:rPr>
                <w:color w:val="000000" w:themeColor="text1"/>
                <w:szCs w:val="24"/>
              </w:rPr>
            </w:pPr>
            <w:r w:rsidRPr="00306115">
              <w:rPr>
                <w:color w:val="000000" w:themeColor="text1"/>
                <w:szCs w:val="24"/>
              </w:rPr>
              <w:t>Sistem Informasi Manajemen Risiko untuk Risiko Strategis sangat baik dalam menghasilkan informasi dan laporan Risiko Strategis yang komprehensif.</w:t>
            </w:r>
          </w:p>
          <w:p w14:paraId="5B807E36" w14:textId="77777777" w:rsidR="002A00A1" w:rsidRPr="00306115" w:rsidRDefault="002A00A1">
            <w:pPr>
              <w:pStyle w:val="ListParagraph"/>
              <w:numPr>
                <w:ilvl w:val="0"/>
                <w:numId w:val="407"/>
              </w:numPr>
              <w:ind w:left="709" w:right="142" w:hanging="567"/>
              <w:contextualSpacing w:val="0"/>
              <w:rPr>
                <w:color w:val="000000" w:themeColor="text1"/>
                <w:szCs w:val="24"/>
              </w:rPr>
            </w:pPr>
            <w:r w:rsidRPr="00306115">
              <w:rPr>
                <w:color w:val="000000" w:themeColor="text1"/>
                <w:szCs w:val="24"/>
              </w:rPr>
              <w:t>Secara umum sumber daya manusia sangat memadai baik dari sisi kuantitas jumlah maupun kompetensi pada fungsi Manajemen Risiko untuk Risiko Strategis.</w:t>
            </w:r>
          </w:p>
          <w:p w14:paraId="6B76C936" w14:textId="77777777" w:rsidR="002A00A1" w:rsidRPr="00306115" w:rsidRDefault="002A00A1">
            <w:pPr>
              <w:pStyle w:val="ListParagraph"/>
              <w:numPr>
                <w:ilvl w:val="0"/>
                <w:numId w:val="407"/>
              </w:numPr>
              <w:ind w:left="709" w:right="142" w:hanging="567"/>
              <w:contextualSpacing w:val="0"/>
              <w:rPr>
                <w:color w:val="000000" w:themeColor="text1"/>
                <w:szCs w:val="24"/>
              </w:rPr>
            </w:pPr>
            <w:r w:rsidRPr="00306115">
              <w:rPr>
                <w:color w:val="000000" w:themeColor="text1"/>
                <w:szCs w:val="24"/>
              </w:rPr>
              <w:t>Sistem pengendalian internal sangat efektif dalam mendukung pelaksanaan Manajemen Risiko untuk Risiko Strategis.</w:t>
            </w:r>
          </w:p>
          <w:p w14:paraId="47121687" w14:textId="5796B7D0" w:rsidR="002A00A1" w:rsidRPr="00306115" w:rsidRDefault="002A00A1">
            <w:pPr>
              <w:pStyle w:val="ListParagraph"/>
              <w:numPr>
                <w:ilvl w:val="0"/>
                <w:numId w:val="407"/>
              </w:numPr>
              <w:ind w:left="709" w:right="142" w:hanging="567"/>
              <w:contextualSpacing w:val="0"/>
              <w:rPr>
                <w:color w:val="000000" w:themeColor="text1"/>
                <w:szCs w:val="24"/>
              </w:rPr>
            </w:pPr>
            <w:r w:rsidRPr="00306115">
              <w:rPr>
                <w:color w:val="000000" w:themeColor="text1"/>
                <w:szCs w:val="24"/>
              </w:rPr>
              <w:t xml:space="preserve">Pelaksanaan kaji ulang oleh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 xml:space="preserve">dan fungsi audit internal sangat memadai baik dari metodologi, frekuensi, maupun pelaporan kepada Direksi dan Dewan Komisaris. </w:t>
            </w:r>
          </w:p>
          <w:p w14:paraId="1BF700E7" w14:textId="77777777" w:rsidR="002A00A1" w:rsidRPr="00306115" w:rsidRDefault="002A00A1">
            <w:pPr>
              <w:pStyle w:val="ListParagraph"/>
              <w:numPr>
                <w:ilvl w:val="0"/>
                <w:numId w:val="407"/>
              </w:numPr>
              <w:ind w:left="709" w:right="142" w:hanging="567"/>
              <w:contextualSpacing w:val="0"/>
              <w:rPr>
                <w:color w:val="000000" w:themeColor="text1"/>
                <w:szCs w:val="24"/>
              </w:rPr>
            </w:pPr>
            <w:r w:rsidRPr="00306115">
              <w:rPr>
                <w:color w:val="000000" w:themeColor="text1"/>
                <w:szCs w:val="24"/>
              </w:rPr>
              <w:t>Tindak lanjut atas kaji ulang telah dilaksanakan dengan sangat memadai.</w:t>
            </w:r>
          </w:p>
        </w:tc>
      </w:tr>
      <w:tr w:rsidR="002A00A1" w:rsidRPr="00306115" w14:paraId="3536AA73" w14:textId="77777777" w:rsidTr="00EF48BA">
        <w:tc>
          <w:tcPr>
            <w:tcW w:w="2127" w:type="dxa"/>
          </w:tcPr>
          <w:p w14:paraId="525DF48F" w14:textId="77777777" w:rsidR="002A00A1" w:rsidRPr="00306115" w:rsidRDefault="002A00A1" w:rsidP="006720A1">
            <w:pPr>
              <w:pStyle w:val="BodyText"/>
              <w:numPr>
                <w:ilvl w:val="0"/>
                <w:numId w:val="0"/>
              </w:numPr>
              <w:spacing w:before="60" w:after="60"/>
              <w:ind w:left="142" w:right="142"/>
              <w:jc w:val="center"/>
              <w:rPr>
                <w:color w:val="000000" w:themeColor="text1"/>
              </w:rPr>
            </w:pPr>
            <w:r w:rsidRPr="00306115">
              <w:rPr>
                <w:i/>
                <w:iCs/>
                <w:color w:val="000000" w:themeColor="text1"/>
              </w:rPr>
              <w:lastRenderedPageBreak/>
              <w:t>Satisfactory</w:t>
            </w:r>
            <w:r w:rsidRPr="00306115">
              <w:rPr>
                <w:color w:val="000000" w:themeColor="text1"/>
              </w:rPr>
              <w:t xml:space="preserve"> (2)</w:t>
            </w:r>
          </w:p>
        </w:tc>
        <w:tc>
          <w:tcPr>
            <w:tcW w:w="5805" w:type="dxa"/>
          </w:tcPr>
          <w:p w14:paraId="797BF96C" w14:textId="77777777" w:rsidR="002A00A1" w:rsidRPr="00306115" w:rsidRDefault="002A00A1" w:rsidP="00EF48BA">
            <w:pPr>
              <w:ind w:left="142" w:right="142"/>
              <w:rPr>
                <w:color w:val="000000" w:themeColor="text1"/>
                <w:szCs w:val="24"/>
              </w:rPr>
            </w:pPr>
            <w:r w:rsidRPr="00306115">
              <w:rPr>
                <w:color w:val="000000" w:themeColor="text1"/>
                <w:szCs w:val="24"/>
              </w:rPr>
              <w:t xml:space="preserve">Kualitas penerapan Manajemen Risiko untuk Risiko Strategis memadai. Terdapat beberapa kelemahan minor, tetapi </w:t>
            </w:r>
            <w:r w:rsidRPr="00306115">
              <w:rPr>
                <w:color w:val="000000" w:themeColor="text1"/>
                <w:szCs w:val="24"/>
              </w:rPr>
              <w:lastRenderedPageBreak/>
              <w:t>kelemahan tersebut dapat diselesaikan pada aktivitas kegiatan usaha normal.</w:t>
            </w:r>
          </w:p>
          <w:p w14:paraId="241C9E85" w14:textId="25411D08" w:rsidR="002A00A1" w:rsidRPr="00306115" w:rsidRDefault="002A00A1" w:rsidP="00EF48BA">
            <w:pPr>
              <w:ind w:left="142" w:right="142"/>
              <w:rPr>
                <w:color w:val="000000" w:themeColor="text1"/>
                <w:szCs w:val="24"/>
              </w:rPr>
            </w:pPr>
            <w:r w:rsidRPr="00306115">
              <w:rPr>
                <w:color w:val="000000" w:themeColor="text1"/>
                <w:szCs w:val="24"/>
              </w:rPr>
              <w:t xml:space="preserve">Contoh </w:t>
            </w:r>
            <w:r w:rsidR="00764ECF" w:rsidRPr="00306115">
              <w:rPr>
                <w:color w:val="000000" w:themeColor="text1"/>
                <w:szCs w:val="24"/>
              </w:rPr>
              <w:t>karakteristik/kondisi</w:t>
            </w:r>
            <w:r w:rsidRPr="00306115">
              <w:rPr>
                <w:color w:val="000000" w:themeColor="text1"/>
                <w:szCs w:val="24"/>
              </w:rPr>
              <w:t xml:space="preserve"> Manajer Investasi yang termasuk dalam peringkat </w:t>
            </w:r>
            <w:r w:rsidRPr="00306115">
              <w:rPr>
                <w:i/>
                <w:color w:val="000000" w:themeColor="text1"/>
                <w:szCs w:val="24"/>
              </w:rPr>
              <w:t xml:space="preserve">Satisfactory </w:t>
            </w:r>
            <w:r w:rsidRPr="00306115">
              <w:rPr>
                <w:color w:val="000000" w:themeColor="text1"/>
                <w:szCs w:val="24"/>
              </w:rPr>
              <w:t>(2) antara lain sebagai berikut:</w:t>
            </w:r>
          </w:p>
          <w:p w14:paraId="78FA1893" w14:textId="77777777" w:rsidR="002A00A1" w:rsidRPr="00306115" w:rsidRDefault="002A00A1">
            <w:pPr>
              <w:pStyle w:val="ListParagraph"/>
              <w:numPr>
                <w:ilvl w:val="0"/>
                <w:numId w:val="408"/>
              </w:numPr>
              <w:ind w:left="709" w:right="142" w:hanging="567"/>
              <w:contextualSpacing w:val="0"/>
              <w:rPr>
                <w:color w:val="000000" w:themeColor="text1"/>
                <w:szCs w:val="24"/>
              </w:rPr>
            </w:pPr>
            <w:r w:rsidRPr="00306115">
              <w:rPr>
                <w:color w:val="000000" w:themeColor="text1"/>
                <w:szCs w:val="24"/>
              </w:rPr>
              <w:t xml:space="preserve">Perumusan tingkat risiko yang akan diambil </w:t>
            </w:r>
            <w:r w:rsidRPr="00306115">
              <w:rPr>
                <w:i/>
                <w:iCs/>
                <w:color w:val="000000" w:themeColor="text1"/>
                <w:szCs w:val="24"/>
              </w:rPr>
              <w:t>(risk appetite)</w:t>
            </w:r>
            <w:r w:rsidRPr="00306115">
              <w:rPr>
                <w:color w:val="000000" w:themeColor="text1"/>
                <w:szCs w:val="24"/>
              </w:rPr>
              <w:t xml:space="preserve"> dan toleransi risiko </w:t>
            </w:r>
            <w:r w:rsidRPr="00306115">
              <w:rPr>
                <w:i/>
                <w:iCs/>
                <w:color w:val="000000" w:themeColor="text1"/>
                <w:szCs w:val="24"/>
              </w:rPr>
              <w:t>(risk tolerance)</w:t>
            </w:r>
            <w:r w:rsidRPr="00306115">
              <w:rPr>
                <w:color w:val="000000" w:themeColor="text1"/>
                <w:szCs w:val="24"/>
              </w:rPr>
              <w:t xml:space="preserve"> Strategis memadai dan telah sejalan dengan strategi dan tujuan bisnis secara keseluruhan.</w:t>
            </w:r>
          </w:p>
          <w:p w14:paraId="2D8DAB73" w14:textId="77777777" w:rsidR="002A00A1" w:rsidRPr="00306115" w:rsidRDefault="002A00A1">
            <w:pPr>
              <w:pStyle w:val="ListParagraph"/>
              <w:numPr>
                <w:ilvl w:val="0"/>
                <w:numId w:val="408"/>
              </w:numPr>
              <w:ind w:left="709" w:right="142" w:hanging="567"/>
              <w:contextualSpacing w:val="0"/>
              <w:rPr>
                <w:strike/>
                <w:color w:val="000000" w:themeColor="text1"/>
                <w:szCs w:val="24"/>
              </w:rPr>
            </w:pPr>
            <w:r w:rsidRPr="00306115">
              <w:rPr>
                <w:color w:val="000000" w:themeColor="text1"/>
                <w:szCs w:val="24"/>
              </w:rPr>
              <w:t>Kesadaran (</w:t>
            </w:r>
            <w:r w:rsidRPr="00306115">
              <w:rPr>
                <w:i/>
                <w:color w:val="000000" w:themeColor="text1"/>
                <w:szCs w:val="24"/>
              </w:rPr>
              <w:t>awareness</w:t>
            </w:r>
            <w:r w:rsidRPr="00306115">
              <w:rPr>
                <w:color w:val="000000" w:themeColor="text1"/>
                <w:szCs w:val="24"/>
              </w:rPr>
              <w:t>) dan pemahaman Direksi dan Dewan Komisaris tinggi atau memadai mengenai pelaksanaan Manajemen Risiko, terutama terkait jenis dan tingkat risiko untuk untuk Risiko Strategis.</w:t>
            </w:r>
          </w:p>
          <w:p w14:paraId="2EF731EC" w14:textId="77777777" w:rsidR="002A00A1" w:rsidRPr="00306115" w:rsidRDefault="002A00A1">
            <w:pPr>
              <w:pStyle w:val="ListParagraph"/>
              <w:numPr>
                <w:ilvl w:val="0"/>
                <w:numId w:val="408"/>
              </w:numPr>
              <w:ind w:left="709" w:right="142" w:hanging="567"/>
              <w:contextualSpacing w:val="0"/>
              <w:rPr>
                <w:color w:val="000000" w:themeColor="text1"/>
                <w:szCs w:val="24"/>
              </w:rPr>
            </w:pPr>
            <w:r w:rsidRPr="00306115">
              <w:rPr>
                <w:color w:val="000000" w:themeColor="text1"/>
                <w:szCs w:val="24"/>
              </w:rPr>
              <w:t>Budaya Manajemen Risiko untuk Risiko Strategis kuat dan telah diinternalisasikan dengan baik pada seluruh level organisasi.</w:t>
            </w:r>
          </w:p>
          <w:p w14:paraId="5C42E7B9" w14:textId="77777777" w:rsidR="002A00A1" w:rsidRPr="00306115" w:rsidRDefault="002A00A1">
            <w:pPr>
              <w:pStyle w:val="ListParagraph"/>
              <w:numPr>
                <w:ilvl w:val="0"/>
                <w:numId w:val="408"/>
              </w:numPr>
              <w:ind w:left="709" w:right="142" w:hanging="567"/>
              <w:contextualSpacing w:val="0"/>
              <w:rPr>
                <w:color w:val="000000" w:themeColor="text1"/>
                <w:szCs w:val="24"/>
              </w:rPr>
            </w:pPr>
            <w:r w:rsidRPr="00306115">
              <w:rPr>
                <w:color w:val="000000" w:themeColor="text1"/>
                <w:szCs w:val="24"/>
              </w:rPr>
              <w:t>Pelaksanaan tugas Direksi dan Dewan Komisaris secara keseluruhan memadai. Terdapat beberapa kelemahan yang tidak signifikan dan dapat diperbaiki dengan segera.</w:t>
            </w:r>
          </w:p>
          <w:p w14:paraId="0DC09EDE" w14:textId="77777777" w:rsidR="002A00A1" w:rsidRPr="00306115" w:rsidRDefault="002A00A1">
            <w:pPr>
              <w:pStyle w:val="ListParagraph"/>
              <w:numPr>
                <w:ilvl w:val="0"/>
                <w:numId w:val="408"/>
              </w:numPr>
              <w:ind w:left="709" w:right="142" w:hanging="567"/>
              <w:contextualSpacing w:val="0"/>
              <w:rPr>
                <w:color w:val="000000" w:themeColor="text1"/>
                <w:szCs w:val="24"/>
              </w:rPr>
            </w:pPr>
            <w:r w:rsidRPr="00306115">
              <w:rPr>
                <w:color w:val="000000" w:themeColor="text1"/>
                <w:szCs w:val="24"/>
              </w:rPr>
              <w:t>Fungsi Manajemen Risiko untuk Risiko Strategis independen, memiliki tugas dan tanggung jawab yang jelas, dan telah berjalan dengan baik. Terdapat kelemahan minor yang dapat diselesaikan pada aktivitas kegiatan usaha normal.</w:t>
            </w:r>
          </w:p>
          <w:p w14:paraId="319B6B63" w14:textId="77777777" w:rsidR="002A00A1" w:rsidRPr="00306115" w:rsidRDefault="002A00A1">
            <w:pPr>
              <w:pStyle w:val="ListParagraph"/>
              <w:numPr>
                <w:ilvl w:val="0"/>
                <w:numId w:val="408"/>
              </w:numPr>
              <w:ind w:left="709" w:right="142" w:hanging="567"/>
              <w:contextualSpacing w:val="0"/>
              <w:rPr>
                <w:color w:val="000000" w:themeColor="text1"/>
                <w:szCs w:val="24"/>
              </w:rPr>
            </w:pPr>
            <w:r w:rsidRPr="00306115">
              <w:rPr>
                <w:color w:val="000000" w:themeColor="text1"/>
                <w:szCs w:val="24"/>
              </w:rPr>
              <w:t>Kerangka pedelegasian wewenang memadai.</w:t>
            </w:r>
          </w:p>
          <w:p w14:paraId="32738C68" w14:textId="77777777" w:rsidR="002A00A1" w:rsidRPr="00306115" w:rsidRDefault="002A00A1">
            <w:pPr>
              <w:pStyle w:val="ListParagraph"/>
              <w:numPr>
                <w:ilvl w:val="0"/>
                <w:numId w:val="408"/>
              </w:numPr>
              <w:ind w:left="709" w:right="142" w:hanging="567"/>
              <w:contextualSpacing w:val="0"/>
              <w:rPr>
                <w:color w:val="000000" w:themeColor="text1"/>
                <w:szCs w:val="24"/>
              </w:rPr>
            </w:pPr>
            <w:r w:rsidRPr="00306115">
              <w:rPr>
                <w:color w:val="000000" w:themeColor="text1"/>
                <w:szCs w:val="24"/>
              </w:rPr>
              <w:t>Strategi Manajemen Risiko untuk Risiko Strategis memadai dan sejalan dengan tingkat risiko yang akan diambil dan toleransi risiko.</w:t>
            </w:r>
          </w:p>
          <w:p w14:paraId="15DE4AA6" w14:textId="77777777" w:rsidR="002A00A1" w:rsidRPr="00306115" w:rsidRDefault="002A00A1">
            <w:pPr>
              <w:pStyle w:val="ListParagraph"/>
              <w:numPr>
                <w:ilvl w:val="0"/>
                <w:numId w:val="408"/>
              </w:numPr>
              <w:ind w:left="709" w:right="142" w:hanging="567"/>
              <w:contextualSpacing w:val="0"/>
              <w:rPr>
                <w:color w:val="000000" w:themeColor="text1"/>
                <w:szCs w:val="24"/>
              </w:rPr>
            </w:pPr>
            <w:r w:rsidRPr="00306115">
              <w:rPr>
                <w:color w:val="000000" w:themeColor="text1"/>
                <w:szCs w:val="24"/>
              </w:rPr>
              <w:t>Kebijakan dan prosedur Manajemen Risiko serta penetapan limit Risiko Strategis memadai, diterapkan dengan baik, dan dipahami dengan baik oleh pegawai.</w:t>
            </w:r>
          </w:p>
          <w:p w14:paraId="0BE2861E" w14:textId="77777777" w:rsidR="002A00A1" w:rsidRPr="00306115" w:rsidRDefault="002A00A1">
            <w:pPr>
              <w:pStyle w:val="ListParagraph"/>
              <w:numPr>
                <w:ilvl w:val="0"/>
                <w:numId w:val="408"/>
              </w:numPr>
              <w:ind w:left="709" w:right="142" w:hanging="567"/>
              <w:contextualSpacing w:val="0"/>
              <w:rPr>
                <w:color w:val="000000" w:themeColor="text1"/>
                <w:szCs w:val="24"/>
              </w:rPr>
            </w:pPr>
            <w:r w:rsidRPr="00306115">
              <w:rPr>
                <w:color w:val="000000" w:themeColor="text1"/>
                <w:szCs w:val="24"/>
              </w:rPr>
              <w:t>Proses Manajemen Risiko untuk Risiko Strategis memadai dalam mengidentifikasi, mengukur, memantau, dan mengendalikan Risiko Strategis.</w:t>
            </w:r>
          </w:p>
          <w:p w14:paraId="0C3FEF23" w14:textId="77777777" w:rsidR="002A00A1" w:rsidRPr="00306115" w:rsidRDefault="002A00A1">
            <w:pPr>
              <w:pStyle w:val="ListParagraph"/>
              <w:numPr>
                <w:ilvl w:val="0"/>
                <w:numId w:val="408"/>
              </w:numPr>
              <w:ind w:left="709" w:right="142" w:hanging="567"/>
              <w:contextualSpacing w:val="0"/>
              <w:rPr>
                <w:color w:val="000000" w:themeColor="text1"/>
                <w:szCs w:val="24"/>
              </w:rPr>
            </w:pPr>
            <w:r w:rsidRPr="00306115">
              <w:rPr>
                <w:color w:val="000000" w:themeColor="text1"/>
                <w:szCs w:val="24"/>
              </w:rPr>
              <w:t>Sistem Informasi Manajemen Risiko untuk Risiko Strategis baik dalam menghasilkan informasi dan laporan Risiko Strategis yang komprehensif.</w:t>
            </w:r>
          </w:p>
          <w:p w14:paraId="0BC5DB13" w14:textId="77777777" w:rsidR="002A00A1" w:rsidRPr="00306115" w:rsidRDefault="002A00A1">
            <w:pPr>
              <w:pStyle w:val="ListParagraph"/>
              <w:numPr>
                <w:ilvl w:val="0"/>
                <w:numId w:val="408"/>
              </w:numPr>
              <w:ind w:left="709" w:right="142" w:hanging="567"/>
              <w:contextualSpacing w:val="0"/>
              <w:rPr>
                <w:color w:val="000000" w:themeColor="text1"/>
                <w:szCs w:val="24"/>
              </w:rPr>
            </w:pPr>
            <w:r w:rsidRPr="00306115">
              <w:rPr>
                <w:color w:val="000000" w:themeColor="text1"/>
                <w:szCs w:val="24"/>
              </w:rPr>
              <w:lastRenderedPageBreak/>
              <w:t>Secara umum sumber daya manusia memadai dari segi kuantitas maupun kompetensi pada fungsi Manajemen Risiko untuk Risiko Strategis.</w:t>
            </w:r>
          </w:p>
          <w:p w14:paraId="407214B6" w14:textId="77777777" w:rsidR="002A00A1" w:rsidRPr="00306115" w:rsidRDefault="002A00A1">
            <w:pPr>
              <w:pStyle w:val="ListParagraph"/>
              <w:numPr>
                <w:ilvl w:val="0"/>
                <w:numId w:val="408"/>
              </w:numPr>
              <w:ind w:left="709" w:right="142" w:hanging="567"/>
              <w:contextualSpacing w:val="0"/>
              <w:rPr>
                <w:color w:val="000000" w:themeColor="text1"/>
                <w:szCs w:val="24"/>
              </w:rPr>
            </w:pPr>
            <w:r w:rsidRPr="00306115">
              <w:rPr>
                <w:color w:val="000000" w:themeColor="text1"/>
                <w:szCs w:val="24"/>
              </w:rPr>
              <w:t>Sistem pengendalian internal efektif dalam mendukung pelaksanaan Manajemen Risiko untuk Risiko Strategis.</w:t>
            </w:r>
          </w:p>
          <w:p w14:paraId="7391556B" w14:textId="391EF334" w:rsidR="002A00A1" w:rsidRPr="00306115" w:rsidRDefault="002A00A1">
            <w:pPr>
              <w:pStyle w:val="ListParagraph"/>
              <w:numPr>
                <w:ilvl w:val="0"/>
                <w:numId w:val="408"/>
              </w:numPr>
              <w:ind w:left="709" w:right="142" w:hanging="567"/>
              <w:contextualSpacing w:val="0"/>
              <w:rPr>
                <w:color w:val="000000" w:themeColor="text1"/>
                <w:szCs w:val="24"/>
              </w:rPr>
            </w:pPr>
            <w:r w:rsidRPr="00306115">
              <w:rPr>
                <w:color w:val="000000" w:themeColor="text1"/>
                <w:szCs w:val="24"/>
              </w:rPr>
              <w:t xml:space="preserve">Pelaksanaan kaji ulang oleh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dan fungsi audit internal memadai baik dari metodologi, frekuensi, maupun pelaporan kepada Direksi dan Dewan Komisaris.</w:t>
            </w:r>
          </w:p>
          <w:p w14:paraId="2986D8C4" w14:textId="77777777" w:rsidR="002A00A1" w:rsidRPr="00306115" w:rsidRDefault="002A00A1">
            <w:pPr>
              <w:pStyle w:val="ListParagraph"/>
              <w:numPr>
                <w:ilvl w:val="0"/>
                <w:numId w:val="408"/>
              </w:numPr>
              <w:ind w:left="709" w:right="142" w:hanging="567"/>
              <w:contextualSpacing w:val="0"/>
              <w:rPr>
                <w:color w:val="000000" w:themeColor="text1"/>
                <w:szCs w:val="24"/>
              </w:rPr>
            </w:pPr>
            <w:r w:rsidRPr="00306115">
              <w:rPr>
                <w:color w:val="000000" w:themeColor="text1"/>
                <w:szCs w:val="24"/>
              </w:rPr>
              <w:t>Tindak lanjut atas kaji ulang independen telah dilaksanakan dengan memadai.</w:t>
            </w:r>
          </w:p>
        </w:tc>
      </w:tr>
      <w:tr w:rsidR="002A00A1" w:rsidRPr="00306115" w14:paraId="53156709" w14:textId="77777777" w:rsidTr="00EF48BA">
        <w:tc>
          <w:tcPr>
            <w:tcW w:w="2127" w:type="dxa"/>
          </w:tcPr>
          <w:p w14:paraId="0D35D00D" w14:textId="77777777" w:rsidR="002A00A1" w:rsidRPr="00306115" w:rsidRDefault="002A00A1" w:rsidP="001F6EFF">
            <w:pPr>
              <w:pStyle w:val="BodyText"/>
              <w:numPr>
                <w:ilvl w:val="0"/>
                <w:numId w:val="0"/>
              </w:numPr>
              <w:spacing w:before="60" w:after="60"/>
              <w:ind w:left="142" w:right="142"/>
              <w:jc w:val="center"/>
              <w:rPr>
                <w:color w:val="000000" w:themeColor="text1"/>
              </w:rPr>
            </w:pPr>
            <w:r w:rsidRPr="00306115">
              <w:rPr>
                <w:i/>
                <w:iCs/>
                <w:color w:val="000000" w:themeColor="text1"/>
              </w:rPr>
              <w:lastRenderedPageBreak/>
              <w:t>Fair</w:t>
            </w:r>
            <w:r w:rsidRPr="00306115">
              <w:rPr>
                <w:color w:val="000000" w:themeColor="text1"/>
              </w:rPr>
              <w:t xml:space="preserve"> (3)</w:t>
            </w:r>
          </w:p>
        </w:tc>
        <w:tc>
          <w:tcPr>
            <w:tcW w:w="5805" w:type="dxa"/>
          </w:tcPr>
          <w:p w14:paraId="647B4721" w14:textId="77777777" w:rsidR="002A00A1" w:rsidRPr="00306115" w:rsidRDefault="002A00A1" w:rsidP="00EF48BA">
            <w:pPr>
              <w:ind w:left="142" w:right="142"/>
              <w:rPr>
                <w:color w:val="000000" w:themeColor="text1"/>
                <w:szCs w:val="24"/>
              </w:rPr>
            </w:pPr>
            <w:r w:rsidRPr="00306115">
              <w:rPr>
                <w:color w:val="000000" w:themeColor="text1"/>
                <w:szCs w:val="24"/>
              </w:rPr>
              <w:t>Kualitas penerapan Manajemen Risiko untuk Risiko Strategis cukup memadai. Meskipun persyaratan minimum terpenuhi, terdapat beberapa kelemahan yang cukup signifikan yang memerlukan perbaikan segera.</w:t>
            </w:r>
          </w:p>
          <w:p w14:paraId="6864B6F8" w14:textId="79F6792B" w:rsidR="002A00A1" w:rsidRPr="00306115" w:rsidRDefault="002A00A1" w:rsidP="00EF48BA">
            <w:pPr>
              <w:ind w:left="142" w:right="142"/>
              <w:rPr>
                <w:color w:val="000000" w:themeColor="text1"/>
                <w:szCs w:val="24"/>
              </w:rPr>
            </w:pPr>
            <w:r w:rsidRPr="00306115">
              <w:rPr>
                <w:color w:val="000000" w:themeColor="text1"/>
                <w:szCs w:val="24"/>
              </w:rPr>
              <w:t xml:space="preserve">Contoh karakteristik </w:t>
            </w:r>
            <w:r w:rsidR="00764ECF" w:rsidRPr="00306115">
              <w:rPr>
                <w:color w:val="000000" w:themeColor="text1"/>
                <w:szCs w:val="24"/>
              </w:rPr>
              <w:t>karakteristik/kondisi</w:t>
            </w:r>
            <w:r w:rsidRPr="00306115">
              <w:rPr>
                <w:color w:val="000000" w:themeColor="text1"/>
                <w:szCs w:val="24"/>
              </w:rPr>
              <w:t xml:space="preserve"> Manajer Investasi yang termasuk dalam peringkat </w:t>
            </w:r>
            <w:r w:rsidRPr="00306115">
              <w:rPr>
                <w:i/>
                <w:color w:val="000000" w:themeColor="text1"/>
                <w:szCs w:val="24"/>
              </w:rPr>
              <w:t xml:space="preserve">Fair </w:t>
            </w:r>
            <w:r w:rsidRPr="00306115">
              <w:rPr>
                <w:color w:val="000000" w:themeColor="text1"/>
                <w:szCs w:val="24"/>
              </w:rPr>
              <w:t>(3) ini antara lain sebagai berikut:</w:t>
            </w:r>
          </w:p>
          <w:p w14:paraId="7ACC3D34" w14:textId="77777777" w:rsidR="002A00A1" w:rsidRPr="00306115" w:rsidRDefault="002A00A1">
            <w:pPr>
              <w:numPr>
                <w:ilvl w:val="0"/>
                <w:numId w:val="409"/>
              </w:numPr>
              <w:ind w:left="709" w:right="142" w:hanging="567"/>
              <w:rPr>
                <w:color w:val="000000" w:themeColor="text1"/>
                <w:szCs w:val="24"/>
              </w:rPr>
            </w:pPr>
            <w:r w:rsidRPr="00306115">
              <w:rPr>
                <w:color w:val="000000" w:themeColor="text1"/>
                <w:szCs w:val="24"/>
              </w:rPr>
              <w:t>Perumusan tingkat Risiko yang akan diambil (</w:t>
            </w:r>
            <w:r w:rsidRPr="00306115">
              <w:rPr>
                <w:i/>
                <w:iCs/>
                <w:color w:val="000000" w:themeColor="text1"/>
                <w:szCs w:val="24"/>
              </w:rPr>
              <w:t>risk appetite</w:t>
            </w:r>
            <w:r w:rsidRPr="00306115">
              <w:rPr>
                <w:color w:val="000000" w:themeColor="text1"/>
                <w:szCs w:val="24"/>
              </w:rPr>
              <w:t>) dan toleransi Risiko (</w:t>
            </w:r>
            <w:r w:rsidRPr="00306115">
              <w:rPr>
                <w:i/>
                <w:iCs/>
                <w:color w:val="000000" w:themeColor="text1"/>
                <w:szCs w:val="24"/>
              </w:rPr>
              <w:t>risk tolerance</w:t>
            </w:r>
            <w:r w:rsidRPr="00306115">
              <w:rPr>
                <w:color w:val="000000" w:themeColor="text1"/>
                <w:szCs w:val="24"/>
              </w:rPr>
              <w:t>) cukup memadai tetapi tidak selalu sejalan dengan strategi dan tujuan bisnis secara keseluruhan.</w:t>
            </w:r>
          </w:p>
          <w:p w14:paraId="0854F06D" w14:textId="77777777" w:rsidR="002A00A1" w:rsidRPr="00306115" w:rsidRDefault="002A00A1">
            <w:pPr>
              <w:numPr>
                <w:ilvl w:val="0"/>
                <w:numId w:val="409"/>
              </w:numPr>
              <w:ind w:left="709" w:right="142" w:hanging="567"/>
              <w:rPr>
                <w:color w:val="000000" w:themeColor="text1"/>
                <w:szCs w:val="24"/>
              </w:rPr>
            </w:pPr>
            <w:r w:rsidRPr="00306115">
              <w:rPr>
                <w:color w:val="000000" w:themeColor="text1"/>
                <w:szCs w:val="24"/>
              </w:rPr>
              <w:t>Kesadaran (</w:t>
            </w:r>
            <w:r w:rsidRPr="00306115">
              <w:rPr>
                <w:i/>
                <w:color w:val="000000" w:themeColor="text1"/>
                <w:szCs w:val="24"/>
              </w:rPr>
              <w:t>awareness</w:t>
            </w:r>
            <w:r w:rsidRPr="00306115">
              <w:rPr>
                <w:color w:val="000000" w:themeColor="text1"/>
                <w:szCs w:val="24"/>
              </w:rPr>
              <w:t>) dan pemahaman Direksi dan Dewan Komisaris cukup tinggi atau cukup memadai mengenai pelaksanaan Manajemen Risiko, terutama terkait jenis dan tingkat risiko untuk untuk Risiko Strategis.</w:t>
            </w:r>
          </w:p>
          <w:p w14:paraId="3D9834E1" w14:textId="77777777" w:rsidR="002A00A1" w:rsidRPr="00306115" w:rsidRDefault="002A00A1">
            <w:pPr>
              <w:numPr>
                <w:ilvl w:val="0"/>
                <w:numId w:val="409"/>
              </w:numPr>
              <w:ind w:left="709" w:right="142" w:hanging="567"/>
              <w:rPr>
                <w:color w:val="000000" w:themeColor="text1"/>
                <w:szCs w:val="24"/>
              </w:rPr>
            </w:pPr>
            <w:r w:rsidRPr="00306115">
              <w:rPr>
                <w:color w:val="000000" w:themeColor="text1"/>
                <w:szCs w:val="24"/>
              </w:rPr>
              <w:t>Budaya Manajemen Risiko untuk Risiko Strategis cukup kuat dan telah diinternalisasikan dengan cukup baik pada seluruh level organisasi.</w:t>
            </w:r>
          </w:p>
          <w:p w14:paraId="133166D2" w14:textId="18626359" w:rsidR="002A00A1" w:rsidRPr="00306115" w:rsidRDefault="002A00A1">
            <w:pPr>
              <w:numPr>
                <w:ilvl w:val="0"/>
                <w:numId w:val="409"/>
              </w:numPr>
              <w:ind w:left="709" w:right="142" w:hanging="567"/>
              <w:rPr>
                <w:color w:val="000000" w:themeColor="text1"/>
                <w:szCs w:val="24"/>
              </w:rPr>
            </w:pPr>
            <w:r w:rsidRPr="00306115">
              <w:rPr>
                <w:color w:val="000000" w:themeColor="text1"/>
                <w:szCs w:val="24"/>
              </w:rPr>
              <w:t>Pelaksanaan tugas Direksi dan Dewan Komisaris secara keseluruhan cukup memadai. Terdapat beberapa kelemahan yang cukup signifikan pada beberapa aspek penilaian yang memerlukan perbaikan segera.</w:t>
            </w:r>
          </w:p>
          <w:p w14:paraId="694239EA" w14:textId="77777777" w:rsidR="002A00A1" w:rsidRPr="00306115" w:rsidRDefault="002A00A1">
            <w:pPr>
              <w:numPr>
                <w:ilvl w:val="0"/>
                <w:numId w:val="409"/>
              </w:numPr>
              <w:ind w:left="709" w:right="142" w:hanging="567"/>
              <w:rPr>
                <w:color w:val="000000" w:themeColor="text1"/>
                <w:szCs w:val="24"/>
              </w:rPr>
            </w:pPr>
            <w:r w:rsidRPr="00306115">
              <w:rPr>
                <w:color w:val="000000" w:themeColor="text1"/>
                <w:szCs w:val="24"/>
              </w:rPr>
              <w:t xml:space="preserve">Fungsi Manajemen Risiko untuk Risiko Strategis independen, memiliki tugas dan tanggung jawab yang jelas, dan telah berjalan dengan cukup baik. Terdapat kelemahan yang cukup </w:t>
            </w:r>
            <w:r w:rsidRPr="00306115">
              <w:rPr>
                <w:color w:val="000000" w:themeColor="text1"/>
                <w:szCs w:val="24"/>
              </w:rPr>
              <w:lastRenderedPageBreak/>
              <w:t>signifikan yang memerlukan perbaikan segera.</w:t>
            </w:r>
          </w:p>
          <w:p w14:paraId="2CB4A59E" w14:textId="77777777" w:rsidR="002A00A1" w:rsidRPr="00306115" w:rsidRDefault="002A00A1">
            <w:pPr>
              <w:numPr>
                <w:ilvl w:val="0"/>
                <w:numId w:val="409"/>
              </w:numPr>
              <w:ind w:left="709" w:right="142" w:hanging="567"/>
              <w:rPr>
                <w:color w:val="000000" w:themeColor="text1"/>
                <w:szCs w:val="24"/>
              </w:rPr>
            </w:pPr>
            <w:r w:rsidRPr="00306115">
              <w:rPr>
                <w:color w:val="000000" w:themeColor="text1"/>
                <w:szCs w:val="24"/>
              </w:rPr>
              <w:t>Kerangka pedelegasian wewenang cukup memadai.</w:t>
            </w:r>
          </w:p>
          <w:p w14:paraId="29426F8C" w14:textId="77777777" w:rsidR="002A00A1" w:rsidRPr="00306115" w:rsidRDefault="002A00A1">
            <w:pPr>
              <w:numPr>
                <w:ilvl w:val="0"/>
                <w:numId w:val="409"/>
              </w:numPr>
              <w:ind w:left="709" w:right="142" w:hanging="567"/>
              <w:rPr>
                <w:color w:val="000000" w:themeColor="text1"/>
                <w:szCs w:val="24"/>
              </w:rPr>
            </w:pPr>
            <w:r w:rsidRPr="00306115">
              <w:rPr>
                <w:color w:val="000000" w:themeColor="text1"/>
                <w:szCs w:val="24"/>
              </w:rPr>
              <w:t>Strategi Risiko Strategis cukup memadai dan cukup sejalan dengan tingkat risiko yang akan diambil dan toleransi risiko</w:t>
            </w:r>
          </w:p>
          <w:p w14:paraId="74BE1CD5" w14:textId="77777777" w:rsidR="002A00A1" w:rsidRPr="00306115" w:rsidRDefault="002A00A1">
            <w:pPr>
              <w:numPr>
                <w:ilvl w:val="0"/>
                <w:numId w:val="409"/>
              </w:numPr>
              <w:ind w:left="709" w:right="142" w:hanging="567"/>
              <w:rPr>
                <w:color w:val="000000" w:themeColor="text1"/>
                <w:szCs w:val="24"/>
              </w:rPr>
            </w:pPr>
            <w:r w:rsidRPr="00306115">
              <w:rPr>
                <w:color w:val="000000" w:themeColor="text1"/>
                <w:szCs w:val="24"/>
              </w:rPr>
              <w:t>Kebijakan dan prosedur Manajemen Risiko serta penetapan limit Risiko Strategis cukup memadai, diterapkan dengan cukup baik, dan dipahami dengan cukup baik oleh pegawai</w:t>
            </w:r>
          </w:p>
          <w:p w14:paraId="3C650274" w14:textId="77777777" w:rsidR="002A00A1" w:rsidRPr="00306115" w:rsidRDefault="002A00A1">
            <w:pPr>
              <w:numPr>
                <w:ilvl w:val="0"/>
                <w:numId w:val="409"/>
              </w:numPr>
              <w:ind w:left="709" w:right="142" w:hanging="567"/>
              <w:rPr>
                <w:color w:val="000000" w:themeColor="text1"/>
                <w:szCs w:val="24"/>
              </w:rPr>
            </w:pPr>
            <w:r w:rsidRPr="00306115">
              <w:rPr>
                <w:color w:val="000000" w:themeColor="text1"/>
                <w:szCs w:val="24"/>
              </w:rPr>
              <w:t>Proses Manajemen Risiko untuk Risiko Strategis cukup memadai dalam mengidentifikasi, mengukur, memantau, dan mengendalikan Manajemen Risiko untuk Risiko Strategis.</w:t>
            </w:r>
          </w:p>
          <w:p w14:paraId="0A1BE559" w14:textId="77777777" w:rsidR="002A00A1" w:rsidRPr="00306115" w:rsidRDefault="002A00A1">
            <w:pPr>
              <w:numPr>
                <w:ilvl w:val="0"/>
                <w:numId w:val="409"/>
              </w:numPr>
              <w:ind w:left="709" w:right="142" w:hanging="567"/>
              <w:rPr>
                <w:color w:val="000000" w:themeColor="text1"/>
                <w:szCs w:val="24"/>
              </w:rPr>
            </w:pPr>
            <w:r w:rsidRPr="00306115">
              <w:rPr>
                <w:color w:val="000000" w:themeColor="text1"/>
                <w:szCs w:val="24"/>
              </w:rPr>
              <w:t>Sistem Informasi Manajemen Risiko untuk Risiko Strategis cukup baik dalam menghasilkan informasi dan laporan Risiko Strategis yang komprehensif.</w:t>
            </w:r>
          </w:p>
          <w:p w14:paraId="6B3A4C90" w14:textId="77777777" w:rsidR="002A00A1" w:rsidRPr="00306115" w:rsidRDefault="002A00A1">
            <w:pPr>
              <w:numPr>
                <w:ilvl w:val="0"/>
                <w:numId w:val="409"/>
              </w:numPr>
              <w:ind w:left="709" w:right="142" w:hanging="567"/>
              <w:rPr>
                <w:color w:val="000000" w:themeColor="text1"/>
                <w:szCs w:val="24"/>
              </w:rPr>
            </w:pPr>
            <w:r w:rsidRPr="00306115">
              <w:rPr>
                <w:color w:val="000000" w:themeColor="text1"/>
                <w:szCs w:val="24"/>
              </w:rPr>
              <w:t>Secara umum sumber daya manusia cukup memadai dari sisi kuantitas maupun kompetensi pada fungsi Manajemen Risiko untuk Risiko Strategis.</w:t>
            </w:r>
          </w:p>
          <w:p w14:paraId="36982A39" w14:textId="77777777" w:rsidR="002A00A1" w:rsidRPr="00306115" w:rsidRDefault="002A00A1">
            <w:pPr>
              <w:numPr>
                <w:ilvl w:val="0"/>
                <w:numId w:val="409"/>
              </w:numPr>
              <w:ind w:left="709" w:right="142" w:hanging="567"/>
              <w:rPr>
                <w:color w:val="000000" w:themeColor="text1"/>
                <w:szCs w:val="24"/>
              </w:rPr>
            </w:pPr>
            <w:r w:rsidRPr="00306115">
              <w:rPr>
                <w:color w:val="000000" w:themeColor="text1"/>
                <w:szCs w:val="24"/>
              </w:rPr>
              <w:t>Sistem pengendalian internal cukup efektif dalam mendukung pelaksanaan Manajemen Risiko.</w:t>
            </w:r>
          </w:p>
          <w:p w14:paraId="06989491" w14:textId="450E80E8" w:rsidR="002A00A1" w:rsidRPr="00306115" w:rsidRDefault="002A00A1">
            <w:pPr>
              <w:numPr>
                <w:ilvl w:val="0"/>
                <w:numId w:val="409"/>
              </w:numPr>
              <w:ind w:left="709" w:right="142" w:hanging="567"/>
              <w:rPr>
                <w:color w:val="000000" w:themeColor="text1"/>
                <w:szCs w:val="24"/>
              </w:rPr>
            </w:pPr>
            <w:r w:rsidRPr="00306115">
              <w:rPr>
                <w:color w:val="000000" w:themeColor="text1"/>
                <w:szCs w:val="24"/>
              </w:rPr>
              <w:t xml:space="preserve">Pelaksanaan kaji ulang oleh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dan fungsi audit internal cukup memadai. Terdapat beberapa kelemahan yang cukup signifikan pada metodologi, frekuensi, maupun pelaporan kepada Direksi dan Dewan Komisaris yang memerlukan perbaikan segera.</w:t>
            </w:r>
          </w:p>
          <w:p w14:paraId="26883992" w14:textId="77777777" w:rsidR="002A00A1" w:rsidRPr="00306115" w:rsidRDefault="002A00A1">
            <w:pPr>
              <w:numPr>
                <w:ilvl w:val="0"/>
                <w:numId w:val="409"/>
              </w:numPr>
              <w:ind w:left="709" w:right="142" w:hanging="567"/>
              <w:rPr>
                <w:color w:val="000000" w:themeColor="text1"/>
                <w:szCs w:val="24"/>
              </w:rPr>
            </w:pPr>
            <w:r w:rsidRPr="00306115">
              <w:rPr>
                <w:color w:val="000000" w:themeColor="text1"/>
                <w:szCs w:val="24"/>
              </w:rPr>
              <w:t>Tindak lanjut atas kaji ulang independen telah dilaksanakan dengan cukup memadai.</w:t>
            </w:r>
          </w:p>
        </w:tc>
      </w:tr>
      <w:tr w:rsidR="002A00A1" w:rsidRPr="00306115" w14:paraId="7BD07D4D" w14:textId="77777777" w:rsidTr="00EF48BA">
        <w:tc>
          <w:tcPr>
            <w:tcW w:w="2127" w:type="dxa"/>
          </w:tcPr>
          <w:p w14:paraId="771EABAB" w14:textId="77777777" w:rsidR="002A00A1" w:rsidRPr="00306115" w:rsidRDefault="002A00A1" w:rsidP="00DF5376">
            <w:pPr>
              <w:pStyle w:val="BodyText"/>
              <w:numPr>
                <w:ilvl w:val="0"/>
                <w:numId w:val="0"/>
              </w:numPr>
              <w:spacing w:before="60" w:after="60"/>
              <w:ind w:left="142" w:right="142"/>
              <w:jc w:val="center"/>
              <w:rPr>
                <w:color w:val="000000" w:themeColor="text1"/>
              </w:rPr>
            </w:pPr>
            <w:r w:rsidRPr="00306115">
              <w:rPr>
                <w:i/>
                <w:iCs/>
                <w:color w:val="000000" w:themeColor="text1"/>
              </w:rPr>
              <w:lastRenderedPageBreak/>
              <w:t>Marginal</w:t>
            </w:r>
            <w:r w:rsidRPr="00306115">
              <w:rPr>
                <w:color w:val="000000" w:themeColor="text1"/>
              </w:rPr>
              <w:t xml:space="preserve"> (4)</w:t>
            </w:r>
          </w:p>
        </w:tc>
        <w:tc>
          <w:tcPr>
            <w:tcW w:w="5805" w:type="dxa"/>
          </w:tcPr>
          <w:p w14:paraId="6EACB26F" w14:textId="77777777" w:rsidR="002A00A1" w:rsidRPr="00306115" w:rsidRDefault="002A00A1" w:rsidP="00EF48BA">
            <w:pPr>
              <w:ind w:left="142" w:right="142"/>
              <w:rPr>
                <w:color w:val="000000" w:themeColor="text1"/>
                <w:szCs w:val="24"/>
              </w:rPr>
            </w:pPr>
            <w:r w:rsidRPr="00306115">
              <w:rPr>
                <w:color w:val="000000" w:themeColor="text1"/>
                <w:szCs w:val="24"/>
              </w:rPr>
              <w:t>Kualitas penerapan Manajemen Risiko untuk Risiko Strategis kurang memadai. Terdapat kelemahan signifikan pada berbagai aspek Manajemen Risiko untuk Risiko Strategis yang memerlukan perbaikan segera.</w:t>
            </w:r>
          </w:p>
          <w:p w14:paraId="72463B24" w14:textId="54442554" w:rsidR="002A00A1" w:rsidRPr="00306115" w:rsidRDefault="002A00A1" w:rsidP="00EF48BA">
            <w:pPr>
              <w:ind w:left="142" w:right="142"/>
              <w:rPr>
                <w:color w:val="000000" w:themeColor="text1"/>
                <w:szCs w:val="24"/>
              </w:rPr>
            </w:pPr>
            <w:r w:rsidRPr="00306115">
              <w:rPr>
                <w:color w:val="000000" w:themeColor="text1"/>
                <w:szCs w:val="24"/>
              </w:rPr>
              <w:t xml:space="preserve">Contoh </w:t>
            </w:r>
            <w:r w:rsidR="00764ECF" w:rsidRPr="00306115">
              <w:rPr>
                <w:color w:val="000000" w:themeColor="text1"/>
                <w:szCs w:val="24"/>
              </w:rPr>
              <w:t>karakteristik/kondisi</w:t>
            </w:r>
            <w:r w:rsidRPr="00306115">
              <w:rPr>
                <w:color w:val="000000" w:themeColor="text1"/>
                <w:szCs w:val="24"/>
              </w:rPr>
              <w:t xml:space="preserve"> Manajer Investasi yang termasuk dalam peringkat </w:t>
            </w:r>
            <w:r w:rsidRPr="00306115">
              <w:rPr>
                <w:i/>
                <w:color w:val="000000" w:themeColor="text1"/>
                <w:szCs w:val="24"/>
              </w:rPr>
              <w:t xml:space="preserve">Marginal </w:t>
            </w:r>
            <w:r w:rsidRPr="00306115">
              <w:rPr>
                <w:color w:val="000000" w:themeColor="text1"/>
                <w:szCs w:val="24"/>
              </w:rPr>
              <w:t>(4) antara lain sebagai berikut:</w:t>
            </w:r>
          </w:p>
          <w:p w14:paraId="0B57C6CC" w14:textId="77777777" w:rsidR="002A00A1" w:rsidRPr="00306115" w:rsidRDefault="002A00A1">
            <w:pPr>
              <w:numPr>
                <w:ilvl w:val="0"/>
                <w:numId w:val="410"/>
              </w:numPr>
              <w:ind w:left="709" w:right="142" w:hanging="567"/>
              <w:rPr>
                <w:color w:val="000000" w:themeColor="text1"/>
                <w:szCs w:val="24"/>
              </w:rPr>
            </w:pPr>
            <w:r w:rsidRPr="00306115">
              <w:rPr>
                <w:color w:val="000000" w:themeColor="text1"/>
                <w:szCs w:val="24"/>
              </w:rPr>
              <w:t>Perumusan tingkat Risiko yang akan diambil (</w:t>
            </w:r>
            <w:r w:rsidRPr="00306115">
              <w:rPr>
                <w:i/>
                <w:iCs/>
                <w:color w:val="000000" w:themeColor="text1"/>
                <w:szCs w:val="24"/>
              </w:rPr>
              <w:t>risk appetite</w:t>
            </w:r>
            <w:r w:rsidRPr="00306115">
              <w:rPr>
                <w:color w:val="000000" w:themeColor="text1"/>
                <w:szCs w:val="24"/>
              </w:rPr>
              <w:t xml:space="preserve">) dan toleransi </w:t>
            </w:r>
            <w:r w:rsidRPr="00306115">
              <w:rPr>
                <w:color w:val="000000" w:themeColor="text1"/>
                <w:szCs w:val="24"/>
              </w:rPr>
              <w:lastRenderedPageBreak/>
              <w:t>Risiko (</w:t>
            </w:r>
            <w:r w:rsidRPr="00306115">
              <w:rPr>
                <w:i/>
                <w:iCs/>
                <w:color w:val="000000" w:themeColor="text1"/>
                <w:szCs w:val="24"/>
              </w:rPr>
              <w:t>risk tolerance</w:t>
            </w:r>
            <w:r w:rsidRPr="00306115">
              <w:rPr>
                <w:color w:val="000000" w:themeColor="text1"/>
                <w:szCs w:val="24"/>
              </w:rPr>
              <w:t>) kurang memadai serta tidak sejalan dengan strategi dan tujuan bisnis secara keseluruhan.</w:t>
            </w:r>
          </w:p>
          <w:p w14:paraId="4172372F" w14:textId="77777777" w:rsidR="002A00A1" w:rsidRPr="00306115" w:rsidRDefault="002A00A1">
            <w:pPr>
              <w:numPr>
                <w:ilvl w:val="0"/>
                <w:numId w:val="410"/>
              </w:numPr>
              <w:ind w:left="709" w:right="142" w:hanging="567"/>
              <w:rPr>
                <w:color w:val="000000" w:themeColor="text1"/>
                <w:szCs w:val="24"/>
              </w:rPr>
            </w:pPr>
            <w:r w:rsidRPr="00306115">
              <w:rPr>
                <w:color w:val="000000" w:themeColor="text1"/>
                <w:szCs w:val="24"/>
              </w:rPr>
              <w:t>Kesadaran (</w:t>
            </w:r>
            <w:r w:rsidRPr="00306115">
              <w:rPr>
                <w:i/>
                <w:color w:val="000000" w:themeColor="text1"/>
                <w:szCs w:val="24"/>
              </w:rPr>
              <w:t>awareness</w:t>
            </w:r>
            <w:r w:rsidRPr="00306115">
              <w:rPr>
                <w:color w:val="000000" w:themeColor="text1"/>
                <w:szCs w:val="24"/>
              </w:rPr>
              <w:t>) dan pemahaman Direksi dan Dewan Komisaris rendah atau tidak memadai mengenai pelaksanaan Manajemen Risiko, terutama terkait jenis dan tingkat risiko untuk untuk Risiko Strategis.</w:t>
            </w:r>
          </w:p>
          <w:p w14:paraId="55BBCCF5" w14:textId="77777777" w:rsidR="002A00A1" w:rsidRPr="00306115" w:rsidRDefault="002A00A1">
            <w:pPr>
              <w:numPr>
                <w:ilvl w:val="0"/>
                <w:numId w:val="410"/>
              </w:numPr>
              <w:ind w:left="709" w:right="142" w:hanging="567"/>
              <w:rPr>
                <w:color w:val="000000" w:themeColor="text1"/>
                <w:szCs w:val="24"/>
              </w:rPr>
            </w:pPr>
            <w:r w:rsidRPr="00306115">
              <w:rPr>
                <w:color w:val="000000" w:themeColor="text1"/>
                <w:szCs w:val="24"/>
              </w:rPr>
              <w:t>Budaya Manajemen Risiko untuk Risiko Strategis kurang kuat dan belum diinternalisasikan dengan baik pada setiap level organisasi.</w:t>
            </w:r>
          </w:p>
          <w:p w14:paraId="20B2A667" w14:textId="77777777" w:rsidR="002A00A1" w:rsidRPr="00306115" w:rsidRDefault="002A00A1">
            <w:pPr>
              <w:numPr>
                <w:ilvl w:val="0"/>
                <w:numId w:val="410"/>
              </w:numPr>
              <w:ind w:left="709" w:right="142" w:hanging="567"/>
              <w:rPr>
                <w:color w:val="000000" w:themeColor="text1"/>
                <w:szCs w:val="24"/>
              </w:rPr>
            </w:pPr>
            <w:r w:rsidRPr="00306115">
              <w:rPr>
                <w:color w:val="000000" w:themeColor="text1"/>
                <w:szCs w:val="24"/>
              </w:rPr>
              <w:t>Pelaksanaan tugas Direksi dan Dewan Komisaris secara keseluruhan kurang memadai. Terdapat beberapa kelemahan signigikan pada beberapa aspek penilaian yang memerlukan perbaikan segera</w:t>
            </w:r>
          </w:p>
          <w:p w14:paraId="0D3A27E0" w14:textId="77777777" w:rsidR="002A00A1" w:rsidRPr="00306115" w:rsidRDefault="002A00A1">
            <w:pPr>
              <w:numPr>
                <w:ilvl w:val="0"/>
                <w:numId w:val="410"/>
              </w:numPr>
              <w:ind w:left="709" w:right="142" w:hanging="567"/>
              <w:rPr>
                <w:color w:val="000000" w:themeColor="text1"/>
                <w:szCs w:val="24"/>
              </w:rPr>
            </w:pPr>
            <w:r w:rsidRPr="00306115">
              <w:rPr>
                <w:color w:val="000000" w:themeColor="text1"/>
                <w:szCs w:val="24"/>
              </w:rPr>
              <w:t>Fungsi Manajemen Risiko untuk Risiko Strategis belum sepenuhnya independen. Terdapat beberapa kelemahan signifikan yang memerlukan perbaikan segera.</w:t>
            </w:r>
          </w:p>
          <w:p w14:paraId="0B186A63" w14:textId="77777777" w:rsidR="002A00A1" w:rsidRPr="00306115" w:rsidRDefault="002A00A1">
            <w:pPr>
              <w:numPr>
                <w:ilvl w:val="0"/>
                <w:numId w:val="410"/>
              </w:numPr>
              <w:ind w:left="709" w:right="142" w:hanging="567"/>
              <w:rPr>
                <w:color w:val="000000" w:themeColor="text1"/>
                <w:szCs w:val="24"/>
              </w:rPr>
            </w:pPr>
            <w:r w:rsidRPr="00306115">
              <w:rPr>
                <w:color w:val="000000" w:themeColor="text1"/>
                <w:szCs w:val="24"/>
              </w:rPr>
              <w:t>Kerangka pedelegasian wewenang kurang memadai.</w:t>
            </w:r>
          </w:p>
          <w:p w14:paraId="42B604CF" w14:textId="77777777" w:rsidR="002A00A1" w:rsidRPr="00306115" w:rsidRDefault="002A00A1">
            <w:pPr>
              <w:numPr>
                <w:ilvl w:val="0"/>
                <w:numId w:val="410"/>
              </w:numPr>
              <w:ind w:left="709" w:right="142" w:hanging="567"/>
              <w:rPr>
                <w:color w:val="000000" w:themeColor="text1"/>
                <w:szCs w:val="24"/>
              </w:rPr>
            </w:pPr>
            <w:r w:rsidRPr="00306115">
              <w:rPr>
                <w:color w:val="000000" w:themeColor="text1"/>
                <w:szCs w:val="24"/>
              </w:rPr>
              <w:t>Strategi pengelolaan Risiko Strategis kurang sejalan dengan tingkat risiko yang akan diambil dan toleransi risiko.</w:t>
            </w:r>
          </w:p>
          <w:p w14:paraId="5BE35B2B" w14:textId="77777777" w:rsidR="002A00A1" w:rsidRPr="00306115" w:rsidRDefault="002A00A1">
            <w:pPr>
              <w:numPr>
                <w:ilvl w:val="0"/>
                <w:numId w:val="410"/>
              </w:numPr>
              <w:ind w:left="709" w:right="142" w:hanging="567"/>
              <w:rPr>
                <w:color w:val="000000" w:themeColor="text1"/>
                <w:szCs w:val="24"/>
              </w:rPr>
            </w:pPr>
            <w:r w:rsidRPr="00306115">
              <w:rPr>
                <w:color w:val="000000" w:themeColor="text1"/>
                <w:szCs w:val="24"/>
              </w:rPr>
              <w:t>Kebijakan dan prosedur Manajemen Risiko serta penetapan limit Risiko Strategis kurang memadai, diterapkan dengan kurang baik, dan dipahami dengan kurang baik oleh pegawai, sehingga memerlukan perbaikan segera.</w:t>
            </w:r>
          </w:p>
          <w:p w14:paraId="3C2D5A3C" w14:textId="77777777" w:rsidR="002A00A1" w:rsidRPr="00306115" w:rsidRDefault="002A00A1">
            <w:pPr>
              <w:numPr>
                <w:ilvl w:val="0"/>
                <w:numId w:val="410"/>
              </w:numPr>
              <w:ind w:left="709" w:right="142" w:hanging="567"/>
              <w:rPr>
                <w:color w:val="000000" w:themeColor="text1"/>
                <w:szCs w:val="24"/>
              </w:rPr>
            </w:pPr>
            <w:r w:rsidRPr="00306115">
              <w:rPr>
                <w:color w:val="000000" w:themeColor="text1"/>
                <w:szCs w:val="24"/>
              </w:rPr>
              <w:t>Proses Manajemen Risiko untuk Risiko Strategis kurang memadai dalam mengidentifikasi, mengukur, memantau, dan mengendalikan Risiko Strategis.</w:t>
            </w:r>
          </w:p>
          <w:p w14:paraId="32EB92EE" w14:textId="77777777" w:rsidR="002A00A1" w:rsidRPr="00306115" w:rsidRDefault="002A00A1">
            <w:pPr>
              <w:numPr>
                <w:ilvl w:val="0"/>
                <w:numId w:val="410"/>
              </w:numPr>
              <w:ind w:left="709" w:right="142" w:hanging="567"/>
              <w:rPr>
                <w:color w:val="000000" w:themeColor="text1"/>
                <w:szCs w:val="24"/>
              </w:rPr>
            </w:pPr>
            <w:r w:rsidRPr="00306115">
              <w:rPr>
                <w:color w:val="000000" w:themeColor="text1"/>
                <w:szCs w:val="24"/>
              </w:rPr>
              <w:t>Sistem Informasi Manajemen Risiko untuk Risiko Strategis kurang baik dalam menghasilkan informasi dan laporan Risiko Strategis yang komprehensif.</w:t>
            </w:r>
          </w:p>
          <w:p w14:paraId="127073DA" w14:textId="77777777" w:rsidR="002A00A1" w:rsidRPr="00306115" w:rsidRDefault="002A00A1">
            <w:pPr>
              <w:numPr>
                <w:ilvl w:val="0"/>
                <w:numId w:val="410"/>
              </w:numPr>
              <w:ind w:left="709" w:right="142" w:hanging="567"/>
              <w:rPr>
                <w:color w:val="000000" w:themeColor="text1"/>
                <w:szCs w:val="24"/>
              </w:rPr>
            </w:pPr>
            <w:r w:rsidRPr="00306115">
              <w:rPr>
                <w:color w:val="000000" w:themeColor="text1"/>
                <w:szCs w:val="24"/>
              </w:rPr>
              <w:t>Sumber daya manusia kurang memadai dari segi kuantitas maupun kompetensi pada fungsi Manajemen Risiko untuk Risiko Strategis.</w:t>
            </w:r>
          </w:p>
          <w:p w14:paraId="7F193F4B" w14:textId="77777777" w:rsidR="002A00A1" w:rsidRPr="00306115" w:rsidRDefault="002A00A1">
            <w:pPr>
              <w:numPr>
                <w:ilvl w:val="0"/>
                <w:numId w:val="410"/>
              </w:numPr>
              <w:ind w:left="709" w:right="142" w:hanging="567"/>
              <w:rPr>
                <w:color w:val="000000" w:themeColor="text1"/>
                <w:szCs w:val="24"/>
              </w:rPr>
            </w:pPr>
            <w:r w:rsidRPr="00306115">
              <w:rPr>
                <w:color w:val="000000" w:themeColor="text1"/>
                <w:szCs w:val="24"/>
              </w:rPr>
              <w:t>Sistem pengendalian internal kurang efektif dalam mendukung pelaksanaan Manajemen Risiko.</w:t>
            </w:r>
          </w:p>
          <w:p w14:paraId="069E1CEE" w14:textId="60A7C724" w:rsidR="002A00A1" w:rsidRPr="00306115" w:rsidRDefault="002A00A1">
            <w:pPr>
              <w:numPr>
                <w:ilvl w:val="0"/>
                <w:numId w:val="410"/>
              </w:numPr>
              <w:ind w:left="709" w:right="142" w:hanging="567"/>
              <w:rPr>
                <w:color w:val="000000" w:themeColor="text1"/>
                <w:szCs w:val="24"/>
              </w:rPr>
            </w:pPr>
            <w:r w:rsidRPr="00306115">
              <w:rPr>
                <w:color w:val="000000" w:themeColor="text1"/>
                <w:szCs w:val="24"/>
              </w:rPr>
              <w:lastRenderedPageBreak/>
              <w:t xml:space="preserve">Pelaksanaan kaji ulang oleh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dan fungsi audit internal kurang memadai. Terdapat beberapa kelemahan yang signifikan pada metodologi, frekuensi, maupun pelaporan kepada Direksi dan Dewan Komisaris yang memerlukan perbaikan segera.</w:t>
            </w:r>
          </w:p>
          <w:p w14:paraId="7AC89386" w14:textId="77777777" w:rsidR="002A00A1" w:rsidRPr="00306115" w:rsidRDefault="002A00A1">
            <w:pPr>
              <w:numPr>
                <w:ilvl w:val="0"/>
                <w:numId w:val="410"/>
              </w:numPr>
              <w:ind w:left="709" w:right="142" w:hanging="567"/>
              <w:rPr>
                <w:color w:val="000000" w:themeColor="text1"/>
                <w:szCs w:val="24"/>
              </w:rPr>
            </w:pPr>
            <w:r w:rsidRPr="00306115">
              <w:rPr>
                <w:color w:val="000000" w:themeColor="text1"/>
                <w:szCs w:val="24"/>
              </w:rPr>
              <w:t>Tindak lanjut atas kaji ulang independen kurang memadai.</w:t>
            </w:r>
          </w:p>
        </w:tc>
      </w:tr>
      <w:tr w:rsidR="002A00A1" w:rsidRPr="00306115" w14:paraId="4398AA51" w14:textId="77777777" w:rsidTr="00EF48BA">
        <w:tc>
          <w:tcPr>
            <w:tcW w:w="2127" w:type="dxa"/>
          </w:tcPr>
          <w:p w14:paraId="0863FC78" w14:textId="77777777" w:rsidR="002A00A1" w:rsidRPr="00306115" w:rsidRDefault="002A00A1" w:rsidP="00DF5376">
            <w:pPr>
              <w:pStyle w:val="BodyText"/>
              <w:numPr>
                <w:ilvl w:val="0"/>
                <w:numId w:val="0"/>
              </w:numPr>
              <w:spacing w:before="60" w:after="60"/>
              <w:ind w:left="142" w:right="142"/>
              <w:jc w:val="center"/>
              <w:rPr>
                <w:color w:val="000000" w:themeColor="text1"/>
              </w:rPr>
            </w:pPr>
            <w:r w:rsidRPr="00306115">
              <w:rPr>
                <w:i/>
                <w:iCs/>
                <w:color w:val="000000" w:themeColor="text1"/>
              </w:rPr>
              <w:lastRenderedPageBreak/>
              <w:t>Unsatisfactory</w:t>
            </w:r>
            <w:r w:rsidRPr="00306115">
              <w:rPr>
                <w:color w:val="000000" w:themeColor="text1"/>
              </w:rPr>
              <w:t xml:space="preserve"> (5)</w:t>
            </w:r>
          </w:p>
        </w:tc>
        <w:tc>
          <w:tcPr>
            <w:tcW w:w="5805" w:type="dxa"/>
          </w:tcPr>
          <w:p w14:paraId="7ED9470E" w14:textId="77777777" w:rsidR="002A00A1" w:rsidRPr="00306115" w:rsidRDefault="002A00A1" w:rsidP="00EF48BA">
            <w:pPr>
              <w:ind w:left="142" w:right="142"/>
              <w:rPr>
                <w:color w:val="000000" w:themeColor="text1"/>
                <w:szCs w:val="24"/>
              </w:rPr>
            </w:pPr>
            <w:r w:rsidRPr="00306115">
              <w:rPr>
                <w:color w:val="000000" w:themeColor="text1"/>
                <w:szCs w:val="24"/>
              </w:rPr>
              <w:t>Kualitas penerapan Manajemen Risiko untuk Risiko Strategis tidak memadai. Terdapat kelemahan signifikan pada berbagai aspek Manajemen Risiko untuk Risiko Strategis yang tindakan penyelesaiannya di luar kemampuan manajemen.</w:t>
            </w:r>
          </w:p>
          <w:p w14:paraId="7087DE84" w14:textId="4E0F2EA0" w:rsidR="002A00A1" w:rsidRPr="00306115" w:rsidRDefault="002A00A1" w:rsidP="00EF48BA">
            <w:pPr>
              <w:ind w:left="142" w:right="142"/>
              <w:rPr>
                <w:color w:val="000000" w:themeColor="text1"/>
                <w:szCs w:val="24"/>
              </w:rPr>
            </w:pPr>
            <w:r w:rsidRPr="00306115">
              <w:rPr>
                <w:color w:val="000000" w:themeColor="text1"/>
                <w:szCs w:val="24"/>
              </w:rPr>
              <w:t xml:space="preserve">Contoh </w:t>
            </w:r>
            <w:r w:rsidR="00764ECF" w:rsidRPr="00306115">
              <w:rPr>
                <w:color w:val="000000" w:themeColor="text1"/>
                <w:szCs w:val="24"/>
              </w:rPr>
              <w:t>karakteristik/kondisi</w:t>
            </w:r>
            <w:r w:rsidRPr="00306115">
              <w:rPr>
                <w:color w:val="000000" w:themeColor="text1"/>
                <w:szCs w:val="24"/>
              </w:rPr>
              <w:t xml:space="preserve"> Manajer Investasi yang termasuk dalam peringkat </w:t>
            </w:r>
            <w:r w:rsidRPr="00306115">
              <w:rPr>
                <w:i/>
                <w:color w:val="000000" w:themeColor="text1"/>
                <w:szCs w:val="24"/>
              </w:rPr>
              <w:t xml:space="preserve">Unsatisfactory </w:t>
            </w:r>
            <w:r w:rsidRPr="00306115">
              <w:rPr>
                <w:color w:val="000000" w:themeColor="text1"/>
                <w:szCs w:val="24"/>
              </w:rPr>
              <w:t>(5) ini antara lain sebagai berikut:</w:t>
            </w:r>
          </w:p>
          <w:p w14:paraId="277066AA" w14:textId="77777777" w:rsidR="002A00A1" w:rsidRPr="00306115" w:rsidRDefault="002A00A1">
            <w:pPr>
              <w:pStyle w:val="ListParagraph"/>
              <w:numPr>
                <w:ilvl w:val="0"/>
                <w:numId w:val="411"/>
              </w:numPr>
              <w:ind w:left="709" w:right="142" w:hanging="567"/>
              <w:contextualSpacing w:val="0"/>
              <w:rPr>
                <w:color w:val="000000" w:themeColor="text1"/>
                <w:szCs w:val="24"/>
              </w:rPr>
            </w:pPr>
            <w:r w:rsidRPr="00306115">
              <w:rPr>
                <w:color w:val="000000" w:themeColor="text1"/>
                <w:szCs w:val="24"/>
              </w:rPr>
              <w:t>Perumusan tingkat Risiko yang akan diambil (</w:t>
            </w:r>
            <w:r w:rsidRPr="00306115">
              <w:rPr>
                <w:i/>
                <w:iCs/>
                <w:color w:val="000000" w:themeColor="text1"/>
                <w:szCs w:val="24"/>
              </w:rPr>
              <w:t>risk appetite</w:t>
            </w:r>
            <w:r w:rsidRPr="00306115">
              <w:rPr>
                <w:color w:val="000000" w:themeColor="text1"/>
                <w:szCs w:val="24"/>
              </w:rPr>
              <w:t>) dan toleransi Risiko (</w:t>
            </w:r>
            <w:r w:rsidRPr="00306115">
              <w:rPr>
                <w:i/>
                <w:iCs/>
                <w:color w:val="000000" w:themeColor="text1"/>
                <w:szCs w:val="24"/>
              </w:rPr>
              <w:t>risk tolerance</w:t>
            </w:r>
            <w:r w:rsidRPr="00306115">
              <w:rPr>
                <w:color w:val="000000" w:themeColor="text1"/>
                <w:szCs w:val="24"/>
              </w:rPr>
              <w:t>) tidak memadai serta tidak sejalan dengan strategi dan tujuan bisnis Manajer Investasi secara keseluruhan.</w:t>
            </w:r>
          </w:p>
          <w:p w14:paraId="1E1F5337" w14:textId="77777777" w:rsidR="002A00A1" w:rsidRPr="00306115" w:rsidRDefault="002A00A1">
            <w:pPr>
              <w:pStyle w:val="ListParagraph"/>
              <w:numPr>
                <w:ilvl w:val="0"/>
                <w:numId w:val="411"/>
              </w:numPr>
              <w:ind w:left="709" w:right="142" w:hanging="567"/>
              <w:contextualSpacing w:val="0"/>
              <w:rPr>
                <w:color w:val="000000" w:themeColor="text1"/>
                <w:szCs w:val="24"/>
              </w:rPr>
            </w:pPr>
            <w:r w:rsidRPr="00306115">
              <w:rPr>
                <w:color w:val="000000" w:themeColor="text1"/>
                <w:szCs w:val="24"/>
              </w:rPr>
              <w:t>Kesadaran (</w:t>
            </w:r>
            <w:r w:rsidRPr="00306115">
              <w:rPr>
                <w:i/>
                <w:color w:val="000000" w:themeColor="text1"/>
                <w:szCs w:val="24"/>
              </w:rPr>
              <w:t>awareness</w:t>
            </w:r>
            <w:r w:rsidRPr="00306115">
              <w:rPr>
                <w:color w:val="000000" w:themeColor="text1"/>
                <w:szCs w:val="24"/>
              </w:rPr>
              <w:t>) dan pemahaman Direksi dan Dewan Komisaris sangat rendah atau sangat tidak memadai mengenai pelaksanaan Manajemen Risiko, terutama terkait jenis dan tingkat risiko untuk Risiko Strategis.</w:t>
            </w:r>
          </w:p>
          <w:p w14:paraId="32C81516" w14:textId="77777777" w:rsidR="002A00A1" w:rsidRPr="00306115" w:rsidRDefault="002A00A1">
            <w:pPr>
              <w:pStyle w:val="ListParagraph"/>
              <w:numPr>
                <w:ilvl w:val="0"/>
                <w:numId w:val="411"/>
              </w:numPr>
              <w:ind w:left="709" w:right="142" w:hanging="567"/>
              <w:contextualSpacing w:val="0"/>
              <w:rPr>
                <w:color w:val="000000" w:themeColor="text1"/>
                <w:szCs w:val="24"/>
              </w:rPr>
            </w:pPr>
            <w:r w:rsidRPr="00306115">
              <w:rPr>
                <w:color w:val="000000" w:themeColor="text1"/>
                <w:szCs w:val="24"/>
              </w:rPr>
              <w:t>Budaya Manajemen Risiko untuk Risiko Strategis tidak kuat atau belum ada sama sekali.</w:t>
            </w:r>
          </w:p>
          <w:p w14:paraId="40DDB7FF" w14:textId="77777777" w:rsidR="002A00A1" w:rsidRPr="00306115" w:rsidRDefault="002A00A1">
            <w:pPr>
              <w:pStyle w:val="ListParagraph"/>
              <w:numPr>
                <w:ilvl w:val="0"/>
                <w:numId w:val="411"/>
              </w:numPr>
              <w:ind w:left="709" w:right="142" w:hanging="567"/>
              <w:contextualSpacing w:val="0"/>
              <w:rPr>
                <w:color w:val="000000" w:themeColor="text1"/>
                <w:szCs w:val="24"/>
              </w:rPr>
            </w:pPr>
            <w:r w:rsidRPr="00306115">
              <w:rPr>
                <w:color w:val="000000" w:themeColor="text1"/>
                <w:szCs w:val="24"/>
              </w:rPr>
              <w:t>Pelaksanaan tugas Direksi dan Dewan Komisaris secara keseluruhan tidak memadai. Terdapat beberapa kelemahan yang signifikan pada hampir seluruh aspek penilaian yang tindakan penyelesaiannya di luar kemampuan manajemen.</w:t>
            </w:r>
          </w:p>
          <w:p w14:paraId="14E884A9" w14:textId="77777777" w:rsidR="002A00A1" w:rsidRPr="00306115" w:rsidRDefault="002A00A1">
            <w:pPr>
              <w:pStyle w:val="ListParagraph"/>
              <w:numPr>
                <w:ilvl w:val="0"/>
                <w:numId w:val="411"/>
              </w:numPr>
              <w:ind w:left="709" w:right="142" w:hanging="567"/>
              <w:contextualSpacing w:val="0"/>
              <w:rPr>
                <w:color w:val="000000" w:themeColor="text1"/>
                <w:szCs w:val="24"/>
              </w:rPr>
            </w:pPr>
            <w:r w:rsidRPr="00306115">
              <w:rPr>
                <w:color w:val="000000" w:themeColor="text1"/>
                <w:szCs w:val="24"/>
              </w:rPr>
              <w:t>Fungsi Manajemen Risiko untuk Risiko Strategis tidak independen, serta terdapat kelemahan signifikan yang memerlukan perbaikan fundamental.</w:t>
            </w:r>
          </w:p>
          <w:p w14:paraId="373604C3" w14:textId="77777777" w:rsidR="002A00A1" w:rsidRPr="00306115" w:rsidRDefault="002A00A1">
            <w:pPr>
              <w:pStyle w:val="ListParagraph"/>
              <w:numPr>
                <w:ilvl w:val="0"/>
                <w:numId w:val="411"/>
              </w:numPr>
              <w:ind w:left="709" w:right="142" w:hanging="567"/>
              <w:contextualSpacing w:val="0"/>
              <w:rPr>
                <w:color w:val="000000" w:themeColor="text1"/>
                <w:szCs w:val="24"/>
              </w:rPr>
            </w:pPr>
            <w:r w:rsidRPr="00306115">
              <w:rPr>
                <w:color w:val="000000" w:themeColor="text1"/>
                <w:szCs w:val="24"/>
              </w:rPr>
              <w:t>Kerangka pedelegasian wewenang tidak memadai.</w:t>
            </w:r>
          </w:p>
          <w:p w14:paraId="2E617D9D" w14:textId="77777777" w:rsidR="002A00A1" w:rsidRPr="00306115" w:rsidRDefault="002A00A1">
            <w:pPr>
              <w:pStyle w:val="ListParagraph"/>
              <w:numPr>
                <w:ilvl w:val="0"/>
                <w:numId w:val="411"/>
              </w:numPr>
              <w:ind w:left="709" w:right="142" w:hanging="567"/>
              <w:contextualSpacing w:val="0"/>
              <w:rPr>
                <w:color w:val="000000" w:themeColor="text1"/>
                <w:szCs w:val="24"/>
              </w:rPr>
            </w:pPr>
            <w:r w:rsidRPr="00306115">
              <w:rPr>
                <w:color w:val="000000" w:themeColor="text1"/>
                <w:szCs w:val="24"/>
              </w:rPr>
              <w:t>Strategi pengelolaan untuk Risiko Strategis tidak sejalan dengan tingkat risiko yang akan diambil dan toleransi risiko.</w:t>
            </w:r>
          </w:p>
          <w:p w14:paraId="6D1CC287" w14:textId="77777777" w:rsidR="002A00A1" w:rsidRPr="00306115" w:rsidRDefault="002A00A1">
            <w:pPr>
              <w:pStyle w:val="ListParagraph"/>
              <w:numPr>
                <w:ilvl w:val="0"/>
                <w:numId w:val="411"/>
              </w:numPr>
              <w:ind w:left="709" w:right="142" w:hanging="567"/>
              <w:contextualSpacing w:val="0"/>
              <w:rPr>
                <w:color w:val="000000" w:themeColor="text1"/>
                <w:szCs w:val="24"/>
              </w:rPr>
            </w:pPr>
            <w:r w:rsidRPr="00306115">
              <w:rPr>
                <w:color w:val="000000" w:themeColor="text1"/>
                <w:szCs w:val="24"/>
              </w:rPr>
              <w:lastRenderedPageBreak/>
              <w:t>Kebijakan dan prosedur Manajemen Risiko serta penetapan limit Risiko Strategis tidak memadai, tidak diterapkan, dan tidak dipahami oleh pegawai, sehingga memerlukan perbaikan fundamental.</w:t>
            </w:r>
          </w:p>
          <w:p w14:paraId="035FB4BA" w14:textId="77777777" w:rsidR="002A00A1" w:rsidRPr="00306115" w:rsidRDefault="002A00A1">
            <w:pPr>
              <w:pStyle w:val="ListParagraph"/>
              <w:numPr>
                <w:ilvl w:val="0"/>
                <w:numId w:val="411"/>
              </w:numPr>
              <w:ind w:left="709" w:right="142" w:hanging="567"/>
              <w:contextualSpacing w:val="0"/>
              <w:rPr>
                <w:color w:val="000000" w:themeColor="text1"/>
                <w:szCs w:val="24"/>
              </w:rPr>
            </w:pPr>
            <w:r w:rsidRPr="00306115">
              <w:rPr>
                <w:color w:val="000000" w:themeColor="text1"/>
                <w:szCs w:val="24"/>
              </w:rPr>
              <w:t>Proses Manajemen Risiko untuk Risiko Strategis tidak memadai dalam mengidentifikasi, mengukur, memantau, dan mengendalikan Risiko Strategis.</w:t>
            </w:r>
          </w:p>
          <w:p w14:paraId="09A4E478" w14:textId="77777777" w:rsidR="002A00A1" w:rsidRPr="00306115" w:rsidRDefault="002A00A1">
            <w:pPr>
              <w:pStyle w:val="ListParagraph"/>
              <w:numPr>
                <w:ilvl w:val="0"/>
                <w:numId w:val="411"/>
              </w:numPr>
              <w:ind w:left="709" w:right="142" w:hanging="567"/>
              <w:contextualSpacing w:val="0"/>
              <w:rPr>
                <w:color w:val="000000" w:themeColor="text1"/>
                <w:szCs w:val="24"/>
              </w:rPr>
            </w:pPr>
            <w:r w:rsidRPr="00306115">
              <w:rPr>
                <w:color w:val="000000" w:themeColor="text1"/>
                <w:szCs w:val="24"/>
              </w:rPr>
              <w:t>Sistem Informasi Manajemen Risiko untuk Risiko Strategis tidak dapat dalam menghasilkan informasi dan laporan Risiko Strategis yang komprehensif.</w:t>
            </w:r>
          </w:p>
          <w:p w14:paraId="15DD791B" w14:textId="77777777" w:rsidR="002A00A1" w:rsidRPr="00306115" w:rsidRDefault="002A00A1">
            <w:pPr>
              <w:pStyle w:val="ListParagraph"/>
              <w:numPr>
                <w:ilvl w:val="0"/>
                <w:numId w:val="411"/>
              </w:numPr>
              <w:ind w:left="709" w:right="142" w:hanging="567"/>
              <w:contextualSpacing w:val="0"/>
              <w:rPr>
                <w:color w:val="000000" w:themeColor="text1"/>
                <w:szCs w:val="24"/>
              </w:rPr>
            </w:pPr>
            <w:r w:rsidRPr="00306115">
              <w:rPr>
                <w:color w:val="000000" w:themeColor="text1"/>
                <w:szCs w:val="24"/>
              </w:rPr>
              <w:t>Sumber daya manusia tidak memadai dari segi kuantitas maupun kompetensi pada fungsi Manajemen Risiko untuk Risiko Strategis.</w:t>
            </w:r>
          </w:p>
          <w:p w14:paraId="6C7BCC69" w14:textId="77777777" w:rsidR="002A00A1" w:rsidRPr="00306115" w:rsidRDefault="002A00A1">
            <w:pPr>
              <w:pStyle w:val="ListParagraph"/>
              <w:numPr>
                <w:ilvl w:val="0"/>
                <w:numId w:val="411"/>
              </w:numPr>
              <w:ind w:left="709" w:right="142" w:hanging="567"/>
              <w:contextualSpacing w:val="0"/>
              <w:rPr>
                <w:color w:val="000000" w:themeColor="text1"/>
                <w:szCs w:val="24"/>
              </w:rPr>
            </w:pPr>
            <w:r w:rsidRPr="00306115">
              <w:rPr>
                <w:color w:val="000000" w:themeColor="text1"/>
                <w:szCs w:val="24"/>
              </w:rPr>
              <w:t>Sistem pengendalian internal tidak efektif dalam mendukung pelaksanaan Manajemen Risiko untuk Risiko Strategis.</w:t>
            </w:r>
          </w:p>
          <w:p w14:paraId="645DBC8C" w14:textId="523F6EED" w:rsidR="002A00A1" w:rsidRPr="00306115" w:rsidRDefault="002A00A1">
            <w:pPr>
              <w:pStyle w:val="ListParagraph"/>
              <w:numPr>
                <w:ilvl w:val="0"/>
                <w:numId w:val="411"/>
              </w:numPr>
              <w:ind w:left="709" w:right="142" w:hanging="567"/>
              <w:contextualSpacing w:val="0"/>
              <w:rPr>
                <w:color w:val="000000" w:themeColor="text1"/>
                <w:szCs w:val="24"/>
              </w:rPr>
            </w:pPr>
            <w:r w:rsidRPr="00306115">
              <w:rPr>
                <w:color w:val="000000" w:themeColor="text1"/>
                <w:szCs w:val="24"/>
              </w:rPr>
              <w:t xml:space="preserve">Pelaksanaan kaji ulang oleh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dan fungsi audit internal tidak memadai. Terdapat kelemahan yang signifikan pada metodologi, frekuensi, maupun pelaporan kepada Direksi dan Dewan Komisaris yang memerlukan perbaikan fundamental.</w:t>
            </w:r>
          </w:p>
          <w:p w14:paraId="7B172FFB" w14:textId="77777777" w:rsidR="002A00A1" w:rsidRPr="00306115" w:rsidRDefault="002A00A1">
            <w:pPr>
              <w:pStyle w:val="ListParagraph"/>
              <w:numPr>
                <w:ilvl w:val="0"/>
                <w:numId w:val="411"/>
              </w:numPr>
              <w:ind w:left="709" w:right="142" w:hanging="567"/>
              <w:contextualSpacing w:val="0"/>
              <w:rPr>
                <w:color w:val="000000" w:themeColor="text1"/>
                <w:szCs w:val="24"/>
              </w:rPr>
            </w:pPr>
            <w:r w:rsidRPr="00306115">
              <w:rPr>
                <w:color w:val="000000" w:themeColor="text1"/>
                <w:szCs w:val="24"/>
              </w:rPr>
              <w:t>Tindak lanjut atas kaji ulang independen tidak memadai atau tidak ada.</w:t>
            </w:r>
          </w:p>
        </w:tc>
      </w:tr>
    </w:tbl>
    <w:p w14:paraId="00426353" w14:textId="77777777" w:rsidR="002A00A1" w:rsidRPr="00306115" w:rsidRDefault="002A00A1" w:rsidP="002A00A1">
      <w:pPr>
        <w:pStyle w:val="HeadingAwalDaftarIsiLampiran"/>
        <w:numPr>
          <w:ilvl w:val="0"/>
          <w:numId w:val="0"/>
        </w:numPr>
        <w:ind w:left="1134"/>
      </w:pPr>
    </w:p>
    <w:p w14:paraId="25254592" w14:textId="6958CC42" w:rsidR="001F762D" w:rsidRPr="00306115" w:rsidRDefault="001F762D">
      <w:pPr>
        <w:pStyle w:val="HeadingAwalDaftarIsiLampiran"/>
        <w:numPr>
          <w:ilvl w:val="3"/>
          <w:numId w:val="295"/>
        </w:numPr>
        <w:ind w:left="567" w:hanging="567"/>
      </w:pPr>
      <w:r w:rsidRPr="00306115">
        <w:t>Risiko Investasi</w:t>
      </w:r>
    </w:p>
    <w:p w14:paraId="54DA3FAF" w14:textId="77777777" w:rsidR="00451E35" w:rsidRPr="00306115" w:rsidRDefault="00451E35">
      <w:pPr>
        <w:pStyle w:val="HeadingAwalDaftarIsiLampiran"/>
        <w:numPr>
          <w:ilvl w:val="4"/>
          <w:numId w:val="295"/>
        </w:numPr>
        <w:ind w:left="1134" w:hanging="567"/>
      </w:pPr>
      <w:r w:rsidRPr="00306115">
        <w:t>Matriks Penetapan Tingkat Risiko Inheren</w:t>
      </w:r>
    </w:p>
    <w:p w14:paraId="0B200F15" w14:textId="77777777" w:rsidR="000B430D" w:rsidRPr="00306115" w:rsidRDefault="000B430D" w:rsidP="000B430D">
      <w:pPr>
        <w:pStyle w:val="HeadingAwalDaftarIsiLampiran"/>
        <w:numPr>
          <w:ilvl w:val="0"/>
          <w:numId w:val="0"/>
        </w:numPr>
        <w:ind w:left="1134"/>
      </w:pPr>
    </w:p>
    <w:tbl>
      <w:tblPr>
        <w:tblW w:w="7938"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2"/>
        <w:gridCol w:w="5796"/>
      </w:tblGrid>
      <w:tr w:rsidR="006965FC" w:rsidRPr="00306115" w14:paraId="22317B0F" w14:textId="77777777" w:rsidTr="006965FC">
        <w:trPr>
          <w:trHeight w:val="307"/>
          <w:tblHeader/>
        </w:trPr>
        <w:tc>
          <w:tcPr>
            <w:tcW w:w="2142" w:type="dxa"/>
            <w:shd w:val="clear" w:color="auto" w:fill="D9D9D9" w:themeFill="background1" w:themeFillShade="D9"/>
          </w:tcPr>
          <w:p w14:paraId="0E466365" w14:textId="77777777" w:rsidR="006965FC" w:rsidRPr="00306115" w:rsidRDefault="006965FC" w:rsidP="000B430D">
            <w:pPr>
              <w:pStyle w:val="TableParagraph"/>
              <w:spacing w:before="60" w:after="60"/>
              <w:ind w:left="142" w:right="142"/>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Peringkat</w:t>
            </w:r>
          </w:p>
        </w:tc>
        <w:tc>
          <w:tcPr>
            <w:tcW w:w="5796" w:type="dxa"/>
            <w:shd w:val="clear" w:color="auto" w:fill="D9D9D9" w:themeFill="background1" w:themeFillShade="D9"/>
          </w:tcPr>
          <w:p w14:paraId="3D5FE06D" w14:textId="77777777" w:rsidR="006965FC" w:rsidRPr="00306115" w:rsidRDefault="006965FC" w:rsidP="000B430D">
            <w:pPr>
              <w:pStyle w:val="TableParagraph"/>
              <w:spacing w:before="60" w:after="60"/>
              <w:ind w:left="142" w:right="142"/>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Definisi Peringkat</w:t>
            </w:r>
          </w:p>
        </w:tc>
      </w:tr>
      <w:tr w:rsidR="006965FC" w:rsidRPr="00306115" w14:paraId="63D30122" w14:textId="77777777" w:rsidTr="006965FC">
        <w:trPr>
          <w:trHeight w:val="820"/>
        </w:trPr>
        <w:tc>
          <w:tcPr>
            <w:tcW w:w="2142" w:type="dxa"/>
          </w:tcPr>
          <w:p w14:paraId="5F4AB089" w14:textId="77777777" w:rsidR="006965FC" w:rsidRPr="00306115" w:rsidRDefault="006965FC" w:rsidP="006965FC">
            <w:pPr>
              <w:pStyle w:val="TableParagraph"/>
              <w:spacing w:before="60" w:after="60"/>
              <w:ind w:left="142" w:right="142"/>
              <w:jc w:val="center"/>
              <w:rPr>
                <w:rFonts w:ascii="Bookman Old Style" w:hAnsi="Bookman Old Style"/>
                <w:color w:val="000000" w:themeColor="text1"/>
                <w:sz w:val="24"/>
                <w:szCs w:val="24"/>
              </w:rPr>
            </w:pPr>
            <w:r w:rsidRPr="00306115">
              <w:rPr>
                <w:rFonts w:ascii="Bookman Old Style" w:hAnsi="Bookman Old Style"/>
                <w:i/>
                <w:color w:val="000000" w:themeColor="text1"/>
                <w:sz w:val="24"/>
                <w:szCs w:val="24"/>
              </w:rPr>
              <w:t xml:space="preserve">Low </w:t>
            </w:r>
            <w:r w:rsidRPr="00306115">
              <w:rPr>
                <w:rFonts w:ascii="Bookman Old Style" w:hAnsi="Bookman Old Style"/>
                <w:color w:val="000000" w:themeColor="text1"/>
                <w:sz w:val="24"/>
                <w:szCs w:val="24"/>
              </w:rPr>
              <w:t>(1)</w:t>
            </w:r>
          </w:p>
        </w:tc>
        <w:tc>
          <w:tcPr>
            <w:tcW w:w="5796" w:type="dxa"/>
          </w:tcPr>
          <w:p w14:paraId="4F63598D" w14:textId="77777777" w:rsidR="006965FC" w:rsidRPr="00306115" w:rsidRDefault="006965FC" w:rsidP="000B430D">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Dengan mempertimbangkan aktivitas kegiatan usaha yang dilakukan Manajer Investasi </w:t>
            </w:r>
            <w:r w:rsidRPr="00306115">
              <w:rPr>
                <w:color w:val="000000" w:themeColor="text1"/>
                <w:szCs w:val="24"/>
                <w:lang w:val="en-US"/>
              </w:rPr>
              <w:t>beserta Produk Investasi yang dikelola</w:t>
            </w:r>
            <w:r w:rsidRPr="00306115">
              <w:rPr>
                <w:color w:val="000000" w:themeColor="text1"/>
                <w:szCs w:val="24"/>
              </w:rPr>
              <w:t xml:space="preserve">, kemungkinan timbulnya dampak paparan dari Risiko Investasi tergolong sangat rendah selama periode waktu tertentu pada masa datang. </w:t>
            </w:r>
          </w:p>
          <w:p w14:paraId="70525B1E" w14:textId="77777777" w:rsidR="00A13D7E" w:rsidRPr="00306115" w:rsidRDefault="006965FC" w:rsidP="00A13D7E">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Contoh karakteristik Manajer Investasi yang termasuk dalam peringkat </w:t>
            </w:r>
            <w:r w:rsidRPr="00306115">
              <w:rPr>
                <w:i/>
                <w:iCs/>
                <w:color w:val="000000" w:themeColor="text1"/>
                <w:szCs w:val="24"/>
              </w:rPr>
              <w:t>Low</w:t>
            </w:r>
            <w:r w:rsidRPr="00306115">
              <w:rPr>
                <w:color w:val="000000" w:themeColor="text1"/>
                <w:szCs w:val="24"/>
              </w:rPr>
              <w:t xml:space="preserve"> (1) adalah Manajer Investasi yang memiliki</w:t>
            </w:r>
            <w:r w:rsidR="00A13D7E" w:rsidRPr="00306115">
              <w:rPr>
                <w:color w:val="000000" w:themeColor="text1"/>
                <w:szCs w:val="24"/>
              </w:rPr>
              <w:t xml:space="preserve"> </w:t>
            </w:r>
            <w:r w:rsidRPr="00306115">
              <w:rPr>
                <w:color w:val="000000" w:themeColor="text1"/>
                <w:szCs w:val="24"/>
              </w:rPr>
              <w:t>persentase (%) portofolio Efek yang diinvestasikan pada instrumen berisiko tinggi terhadap total portofolio milik Manajer Investasi untuk kepentingan sendiri &lt;20%</w:t>
            </w:r>
            <w:r w:rsidR="00A13D7E" w:rsidRPr="00306115">
              <w:rPr>
                <w:color w:val="000000" w:themeColor="text1"/>
                <w:szCs w:val="24"/>
              </w:rPr>
              <w:t>.</w:t>
            </w:r>
          </w:p>
          <w:p w14:paraId="74A11C99" w14:textId="75664AD9" w:rsidR="006965FC" w:rsidRPr="00306115" w:rsidRDefault="006965FC" w:rsidP="00A13D7E">
            <w:pPr>
              <w:pStyle w:val="ListParagraph"/>
              <w:spacing w:after="0" w:line="240" w:lineRule="auto"/>
              <w:ind w:left="142" w:right="142"/>
              <w:contextualSpacing w:val="0"/>
              <w:rPr>
                <w:color w:val="000000" w:themeColor="text1"/>
                <w:szCs w:val="24"/>
              </w:rPr>
            </w:pPr>
            <w:r w:rsidRPr="00306115">
              <w:rPr>
                <w:color w:val="000000" w:themeColor="text1"/>
                <w:szCs w:val="24"/>
              </w:rPr>
              <w:lastRenderedPageBreak/>
              <w:t>Instrumen berisiko tinggi antara lain meliputi saham, derivatif, kontrak berjangka, dan efek atau instrumen lain yang memiliki tingkat risiko tinggi.</w:t>
            </w:r>
          </w:p>
        </w:tc>
      </w:tr>
      <w:tr w:rsidR="006965FC" w:rsidRPr="00306115" w14:paraId="045B2B1F" w14:textId="77777777" w:rsidTr="006965FC">
        <w:trPr>
          <w:trHeight w:val="1054"/>
        </w:trPr>
        <w:tc>
          <w:tcPr>
            <w:tcW w:w="2142" w:type="dxa"/>
          </w:tcPr>
          <w:p w14:paraId="30DF5064" w14:textId="77777777" w:rsidR="006965FC" w:rsidRPr="00306115" w:rsidRDefault="006965FC" w:rsidP="006965FC">
            <w:pPr>
              <w:pStyle w:val="TableParagraph"/>
              <w:spacing w:before="60" w:after="60"/>
              <w:ind w:left="142" w:right="142"/>
              <w:jc w:val="center"/>
              <w:rPr>
                <w:rFonts w:ascii="Bookman Old Style" w:hAnsi="Bookman Old Style"/>
                <w:color w:val="000000" w:themeColor="text1"/>
                <w:sz w:val="24"/>
                <w:szCs w:val="24"/>
              </w:rPr>
            </w:pPr>
            <w:r w:rsidRPr="00306115">
              <w:rPr>
                <w:rFonts w:ascii="Bookman Old Style" w:hAnsi="Bookman Old Style"/>
                <w:i/>
                <w:color w:val="000000" w:themeColor="text1"/>
                <w:sz w:val="24"/>
                <w:szCs w:val="24"/>
              </w:rPr>
              <w:lastRenderedPageBreak/>
              <w:t xml:space="preserve">Low to Moderate </w:t>
            </w:r>
            <w:r w:rsidRPr="00306115">
              <w:rPr>
                <w:rFonts w:ascii="Bookman Old Style" w:hAnsi="Bookman Old Style"/>
                <w:color w:val="000000" w:themeColor="text1"/>
                <w:sz w:val="24"/>
                <w:szCs w:val="24"/>
              </w:rPr>
              <w:t>(2)</w:t>
            </w:r>
          </w:p>
        </w:tc>
        <w:tc>
          <w:tcPr>
            <w:tcW w:w="5796" w:type="dxa"/>
          </w:tcPr>
          <w:p w14:paraId="021BDA68" w14:textId="77777777" w:rsidR="006965FC" w:rsidRPr="00306115" w:rsidRDefault="006965FC" w:rsidP="000B430D">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Dengan mempertimbangkan aktivitas kegiatan usaha yang dilakukan Manajer Investasi </w:t>
            </w:r>
            <w:r w:rsidRPr="00306115">
              <w:rPr>
                <w:color w:val="000000" w:themeColor="text1"/>
                <w:szCs w:val="24"/>
                <w:lang w:val="en-US"/>
              </w:rPr>
              <w:t>beserta Produk Investasi yang dikelola</w:t>
            </w:r>
            <w:r w:rsidRPr="00306115">
              <w:rPr>
                <w:color w:val="000000" w:themeColor="text1"/>
                <w:szCs w:val="24"/>
              </w:rPr>
              <w:t>, kemungkinan timbulnya dampak paparan dari Risiko Investasi tergolong rendah selama periode waktu tertentu pada masa datang.</w:t>
            </w:r>
          </w:p>
          <w:p w14:paraId="6D08E237" w14:textId="6C39EB54" w:rsidR="006965FC" w:rsidRPr="00306115" w:rsidRDefault="006965FC" w:rsidP="000B430D">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Contoh karakteristik Manajer Investasi yang termasuk dalam peringkat </w:t>
            </w:r>
            <w:r w:rsidRPr="00306115">
              <w:rPr>
                <w:i/>
                <w:iCs/>
                <w:color w:val="000000" w:themeColor="text1"/>
                <w:szCs w:val="24"/>
              </w:rPr>
              <w:t xml:space="preserve">Low to Moderate </w:t>
            </w:r>
            <w:r w:rsidRPr="00306115">
              <w:rPr>
                <w:color w:val="000000" w:themeColor="text1"/>
                <w:szCs w:val="24"/>
              </w:rPr>
              <w:t>(2) adalah Manajer Investasi yang memiliki:</w:t>
            </w:r>
          </w:p>
          <w:p w14:paraId="5F4C11FE" w14:textId="4A7A8591" w:rsidR="006965FC" w:rsidRPr="00306115" w:rsidRDefault="006965FC" w:rsidP="006C36B8">
            <w:pPr>
              <w:pStyle w:val="ListParagraph"/>
              <w:spacing w:after="0" w:line="240" w:lineRule="auto"/>
              <w:ind w:left="142" w:right="142"/>
              <w:contextualSpacing w:val="0"/>
              <w:rPr>
                <w:color w:val="000000" w:themeColor="text1"/>
                <w:szCs w:val="24"/>
              </w:rPr>
            </w:pPr>
            <w:r w:rsidRPr="00306115">
              <w:rPr>
                <w:color w:val="000000" w:themeColor="text1"/>
                <w:szCs w:val="24"/>
              </w:rPr>
              <w:t>persentase (%) portofolio Efek yang diinvestasikan pada instrumen berisiko tinggi terhadap total portofolio milik Manajer Investasi untuk kepentingan sendiri &gt;20% s.d. 30%.</w:t>
            </w:r>
          </w:p>
        </w:tc>
      </w:tr>
      <w:tr w:rsidR="006965FC" w:rsidRPr="00306115" w14:paraId="6539D223" w14:textId="77777777" w:rsidTr="006965FC">
        <w:trPr>
          <w:trHeight w:val="1116"/>
        </w:trPr>
        <w:tc>
          <w:tcPr>
            <w:tcW w:w="2142" w:type="dxa"/>
          </w:tcPr>
          <w:p w14:paraId="389202AE" w14:textId="77777777" w:rsidR="006965FC" w:rsidRPr="00306115" w:rsidRDefault="006965FC" w:rsidP="006965FC">
            <w:pPr>
              <w:pStyle w:val="TableParagraph"/>
              <w:spacing w:before="60" w:after="60"/>
              <w:ind w:left="142" w:right="142"/>
              <w:jc w:val="center"/>
              <w:rPr>
                <w:rFonts w:ascii="Bookman Old Style" w:hAnsi="Bookman Old Style"/>
                <w:i/>
                <w:color w:val="000000" w:themeColor="text1"/>
                <w:sz w:val="24"/>
                <w:szCs w:val="24"/>
              </w:rPr>
            </w:pPr>
            <w:r w:rsidRPr="00306115">
              <w:rPr>
                <w:rFonts w:ascii="Bookman Old Style" w:hAnsi="Bookman Old Style"/>
                <w:i/>
                <w:color w:val="000000" w:themeColor="text1"/>
                <w:sz w:val="24"/>
                <w:szCs w:val="24"/>
              </w:rPr>
              <w:t>Moderate</w:t>
            </w:r>
          </w:p>
          <w:p w14:paraId="547D8C73" w14:textId="77777777" w:rsidR="006965FC" w:rsidRPr="00306115" w:rsidRDefault="006965FC" w:rsidP="006965FC">
            <w:pPr>
              <w:pStyle w:val="TableParagraph"/>
              <w:spacing w:before="60" w:after="60"/>
              <w:ind w:left="142" w:right="142"/>
              <w:jc w:val="center"/>
              <w:rPr>
                <w:rFonts w:ascii="Bookman Old Style" w:hAnsi="Bookman Old Style"/>
                <w:iCs/>
                <w:color w:val="000000" w:themeColor="text1"/>
                <w:sz w:val="24"/>
                <w:szCs w:val="24"/>
              </w:rPr>
            </w:pPr>
            <w:r w:rsidRPr="00306115">
              <w:rPr>
                <w:rFonts w:ascii="Bookman Old Style" w:hAnsi="Bookman Old Style"/>
                <w:iCs/>
                <w:color w:val="000000" w:themeColor="text1"/>
                <w:sz w:val="24"/>
                <w:szCs w:val="24"/>
              </w:rPr>
              <w:t>(3)</w:t>
            </w:r>
          </w:p>
        </w:tc>
        <w:tc>
          <w:tcPr>
            <w:tcW w:w="5796" w:type="dxa"/>
          </w:tcPr>
          <w:p w14:paraId="6F81FD4D" w14:textId="77777777" w:rsidR="006965FC" w:rsidRPr="00306115" w:rsidRDefault="006965FC" w:rsidP="000B430D">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Dengan mempertimbangkan aktivitas kegiatan usaha yang dilakukan Manajer Investasi </w:t>
            </w:r>
            <w:r w:rsidRPr="00306115">
              <w:rPr>
                <w:color w:val="000000" w:themeColor="text1"/>
                <w:szCs w:val="24"/>
                <w:lang w:val="en-US"/>
              </w:rPr>
              <w:t>beserta Produk Investasi yang dikelola</w:t>
            </w:r>
            <w:r w:rsidRPr="00306115">
              <w:rPr>
                <w:color w:val="000000" w:themeColor="text1"/>
                <w:szCs w:val="24"/>
              </w:rPr>
              <w:t>, kemungkinan timbulnya dampak paparan dari Risiko Investasi tergolong cukup tinggi selama periode waktu tertentu pada masa datang.</w:t>
            </w:r>
          </w:p>
          <w:p w14:paraId="01D38B23" w14:textId="421BCA7F" w:rsidR="006965FC" w:rsidRPr="00306115" w:rsidRDefault="006965FC" w:rsidP="000B430D">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Contoh karakteristik Manajer Investasi yang termasuk dalam peringkat </w:t>
            </w:r>
            <w:r w:rsidRPr="00306115">
              <w:rPr>
                <w:i/>
                <w:iCs/>
                <w:color w:val="000000" w:themeColor="text1"/>
                <w:szCs w:val="24"/>
              </w:rPr>
              <w:t>Moderate</w:t>
            </w:r>
            <w:r w:rsidRPr="00306115">
              <w:rPr>
                <w:color w:val="000000" w:themeColor="text1"/>
                <w:szCs w:val="24"/>
              </w:rPr>
              <w:t xml:space="preserve"> (3) adalah Manajer Investasi yang memiliki</w:t>
            </w:r>
          </w:p>
          <w:p w14:paraId="6A33EDE1" w14:textId="7047FC41" w:rsidR="006965FC" w:rsidRPr="00306115" w:rsidRDefault="006965FC" w:rsidP="00250862">
            <w:pPr>
              <w:pStyle w:val="ListParagraph"/>
              <w:spacing w:after="0" w:line="240" w:lineRule="auto"/>
              <w:ind w:left="142" w:right="142"/>
              <w:contextualSpacing w:val="0"/>
              <w:rPr>
                <w:color w:val="000000" w:themeColor="text1"/>
                <w:szCs w:val="24"/>
              </w:rPr>
            </w:pPr>
            <w:r w:rsidRPr="00306115">
              <w:rPr>
                <w:color w:val="000000" w:themeColor="text1"/>
                <w:szCs w:val="24"/>
              </w:rPr>
              <w:t>persentase (%) portofolio Efek yang diinvestasikan pada instrumen berisiko tinggi terhadap total portofolio milik Manajer Investasi untuk kepentingan sendiri &gt;30% s.d. 40%.</w:t>
            </w:r>
          </w:p>
        </w:tc>
      </w:tr>
      <w:tr w:rsidR="006965FC" w:rsidRPr="00306115" w14:paraId="06483BE8" w14:textId="77777777" w:rsidTr="006965FC">
        <w:trPr>
          <w:trHeight w:val="982"/>
        </w:trPr>
        <w:tc>
          <w:tcPr>
            <w:tcW w:w="2142" w:type="dxa"/>
          </w:tcPr>
          <w:p w14:paraId="763F7D27" w14:textId="77777777" w:rsidR="006965FC" w:rsidRPr="00306115" w:rsidRDefault="006965FC" w:rsidP="006965FC">
            <w:pPr>
              <w:pStyle w:val="TableParagraph"/>
              <w:spacing w:before="60" w:after="60"/>
              <w:ind w:left="142" w:right="142"/>
              <w:jc w:val="center"/>
              <w:rPr>
                <w:rFonts w:ascii="Bookman Old Style" w:hAnsi="Bookman Old Style"/>
                <w:i/>
                <w:color w:val="000000" w:themeColor="text1"/>
                <w:sz w:val="24"/>
                <w:szCs w:val="24"/>
              </w:rPr>
            </w:pPr>
            <w:r w:rsidRPr="00306115">
              <w:rPr>
                <w:rFonts w:ascii="Bookman Old Style" w:hAnsi="Bookman Old Style"/>
                <w:i/>
                <w:color w:val="000000" w:themeColor="text1"/>
                <w:sz w:val="24"/>
                <w:szCs w:val="24"/>
              </w:rPr>
              <w:t xml:space="preserve">Moderate to High </w:t>
            </w:r>
            <w:r w:rsidRPr="00306115">
              <w:rPr>
                <w:rFonts w:ascii="Bookman Old Style" w:hAnsi="Bookman Old Style"/>
                <w:iCs/>
                <w:color w:val="000000" w:themeColor="text1"/>
                <w:sz w:val="24"/>
                <w:szCs w:val="24"/>
              </w:rPr>
              <w:t>(4)</w:t>
            </w:r>
          </w:p>
        </w:tc>
        <w:tc>
          <w:tcPr>
            <w:tcW w:w="5796" w:type="dxa"/>
          </w:tcPr>
          <w:p w14:paraId="7CB12558" w14:textId="77777777" w:rsidR="006965FC" w:rsidRPr="00306115" w:rsidRDefault="006965FC" w:rsidP="000B430D">
            <w:pPr>
              <w:pStyle w:val="ListParagraph"/>
              <w:spacing w:after="0" w:line="240" w:lineRule="auto"/>
              <w:ind w:left="142" w:right="142"/>
              <w:contextualSpacing w:val="0"/>
              <w:rPr>
                <w:color w:val="000000" w:themeColor="text1"/>
                <w:szCs w:val="24"/>
              </w:rPr>
            </w:pPr>
            <w:r w:rsidRPr="00306115">
              <w:rPr>
                <w:color w:val="000000" w:themeColor="text1"/>
                <w:szCs w:val="24"/>
              </w:rPr>
              <w:t>Dengan mempertimbangkan aktivitas kegiatan usaha yang dilakukan Manajer Investasi beserta</w:t>
            </w:r>
            <w:r w:rsidRPr="00306115">
              <w:rPr>
                <w:color w:val="000000" w:themeColor="text1"/>
                <w:szCs w:val="24"/>
                <w:lang w:val="en-US"/>
              </w:rPr>
              <w:t xml:space="preserve"> Produk Investasi yang dikelola</w:t>
            </w:r>
            <w:r w:rsidRPr="00306115">
              <w:rPr>
                <w:color w:val="000000" w:themeColor="text1"/>
                <w:szCs w:val="24"/>
              </w:rPr>
              <w:t xml:space="preserve">, kemungkinan timbulnya dampak paparan dari Risiko Investasi tergolong tinggi selama periode waktu tertentu pada masa datang. </w:t>
            </w:r>
          </w:p>
          <w:p w14:paraId="5220BDDC" w14:textId="7D718275" w:rsidR="006965FC" w:rsidRPr="00306115" w:rsidRDefault="006965FC" w:rsidP="000B430D">
            <w:pPr>
              <w:pStyle w:val="ListParagraph"/>
              <w:spacing w:after="0" w:line="240" w:lineRule="auto"/>
              <w:ind w:left="142" w:right="142"/>
              <w:contextualSpacing w:val="0"/>
              <w:rPr>
                <w:color w:val="000000" w:themeColor="text1"/>
                <w:szCs w:val="24"/>
              </w:rPr>
            </w:pPr>
            <w:r w:rsidRPr="00306115">
              <w:rPr>
                <w:color w:val="000000" w:themeColor="text1"/>
                <w:szCs w:val="24"/>
              </w:rPr>
              <w:t xml:space="preserve">Contoh karakteristik Manajer Investasi yang termasuk dalam peringkat </w:t>
            </w:r>
            <w:r w:rsidRPr="00306115">
              <w:rPr>
                <w:i/>
                <w:iCs/>
                <w:color w:val="000000" w:themeColor="text1"/>
                <w:szCs w:val="24"/>
              </w:rPr>
              <w:t>Moderate to High</w:t>
            </w:r>
            <w:r w:rsidRPr="00306115">
              <w:rPr>
                <w:color w:val="000000" w:themeColor="text1"/>
                <w:szCs w:val="24"/>
              </w:rPr>
              <w:t xml:space="preserve"> (4) adalah Manajer Investasi yang memiliki:</w:t>
            </w:r>
          </w:p>
          <w:p w14:paraId="7300F1C6" w14:textId="2EDFB512" w:rsidR="006965FC" w:rsidRPr="00306115" w:rsidRDefault="006965FC" w:rsidP="00250862">
            <w:pPr>
              <w:pStyle w:val="ListParagraph"/>
              <w:spacing w:after="0" w:line="240" w:lineRule="auto"/>
              <w:ind w:left="142" w:right="142"/>
              <w:contextualSpacing w:val="0"/>
              <w:rPr>
                <w:color w:val="000000" w:themeColor="text1"/>
                <w:szCs w:val="24"/>
              </w:rPr>
            </w:pPr>
            <w:r w:rsidRPr="00306115">
              <w:rPr>
                <w:color w:val="000000" w:themeColor="text1"/>
                <w:szCs w:val="24"/>
              </w:rPr>
              <w:t>persentase (%) portofolio Efek yang diinvestasikan pada instrumen berisiko tinggi terhadap total portofolio milik Manajer Investasi untuk kepentingan sendiri &gt;40% s.d. 50%.</w:t>
            </w:r>
          </w:p>
        </w:tc>
      </w:tr>
      <w:tr w:rsidR="006965FC" w:rsidRPr="00306115" w14:paraId="4C97B317" w14:textId="77777777" w:rsidTr="006965FC">
        <w:trPr>
          <w:trHeight w:val="982"/>
        </w:trPr>
        <w:tc>
          <w:tcPr>
            <w:tcW w:w="2142" w:type="dxa"/>
          </w:tcPr>
          <w:p w14:paraId="1C2EFA3E" w14:textId="77777777" w:rsidR="006965FC" w:rsidRPr="00306115" w:rsidRDefault="006965FC" w:rsidP="006965FC">
            <w:pPr>
              <w:pStyle w:val="TableParagraph"/>
              <w:spacing w:before="60" w:after="60"/>
              <w:ind w:left="142" w:right="142"/>
              <w:jc w:val="center"/>
              <w:rPr>
                <w:rFonts w:ascii="Bookman Old Style" w:hAnsi="Bookman Old Style"/>
                <w:i/>
                <w:color w:val="000000" w:themeColor="text1"/>
                <w:sz w:val="24"/>
                <w:szCs w:val="24"/>
              </w:rPr>
            </w:pPr>
            <w:r w:rsidRPr="00306115">
              <w:rPr>
                <w:rFonts w:ascii="Bookman Old Style" w:hAnsi="Bookman Old Style"/>
                <w:i/>
                <w:color w:val="000000" w:themeColor="text1"/>
                <w:sz w:val="24"/>
                <w:szCs w:val="24"/>
              </w:rPr>
              <w:t>High</w:t>
            </w:r>
            <w:r w:rsidRPr="00306115">
              <w:rPr>
                <w:rFonts w:ascii="Bookman Old Style" w:hAnsi="Bookman Old Style"/>
                <w:iCs/>
                <w:color w:val="000000" w:themeColor="text1"/>
                <w:sz w:val="24"/>
                <w:szCs w:val="24"/>
              </w:rPr>
              <w:t xml:space="preserve"> (5)</w:t>
            </w:r>
          </w:p>
        </w:tc>
        <w:tc>
          <w:tcPr>
            <w:tcW w:w="5796" w:type="dxa"/>
          </w:tcPr>
          <w:p w14:paraId="5142D086" w14:textId="77777777" w:rsidR="006965FC" w:rsidRPr="00306115" w:rsidRDefault="006965FC" w:rsidP="000B430D">
            <w:pPr>
              <w:pStyle w:val="ListParagraph"/>
              <w:spacing w:after="0" w:line="240" w:lineRule="auto"/>
              <w:ind w:left="142" w:right="142"/>
              <w:contextualSpacing w:val="0"/>
              <w:rPr>
                <w:strike/>
                <w:color w:val="000000" w:themeColor="text1"/>
                <w:szCs w:val="24"/>
              </w:rPr>
            </w:pPr>
            <w:r w:rsidRPr="00306115">
              <w:rPr>
                <w:color w:val="000000" w:themeColor="text1"/>
                <w:szCs w:val="24"/>
              </w:rPr>
              <w:t xml:space="preserve">Dengan mempertimbangkan aktivitas kegiatan usaha yang dilakukan Manajer Investasi </w:t>
            </w:r>
            <w:r w:rsidRPr="00306115">
              <w:rPr>
                <w:color w:val="000000" w:themeColor="text1"/>
                <w:szCs w:val="24"/>
                <w:lang w:val="en-US"/>
              </w:rPr>
              <w:t>beserta Produk Investasi yang dikelola</w:t>
            </w:r>
            <w:r w:rsidRPr="00306115">
              <w:rPr>
                <w:color w:val="000000" w:themeColor="text1"/>
                <w:szCs w:val="24"/>
              </w:rPr>
              <w:t xml:space="preserve">, kemungkinan timbulnya dampak paparan dari Risiko Investasi tergolong sangat tinggi selama periode waktu tertentu pada masa datang. </w:t>
            </w:r>
          </w:p>
          <w:p w14:paraId="72407C00" w14:textId="721B8F21" w:rsidR="006965FC" w:rsidRPr="00306115" w:rsidRDefault="006965FC" w:rsidP="000B430D">
            <w:pPr>
              <w:pStyle w:val="ListParagraph"/>
              <w:spacing w:after="0" w:line="240" w:lineRule="auto"/>
              <w:ind w:left="142" w:right="142"/>
              <w:contextualSpacing w:val="0"/>
              <w:rPr>
                <w:color w:val="000000" w:themeColor="text1"/>
                <w:szCs w:val="24"/>
              </w:rPr>
            </w:pPr>
            <w:r w:rsidRPr="00306115">
              <w:rPr>
                <w:color w:val="000000" w:themeColor="text1"/>
                <w:szCs w:val="24"/>
              </w:rPr>
              <w:lastRenderedPageBreak/>
              <w:t xml:space="preserve">Contoh karakteristik Manajer Investasi yang termasuk dalam peringkat </w:t>
            </w:r>
            <w:r w:rsidRPr="00306115">
              <w:rPr>
                <w:i/>
                <w:iCs/>
                <w:color w:val="000000" w:themeColor="text1"/>
                <w:szCs w:val="24"/>
              </w:rPr>
              <w:t>High</w:t>
            </w:r>
            <w:r w:rsidRPr="00306115">
              <w:rPr>
                <w:color w:val="000000" w:themeColor="text1"/>
                <w:szCs w:val="24"/>
              </w:rPr>
              <w:t xml:space="preserve"> (5) adalah Manajer Investasi yang memiliki:</w:t>
            </w:r>
          </w:p>
          <w:p w14:paraId="30A1DC93" w14:textId="4D9497F7" w:rsidR="006965FC" w:rsidRPr="00306115" w:rsidRDefault="006965FC" w:rsidP="00250862">
            <w:pPr>
              <w:pStyle w:val="ListParagraph"/>
              <w:spacing w:after="0" w:line="240" w:lineRule="auto"/>
              <w:ind w:left="142" w:right="142"/>
              <w:contextualSpacing w:val="0"/>
              <w:rPr>
                <w:color w:val="000000" w:themeColor="text1"/>
                <w:szCs w:val="24"/>
              </w:rPr>
            </w:pPr>
            <w:r w:rsidRPr="00306115">
              <w:rPr>
                <w:color w:val="000000" w:themeColor="text1"/>
                <w:szCs w:val="24"/>
              </w:rPr>
              <w:t>persentase (%) portofolio Efek yang diinvestasikan pada instrumen berisiko tinggi terhadap total portofolio milik Manajer Investasi untuk kepentingan sendiri &gt;50%.</w:t>
            </w:r>
          </w:p>
        </w:tc>
      </w:tr>
    </w:tbl>
    <w:p w14:paraId="53B2D29B" w14:textId="77777777" w:rsidR="006965FC" w:rsidRPr="00306115" w:rsidRDefault="006965FC" w:rsidP="006965FC">
      <w:pPr>
        <w:pStyle w:val="HeadingAwalDaftarIsiLampiran"/>
        <w:numPr>
          <w:ilvl w:val="0"/>
          <w:numId w:val="0"/>
        </w:numPr>
        <w:ind w:left="1134"/>
      </w:pPr>
    </w:p>
    <w:p w14:paraId="53CA0194" w14:textId="77777777" w:rsidR="00451E35" w:rsidRPr="00306115" w:rsidRDefault="00451E35">
      <w:pPr>
        <w:pStyle w:val="HeadingAwalDaftarIsiLampiran"/>
        <w:numPr>
          <w:ilvl w:val="4"/>
          <w:numId w:val="295"/>
        </w:numPr>
        <w:ind w:left="1134" w:hanging="567"/>
      </w:pPr>
      <w:r w:rsidRPr="00306115">
        <w:t>Matriks Penetapan Kualitas Penerapan Manajemen Risiko</w:t>
      </w:r>
    </w:p>
    <w:tbl>
      <w:tblPr>
        <w:tblStyle w:val="TableGrid"/>
        <w:tblW w:w="0" w:type="auto"/>
        <w:tblInd w:w="1129" w:type="dxa"/>
        <w:tblLook w:val="04A0" w:firstRow="1" w:lastRow="0" w:firstColumn="1" w:lastColumn="0" w:noHBand="0" w:noVBand="1"/>
      </w:tblPr>
      <w:tblGrid>
        <w:gridCol w:w="2176"/>
        <w:gridCol w:w="5756"/>
      </w:tblGrid>
      <w:tr w:rsidR="00542CCC" w:rsidRPr="00306115" w14:paraId="40A3BDE2" w14:textId="77777777" w:rsidTr="00542CCC">
        <w:trPr>
          <w:tblHeader/>
        </w:trPr>
        <w:tc>
          <w:tcPr>
            <w:tcW w:w="2127" w:type="dxa"/>
            <w:shd w:val="clear" w:color="auto" w:fill="D9D9D9"/>
            <w:vAlign w:val="center"/>
          </w:tcPr>
          <w:p w14:paraId="66B39D17" w14:textId="77777777" w:rsidR="00542CCC" w:rsidRPr="00306115" w:rsidRDefault="00542CCC" w:rsidP="00542CCC">
            <w:pPr>
              <w:spacing w:before="60" w:after="60"/>
              <w:ind w:left="142" w:right="142"/>
              <w:jc w:val="center"/>
              <w:rPr>
                <w:color w:val="000000" w:themeColor="text1"/>
                <w:szCs w:val="24"/>
              </w:rPr>
            </w:pPr>
            <w:r w:rsidRPr="00306115">
              <w:rPr>
                <w:color w:val="000000" w:themeColor="text1"/>
                <w:szCs w:val="24"/>
              </w:rPr>
              <w:t>Peringkat</w:t>
            </w:r>
          </w:p>
        </w:tc>
        <w:tc>
          <w:tcPr>
            <w:tcW w:w="5805" w:type="dxa"/>
            <w:shd w:val="clear" w:color="auto" w:fill="D9D9D9"/>
            <w:vAlign w:val="center"/>
          </w:tcPr>
          <w:p w14:paraId="139E72B8" w14:textId="77777777" w:rsidR="00542CCC" w:rsidRPr="00306115" w:rsidRDefault="00542CCC" w:rsidP="00542CCC">
            <w:pPr>
              <w:spacing w:before="60" w:after="60"/>
              <w:ind w:left="142" w:right="142"/>
              <w:jc w:val="center"/>
              <w:rPr>
                <w:color w:val="000000" w:themeColor="text1"/>
                <w:szCs w:val="24"/>
              </w:rPr>
            </w:pPr>
            <w:r w:rsidRPr="00306115">
              <w:rPr>
                <w:color w:val="000000" w:themeColor="text1"/>
                <w:szCs w:val="24"/>
              </w:rPr>
              <w:t>Definisi Peringkat</w:t>
            </w:r>
          </w:p>
        </w:tc>
      </w:tr>
      <w:tr w:rsidR="00542CCC" w:rsidRPr="00306115" w14:paraId="53AD4C92" w14:textId="77777777" w:rsidTr="00542CCC">
        <w:tc>
          <w:tcPr>
            <w:tcW w:w="2127" w:type="dxa"/>
          </w:tcPr>
          <w:p w14:paraId="64B8540D" w14:textId="77777777" w:rsidR="00542CCC" w:rsidRPr="00306115" w:rsidRDefault="00542CCC" w:rsidP="00542CCC">
            <w:pPr>
              <w:pStyle w:val="BodyText"/>
              <w:numPr>
                <w:ilvl w:val="0"/>
                <w:numId w:val="0"/>
              </w:numPr>
              <w:spacing w:before="60" w:after="60"/>
              <w:ind w:left="142" w:right="142"/>
              <w:jc w:val="center"/>
              <w:rPr>
                <w:color w:val="000000" w:themeColor="text1"/>
              </w:rPr>
            </w:pPr>
            <w:r w:rsidRPr="00306115">
              <w:rPr>
                <w:i/>
                <w:iCs/>
                <w:color w:val="000000" w:themeColor="text1"/>
              </w:rPr>
              <w:t>Strong</w:t>
            </w:r>
            <w:r w:rsidRPr="00306115">
              <w:rPr>
                <w:color w:val="000000" w:themeColor="text1"/>
              </w:rPr>
              <w:t xml:space="preserve"> (1)</w:t>
            </w:r>
          </w:p>
        </w:tc>
        <w:tc>
          <w:tcPr>
            <w:tcW w:w="5805" w:type="dxa"/>
          </w:tcPr>
          <w:p w14:paraId="0E7D6578" w14:textId="77777777" w:rsidR="00542CCC" w:rsidRPr="00306115" w:rsidRDefault="00542CCC" w:rsidP="00542CCC">
            <w:pPr>
              <w:ind w:left="142" w:right="142"/>
              <w:rPr>
                <w:color w:val="000000" w:themeColor="text1"/>
                <w:szCs w:val="24"/>
              </w:rPr>
            </w:pPr>
            <w:r w:rsidRPr="00306115">
              <w:rPr>
                <w:color w:val="000000" w:themeColor="text1"/>
                <w:szCs w:val="24"/>
              </w:rPr>
              <w:t>Kualitas penerapan Manajemen Risiko untuk Risiko Investasi sangat memadai. Meskipun terdapat kelemahan minor, tetapi kelemahan tersebut tidak signifikan sehingga dapat diabaikan.</w:t>
            </w:r>
          </w:p>
          <w:p w14:paraId="7BAA71E6" w14:textId="42213F3E" w:rsidR="00542CCC" w:rsidRPr="00306115" w:rsidRDefault="00542CCC" w:rsidP="00542CCC">
            <w:pPr>
              <w:ind w:left="142" w:right="142"/>
              <w:rPr>
                <w:color w:val="000000" w:themeColor="text1"/>
                <w:szCs w:val="24"/>
              </w:rPr>
            </w:pPr>
            <w:r w:rsidRPr="00306115">
              <w:rPr>
                <w:color w:val="000000" w:themeColor="text1"/>
                <w:szCs w:val="24"/>
              </w:rPr>
              <w:t xml:space="preserve">Contoh </w:t>
            </w:r>
            <w:r w:rsidR="00764ECF" w:rsidRPr="00306115">
              <w:rPr>
                <w:color w:val="000000" w:themeColor="text1"/>
                <w:szCs w:val="24"/>
              </w:rPr>
              <w:t>karakteristik/kondisi</w:t>
            </w:r>
            <w:r w:rsidRPr="00306115">
              <w:rPr>
                <w:color w:val="000000" w:themeColor="text1"/>
                <w:szCs w:val="24"/>
              </w:rPr>
              <w:t xml:space="preserve"> Manajer Investasi yang termasuk dalam peringkat </w:t>
            </w:r>
            <w:r w:rsidRPr="00306115">
              <w:rPr>
                <w:i/>
                <w:color w:val="000000" w:themeColor="text1"/>
                <w:szCs w:val="24"/>
              </w:rPr>
              <w:t xml:space="preserve">Strong </w:t>
            </w:r>
            <w:r w:rsidRPr="00306115">
              <w:rPr>
                <w:color w:val="000000" w:themeColor="text1"/>
                <w:szCs w:val="24"/>
              </w:rPr>
              <w:t>(1) antara lain sebagai berikut:</w:t>
            </w:r>
          </w:p>
          <w:p w14:paraId="54E0856E" w14:textId="77777777" w:rsidR="00542CCC" w:rsidRPr="00306115" w:rsidRDefault="00542CCC">
            <w:pPr>
              <w:pStyle w:val="ListParagraph"/>
              <w:numPr>
                <w:ilvl w:val="0"/>
                <w:numId w:val="412"/>
              </w:numPr>
              <w:ind w:left="709" w:right="142" w:hanging="567"/>
              <w:contextualSpacing w:val="0"/>
              <w:rPr>
                <w:color w:val="000000" w:themeColor="text1"/>
                <w:szCs w:val="24"/>
              </w:rPr>
            </w:pPr>
            <w:r w:rsidRPr="00306115">
              <w:rPr>
                <w:color w:val="000000" w:themeColor="text1"/>
                <w:szCs w:val="24"/>
              </w:rPr>
              <w:t>Perumusan tingkat risiko yang akan diambil (</w:t>
            </w:r>
            <w:r w:rsidRPr="00306115">
              <w:rPr>
                <w:i/>
                <w:iCs/>
                <w:color w:val="000000" w:themeColor="text1"/>
                <w:szCs w:val="24"/>
              </w:rPr>
              <w:t>risk appetite</w:t>
            </w:r>
            <w:r w:rsidRPr="00306115">
              <w:rPr>
                <w:color w:val="000000" w:themeColor="text1"/>
                <w:szCs w:val="24"/>
              </w:rPr>
              <w:t>) dan toleransi (</w:t>
            </w:r>
            <w:r w:rsidRPr="00306115">
              <w:rPr>
                <w:i/>
                <w:iCs/>
                <w:color w:val="000000" w:themeColor="text1"/>
                <w:szCs w:val="24"/>
              </w:rPr>
              <w:t>risk tolerance</w:t>
            </w:r>
            <w:r w:rsidRPr="00306115">
              <w:rPr>
                <w:color w:val="000000" w:themeColor="text1"/>
                <w:szCs w:val="24"/>
              </w:rPr>
              <w:t>) Risiko Investasi sangat memadai dan telah sejalan dengan strategi dan tujuan bisnis secara keseluruhan.</w:t>
            </w:r>
          </w:p>
          <w:p w14:paraId="446BB6FC" w14:textId="77777777" w:rsidR="00542CCC" w:rsidRPr="00306115" w:rsidRDefault="00542CCC">
            <w:pPr>
              <w:pStyle w:val="ListParagraph"/>
              <w:numPr>
                <w:ilvl w:val="0"/>
                <w:numId w:val="412"/>
              </w:numPr>
              <w:ind w:left="709" w:right="142" w:hanging="567"/>
              <w:contextualSpacing w:val="0"/>
              <w:rPr>
                <w:color w:val="000000" w:themeColor="text1"/>
                <w:szCs w:val="24"/>
              </w:rPr>
            </w:pPr>
            <w:r w:rsidRPr="00306115">
              <w:rPr>
                <w:color w:val="000000" w:themeColor="text1"/>
                <w:szCs w:val="24"/>
              </w:rPr>
              <w:t>Kesadaran (</w:t>
            </w:r>
            <w:r w:rsidRPr="00306115">
              <w:rPr>
                <w:i/>
                <w:color w:val="000000" w:themeColor="text1"/>
                <w:szCs w:val="24"/>
              </w:rPr>
              <w:t>awareness</w:t>
            </w:r>
            <w:r w:rsidRPr="00306115">
              <w:rPr>
                <w:color w:val="000000" w:themeColor="text1"/>
                <w:szCs w:val="24"/>
              </w:rPr>
              <w:t>) dan pemahaman Direksi dan Dewan Komisaris sangat tinggi atau sangat memadai mengenai pelaksanaan Manajemen Risiko, terutama terkait jenis dan tingkat risiko untuk untuk Risiko Investasi</w:t>
            </w:r>
          </w:p>
          <w:p w14:paraId="7357BC35" w14:textId="77777777" w:rsidR="00542CCC" w:rsidRPr="00306115" w:rsidRDefault="00542CCC">
            <w:pPr>
              <w:pStyle w:val="ListParagraph"/>
              <w:numPr>
                <w:ilvl w:val="0"/>
                <w:numId w:val="412"/>
              </w:numPr>
              <w:ind w:left="709" w:right="142" w:hanging="567"/>
              <w:contextualSpacing w:val="0"/>
              <w:rPr>
                <w:color w:val="000000" w:themeColor="text1"/>
                <w:szCs w:val="24"/>
              </w:rPr>
            </w:pPr>
            <w:r w:rsidRPr="00306115">
              <w:rPr>
                <w:color w:val="000000" w:themeColor="text1"/>
                <w:szCs w:val="24"/>
              </w:rPr>
              <w:t xml:space="preserve">Budaya Manajemen Risiko untuk Risiko Investasi sangat kuat dan telah diinternalisasikan dengan sangat baik pada seluruh level organisasi. </w:t>
            </w:r>
          </w:p>
          <w:p w14:paraId="07DC3538" w14:textId="77777777" w:rsidR="00542CCC" w:rsidRPr="00306115" w:rsidRDefault="00542CCC">
            <w:pPr>
              <w:pStyle w:val="ListParagraph"/>
              <w:numPr>
                <w:ilvl w:val="0"/>
                <w:numId w:val="412"/>
              </w:numPr>
              <w:ind w:left="709" w:right="142" w:hanging="567"/>
              <w:contextualSpacing w:val="0"/>
              <w:rPr>
                <w:color w:val="000000" w:themeColor="text1"/>
                <w:szCs w:val="24"/>
              </w:rPr>
            </w:pPr>
            <w:r w:rsidRPr="00306115">
              <w:rPr>
                <w:color w:val="000000" w:themeColor="text1"/>
                <w:szCs w:val="24"/>
              </w:rPr>
              <w:t>Pelaksanaan tugas Direksi dan Dewan Komisaris secara keseluruhan sangat memadai.</w:t>
            </w:r>
          </w:p>
          <w:p w14:paraId="25F2517A" w14:textId="77777777" w:rsidR="00542CCC" w:rsidRPr="00306115" w:rsidRDefault="00542CCC">
            <w:pPr>
              <w:pStyle w:val="ListParagraph"/>
              <w:numPr>
                <w:ilvl w:val="0"/>
                <w:numId w:val="412"/>
              </w:numPr>
              <w:ind w:left="709" w:right="142" w:hanging="567"/>
              <w:contextualSpacing w:val="0"/>
              <w:rPr>
                <w:color w:val="000000" w:themeColor="text1"/>
                <w:szCs w:val="24"/>
              </w:rPr>
            </w:pPr>
            <w:r w:rsidRPr="00306115">
              <w:rPr>
                <w:color w:val="000000" w:themeColor="text1"/>
                <w:szCs w:val="24"/>
              </w:rPr>
              <w:t xml:space="preserve">Fungsi Manajemen Risiko untuk Risiko Investasi independen, memiliki tugas dan tanggung jawab yang jelas, dan telah berjalan dengan sangat baik. </w:t>
            </w:r>
          </w:p>
          <w:p w14:paraId="5C2C8EA2" w14:textId="77777777" w:rsidR="00542CCC" w:rsidRPr="00306115" w:rsidRDefault="00542CCC">
            <w:pPr>
              <w:pStyle w:val="ListParagraph"/>
              <w:numPr>
                <w:ilvl w:val="0"/>
                <w:numId w:val="412"/>
              </w:numPr>
              <w:ind w:left="709" w:right="142" w:hanging="567"/>
              <w:contextualSpacing w:val="0"/>
              <w:rPr>
                <w:color w:val="000000" w:themeColor="text1"/>
                <w:szCs w:val="24"/>
              </w:rPr>
            </w:pPr>
            <w:r w:rsidRPr="00306115">
              <w:rPr>
                <w:color w:val="000000" w:themeColor="text1"/>
                <w:szCs w:val="24"/>
              </w:rPr>
              <w:t>Kerangka pedelegasian wewenang sangat memadai.</w:t>
            </w:r>
          </w:p>
          <w:p w14:paraId="3468CA79" w14:textId="77777777" w:rsidR="00542CCC" w:rsidRPr="00306115" w:rsidRDefault="00542CCC">
            <w:pPr>
              <w:pStyle w:val="ListParagraph"/>
              <w:numPr>
                <w:ilvl w:val="0"/>
                <w:numId w:val="412"/>
              </w:numPr>
              <w:ind w:left="709" w:right="142" w:hanging="567"/>
              <w:contextualSpacing w:val="0"/>
              <w:rPr>
                <w:color w:val="000000" w:themeColor="text1"/>
                <w:szCs w:val="24"/>
              </w:rPr>
            </w:pPr>
            <w:r w:rsidRPr="00306115">
              <w:rPr>
                <w:color w:val="000000" w:themeColor="text1"/>
                <w:szCs w:val="24"/>
              </w:rPr>
              <w:t xml:space="preserve">Strategi Manajemen Risiko untuk Risiko Investasi sangat memadai dan sangat sejalan dengan tingkat risiko yang akan diambil dan toleransi risiko. </w:t>
            </w:r>
          </w:p>
          <w:p w14:paraId="332C53D5" w14:textId="77777777" w:rsidR="00542CCC" w:rsidRPr="00306115" w:rsidRDefault="00542CCC">
            <w:pPr>
              <w:pStyle w:val="ListParagraph"/>
              <w:numPr>
                <w:ilvl w:val="0"/>
                <w:numId w:val="412"/>
              </w:numPr>
              <w:ind w:left="709" w:right="142" w:hanging="567"/>
              <w:contextualSpacing w:val="0"/>
              <w:rPr>
                <w:color w:val="000000" w:themeColor="text1"/>
                <w:szCs w:val="24"/>
              </w:rPr>
            </w:pPr>
            <w:r w:rsidRPr="00306115">
              <w:rPr>
                <w:color w:val="000000" w:themeColor="text1"/>
                <w:szCs w:val="24"/>
              </w:rPr>
              <w:t>Kebijakan dan prosedur Manajemen Risiko serta penetapan limit Risiko Investasi sangat memadai, diterapkan dengan sangat baik, dan dipahami dengan sangat baik oleh pegawai.</w:t>
            </w:r>
          </w:p>
          <w:p w14:paraId="4698DDFB" w14:textId="77777777" w:rsidR="00542CCC" w:rsidRPr="00306115" w:rsidRDefault="00542CCC">
            <w:pPr>
              <w:pStyle w:val="ListParagraph"/>
              <w:numPr>
                <w:ilvl w:val="0"/>
                <w:numId w:val="412"/>
              </w:numPr>
              <w:ind w:left="709" w:right="142" w:hanging="567"/>
              <w:contextualSpacing w:val="0"/>
              <w:rPr>
                <w:color w:val="000000" w:themeColor="text1"/>
                <w:szCs w:val="24"/>
              </w:rPr>
            </w:pPr>
            <w:r w:rsidRPr="00306115">
              <w:rPr>
                <w:color w:val="000000" w:themeColor="text1"/>
                <w:szCs w:val="24"/>
              </w:rPr>
              <w:lastRenderedPageBreak/>
              <w:t>Proses Manajemen Risiko untuk Risiko Investasi sangat memadai dalam mengidentifikasi, mengukur, memantau, dan mengendalikan Risiko Investasi.</w:t>
            </w:r>
          </w:p>
          <w:p w14:paraId="7188CA96" w14:textId="77777777" w:rsidR="00542CCC" w:rsidRPr="00306115" w:rsidRDefault="00542CCC">
            <w:pPr>
              <w:pStyle w:val="ListParagraph"/>
              <w:numPr>
                <w:ilvl w:val="0"/>
                <w:numId w:val="412"/>
              </w:numPr>
              <w:ind w:left="709" w:right="142" w:hanging="567"/>
              <w:contextualSpacing w:val="0"/>
              <w:rPr>
                <w:color w:val="000000" w:themeColor="text1"/>
                <w:szCs w:val="24"/>
              </w:rPr>
            </w:pPr>
            <w:r w:rsidRPr="00306115">
              <w:rPr>
                <w:color w:val="000000" w:themeColor="text1"/>
                <w:szCs w:val="24"/>
              </w:rPr>
              <w:t>Sistem Informasi Manajemen Risiko untuk Risiko Investasi sangat baik dalam menghasilkan informasi dan laporan Risiko Investasi yang komprehensif.</w:t>
            </w:r>
          </w:p>
          <w:p w14:paraId="27D0C59E" w14:textId="77777777" w:rsidR="00542CCC" w:rsidRPr="00306115" w:rsidRDefault="00542CCC">
            <w:pPr>
              <w:pStyle w:val="ListParagraph"/>
              <w:numPr>
                <w:ilvl w:val="0"/>
                <w:numId w:val="412"/>
              </w:numPr>
              <w:ind w:left="709" w:right="142" w:hanging="567"/>
              <w:contextualSpacing w:val="0"/>
              <w:rPr>
                <w:color w:val="000000" w:themeColor="text1"/>
                <w:szCs w:val="24"/>
              </w:rPr>
            </w:pPr>
            <w:r w:rsidRPr="00306115">
              <w:rPr>
                <w:color w:val="000000" w:themeColor="text1"/>
                <w:szCs w:val="24"/>
              </w:rPr>
              <w:t>Secara umum sumber daya manusia sangat memadai baik dari sisi kuantitas jumlah maupun kompetensi pada fungsi Manajemen Risiko untuk Risiko Investasi.</w:t>
            </w:r>
          </w:p>
          <w:p w14:paraId="0F3A123F" w14:textId="77777777" w:rsidR="00542CCC" w:rsidRPr="00306115" w:rsidRDefault="00542CCC">
            <w:pPr>
              <w:pStyle w:val="ListParagraph"/>
              <w:numPr>
                <w:ilvl w:val="0"/>
                <w:numId w:val="412"/>
              </w:numPr>
              <w:ind w:left="709" w:right="142" w:hanging="567"/>
              <w:contextualSpacing w:val="0"/>
              <w:rPr>
                <w:color w:val="000000" w:themeColor="text1"/>
                <w:szCs w:val="24"/>
              </w:rPr>
            </w:pPr>
            <w:r w:rsidRPr="00306115">
              <w:rPr>
                <w:color w:val="000000" w:themeColor="text1"/>
                <w:szCs w:val="24"/>
              </w:rPr>
              <w:t>Sistem pengendalian internal sangat efektif dalam mendukung pelaksanaan Manajemen Risiko untuk Risiko Investasi.</w:t>
            </w:r>
          </w:p>
          <w:p w14:paraId="41DAB82E" w14:textId="57EC76EC" w:rsidR="00542CCC" w:rsidRPr="00306115" w:rsidRDefault="00542CCC">
            <w:pPr>
              <w:pStyle w:val="ListParagraph"/>
              <w:numPr>
                <w:ilvl w:val="0"/>
                <w:numId w:val="412"/>
              </w:numPr>
              <w:ind w:left="709" w:right="142" w:hanging="567"/>
              <w:contextualSpacing w:val="0"/>
              <w:rPr>
                <w:color w:val="000000" w:themeColor="text1"/>
                <w:szCs w:val="24"/>
              </w:rPr>
            </w:pPr>
            <w:r w:rsidRPr="00306115">
              <w:rPr>
                <w:color w:val="000000" w:themeColor="text1"/>
                <w:szCs w:val="24"/>
              </w:rPr>
              <w:t xml:space="preserve">Pelaksanaan kaji ulang oleh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 xml:space="preserve">dan fungsi audit internal sangat memadai baik dari metodologi, frekuensi, maupun pelaporan kepada Direksi dan Dewan Komisaris. </w:t>
            </w:r>
          </w:p>
          <w:p w14:paraId="7ED88683" w14:textId="77777777" w:rsidR="00542CCC" w:rsidRPr="00306115" w:rsidRDefault="00542CCC">
            <w:pPr>
              <w:pStyle w:val="ListParagraph"/>
              <w:numPr>
                <w:ilvl w:val="0"/>
                <w:numId w:val="412"/>
              </w:numPr>
              <w:ind w:left="709" w:right="142" w:hanging="567"/>
              <w:contextualSpacing w:val="0"/>
              <w:rPr>
                <w:color w:val="000000" w:themeColor="text1"/>
                <w:szCs w:val="24"/>
              </w:rPr>
            </w:pPr>
            <w:r w:rsidRPr="00306115">
              <w:rPr>
                <w:color w:val="000000" w:themeColor="text1"/>
                <w:szCs w:val="24"/>
              </w:rPr>
              <w:t>Tindak lanjut atas kaji ulang telah dilaksanakan dengan sangat memadai.</w:t>
            </w:r>
          </w:p>
        </w:tc>
      </w:tr>
      <w:tr w:rsidR="00542CCC" w:rsidRPr="00306115" w14:paraId="5229AEFA" w14:textId="77777777" w:rsidTr="00542CCC">
        <w:tc>
          <w:tcPr>
            <w:tcW w:w="2127" w:type="dxa"/>
          </w:tcPr>
          <w:p w14:paraId="3A5F55FB" w14:textId="77777777" w:rsidR="00542CCC" w:rsidRPr="00306115" w:rsidRDefault="00542CCC" w:rsidP="00542CCC">
            <w:pPr>
              <w:pStyle w:val="BodyText"/>
              <w:numPr>
                <w:ilvl w:val="0"/>
                <w:numId w:val="0"/>
              </w:numPr>
              <w:spacing w:before="60" w:after="60"/>
              <w:ind w:left="142" w:right="142"/>
              <w:jc w:val="center"/>
              <w:rPr>
                <w:color w:val="000000" w:themeColor="text1"/>
              </w:rPr>
            </w:pPr>
            <w:r w:rsidRPr="00306115">
              <w:rPr>
                <w:i/>
                <w:iCs/>
                <w:color w:val="000000" w:themeColor="text1"/>
              </w:rPr>
              <w:lastRenderedPageBreak/>
              <w:t>Satisfactory</w:t>
            </w:r>
            <w:r w:rsidRPr="00306115">
              <w:rPr>
                <w:color w:val="000000" w:themeColor="text1"/>
              </w:rPr>
              <w:t xml:space="preserve"> (2)</w:t>
            </w:r>
          </w:p>
        </w:tc>
        <w:tc>
          <w:tcPr>
            <w:tcW w:w="5805" w:type="dxa"/>
          </w:tcPr>
          <w:p w14:paraId="767248F6" w14:textId="77777777" w:rsidR="00542CCC" w:rsidRPr="00306115" w:rsidRDefault="00542CCC" w:rsidP="00542CCC">
            <w:pPr>
              <w:ind w:left="142" w:right="142"/>
              <w:rPr>
                <w:color w:val="000000" w:themeColor="text1"/>
                <w:szCs w:val="24"/>
              </w:rPr>
            </w:pPr>
            <w:r w:rsidRPr="00306115">
              <w:rPr>
                <w:color w:val="000000" w:themeColor="text1"/>
                <w:szCs w:val="24"/>
              </w:rPr>
              <w:t>Kualitas penerapan Manajemen Risiko untuk Risiko Investasi memadai. Terdapat beberapa kelemahan minor, tetapi kelemahan tersebut dapat diselesaikan pada aktivitas kegiatan usaha normal.</w:t>
            </w:r>
          </w:p>
          <w:p w14:paraId="1965E9D9" w14:textId="3693B002" w:rsidR="00542CCC" w:rsidRPr="00306115" w:rsidRDefault="00542CCC" w:rsidP="00542CCC">
            <w:pPr>
              <w:ind w:left="142" w:right="142"/>
              <w:rPr>
                <w:color w:val="000000" w:themeColor="text1"/>
                <w:szCs w:val="24"/>
              </w:rPr>
            </w:pPr>
            <w:r w:rsidRPr="00306115">
              <w:rPr>
                <w:color w:val="000000" w:themeColor="text1"/>
                <w:szCs w:val="24"/>
              </w:rPr>
              <w:t xml:space="preserve">Contoh </w:t>
            </w:r>
            <w:r w:rsidR="00764ECF" w:rsidRPr="00306115">
              <w:rPr>
                <w:color w:val="000000" w:themeColor="text1"/>
                <w:szCs w:val="24"/>
              </w:rPr>
              <w:t>karakteristik/kondisi</w:t>
            </w:r>
            <w:r w:rsidRPr="00306115">
              <w:rPr>
                <w:color w:val="000000" w:themeColor="text1"/>
                <w:szCs w:val="24"/>
              </w:rPr>
              <w:t xml:space="preserve"> Manajer Investasi yang termasuk dalam peringkat </w:t>
            </w:r>
            <w:r w:rsidRPr="00306115">
              <w:rPr>
                <w:i/>
                <w:color w:val="000000" w:themeColor="text1"/>
                <w:szCs w:val="24"/>
              </w:rPr>
              <w:t xml:space="preserve">Satisfactory </w:t>
            </w:r>
            <w:r w:rsidRPr="00306115">
              <w:rPr>
                <w:color w:val="000000" w:themeColor="text1"/>
                <w:szCs w:val="24"/>
              </w:rPr>
              <w:t>(2) antara lain sebagai berikut:</w:t>
            </w:r>
          </w:p>
          <w:p w14:paraId="75C8F3A2" w14:textId="77777777" w:rsidR="00542CCC" w:rsidRPr="00306115" w:rsidRDefault="00542CCC">
            <w:pPr>
              <w:pStyle w:val="ListParagraph"/>
              <w:numPr>
                <w:ilvl w:val="0"/>
                <w:numId w:val="413"/>
              </w:numPr>
              <w:ind w:left="709" w:right="142" w:hanging="567"/>
              <w:contextualSpacing w:val="0"/>
              <w:rPr>
                <w:color w:val="000000" w:themeColor="text1"/>
                <w:szCs w:val="24"/>
              </w:rPr>
            </w:pPr>
            <w:r w:rsidRPr="00306115">
              <w:rPr>
                <w:color w:val="000000" w:themeColor="text1"/>
                <w:szCs w:val="24"/>
              </w:rPr>
              <w:t xml:space="preserve">Perumusan tingkat risiko yang akan diambil </w:t>
            </w:r>
            <w:r w:rsidRPr="00306115">
              <w:rPr>
                <w:i/>
                <w:iCs/>
                <w:color w:val="000000" w:themeColor="text1"/>
                <w:szCs w:val="24"/>
              </w:rPr>
              <w:t>(risk appetite)</w:t>
            </w:r>
            <w:r w:rsidRPr="00306115">
              <w:rPr>
                <w:color w:val="000000" w:themeColor="text1"/>
                <w:szCs w:val="24"/>
              </w:rPr>
              <w:t xml:space="preserve"> dan toleransi risiko </w:t>
            </w:r>
            <w:r w:rsidRPr="00306115">
              <w:rPr>
                <w:i/>
                <w:iCs/>
                <w:color w:val="000000" w:themeColor="text1"/>
                <w:szCs w:val="24"/>
              </w:rPr>
              <w:t>(risk tolerance)</w:t>
            </w:r>
            <w:r w:rsidRPr="00306115">
              <w:rPr>
                <w:color w:val="000000" w:themeColor="text1"/>
                <w:szCs w:val="24"/>
              </w:rPr>
              <w:t xml:space="preserve"> Investasi memadai dan telah sejalan dengan strategi dan tujuan bisnis secara keseluruhan.</w:t>
            </w:r>
          </w:p>
          <w:p w14:paraId="39378AD5" w14:textId="5A89CC90" w:rsidR="00542CCC" w:rsidRPr="00306115" w:rsidRDefault="00542CCC">
            <w:pPr>
              <w:pStyle w:val="ListParagraph"/>
              <w:numPr>
                <w:ilvl w:val="0"/>
                <w:numId w:val="413"/>
              </w:numPr>
              <w:ind w:left="709" w:right="142" w:hanging="567"/>
              <w:contextualSpacing w:val="0"/>
              <w:rPr>
                <w:strike/>
                <w:color w:val="000000" w:themeColor="text1"/>
                <w:szCs w:val="24"/>
              </w:rPr>
            </w:pPr>
            <w:r w:rsidRPr="00306115">
              <w:rPr>
                <w:color w:val="000000" w:themeColor="text1"/>
                <w:szCs w:val="24"/>
              </w:rPr>
              <w:t>Kesadaran (</w:t>
            </w:r>
            <w:r w:rsidRPr="00306115">
              <w:rPr>
                <w:i/>
                <w:color w:val="000000" w:themeColor="text1"/>
                <w:szCs w:val="24"/>
              </w:rPr>
              <w:t>awareness</w:t>
            </w:r>
            <w:r w:rsidRPr="00306115">
              <w:rPr>
                <w:color w:val="000000" w:themeColor="text1"/>
                <w:szCs w:val="24"/>
              </w:rPr>
              <w:t>) dan pemahaman Direksi dan Dewan Komisaris tinggi atau memadai mengenai pelaksanaan Manajemen Risiko, terutama terkait jenis dan tingkat risiko untuk untuk Risiko Investasi</w:t>
            </w:r>
            <w:r w:rsidR="00306115" w:rsidRPr="00306115">
              <w:rPr>
                <w:color w:val="000000" w:themeColor="text1"/>
                <w:szCs w:val="24"/>
              </w:rPr>
              <w:t>.</w:t>
            </w:r>
          </w:p>
          <w:p w14:paraId="22D5E652" w14:textId="77777777" w:rsidR="00542CCC" w:rsidRPr="00306115" w:rsidRDefault="00542CCC">
            <w:pPr>
              <w:pStyle w:val="ListParagraph"/>
              <w:numPr>
                <w:ilvl w:val="0"/>
                <w:numId w:val="413"/>
              </w:numPr>
              <w:ind w:left="709" w:right="142" w:hanging="567"/>
              <w:contextualSpacing w:val="0"/>
              <w:rPr>
                <w:color w:val="000000" w:themeColor="text1"/>
                <w:szCs w:val="24"/>
              </w:rPr>
            </w:pPr>
            <w:r w:rsidRPr="00306115">
              <w:rPr>
                <w:color w:val="000000" w:themeColor="text1"/>
                <w:szCs w:val="24"/>
              </w:rPr>
              <w:t>Budaya Manajemen Risiko untuk Risiko Investasi kuat dan telah diinternalisasikan dengan baik pada seluruh level organisasi.</w:t>
            </w:r>
          </w:p>
          <w:p w14:paraId="02F1A292" w14:textId="77777777" w:rsidR="00542CCC" w:rsidRPr="00306115" w:rsidRDefault="00542CCC">
            <w:pPr>
              <w:pStyle w:val="ListParagraph"/>
              <w:numPr>
                <w:ilvl w:val="0"/>
                <w:numId w:val="413"/>
              </w:numPr>
              <w:ind w:left="709" w:right="142" w:hanging="567"/>
              <w:contextualSpacing w:val="0"/>
              <w:rPr>
                <w:color w:val="000000" w:themeColor="text1"/>
                <w:szCs w:val="24"/>
              </w:rPr>
            </w:pPr>
            <w:r w:rsidRPr="00306115">
              <w:rPr>
                <w:color w:val="000000" w:themeColor="text1"/>
                <w:szCs w:val="24"/>
              </w:rPr>
              <w:t xml:space="preserve">Pelaksanaan tugas Direksi dan Dewan Komisaris secara keseluruhan memadai. Terdapat beberapa </w:t>
            </w:r>
            <w:r w:rsidRPr="00306115">
              <w:rPr>
                <w:color w:val="000000" w:themeColor="text1"/>
                <w:szCs w:val="24"/>
              </w:rPr>
              <w:lastRenderedPageBreak/>
              <w:t>kelemahan yang tidak signifikan dan dapat diperbaiki dengan segera.</w:t>
            </w:r>
          </w:p>
          <w:p w14:paraId="0AF67928" w14:textId="77777777" w:rsidR="00542CCC" w:rsidRPr="00306115" w:rsidRDefault="00542CCC">
            <w:pPr>
              <w:pStyle w:val="ListParagraph"/>
              <w:numPr>
                <w:ilvl w:val="0"/>
                <w:numId w:val="413"/>
              </w:numPr>
              <w:ind w:left="709" w:right="142" w:hanging="567"/>
              <w:contextualSpacing w:val="0"/>
              <w:rPr>
                <w:color w:val="000000" w:themeColor="text1"/>
                <w:szCs w:val="24"/>
              </w:rPr>
            </w:pPr>
            <w:r w:rsidRPr="00306115">
              <w:rPr>
                <w:color w:val="000000" w:themeColor="text1"/>
                <w:szCs w:val="24"/>
              </w:rPr>
              <w:t>Fungsi Manajemen Risiko untuk Risiko Investasi independen, memiliki tugas dan tanggung jawab yang jelas, dan telah berjalan dengan baik. Terdapat kelemahan minor yang dapat diselesaikan pada aktivitas kegiatan usaha normal.</w:t>
            </w:r>
          </w:p>
          <w:p w14:paraId="2C92BD44" w14:textId="77777777" w:rsidR="00542CCC" w:rsidRPr="00306115" w:rsidRDefault="00542CCC">
            <w:pPr>
              <w:pStyle w:val="ListParagraph"/>
              <w:numPr>
                <w:ilvl w:val="0"/>
                <w:numId w:val="413"/>
              </w:numPr>
              <w:ind w:left="709" w:right="142" w:hanging="567"/>
              <w:contextualSpacing w:val="0"/>
              <w:rPr>
                <w:color w:val="000000" w:themeColor="text1"/>
                <w:szCs w:val="24"/>
              </w:rPr>
            </w:pPr>
            <w:r w:rsidRPr="00306115">
              <w:rPr>
                <w:color w:val="000000" w:themeColor="text1"/>
                <w:szCs w:val="24"/>
              </w:rPr>
              <w:t>Kerangka pedelegasian wewenang memadai.</w:t>
            </w:r>
          </w:p>
          <w:p w14:paraId="147399FC" w14:textId="77777777" w:rsidR="00542CCC" w:rsidRPr="00306115" w:rsidRDefault="00542CCC">
            <w:pPr>
              <w:pStyle w:val="ListParagraph"/>
              <w:numPr>
                <w:ilvl w:val="0"/>
                <w:numId w:val="413"/>
              </w:numPr>
              <w:ind w:left="709" w:right="142" w:hanging="567"/>
              <w:contextualSpacing w:val="0"/>
              <w:rPr>
                <w:color w:val="000000" w:themeColor="text1"/>
                <w:szCs w:val="24"/>
              </w:rPr>
            </w:pPr>
            <w:r w:rsidRPr="00306115">
              <w:rPr>
                <w:color w:val="000000" w:themeColor="text1"/>
                <w:szCs w:val="24"/>
              </w:rPr>
              <w:t>Strategi Manajemen Risiko untuk Risiko Investasi memadai dan sejalan dengan tingkat risiko yang akan diambil dan toleransi risiko.</w:t>
            </w:r>
          </w:p>
          <w:p w14:paraId="31E71D4B" w14:textId="77777777" w:rsidR="00542CCC" w:rsidRPr="00306115" w:rsidRDefault="00542CCC">
            <w:pPr>
              <w:pStyle w:val="ListParagraph"/>
              <w:numPr>
                <w:ilvl w:val="0"/>
                <w:numId w:val="413"/>
              </w:numPr>
              <w:ind w:left="709" w:right="142" w:hanging="567"/>
              <w:contextualSpacing w:val="0"/>
              <w:rPr>
                <w:color w:val="000000" w:themeColor="text1"/>
                <w:szCs w:val="24"/>
              </w:rPr>
            </w:pPr>
            <w:r w:rsidRPr="00306115">
              <w:rPr>
                <w:color w:val="000000" w:themeColor="text1"/>
                <w:szCs w:val="24"/>
              </w:rPr>
              <w:t>Kebijakan dan prosedur Manajemen Risiko serta penetapan limit Risiko Investasi memadai, diterapkan dengan baik, dan dipahami dengan baik oleh pegawai.</w:t>
            </w:r>
          </w:p>
          <w:p w14:paraId="0A5BA60C" w14:textId="77777777" w:rsidR="00542CCC" w:rsidRPr="00306115" w:rsidRDefault="00542CCC">
            <w:pPr>
              <w:pStyle w:val="ListParagraph"/>
              <w:numPr>
                <w:ilvl w:val="0"/>
                <w:numId w:val="413"/>
              </w:numPr>
              <w:ind w:left="709" w:right="142" w:hanging="567"/>
              <w:contextualSpacing w:val="0"/>
              <w:rPr>
                <w:color w:val="000000" w:themeColor="text1"/>
                <w:szCs w:val="24"/>
              </w:rPr>
            </w:pPr>
            <w:r w:rsidRPr="00306115">
              <w:rPr>
                <w:color w:val="000000" w:themeColor="text1"/>
                <w:szCs w:val="24"/>
              </w:rPr>
              <w:t>Proses Manajemen Risiko untuk Risiko Investasi memadai dalam mengidentifikasi, mengukur, memantau, dan mengendalikan Risiko Investasi.</w:t>
            </w:r>
          </w:p>
          <w:p w14:paraId="78FDC361" w14:textId="77777777" w:rsidR="00542CCC" w:rsidRPr="00306115" w:rsidRDefault="00542CCC">
            <w:pPr>
              <w:pStyle w:val="ListParagraph"/>
              <w:numPr>
                <w:ilvl w:val="0"/>
                <w:numId w:val="413"/>
              </w:numPr>
              <w:ind w:left="709" w:right="142" w:hanging="567"/>
              <w:contextualSpacing w:val="0"/>
              <w:rPr>
                <w:color w:val="000000" w:themeColor="text1"/>
                <w:szCs w:val="24"/>
              </w:rPr>
            </w:pPr>
            <w:r w:rsidRPr="00306115">
              <w:rPr>
                <w:color w:val="000000" w:themeColor="text1"/>
                <w:szCs w:val="24"/>
              </w:rPr>
              <w:t>Sistem Informasi Manajemen Risiko untuk Risiko Investasi baik dalam menghasilkan informasi dan laporan Risiko Investasi yang komprehensif.</w:t>
            </w:r>
          </w:p>
          <w:p w14:paraId="3A3D5E75" w14:textId="77777777" w:rsidR="00542CCC" w:rsidRPr="00306115" w:rsidRDefault="00542CCC">
            <w:pPr>
              <w:pStyle w:val="ListParagraph"/>
              <w:numPr>
                <w:ilvl w:val="0"/>
                <w:numId w:val="413"/>
              </w:numPr>
              <w:ind w:left="709" w:right="142" w:hanging="567"/>
              <w:contextualSpacing w:val="0"/>
              <w:rPr>
                <w:color w:val="000000" w:themeColor="text1"/>
                <w:szCs w:val="24"/>
              </w:rPr>
            </w:pPr>
            <w:r w:rsidRPr="00306115">
              <w:rPr>
                <w:color w:val="000000" w:themeColor="text1"/>
                <w:szCs w:val="24"/>
              </w:rPr>
              <w:t>Secara umum sumber daya manusia memadai dari segi kuantitas maupun kompetensi pada fungsi Manajemen Risiko untuk Risiko Investasi.</w:t>
            </w:r>
          </w:p>
          <w:p w14:paraId="5F5D7443" w14:textId="77777777" w:rsidR="00542CCC" w:rsidRPr="00306115" w:rsidRDefault="00542CCC">
            <w:pPr>
              <w:pStyle w:val="ListParagraph"/>
              <w:numPr>
                <w:ilvl w:val="0"/>
                <w:numId w:val="413"/>
              </w:numPr>
              <w:ind w:left="709" w:right="142" w:hanging="567"/>
              <w:contextualSpacing w:val="0"/>
              <w:rPr>
                <w:color w:val="000000" w:themeColor="text1"/>
                <w:szCs w:val="24"/>
              </w:rPr>
            </w:pPr>
            <w:r w:rsidRPr="00306115">
              <w:rPr>
                <w:color w:val="000000" w:themeColor="text1"/>
                <w:szCs w:val="24"/>
              </w:rPr>
              <w:t>Sistem pengendalian internal efektif dalam mendukung pelaksanaan Manajemen Risiko untuk Risiko Investasi.</w:t>
            </w:r>
          </w:p>
          <w:p w14:paraId="1F420C4D" w14:textId="5333044A" w:rsidR="00542CCC" w:rsidRPr="00306115" w:rsidRDefault="00542CCC">
            <w:pPr>
              <w:pStyle w:val="ListParagraph"/>
              <w:numPr>
                <w:ilvl w:val="0"/>
                <w:numId w:val="413"/>
              </w:numPr>
              <w:ind w:left="709" w:right="142" w:hanging="567"/>
              <w:contextualSpacing w:val="0"/>
              <w:rPr>
                <w:color w:val="000000" w:themeColor="text1"/>
                <w:szCs w:val="24"/>
              </w:rPr>
            </w:pPr>
            <w:r w:rsidRPr="00306115">
              <w:rPr>
                <w:color w:val="000000" w:themeColor="text1"/>
                <w:szCs w:val="24"/>
              </w:rPr>
              <w:t xml:space="preserve">Pelaksanaan kaji ulang oleh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dan fungsi audit internal memadai baik dari metodologi, frekuensi, maupun pelaporan kepada Direksi dan Dewan Komisaris.</w:t>
            </w:r>
          </w:p>
          <w:p w14:paraId="43DEB745" w14:textId="77777777" w:rsidR="00542CCC" w:rsidRPr="00306115" w:rsidRDefault="00542CCC">
            <w:pPr>
              <w:pStyle w:val="ListParagraph"/>
              <w:numPr>
                <w:ilvl w:val="0"/>
                <w:numId w:val="413"/>
              </w:numPr>
              <w:ind w:left="709" w:right="142" w:hanging="567"/>
              <w:contextualSpacing w:val="0"/>
              <w:rPr>
                <w:color w:val="000000" w:themeColor="text1"/>
                <w:szCs w:val="24"/>
              </w:rPr>
            </w:pPr>
            <w:r w:rsidRPr="00306115">
              <w:rPr>
                <w:color w:val="000000" w:themeColor="text1"/>
                <w:szCs w:val="24"/>
              </w:rPr>
              <w:t>Tindak lanjut atas kaji ulang independen telah dilaksanakan dengan memadai.</w:t>
            </w:r>
          </w:p>
        </w:tc>
      </w:tr>
      <w:tr w:rsidR="00542CCC" w:rsidRPr="00306115" w14:paraId="38A454E5" w14:textId="77777777" w:rsidTr="00542CCC">
        <w:tc>
          <w:tcPr>
            <w:tcW w:w="2127" w:type="dxa"/>
          </w:tcPr>
          <w:p w14:paraId="242A8FA7" w14:textId="77777777" w:rsidR="00542CCC" w:rsidRPr="00306115" w:rsidRDefault="00542CCC" w:rsidP="00DB248A">
            <w:pPr>
              <w:pStyle w:val="BodyText"/>
              <w:numPr>
                <w:ilvl w:val="0"/>
                <w:numId w:val="0"/>
              </w:numPr>
              <w:spacing w:before="60" w:after="60"/>
              <w:ind w:left="142" w:right="142"/>
              <w:jc w:val="center"/>
              <w:rPr>
                <w:color w:val="000000" w:themeColor="text1"/>
              </w:rPr>
            </w:pPr>
            <w:r w:rsidRPr="00306115">
              <w:rPr>
                <w:i/>
                <w:iCs/>
                <w:color w:val="000000" w:themeColor="text1"/>
              </w:rPr>
              <w:lastRenderedPageBreak/>
              <w:t>Fair</w:t>
            </w:r>
            <w:r w:rsidRPr="00306115">
              <w:rPr>
                <w:color w:val="000000" w:themeColor="text1"/>
              </w:rPr>
              <w:t xml:space="preserve"> (3)</w:t>
            </w:r>
          </w:p>
        </w:tc>
        <w:tc>
          <w:tcPr>
            <w:tcW w:w="5805" w:type="dxa"/>
          </w:tcPr>
          <w:p w14:paraId="0FD5C38D" w14:textId="77777777" w:rsidR="00542CCC" w:rsidRPr="00306115" w:rsidRDefault="00542CCC" w:rsidP="00542CCC">
            <w:pPr>
              <w:ind w:left="142" w:right="142"/>
              <w:rPr>
                <w:color w:val="000000" w:themeColor="text1"/>
                <w:szCs w:val="24"/>
              </w:rPr>
            </w:pPr>
            <w:r w:rsidRPr="00306115">
              <w:rPr>
                <w:color w:val="000000" w:themeColor="text1"/>
                <w:szCs w:val="24"/>
              </w:rPr>
              <w:t>Kualitas penerapan Manajemen Risiko untuk Risiko Investasi cukup memadai. Meskipun persyaratan minimum terpenuhi, terdapat beberapa kelemahan yang cukup signifikan yang memerlukan perbaikan segera.</w:t>
            </w:r>
          </w:p>
          <w:p w14:paraId="16BBAF73" w14:textId="11BDF507" w:rsidR="00542CCC" w:rsidRPr="00306115" w:rsidRDefault="00542CCC" w:rsidP="00542CCC">
            <w:pPr>
              <w:ind w:left="142" w:right="142"/>
              <w:rPr>
                <w:color w:val="000000" w:themeColor="text1"/>
                <w:szCs w:val="24"/>
              </w:rPr>
            </w:pPr>
            <w:r w:rsidRPr="00306115">
              <w:rPr>
                <w:color w:val="000000" w:themeColor="text1"/>
                <w:szCs w:val="24"/>
              </w:rPr>
              <w:t xml:space="preserve">Contoh karakteristik </w:t>
            </w:r>
            <w:r w:rsidR="00764ECF" w:rsidRPr="00306115">
              <w:rPr>
                <w:color w:val="000000" w:themeColor="text1"/>
                <w:szCs w:val="24"/>
              </w:rPr>
              <w:t>karakteristik/kondisi</w:t>
            </w:r>
            <w:r w:rsidRPr="00306115">
              <w:rPr>
                <w:color w:val="000000" w:themeColor="text1"/>
                <w:szCs w:val="24"/>
              </w:rPr>
              <w:t xml:space="preserve"> Manajer Investasi yang termasuk dalam </w:t>
            </w:r>
            <w:r w:rsidRPr="00306115">
              <w:rPr>
                <w:color w:val="000000" w:themeColor="text1"/>
                <w:szCs w:val="24"/>
              </w:rPr>
              <w:lastRenderedPageBreak/>
              <w:t xml:space="preserve">peringkat </w:t>
            </w:r>
            <w:r w:rsidRPr="00306115">
              <w:rPr>
                <w:i/>
                <w:color w:val="000000" w:themeColor="text1"/>
                <w:szCs w:val="24"/>
              </w:rPr>
              <w:t xml:space="preserve">Fair </w:t>
            </w:r>
            <w:r w:rsidRPr="00306115">
              <w:rPr>
                <w:color w:val="000000" w:themeColor="text1"/>
                <w:szCs w:val="24"/>
              </w:rPr>
              <w:t>(3) ini antara lain sebagai berikut:</w:t>
            </w:r>
          </w:p>
          <w:p w14:paraId="39467D3C" w14:textId="77777777" w:rsidR="00542CCC" w:rsidRPr="00306115" w:rsidRDefault="00542CCC">
            <w:pPr>
              <w:numPr>
                <w:ilvl w:val="0"/>
                <w:numId w:val="414"/>
              </w:numPr>
              <w:ind w:left="709" w:right="142" w:hanging="567"/>
              <w:rPr>
                <w:color w:val="000000" w:themeColor="text1"/>
                <w:szCs w:val="24"/>
              </w:rPr>
            </w:pPr>
            <w:r w:rsidRPr="00306115">
              <w:rPr>
                <w:color w:val="000000" w:themeColor="text1"/>
                <w:szCs w:val="24"/>
              </w:rPr>
              <w:t>Perumusan tingkat Risiko yang akan diambil (</w:t>
            </w:r>
            <w:r w:rsidRPr="00306115">
              <w:rPr>
                <w:i/>
                <w:iCs/>
                <w:color w:val="000000" w:themeColor="text1"/>
                <w:szCs w:val="24"/>
              </w:rPr>
              <w:t>risk appetite</w:t>
            </w:r>
            <w:r w:rsidRPr="00306115">
              <w:rPr>
                <w:color w:val="000000" w:themeColor="text1"/>
                <w:szCs w:val="24"/>
              </w:rPr>
              <w:t>) dan toleransi Risiko (</w:t>
            </w:r>
            <w:r w:rsidRPr="00306115">
              <w:rPr>
                <w:i/>
                <w:iCs/>
                <w:color w:val="000000" w:themeColor="text1"/>
                <w:szCs w:val="24"/>
              </w:rPr>
              <w:t>risk tolerance</w:t>
            </w:r>
            <w:r w:rsidRPr="00306115">
              <w:rPr>
                <w:color w:val="000000" w:themeColor="text1"/>
                <w:szCs w:val="24"/>
              </w:rPr>
              <w:t>) cukup memadai tetapi tidak selalu sejalan dengan strategi dan tujuan bisnis secara keseluruhan.</w:t>
            </w:r>
          </w:p>
          <w:p w14:paraId="603F31F3" w14:textId="77777777" w:rsidR="00542CCC" w:rsidRPr="00306115" w:rsidRDefault="00542CCC">
            <w:pPr>
              <w:numPr>
                <w:ilvl w:val="0"/>
                <w:numId w:val="414"/>
              </w:numPr>
              <w:ind w:left="709" w:right="142" w:hanging="567"/>
              <w:rPr>
                <w:color w:val="000000" w:themeColor="text1"/>
                <w:szCs w:val="24"/>
              </w:rPr>
            </w:pPr>
            <w:r w:rsidRPr="00306115">
              <w:rPr>
                <w:color w:val="000000" w:themeColor="text1"/>
                <w:szCs w:val="24"/>
              </w:rPr>
              <w:t>Kesadaran (</w:t>
            </w:r>
            <w:r w:rsidRPr="00306115">
              <w:rPr>
                <w:i/>
                <w:color w:val="000000" w:themeColor="text1"/>
                <w:szCs w:val="24"/>
              </w:rPr>
              <w:t>awareness</w:t>
            </w:r>
            <w:r w:rsidRPr="00306115">
              <w:rPr>
                <w:color w:val="000000" w:themeColor="text1"/>
                <w:szCs w:val="24"/>
              </w:rPr>
              <w:t>) dan pemahaman Direksi dan Dewan Komisaris cukup tinggi atau cukup memadai mengenai pelaksanaan Manajemen Risiko, terutama terkait jenis dan tingkat risiko untuk untuk Risiko Investasi</w:t>
            </w:r>
          </w:p>
          <w:p w14:paraId="736C183B" w14:textId="77777777" w:rsidR="00542CCC" w:rsidRPr="00306115" w:rsidRDefault="00542CCC">
            <w:pPr>
              <w:numPr>
                <w:ilvl w:val="0"/>
                <w:numId w:val="414"/>
              </w:numPr>
              <w:ind w:left="709" w:right="142" w:hanging="567"/>
              <w:rPr>
                <w:color w:val="000000" w:themeColor="text1"/>
                <w:szCs w:val="24"/>
              </w:rPr>
            </w:pPr>
            <w:r w:rsidRPr="00306115">
              <w:rPr>
                <w:color w:val="000000" w:themeColor="text1"/>
                <w:szCs w:val="24"/>
              </w:rPr>
              <w:t>Budaya Manajemen Risiko untuk Risiko Investasi cukup kuat dan telah diinternalisasikan dengan cukup baik pada seluruh level organisasi.</w:t>
            </w:r>
          </w:p>
          <w:p w14:paraId="14EA914A" w14:textId="72D89287" w:rsidR="00542CCC" w:rsidRPr="00306115" w:rsidRDefault="00542CCC">
            <w:pPr>
              <w:numPr>
                <w:ilvl w:val="0"/>
                <w:numId w:val="414"/>
              </w:numPr>
              <w:ind w:left="709" w:right="142" w:hanging="567"/>
              <w:rPr>
                <w:color w:val="000000" w:themeColor="text1"/>
                <w:szCs w:val="24"/>
              </w:rPr>
            </w:pPr>
            <w:r w:rsidRPr="00306115">
              <w:rPr>
                <w:color w:val="000000" w:themeColor="text1"/>
                <w:szCs w:val="24"/>
              </w:rPr>
              <w:t>Pelaksanaan tugas Direksi dan Dewan Komisaris secara keseluruhan cukup memadai. Terdapat beberapa kelemahan yang cukup signifikan pada beberapa aspek penilaian yang memerlukan perbaikan segera.</w:t>
            </w:r>
          </w:p>
          <w:p w14:paraId="05D46F1F" w14:textId="77777777" w:rsidR="00542CCC" w:rsidRPr="00306115" w:rsidRDefault="00542CCC">
            <w:pPr>
              <w:numPr>
                <w:ilvl w:val="0"/>
                <w:numId w:val="414"/>
              </w:numPr>
              <w:ind w:left="709" w:right="142" w:hanging="567"/>
              <w:rPr>
                <w:color w:val="000000" w:themeColor="text1"/>
                <w:szCs w:val="24"/>
              </w:rPr>
            </w:pPr>
            <w:r w:rsidRPr="00306115">
              <w:rPr>
                <w:color w:val="000000" w:themeColor="text1"/>
                <w:szCs w:val="24"/>
              </w:rPr>
              <w:t>Fungsi Manajemen Risiko untuk Risiko Investasi independen, memiliki tugas dan tanggung jawab yang jelas, dan telah berjalan dengan cukup baik. Terdapat kelemahan yang cukup signifikan yang memerlukan perbaikan segera.</w:t>
            </w:r>
          </w:p>
          <w:p w14:paraId="41B7A452" w14:textId="77777777" w:rsidR="00542CCC" w:rsidRPr="00306115" w:rsidRDefault="00542CCC">
            <w:pPr>
              <w:numPr>
                <w:ilvl w:val="0"/>
                <w:numId w:val="414"/>
              </w:numPr>
              <w:ind w:left="709" w:right="142" w:hanging="567"/>
              <w:rPr>
                <w:color w:val="000000" w:themeColor="text1"/>
                <w:szCs w:val="24"/>
              </w:rPr>
            </w:pPr>
            <w:r w:rsidRPr="00306115">
              <w:rPr>
                <w:color w:val="000000" w:themeColor="text1"/>
                <w:szCs w:val="24"/>
              </w:rPr>
              <w:t>Kerangka pedelegasian wewenang cukup memadai.</w:t>
            </w:r>
          </w:p>
          <w:p w14:paraId="3D27B023" w14:textId="77777777" w:rsidR="00542CCC" w:rsidRPr="00306115" w:rsidRDefault="00542CCC">
            <w:pPr>
              <w:numPr>
                <w:ilvl w:val="0"/>
                <w:numId w:val="414"/>
              </w:numPr>
              <w:ind w:left="709" w:right="142" w:hanging="567"/>
              <w:rPr>
                <w:color w:val="000000" w:themeColor="text1"/>
                <w:szCs w:val="24"/>
              </w:rPr>
            </w:pPr>
            <w:r w:rsidRPr="00306115">
              <w:rPr>
                <w:color w:val="000000" w:themeColor="text1"/>
                <w:szCs w:val="24"/>
              </w:rPr>
              <w:t>Strategi Risiko Investasi cukup memadai dan cukup sejalan dengan tingkat risiko yang akan diambil dan toleransi risiko</w:t>
            </w:r>
          </w:p>
          <w:p w14:paraId="369CFA18" w14:textId="77777777" w:rsidR="00542CCC" w:rsidRPr="00306115" w:rsidRDefault="00542CCC">
            <w:pPr>
              <w:numPr>
                <w:ilvl w:val="0"/>
                <w:numId w:val="414"/>
              </w:numPr>
              <w:ind w:left="709" w:right="142" w:hanging="567"/>
              <w:rPr>
                <w:color w:val="000000" w:themeColor="text1"/>
                <w:szCs w:val="24"/>
              </w:rPr>
            </w:pPr>
            <w:r w:rsidRPr="00306115">
              <w:rPr>
                <w:color w:val="000000" w:themeColor="text1"/>
                <w:szCs w:val="24"/>
              </w:rPr>
              <w:t>Kebijakan dan prosedur Manajemen Risiko serta penetapan limit Risiko Investasi cukup memadai, diterapkan dengan cukup baik, dan dipahami dengan cukup baik oleh pegawai</w:t>
            </w:r>
          </w:p>
          <w:p w14:paraId="3F333A38" w14:textId="77777777" w:rsidR="00542CCC" w:rsidRPr="00306115" w:rsidRDefault="00542CCC">
            <w:pPr>
              <w:numPr>
                <w:ilvl w:val="0"/>
                <w:numId w:val="414"/>
              </w:numPr>
              <w:ind w:left="709" w:right="142" w:hanging="567"/>
              <w:rPr>
                <w:color w:val="000000" w:themeColor="text1"/>
                <w:szCs w:val="24"/>
              </w:rPr>
            </w:pPr>
            <w:r w:rsidRPr="00306115">
              <w:rPr>
                <w:color w:val="000000" w:themeColor="text1"/>
                <w:szCs w:val="24"/>
              </w:rPr>
              <w:t>Proses Manajemen Risiko untuk Risiko Investasi cukup memadai dalam mengidentifikasi, mengukur, memantau, dan mengendalikan Manajemen Risiko untuk Risiko Investasi.</w:t>
            </w:r>
          </w:p>
          <w:p w14:paraId="2B4D4578" w14:textId="77777777" w:rsidR="00542CCC" w:rsidRPr="00306115" w:rsidRDefault="00542CCC">
            <w:pPr>
              <w:numPr>
                <w:ilvl w:val="0"/>
                <w:numId w:val="414"/>
              </w:numPr>
              <w:ind w:left="709" w:right="142" w:hanging="567"/>
              <w:rPr>
                <w:color w:val="000000" w:themeColor="text1"/>
                <w:szCs w:val="24"/>
              </w:rPr>
            </w:pPr>
            <w:r w:rsidRPr="00306115">
              <w:rPr>
                <w:color w:val="000000" w:themeColor="text1"/>
                <w:szCs w:val="24"/>
              </w:rPr>
              <w:t>Sistem Informasi Manajemen Risiko untuk Risiko Investasi cukup baik dalam menghasilkan informasi dan laporan Risiko Investasi yang komprehensif.</w:t>
            </w:r>
          </w:p>
          <w:p w14:paraId="4E6EDF3D" w14:textId="77777777" w:rsidR="00542CCC" w:rsidRPr="00306115" w:rsidRDefault="00542CCC">
            <w:pPr>
              <w:numPr>
                <w:ilvl w:val="0"/>
                <w:numId w:val="414"/>
              </w:numPr>
              <w:ind w:left="709" w:right="142" w:hanging="567"/>
              <w:rPr>
                <w:color w:val="000000" w:themeColor="text1"/>
                <w:szCs w:val="24"/>
              </w:rPr>
            </w:pPr>
            <w:r w:rsidRPr="00306115">
              <w:rPr>
                <w:color w:val="000000" w:themeColor="text1"/>
                <w:szCs w:val="24"/>
              </w:rPr>
              <w:lastRenderedPageBreak/>
              <w:t>Secara umum sumber daya manusia cukup memadai dari sisi kuantitas maupun kompetensi pada fungsi Manajemen Risiko untuk Risiko Investasi.</w:t>
            </w:r>
          </w:p>
          <w:p w14:paraId="0E770E6A" w14:textId="77777777" w:rsidR="00542CCC" w:rsidRPr="00306115" w:rsidRDefault="00542CCC">
            <w:pPr>
              <w:numPr>
                <w:ilvl w:val="0"/>
                <w:numId w:val="414"/>
              </w:numPr>
              <w:ind w:left="709" w:right="142" w:hanging="567"/>
              <w:rPr>
                <w:color w:val="000000" w:themeColor="text1"/>
                <w:szCs w:val="24"/>
              </w:rPr>
            </w:pPr>
            <w:r w:rsidRPr="00306115">
              <w:rPr>
                <w:color w:val="000000" w:themeColor="text1"/>
                <w:szCs w:val="24"/>
              </w:rPr>
              <w:t>Sistem pengendalian internal cukup efektif dalam mendukung pelaksanaan Manajemen Risiko.</w:t>
            </w:r>
          </w:p>
          <w:p w14:paraId="0870B787" w14:textId="0EB0E219" w:rsidR="00542CCC" w:rsidRPr="00306115" w:rsidRDefault="00542CCC">
            <w:pPr>
              <w:numPr>
                <w:ilvl w:val="0"/>
                <w:numId w:val="414"/>
              </w:numPr>
              <w:ind w:left="709" w:right="142" w:hanging="567"/>
              <w:rPr>
                <w:color w:val="000000" w:themeColor="text1"/>
                <w:szCs w:val="24"/>
              </w:rPr>
            </w:pPr>
            <w:r w:rsidRPr="00306115">
              <w:rPr>
                <w:color w:val="000000" w:themeColor="text1"/>
                <w:szCs w:val="24"/>
              </w:rPr>
              <w:t xml:space="preserve">Pelaksanaan kaji ulang oleh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dan fungsi audit internal cukup memadai. Terdapat beberapa kelemahan yang cukup signifikan pada metodologi, frekuensi, maupun pelaporan kepada Direksi dan Dewan Komisaris yang memerlukan perbaikan segera.</w:t>
            </w:r>
          </w:p>
          <w:p w14:paraId="673D604D" w14:textId="77777777" w:rsidR="00542CCC" w:rsidRPr="00306115" w:rsidRDefault="00542CCC">
            <w:pPr>
              <w:numPr>
                <w:ilvl w:val="0"/>
                <w:numId w:val="414"/>
              </w:numPr>
              <w:ind w:left="709" w:right="142" w:hanging="567"/>
              <w:rPr>
                <w:color w:val="000000" w:themeColor="text1"/>
                <w:szCs w:val="24"/>
              </w:rPr>
            </w:pPr>
            <w:r w:rsidRPr="00306115">
              <w:rPr>
                <w:color w:val="000000" w:themeColor="text1"/>
                <w:szCs w:val="24"/>
              </w:rPr>
              <w:t>Tindak lanjut atas kaji ulang independen telah dilaksanakan dengan cukup memadai.</w:t>
            </w:r>
          </w:p>
        </w:tc>
      </w:tr>
      <w:tr w:rsidR="00542CCC" w:rsidRPr="00306115" w14:paraId="1C333B80" w14:textId="77777777" w:rsidTr="00542CCC">
        <w:tc>
          <w:tcPr>
            <w:tcW w:w="2127" w:type="dxa"/>
          </w:tcPr>
          <w:p w14:paraId="1359B6C0" w14:textId="77777777" w:rsidR="00542CCC" w:rsidRPr="00306115" w:rsidRDefault="00542CCC" w:rsidP="006D3D52">
            <w:pPr>
              <w:pStyle w:val="BodyText"/>
              <w:numPr>
                <w:ilvl w:val="0"/>
                <w:numId w:val="0"/>
              </w:numPr>
              <w:spacing w:before="60" w:after="60"/>
              <w:ind w:left="142" w:right="142"/>
              <w:jc w:val="center"/>
              <w:rPr>
                <w:color w:val="000000" w:themeColor="text1"/>
              </w:rPr>
            </w:pPr>
            <w:r w:rsidRPr="00306115">
              <w:rPr>
                <w:i/>
                <w:iCs/>
                <w:color w:val="000000" w:themeColor="text1"/>
              </w:rPr>
              <w:lastRenderedPageBreak/>
              <w:t>Marginal</w:t>
            </w:r>
            <w:r w:rsidRPr="00306115">
              <w:rPr>
                <w:color w:val="000000" w:themeColor="text1"/>
              </w:rPr>
              <w:t xml:space="preserve"> (4)</w:t>
            </w:r>
          </w:p>
        </w:tc>
        <w:tc>
          <w:tcPr>
            <w:tcW w:w="5805" w:type="dxa"/>
          </w:tcPr>
          <w:p w14:paraId="73C4AA41" w14:textId="77777777" w:rsidR="00542CCC" w:rsidRPr="00306115" w:rsidRDefault="00542CCC" w:rsidP="00542CCC">
            <w:pPr>
              <w:ind w:left="142" w:right="142"/>
              <w:rPr>
                <w:color w:val="000000" w:themeColor="text1"/>
                <w:szCs w:val="24"/>
              </w:rPr>
            </w:pPr>
            <w:r w:rsidRPr="00306115">
              <w:rPr>
                <w:color w:val="000000" w:themeColor="text1"/>
                <w:szCs w:val="24"/>
              </w:rPr>
              <w:t>Kualitas penerapan Manajemen Risiko untuk Risiko Investasi kurang memadai. Terdapat kelemahan signifikan pada berbagai aspek Manajemen Risiko untuk Risiko Investasi yang memerlukan perbaikan segera.</w:t>
            </w:r>
          </w:p>
          <w:p w14:paraId="5AC47CE4" w14:textId="73169184" w:rsidR="00542CCC" w:rsidRPr="00306115" w:rsidRDefault="00542CCC" w:rsidP="00542CCC">
            <w:pPr>
              <w:ind w:left="142" w:right="142"/>
              <w:rPr>
                <w:color w:val="000000" w:themeColor="text1"/>
                <w:szCs w:val="24"/>
              </w:rPr>
            </w:pPr>
            <w:r w:rsidRPr="00306115">
              <w:rPr>
                <w:color w:val="000000" w:themeColor="text1"/>
                <w:szCs w:val="24"/>
              </w:rPr>
              <w:t xml:space="preserve">Contoh </w:t>
            </w:r>
            <w:r w:rsidR="00764ECF" w:rsidRPr="00306115">
              <w:rPr>
                <w:color w:val="000000" w:themeColor="text1"/>
                <w:szCs w:val="24"/>
              </w:rPr>
              <w:t>karakteristik/kondisi</w:t>
            </w:r>
            <w:r w:rsidRPr="00306115">
              <w:rPr>
                <w:color w:val="000000" w:themeColor="text1"/>
                <w:szCs w:val="24"/>
              </w:rPr>
              <w:t xml:space="preserve"> Manajer Investasi yang termasuk dalam peringkat </w:t>
            </w:r>
            <w:r w:rsidRPr="00306115">
              <w:rPr>
                <w:i/>
                <w:color w:val="000000" w:themeColor="text1"/>
                <w:szCs w:val="24"/>
              </w:rPr>
              <w:t xml:space="preserve">Marginal </w:t>
            </w:r>
            <w:r w:rsidRPr="00306115">
              <w:rPr>
                <w:color w:val="000000" w:themeColor="text1"/>
                <w:szCs w:val="24"/>
              </w:rPr>
              <w:t>(4) antara lain sebagai berikut:</w:t>
            </w:r>
          </w:p>
          <w:p w14:paraId="3EF82BA4" w14:textId="77777777" w:rsidR="00542CCC" w:rsidRPr="00306115" w:rsidRDefault="00542CCC">
            <w:pPr>
              <w:numPr>
                <w:ilvl w:val="0"/>
                <w:numId w:val="415"/>
              </w:numPr>
              <w:ind w:left="709" w:right="142" w:hanging="567"/>
              <w:rPr>
                <w:color w:val="000000" w:themeColor="text1"/>
                <w:szCs w:val="24"/>
              </w:rPr>
            </w:pPr>
            <w:r w:rsidRPr="00306115">
              <w:rPr>
                <w:color w:val="000000" w:themeColor="text1"/>
                <w:szCs w:val="24"/>
              </w:rPr>
              <w:t>Perumusan tingkat Risiko yang akan diambil (</w:t>
            </w:r>
            <w:r w:rsidRPr="00306115">
              <w:rPr>
                <w:i/>
                <w:iCs/>
                <w:color w:val="000000" w:themeColor="text1"/>
                <w:szCs w:val="24"/>
              </w:rPr>
              <w:t>risk appetite</w:t>
            </w:r>
            <w:r w:rsidRPr="00306115">
              <w:rPr>
                <w:color w:val="000000" w:themeColor="text1"/>
                <w:szCs w:val="24"/>
              </w:rPr>
              <w:t>) dan toleransi Risiko (</w:t>
            </w:r>
            <w:r w:rsidRPr="00306115">
              <w:rPr>
                <w:i/>
                <w:iCs/>
                <w:color w:val="000000" w:themeColor="text1"/>
                <w:szCs w:val="24"/>
              </w:rPr>
              <w:t>risk tolerance</w:t>
            </w:r>
            <w:r w:rsidRPr="00306115">
              <w:rPr>
                <w:color w:val="000000" w:themeColor="text1"/>
                <w:szCs w:val="24"/>
              </w:rPr>
              <w:t>) kurang memadai serta tidak sejalan dengan strategi dan tujuan bisnis secara keseluruhan.</w:t>
            </w:r>
          </w:p>
          <w:p w14:paraId="51AF133C" w14:textId="77777777" w:rsidR="00542CCC" w:rsidRPr="00306115" w:rsidRDefault="00542CCC">
            <w:pPr>
              <w:numPr>
                <w:ilvl w:val="0"/>
                <w:numId w:val="415"/>
              </w:numPr>
              <w:ind w:left="709" w:right="142" w:hanging="567"/>
              <w:rPr>
                <w:color w:val="000000" w:themeColor="text1"/>
                <w:szCs w:val="24"/>
              </w:rPr>
            </w:pPr>
            <w:r w:rsidRPr="00306115">
              <w:rPr>
                <w:color w:val="000000" w:themeColor="text1"/>
                <w:szCs w:val="24"/>
              </w:rPr>
              <w:t>Kesadaran (</w:t>
            </w:r>
            <w:r w:rsidRPr="00306115">
              <w:rPr>
                <w:i/>
                <w:color w:val="000000" w:themeColor="text1"/>
                <w:szCs w:val="24"/>
              </w:rPr>
              <w:t>awareness</w:t>
            </w:r>
            <w:r w:rsidRPr="00306115">
              <w:rPr>
                <w:color w:val="000000" w:themeColor="text1"/>
                <w:szCs w:val="24"/>
              </w:rPr>
              <w:t>) dan pemahaman Direksi dan Dewan Komisaris rendah atau tidak memadai mengenai pelaksanaan Manajemen Risiko, terutama terkait jenis dan tingkat risiko untuk untuk Risiko Investasi.</w:t>
            </w:r>
          </w:p>
          <w:p w14:paraId="4481CAC6" w14:textId="77777777" w:rsidR="00542CCC" w:rsidRPr="00306115" w:rsidRDefault="00542CCC">
            <w:pPr>
              <w:numPr>
                <w:ilvl w:val="0"/>
                <w:numId w:val="415"/>
              </w:numPr>
              <w:ind w:left="709" w:right="142" w:hanging="567"/>
              <w:rPr>
                <w:color w:val="000000" w:themeColor="text1"/>
                <w:szCs w:val="24"/>
              </w:rPr>
            </w:pPr>
            <w:r w:rsidRPr="00306115">
              <w:rPr>
                <w:color w:val="000000" w:themeColor="text1"/>
                <w:szCs w:val="24"/>
              </w:rPr>
              <w:t>Budaya Manajemen Risiko untuk Risiko Investasi kurang kuat dan belum diinternalisasikan dengan baik pada setiap level organisasi.</w:t>
            </w:r>
          </w:p>
          <w:p w14:paraId="424CEFF0" w14:textId="77777777" w:rsidR="00542CCC" w:rsidRPr="00306115" w:rsidRDefault="00542CCC">
            <w:pPr>
              <w:numPr>
                <w:ilvl w:val="0"/>
                <w:numId w:val="415"/>
              </w:numPr>
              <w:ind w:left="709" w:right="142" w:hanging="567"/>
              <w:rPr>
                <w:color w:val="000000" w:themeColor="text1"/>
                <w:szCs w:val="24"/>
              </w:rPr>
            </w:pPr>
            <w:r w:rsidRPr="00306115">
              <w:rPr>
                <w:color w:val="000000" w:themeColor="text1"/>
                <w:szCs w:val="24"/>
              </w:rPr>
              <w:t>Pelaksanaan tugas Direksi dan Dewan Komisaris secara keseluruhan kurang memadai. Terdapat beberapa kelemahan signigikan pada beberapa aspek penilaian yang memerlukan perbaikan segera</w:t>
            </w:r>
          </w:p>
          <w:p w14:paraId="1C9D9425" w14:textId="77777777" w:rsidR="00542CCC" w:rsidRPr="00306115" w:rsidRDefault="00542CCC">
            <w:pPr>
              <w:numPr>
                <w:ilvl w:val="0"/>
                <w:numId w:val="415"/>
              </w:numPr>
              <w:ind w:left="709" w:right="142" w:hanging="567"/>
              <w:rPr>
                <w:color w:val="000000" w:themeColor="text1"/>
                <w:szCs w:val="24"/>
              </w:rPr>
            </w:pPr>
            <w:r w:rsidRPr="00306115">
              <w:rPr>
                <w:color w:val="000000" w:themeColor="text1"/>
                <w:szCs w:val="24"/>
              </w:rPr>
              <w:t xml:space="preserve">Fungsi Manajemen Risiko untuk Risiko Investasi belum sepenuhnya independen. Terdapat beberapa </w:t>
            </w:r>
            <w:r w:rsidRPr="00306115">
              <w:rPr>
                <w:color w:val="000000" w:themeColor="text1"/>
                <w:szCs w:val="24"/>
              </w:rPr>
              <w:lastRenderedPageBreak/>
              <w:t>kelemahan signifikan yang memerlukan perbaikan segera.</w:t>
            </w:r>
          </w:p>
          <w:p w14:paraId="64490DA1" w14:textId="77777777" w:rsidR="00542CCC" w:rsidRPr="00306115" w:rsidRDefault="00542CCC">
            <w:pPr>
              <w:numPr>
                <w:ilvl w:val="0"/>
                <w:numId w:val="415"/>
              </w:numPr>
              <w:ind w:left="709" w:right="142" w:hanging="567"/>
              <w:rPr>
                <w:color w:val="000000" w:themeColor="text1"/>
                <w:szCs w:val="24"/>
              </w:rPr>
            </w:pPr>
            <w:r w:rsidRPr="00306115">
              <w:rPr>
                <w:color w:val="000000" w:themeColor="text1"/>
                <w:szCs w:val="24"/>
              </w:rPr>
              <w:t>Kerangka pedelegasian wewenang kurang memadai.</w:t>
            </w:r>
          </w:p>
          <w:p w14:paraId="619CD08C" w14:textId="77777777" w:rsidR="00542CCC" w:rsidRPr="00306115" w:rsidRDefault="00542CCC">
            <w:pPr>
              <w:numPr>
                <w:ilvl w:val="0"/>
                <w:numId w:val="415"/>
              </w:numPr>
              <w:ind w:left="709" w:right="142" w:hanging="567"/>
              <w:rPr>
                <w:color w:val="000000" w:themeColor="text1"/>
                <w:szCs w:val="24"/>
              </w:rPr>
            </w:pPr>
            <w:r w:rsidRPr="00306115">
              <w:rPr>
                <w:color w:val="000000" w:themeColor="text1"/>
                <w:szCs w:val="24"/>
              </w:rPr>
              <w:t>Strategi pengelolaan Risiko Investasi kurang sejalan dengan tingkat risiko yang akan diambil dan toleransi risiko.</w:t>
            </w:r>
          </w:p>
          <w:p w14:paraId="57F97CC0" w14:textId="77777777" w:rsidR="00542CCC" w:rsidRPr="00306115" w:rsidRDefault="00542CCC">
            <w:pPr>
              <w:numPr>
                <w:ilvl w:val="0"/>
                <w:numId w:val="415"/>
              </w:numPr>
              <w:ind w:left="709" w:right="142" w:hanging="567"/>
              <w:rPr>
                <w:color w:val="000000" w:themeColor="text1"/>
                <w:szCs w:val="24"/>
              </w:rPr>
            </w:pPr>
            <w:r w:rsidRPr="00306115">
              <w:rPr>
                <w:color w:val="000000" w:themeColor="text1"/>
                <w:szCs w:val="24"/>
              </w:rPr>
              <w:t>Kebijakan dan prosedur Manajemen Risiko serta penetapan limit Risiko Investasi kurang memadai, diterapkan dengan kurang baik, dan dipahami dengan kurang baik oleh pegawai, sehingga memerlukan perbaikan segera.</w:t>
            </w:r>
          </w:p>
          <w:p w14:paraId="1933AF30" w14:textId="77777777" w:rsidR="00542CCC" w:rsidRPr="00306115" w:rsidRDefault="00542CCC">
            <w:pPr>
              <w:numPr>
                <w:ilvl w:val="0"/>
                <w:numId w:val="415"/>
              </w:numPr>
              <w:ind w:left="709" w:right="142" w:hanging="567"/>
              <w:rPr>
                <w:color w:val="000000" w:themeColor="text1"/>
                <w:szCs w:val="24"/>
              </w:rPr>
            </w:pPr>
            <w:r w:rsidRPr="00306115">
              <w:rPr>
                <w:color w:val="000000" w:themeColor="text1"/>
                <w:szCs w:val="24"/>
              </w:rPr>
              <w:t>Proses Manajemen Risiko untuk Risiko Investasi kurang memadai dalam mengidentifikasi, mengukur, memantau, dan mengendalikan Risiko Investasi.</w:t>
            </w:r>
          </w:p>
          <w:p w14:paraId="6ED48B51" w14:textId="77777777" w:rsidR="00542CCC" w:rsidRPr="00306115" w:rsidRDefault="00542CCC">
            <w:pPr>
              <w:numPr>
                <w:ilvl w:val="0"/>
                <w:numId w:val="415"/>
              </w:numPr>
              <w:ind w:left="709" w:right="142" w:hanging="567"/>
              <w:rPr>
                <w:color w:val="000000" w:themeColor="text1"/>
                <w:szCs w:val="24"/>
              </w:rPr>
            </w:pPr>
            <w:r w:rsidRPr="00306115">
              <w:rPr>
                <w:color w:val="000000" w:themeColor="text1"/>
                <w:szCs w:val="24"/>
              </w:rPr>
              <w:t>Sistem Informasi Manajemen Risiko untuk Risiko Investasi kurang baik dalam menghasilkan informasi dan laporan Risiko Investasi yang komprehensif.</w:t>
            </w:r>
          </w:p>
          <w:p w14:paraId="6AF19C2F" w14:textId="77777777" w:rsidR="00542CCC" w:rsidRPr="00306115" w:rsidRDefault="00542CCC">
            <w:pPr>
              <w:numPr>
                <w:ilvl w:val="0"/>
                <w:numId w:val="415"/>
              </w:numPr>
              <w:ind w:left="709" w:right="142" w:hanging="567"/>
              <w:rPr>
                <w:color w:val="000000" w:themeColor="text1"/>
                <w:szCs w:val="24"/>
              </w:rPr>
            </w:pPr>
            <w:r w:rsidRPr="00306115">
              <w:rPr>
                <w:color w:val="000000" w:themeColor="text1"/>
                <w:szCs w:val="24"/>
              </w:rPr>
              <w:t>Sumber daya manusia kurang memadai dari segi kuantitas maupun kompetensi pada fungsi Manajemen Risiko untuk Risiko Investasi.</w:t>
            </w:r>
          </w:p>
          <w:p w14:paraId="5201975B" w14:textId="77777777" w:rsidR="00542CCC" w:rsidRPr="00306115" w:rsidRDefault="00542CCC">
            <w:pPr>
              <w:numPr>
                <w:ilvl w:val="0"/>
                <w:numId w:val="415"/>
              </w:numPr>
              <w:ind w:left="709" w:right="142" w:hanging="567"/>
              <w:rPr>
                <w:color w:val="000000" w:themeColor="text1"/>
                <w:szCs w:val="24"/>
              </w:rPr>
            </w:pPr>
            <w:r w:rsidRPr="00306115">
              <w:rPr>
                <w:color w:val="000000" w:themeColor="text1"/>
                <w:szCs w:val="24"/>
              </w:rPr>
              <w:t>Sistem pengendalian internal kurang efektif dalam mendukung pelaksanaan Manajemen Risiko.</w:t>
            </w:r>
          </w:p>
          <w:p w14:paraId="221867A2" w14:textId="186F31A8" w:rsidR="00542CCC" w:rsidRPr="00306115" w:rsidRDefault="00542CCC">
            <w:pPr>
              <w:numPr>
                <w:ilvl w:val="0"/>
                <w:numId w:val="415"/>
              </w:numPr>
              <w:ind w:left="709" w:right="142" w:hanging="567"/>
              <w:rPr>
                <w:color w:val="000000" w:themeColor="text1"/>
                <w:szCs w:val="24"/>
              </w:rPr>
            </w:pPr>
            <w:r w:rsidRPr="00306115">
              <w:rPr>
                <w:color w:val="000000" w:themeColor="text1"/>
                <w:szCs w:val="24"/>
              </w:rPr>
              <w:t xml:space="preserve">Pelaksanaan kaji ulang oleh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dan fungsi audit internal kurang memadai. Terdapat beberapa kelemahan yang signifikan pada metodologi, frekuensi, maupun pelaporan kepada Direksi dan Dewan Komisaris yang memerlukan perbaikan segera.</w:t>
            </w:r>
          </w:p>
          <w:p w14:paraId="1D4C8912" w14:textId="77777777" w:rsidR="00542CCC" w:rsidRPr="00306115" w:rsidRDefault="00542CCC">
            <w:pPr>
              <w:numPr>
                <w:ilvl w:val="0"/>
                <w:numId w:val="415"/>
              </w:numPr>
              <w:ind w:left="709" w:right="142" w:hanging="567"/>
              <w:rPr>
                <w:color w:val="000000" w:themeColor="text1"/>
                <w:szCs w:val="24"/>
              </w:rPr>
            </w:pPr>
            <w:r w:rsidRPr="00306115">
              <w:rPr>
                <w:color w:val="000000" w:themeColor="text1"/>
                <w:szCs w:val="24"/>
              </w:rPr>
              <w:t>Tindak lanjut atas kaji ulang independen kurang memadai.</w:t>
            </w:r>
          </w:p>
        </w:tc>
      </w:tr>
      <w:tr w:rsidR="00542CCC" w:rsidRPr="00306115" w14:paraId="4FF13BEB" w14:textId="77777777" w:rsidTr="00542CCC">
        <w:tc>
          <w:tcPr>
            <w:tcW w:w="2127" w:type="dxa"/>
          </w:tcPr>
          <w:p w14:paraId="747E6DAC" w14:textId="77777777" w:rsidR="00542CCC" w:rsidRPr="00306115" w:rsidRDefault="00542CCC" w:rsidP="006D3D52">
            <w:pPr>
              <w:pStyle w:val="BodyText"/>
              <w:numPr>
                <w:ilvl w:val="0"/>
                <w:numId w:val="0"/>
              </w:numPr>
              <w:spacing w:before="60" w:after="60"/>
              <w:ind w:left="142" w:right="142"/>
              <w:jc w:val="center"/>
              <w:rPr>
                <w:color w:val="000000" w:themeColor="text1"/>
              </w:rPr>
            </w:pPr>
            <w:r w:rsidRPr="00306115">
              <w:rPr>
                <w:i/>
                <w:iCs/>
                <w:color w:val="000000" w:themeColor="text1"/>
              </w:rPr>
              <w:lastRenderedPageBreak/>
              <w:t>Unsatisfactory</w:t>
            </w:r>
            <w:r w:rsidRPr="00306115">
              <w:rPr>
                <w:color w:val="000000" w:themeColor="text1"/>
              </w:rPr>
              <w:t xml:space="preserve"> (5)</w:t>
            </w:r>
          </w:p>
        </w:tc>
        <w:tc>
          <w:tcPr>
            <w:tcW w:w="5805" w:type="dxa"/>
          </w:tcPr>
          <w:p w14:paraId="314246F6" w14:textId="77777777" w:rsidR="00542CCC" w:rsidRPr="00306115" w:rsidRDefault="00542CCC" w:rsidP="00542CCC">
            <w:pPr>
              <w:ind w:left="142" w:right="142"/>
              <w:rPr>
                <w:color w:val="000000" w:themeColor="text1"/>
                <w:szCs w:val="24"/>
              </w:rPr>
            </w:pPr>
            <w:r w:rsidRPr="00306115">
              <w:rPr>
                <w:color w:val="000000" w:themeColor="text1"/>
                <w:szCs w:val="24"/>
              </w:rPr>
              <w:t>Kualitas penerapan Manajemen Risiko untuk Risiko Investasi tidak memadai. Terdapat kelemahan signifikan pada berbagai aspek Manajemen Risiko untuk Risiko Investasi yang tindakan penyelesaiannya di luar kemampuan manajemen.</w:t>
            </w:r>
          </w:p>
          <w:p w14:paraId="56A91F5C" w14:textId="08031632" w:rsidR="00542CCC" w:rsidRPr="00306115" w:rsidRDefault="00542CCC" w:rsidP="00542CCC">
            <w:pPr>
              <w:ind w:left="142" w:right="142"/>
              <w:rPr>
                <w:color w:val="000000" w:themeColor="text1"/>
                <w:szCs w:val="24"/>
              </w:rPr>
            </w:pPr>
            <w:r w:rsidRPr="00306115">
              <w:rPr>
                <w:color w:val="000000" w:themeColor="text1"/>
                <w:szCs w:val="24"/>
              </w:rPr>
              <w:t xml:space="preserve">Contoh </w:t>
            </w:r>
            <w:r w:rsidR="00764ECF" w:rsidRPr="00306115">
              <w:rPr>
                <w:color w:val="000000" w:themeColor="text1"/>
                <w:szCs w:val="24"/>
              </w:rPr>
              <w:t>karakteristik/kondisi</w:t>
            </w:r>
            <w:r w:rsidRPr="00306115">
              <w:rPr>
                <w:color w:val="000000" w:themeColor="text1"/>
                <w:szCs w:val="24"/>
              </w:rPr>
              <w:t xml:space="preserve"> Manajer Investasi yang termasuk dalam peringkat </w:t>
            </w:r>
            <w:r w:rsidRPr="00306115">
              <w:rPr>
                <w:i/>
                <w:color w:val="000000" w:themeColor="text1"/>
                <w:szCs w:val="24"/>
              </w:rPr>
              <w:t xml:space="preserve">Unsatisfactory </w:t>
            </w:r>
            <w:r w:rsidRPr="00306115">
              <w:rPr>
                <w:color w:val="000000" w:themeColor="text1"/>
                <w:szCs w:val="24"/>
              </w:rPr>
              <w:t>(5) ini antara lain sebagai berikut:</w:t>
            </w:r>
          </w:p>
          <w:p w14:paraId="3124FE04" w14:textId="77777777" w:rsidR="00542CCC" w:rsidRPr="00306115" w:rsidRDefault="00542CCC">
            <w:pPr>
              <w:numPr>
                <w:ilvl w:val="0"/>
                <w:numId w:val="416"/>
              </w:numPr>
              <w:ind w:left="709" w:right="142" w:hanging="567"/>
              <w:rPr>
                <w:color w:val="000000" w:themeColor="text1"/>
                <w:szCs w:val="24"/>
              </w:rPr>
            </w:pPr>
            <w:r w:rsidRPr="00306115">
              <w:rPr>
                <w:color w:val="000000" w:themeColor="text1"/>
                <w:szCs w:val="24"/>
              </w:rPr>
              <w:t>Perumusan tingkat Risiko yang akan diambil (</w:t>
            </w:r>
            <w:r w:rsidRPr="00306115">
              <w:rPr>
                <w:i/>
                <w:iCs/>
                <w:color w:val="000000" w:themeColor="text1"/>
                <w:szCs w:val="24"/>
              </w:rPr>
              <w:t>risk appetite</w:t>
            </w:r>
            <w:r w:rsidRPr="00306115">
              <w:rPr>
                <w:color w:val="000000" w:themeColor="text1"/>
                <w:szCs w:val="24"/>
              </w:rPr>
              <w:t xml:space="preserve">) dan toleransi </w:t>
            </w:r>
            <w:r w:rsidRPr="00306115">
              <w:rPr>
                <w:color w:val="000000" w:themeColor="text1"/>
                <w:szCs w:val="24"/>
              </w:rPr>
              <w:lastRenderedPageBreak/>
              <w:t>Risiko (</w:t>
            </w:r>
            <w:r w:rsidRPr="00306115">
              <w:rPr>
                <w:i/>
                <w:iCs/>
                <w:color w:val="000000" w:themeColor="text1"/>
                <w:szCs w:val="24"/>
              </w:rPr>
              <w:t>risk tolerance</w:t>
            </w:r>
            <w:r w:rsidRPr="00306115">
              <w:rPr>
                <w:color w:val="000000" w:themeColor="text1"/>
                <w:szCs w:val="24"/>
              </w:rPr>
              <w:t>) tidak memadai serta tidak sejalan dengan strategi dan tujuan bisnis Manajer Investasi secara keseluruhan.</w:t>
            </w:r>
          </w:p>
          <w:p w14:paraId="7331A103" w14:textId="77777777" w:rsidR="00542CCC" w:rsidRPr="00306115" w:rsidRDefault="00542CCC">
            <w:pPr>
              <w:numPr>
                <w:ilvl w:val="0"/>
                <w:numId w:val="416"/>
              </w:numPr>
              <w:ind w:left="709" w:right="142" w:hanging="567"/>
              <w:rPr>
                <w:color w:val="000000" w:themeColor="text1"/>
                <w:szCs w:val="24"/>
              </w:rPr>
            </w:pPr>
            <w:r w:rsidRPr="00306115">
              <w:rPr>
                <w:color w:val="000000" w:themeColor="text1"/>
                <w:szCs w:val="24"/>
              </w:rPr>
              <w:t>Kesadaran (awareness) dan pemahaman Direksi dan Dewan Komisaris sangat rendah atau sangat tidak memadai mengenai pelaksanaan Manajemen Risiko, terutama terkait jenis dan tingkat risiko untuk Risiko Investasi.</w:t>
            </w:r>
          </w:p>
          <w:p w14:paraId="51FAEDD2" w14:textId="77777777" w:rsidR="00542CCC" w:rsidRPr="00306115" w:rsidRDefault="00542CCC">
            <w:pPr>
              <w:numPr>
                <w:ilvl w:val="0"/>
                <w:numId w:val="416"/>
              </w:numPr>
              <w:ind w:left="709" w:right="142" w:hanging="567"/>
              <w:rPr>
                <w:color w:val="000000" w:themeColor="text1"/>
                <w:szCs w:val="24"/>
              </w:rPr>
            </w:pPr>
            <w:r w:rsidRPr="00306115">
              <w:rPr>
                <w:color w:val="000000" w:themeColor="text1"/>
                <w:szCs w:val="24"/>
              </w:rPr>
              <w:t>Budaya Manajemen Risiko untuk Risiko Investasi tidak kuat atau belum ada sama sekali.</w:t>
            </w:r>
          </w:p>
          <w:p w14:paraId="22826356" w14:textId="77777777" w:rsidR="00542CCC" w:rsidRPr="00306115" w:rsidRDefault="00542CCC">
            <w:pPr>
              <w:numPr>
                <w:ilvl w:val="0"/>
                <w:numId w:val="416"/>
              </w:numPr>
              <w:ind w:left="709" w:right="142" w:hanging="567"/>
              <w:rPr>
                <w:color w:val="000000" w:themeColor="text1"/>
                <w:szCs w:val="24"/>
              </w:rPr>
            </w:pPr>
            <w:r w:rsidRPr="00306115">
              <w:rPr>
                <w:color w:val="000000" w:themeColor="text1"/>
                <w:szCs w:val="24"/>
              </w:rPr>
              <w:t>Pelaksanaan tugas Direksi dan Dewan Komisaris secara keseluruhan tidak memadai. Terdapat beberapa kelemahan yang signifikan pada hampir seluruh aspek penilaian yang tindakan penyelesaiannya di luar kemampuan manajemen.</w:t>
            </w:r>
          </w:p>
          <w:p w14:paraId="7F29B01B" w14:textId="77777777" w:rsidR="00542CCC" w:rsidRPr="00306115" w:rsidRDefault="00542CCC">
            <w:pPr>
              <w:numPr>
                <w:ilvl w:val="0"/>
                <w:numId w:val="416"/>
              </w:numPr>
              <w:ind w:left="709" w:right="142" w:hanging="567"/>
              <w:rPr>
                <w:color w:val="000000" w:themeColor="text1"/>
                <w:szCs w:val="24"/>
              </w:rPr>
            </w:pPr>
            <w:r w:rsidRPr="00306115">
              <w:rPr>
                <w:color w:val="000000" w:themeColor="text1"/>
                <w:szCs w:val="24"/>
              </w:rPr>
              <w:t>Fungsi Manajemen Risiko untuk Risiko Investasi tidak independen, serta terdapat kelemahan signifikan yang memerlukan perbaikan fundamental.</w:t>
            </w:r>
          </w:p>
          <w:p w14:paraId="7D560227" w14:textId="77777777" w:rsidR="00542CCC" w:rsidRPr="00306115" w:rsidRDefault="00542CCC">
            <w:pPr>
              <w:numPr>
                <w:ilvl w:val="0"/>
                <w:numId w:val="416"/>
              </w:numPr>
              <w:ind w:left="709" w:right="142" w:hanging="567"/>
              <w:rPr>
                <w:color w:val="000000" w:themeColor="text1"/>
                <w:szCs w:val="24"/>
              </w:rPr>
            </w:pPr>
            <w:r w:rsidRPr="00306115">
              <w:rPr>
                <w:color w:val="000000" w:themeColor="text1"/>
                <w:szCs w:val="24"/>
              </w:rPr>
              <w:t>Kerangka pedelegasian wewenang tidak memadai.</w:t>
            </w:r>
          </w:p>
          <w:p w14:paraId="679D863B" w14:textId="77777777" w:rsidR="00542CCC" w:rsidRPr="00306115" w:rsidRDefault="00542CCC">
            <w:pPr>
              <w:numPr>
                <w:ilvl w:val="0"/>
                <w:numId w:val="416"/>
              </w:numPr>
              <w:ind w:left="709" w:right="142" w:hanging="567"/>
              <w:rPr>
                <w:color w:val="000000" w:themeColor="text1"/>
                <w:szCs w:val="24"/>
              </w:rPr>
            </w:pPr>
            <w:r w:rsidRPr="00306115">
              <w:rPr>
                <w:color w:val="000000" w:themeColor="text1"/>
                <w:szCs w:val="24"/>
              </w:rPr>
              <w:t>Strategi pengelolaan Risiko untuk Risiko Investasi tidak sejalan dengan tingkat risiko yang akan diambil dan toleransi risiko.</w:t>
            </w:r>
          </w:p>
          <w:p w14:paraId="21336D36" w14:textId="77777777" w:rsidR="00542CCC" w:rsidRPr="00306115" w:rsidRDefault="00542CCC">
            <w:pPr>
              <w:numPr>
                <w:ilvl w:val="0"/>
                <w:numId w:val="416"/>
              </w:numPr>
              <w:ind w:left="709" w:right="142" w:hanging="567"/>
              <w:rPr>
                <w:color w:val="000000" w:themeColor="text1"/>
                <w:szCs w:val="24"/>
              </w:rPr>
            </w:pPr>
            <w:r w:rsidRPr="00306115">
              <w:rPr>
                <w:color w:val="000000" w:themeColor="text1"/>
                <w:szCs w:val="24"/>
              </w:rPr>
              <w:t>Kebijakan dan prosedur Manajemen Risiko serta penetapan limit Risiko Investasi tidak memadai, tidak diterapkan, dan tidak dipahami oleh pegawai, sehingga memerlukan perbaikan fundamental.</w:t>
            </w:r>
          </w:p>
          <w:p w14:paraId="4CF17A0C" w14:textId="77777777" w:rsidR="00542CCC" w:rsidRPr="00306115" w:rsidRDefault="00542CCC">
            <w:pPr>
              <w:numPr>
                <w:ilvl w:val="0"/>
                <w:numId w:val="416"/>
              </w:numPr>
              <w:ind w:left="709" w:right="142" w:hanging="567"/>
              <w:rPr>
                <w:color w:val="000000" w:themeColor="text1"/>
                <w:szCs w:val="24"/>
              </w:rPr>
            </w:pPr>
            <w:r w:rsidRPr="00306115">
              <w:rPr>
                <w:color w:val="000000" w:themeColor="text1"/>
                <w:szCs w:val="24"/>
              </w:rPr>
              <w:t>Proses Manajemen Risiko untuk Risiko Investasi tidak memadai dalam mengidentifikasi, mengukur, memantau, dan mengendalikan Risiko Investasi.</w:t>
            </w:r>
          </w:p>
          <w:p w14:paraId="66E3F87F" w14:textId="77777777" w:rsidR="00542CCC" w:rsidRPr="00306115" w:rsidRDefault="00542CCC">
            <w:pPr>
              <w:numPr>
                <w:ilvl w:val="0"/>
                <w:numId w:val="416"/>
              </w:numPr>
              <w:ind w:left="709" w:right="142" w:hanging="567"/>
              <w:rPr>
                <w:color w:val="000000" w:themeColor="text1"/>
                <w:szCs w:val="24"/>
              </w:rPr>
            </w:pPr>
            <w:r w:rsidRPr="00306115">
              <w:rPr>
                <w:color w:val="000000" w:themeColor="text1"/>
                <w:szCs w:val="24"/>
              </w:rPr>
              <w:t>Sistem Informasi Manajemen Risiko untuk Risiko Investasi tidak dapat dalam menghasilkan informasi dan laporan Risiko Investasi yang komprehensif.</w:t>
            </w:r>
          </w:p>
          <w:p w14:paraId="52C10DAE" w14:textId="77777777" w:rsidR="00542CCC" w:rsidRPr="00306115" w:rsidRDefault="00542CCC">
            <w:pPr>
              <w:numPr>
                <w:ilvl w:val="0"/>
                <w:numId w:val="416"/>
              </w:numPr>
              <w:ind w:left="709" w:right="142" w:hanging="567"/>
              <w:rPr>
                <w:color w:val="000000" w:themeColor="text1"/>
                <w:szCs w:val="24"/>
              </w:rPr>
            </w:pPr>
            <w:r w:rsidRPr="00306115">
              <w:rPr>
                <w:color w:val="000000" w:themeColor="text1"/>
                <w:szCs w:val="24"/>
              </w:rPr>
              <w:t>Sumber daya manusia tidak memadai dari segi kuantitas maupun kompetensi pada fungsi Manajemen Risiko untuk Risiko Investasi.</w:t>
            </w:r>
          </w:p>
          <w:p w14:paraId="5336BB7B" w14:textId="77777777" w:rsidR="00542CCC" w:rsidRPr="00306115" w:rsidRDefault="00542CCC">
            <w:pPr>
              <w:numPr>
                <w:ilvl w:val="0"/>
                <w:numId w:val="416"/>
              </w:numPr>
              <w:ind w:left="709" w:right="142" w:hanging="567"/>
              <w:rPr>
                <w:color w:val="000000" w:themeColor="text1"/>
                <w:szCs w:val="24"/>
              </w:rPr>
            </w:pPr>
            <w:r w:rsidRPr="00306115">
              <w:rPr>
                <w:color w:val="000000" w:themeColor="text1"/>
                <w:szCs w:val="24"/>
              </w:rPr>
              <w:t xml:space="preserve">Sistem pengendalian internal tidak efektif dalam mendukung pelaksanaan </w:t>
            </w:r>
            <w:r w:rsidRPr="00306115">
              <w:rPr>
                <w:color w:val="000000" w:themeColor="text1"/>
                <w:szCs w:val="24"/>
              </w:rPr>
              <w:lastRenderedPageBreak/>
              <w:t>Manajemen Risiko untuk Risiko Investasi.</w:t>
            </w:r>
          </w:p>
          <w:p w14:paraId="75C32D68" w14:textId="6328307C" w:rsidR="00542CCC" w:rsidRPr="00306115" w:rsidRDefault="00542CCC">
            <w:pPr>
              <w:numPr>
                <w:ilvl w:val="0"/>
                <w:numId w:val="416"/>
              </w:numPr>
              <w:ind w:left="709" w:right="142" w:hanging="567"/>
              <w:rPr>
                <w:color w:val="000000" w:themeColor="text1"/>
                <w:szCs w:val="24"/>
              </w:rPr>
            </w:pPr>
            <w:r w:rsidRPr="00306115">
              <w:rPr>
                <w:color w:val="000000" w:themeColor="text1"/>
                <w:szCs w:val="24"/>
              </w:rPr>
              <w:t xml:space="preserve">Pelaksanaan kaji ulang oleh fungsi </w:t>
            </w:r>
            <w:r w:rsidR="00DA0D2E" w:rsidRPr="00306115">
              <w:rPr>
                <w:color w:val="000000" w:themeColor="text1"/>
              </w:rPr>
              <w:t>Manajemen Risiko</w:t>
            </w:r>
            <w:r w:rsidR="00DA0D2E" w:rsidRPr="00306115">
              <w:rPr>
                <w:color w:val="000000" w:themeColor="text1"/>
                <w:szCs w:val="24"/>
              </w:rPr>
              <w:t xml:space="preserve"> </w:t>
            </w:r>
            <w:r w:rsidRPr="00306115">
              <w:rPr>
                <w:color w:val="000000" w:themeColor="text1"/>
                <w:szCs w:val="24"/>
              </w:rPr>
              <w:t>dan fungsi audit internal tidak memadai. Terdapat kelemahan yang signifikan pada metodologi, frekuensi, maupun pelaporan kepada Direksi dan Dewan Komisaris yang memerlukan perbaikan fundamental.</w:t>
            </w:r>
          </w:p>
          <w:p w14:paraId="5BB1D2CF" w14:textId="7BAEE68E" w:rsidR="00542CCC" w:rsidRPr="00306115" w:rsidRDefault="00542CCC">
            <w:pPr>
              <w:numPr>
                <w:ilvl w:val="0"/>
                <w:numId w:val="416"/>
              </w:numPr>
              <w:ind w:left="709" w:right="142" w:hanging="567"/>
              <w:rPr>
                <w:color w:val="000000" w:themeColor="text1"/>
                <w:szCs w:val="24"/>
              </w:rPr>
            </w:pPr>
            <w:r w:rsidRPr="00306115">
              <w:rPr>
                <w:color w:val="000000" w:themeColor="text1"/>
                <w:szCs w:val="24"/>
              </w:rPr>
              <w:t>Tindak lanjut atas kaji ulang independen tidak memadai atau tidak ada</w:t>
            </w:r>
            <w:r w:rsidR="00FC0FAF" w:rsidRPr="00306115">
              <w:rPr>
                <w:color w:val="000000" w:themeColor="text1"/>
                <w:szCs w:val="24"/>
              </w:rPr>
              <w:t>.</w:t>
            </w:r>
          </w:p>
        </w:tc>
      </w:tr>
    </w:tbl>
    <w:p w14:paraId="3914BC9B" w14:textId="77777777" w:rsidR="00542CCC" w:rsidRPr="00306115" w:rsidRDefault="00542CCC" w:rsidP="00542CCC">
      <w:pPr>
        <w:pStyle w:val="HeadingAwalDaftarIsiLampiran"/>
        <w:numPr>
          <w:ilvl w:val="0"/>
          <w:numId w:val="0"/>
        </w:numPr>
        <w:ind w:left="1134"/>
      </w:pPr>
    </w:p>
    <w:p w14:paraId="508B2227" w14:textId="7CBB38C2" w:rsidR="001F762D" w:rsidRPr="00306115" w:rsidRDefault="001F762D">
      <w:pPr>
        <w:pStyle w:val="HeadingAwalDaftarIsiLampiran"/>
        <w:numPr>
          <w:ilvl w:val="3"/>
          <w:numId w:val="295"/>
        </w:numPr>
        <w:ind w:left="567" w:hanging="567"/>
      </w:pPr>
      <w:r w:rsidRPr="00306115">
        <w:t>Matriks Penetapan Tingkat Risiko</w:t>
      </w:r>
    </w:p>
    <w:p w14:paraId="51DEAFFB" w14:textId="687A4F0C" w:rsidR="00DC15D8" w:rsidRPr="00306115" w:rsidRDefault="00027F67" w:rsidP="00027F67">
      <w:pPr>
        <w:pStyle w:val="HeadingAwalDaftarIsiLampiran"/>
        <w:numPr>
          <w:ilvl w:val="0"/>
          <w:numId w:val="0"/>
        </w:numPr>
        <w:ind w:left="567" w:firstLine="567"/>
      </w:pPr>
      <w:r w:rsidRPr="00306115">
        <w:t>Matriks ini pada dasarnya memetakan tingkat risiko yang dihasilkan dari kombinasi antara risiko inheren dan kualitas penerapan Manajemen Risiko. Tingkat risiko merupakan kesimpulan akhir atas risiko Manajer Investasi beserta Produk Investasi yang dikelola setelah mempertimbangkan mitigasi yang dilakukan melalui penerapan Manajemen Risiko. Untuk menentukan tingkat risiko, Manajer Investasi dapat mengacu pada matriks tingkat risiko berikut ini.</w:t>
      </w:r>
    </w:p>
    <w:tbl>
      <w:tblPr>
        <w:tblW w:w="850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992"/>
        <w:gridCol w:w="1560"/>
        <w:gridCol w:w="992"/>
        <w:gridCol w:w="1276"/>
        <w:gridCol w:w="1842"/>
      </w:tblGrid>
      <w:tr w:rsidR="00746203" w:rsidRPr="00306115" w14:paraId="4BEA4CED" w14:textId="77777777" w:rsidTr="00746203">
        <w:trPr>
          <w:trHeight w:val="503"/>
        </w:trPr>
        <w:tc>
          <w:tcPr>
            <w:tcW w:w="1843" w:type="dxa"/>
            <w:tcBorders>
              <w:bottom w:val="nil"/>
            </w:tcBorders>
            <w:shd w:val="clear" w:color="auto" w:fill="4471C4"/>
          </w:tcPr>
          <w:p w14:paraId="30A5B475" w14:textId="77777777" w:rsidR="00746203" w:rsidRPr="00306115" w:rsidRDefault="00746203" w:rsidP="00746203">
            <w:pPr>
              <w:pStyle w:val="TableParagraph"/>
              <w:rPr>
                <w:rFonts w:ascii="Bookman Old Style" w:hAnsi="Bookman Old Style"/>
                <w:color w:val="000000" w:themeColor="text1"/>
                <w:sz w:val="24"/>
                <w:szCs w:val="24"/>
              </w:rPr>
            </w:pPr>
          </w:p>
        </w:tc>
        <w:tc>
          <w:tcPr>
            <w:tcW w:w="6662" w:type="dxa"/>
            <w:gridSpan w:val="5"/>
            <w:shd w:val="clear" w:color="auto" w:fill="8EAADB"/>
          </w:tcPr>
          <w:p w14:paraId="6008C7EA" w14:textId="77777777" w:rsidR="00746203" w:rsidRPr="00306115" w:rsidRDefault="00746203" w:rsidP="00746203">
            <w:pPr>
              <w:pStyle w:val="TableParagraph"/>
              <w:spacing w:before="60" w:after="60"/>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Kualitas Penerapan Manajemen Risiko</w:t>
            </w:r>
          </w:p>
        </w:tc>
      </w:tr>
      <w:tr w:rsidR="00746203" w:rsidRPr="00306115" w14:paraId="610DC318" w14:textId="77777777" w:rsidTr="00746203">
        <w:trPr>
          <w:trHeight w:val="455"/>
        </w:trPr>
        <w:tc>
          <w:tcPr>
            <w:tcW w:w="1843" w:type="dxa"/>
            <w:tcBorders>
              <w:top w:val="nil"/>
            </w:tcBorders>
            <w:shd w:val="clear" w:color="auto" w:fill="4471C4"/>
          </w:tcPr>
          <w:p w14:paraId="7695EFAB" w14:textId="77777777" w:rsidR="00746203" w:rsidRPr="00306115" w:rsidRDefault="00746203" w:rsidP="00746203">
            <w:pPr>
              <w:pStyle w:val="TableParagraph"/>
              <w:spacing w:before="40" w:after="40" w:line="269" w:lineRule="exact"/>
              <w:rPr>
                <w:rFonts w:ascii="Bookman Old Style" w:hAnsi="Bookman Old Style"/>
                <w:color w:val="000000" w:themeColor="text1"/>
                <w:sz w:val="24"/>
                <w:szCs w:val="24"/>
              </w:rPr>
            </w:pPr>
            <w:r w:rsidRPr="00306115">
              <w:rPr>
                <w:rFonts w:ascii="Bookman Old Style" w:hAnsi="Bookman Old Style"/>
                <w:color w:val="000000" w:themeColor="text1"/>
                <w:sz w:val="24"/>
                <w:szCs w:val="24"/>
              </w:rPr>
              <w:t>Risiko Inheren</w:t>
            </w:r>
          </w:p>
        </w:tc>
        <w:tc>
          <w:tcPr>
            <w:tcW w:w="992" w:type="dxa"/>
            <w:shd w:val="clear" w:color="auto" w:fill="00AFEF"/>
          </w:tcPr>
          <w:p w14:paraId="71186F93" w14:textId="77777777" w:rsidR="00746203" w:rsidRPr="00306115" w:rsidRDefault="00746203" w:rsidP="00746203">
            <w:pPr>
              <w:pStyle w:val="TableParagraph"/>
              <w:spacing w:before="40" w:after="40"/>
              <w:ind w:left="57" w:right="57"/>
              <w:jc w:val="center"/>
              <w:rPr>
                <w:rFonts w:ascii="Bookman Old Style" w:hAnsi="Bookman Old Style"/>
                <w:i/>
                <w:color w:val="000000" w:themeColor="text1"/>
                <w:sz w:val="24"/>
                <w:szCs w:val="24"/>
              </w:rPr>
            </w:pPr>
            <w:r w:rsidRPr="00306115">
              <w:rPr>
                <w:rFonts w:ascii="Bookman Old Style" w:hAnsi="Bookman Old Style"/>
                <w:i/>
                <w:color w:val="000000" w:themeColor="text1"/>
                <w:sz w:val="24"/>
                <w:szCs w:val="24"/>
              </w:rPr>
              <w:t>Strong</w:t>
            </w:r>
          </w:p>
        </w:tc>
        <w:tc>
          <w:tcPr>
            <w:tcW w:w="1560" w:type="dxa"/>
            <w:shd w:val="clear" w:color="auto" w:fill="00AFEF"/>
          </w:tcPr>
          <w:p w14:paraId="517D4F5D" w14:textId="77777777" w:rsidR="00746203" w:rsidRPr="00306115" w:rsidRDefault="00746203" w:rsidP="00746203">
            <w:pPr>
              <w:pStyle w:val="TableParagraph"/>
              <w:spacing w:before="40" w:after="40"/>
              <w:ind w:left="57" w:right="57"/>
              <w:jc w:val="center"/>
              <w:rPr>
                <w:rFonts w:ascii="Bookman Old Style" w:hAnsi="Bookman Old Style"/>
                <w:i/>
                <w:color w:val="000000" w:themeColor="text1"/>
                <w:sz w:val="24"/>
                <w:szCs w:val="24"/>
              </w:rPr>
            </w:pPr>
            <w:r w:rsidRPr="00306115">
              <w:rPr>
                <w:rFonts w:ascii="Bookman Old Style" w:hAnsi="Bookman Old Style"/>
                <w:i/>
                <w:color w:val="000000" w:themeColor="text1"/>
                <w:sz w:val="24"/>
                <w:szCs w:val="24"/>
              </w:rPr>
              <w:t>Satisfactory</w:t>
            </w:r>
          </w:p>
        </w:tc>
        <w:tc>
          <w:tcPr>
            <w:tcW w:w="992" w:type="dxa"/>
            <w:shd w:val="clear" w:color="auto" w:fill="00AFEF"/>
          </w:tcPr>
          <w:p w14:paraId="4F5A9174" w14:textId="77777777" w:rsidR="00746203" w:rsidRPr="00306115" w:rsidRDefault="00746203" w:rsidP="00746203">
            <w:pPr>
              <w:pStyle w:val="TableParagraph"/>
              <w:spacing w:before="40" w:after="40"/>
              <w:ind w:left="57" w:right="57"/>
              <w:jc w:val="center"/>
              <w:rPr>
                <w:rFonts w:ascii="Bookman Old Style" w:hAnsi="Bookman Old Style"/>
                <w:i/>
                <w:color w:val="000000" w:themeColor="text1"/>
                <w:sz w:val="24"/>
                <w:szCs w:val="24"/>
              </w:rPr>
            </w:pPr>
            <w:r w:rsidRPr="00306115">
              <w:rPr>
                <w:rFonts w:ascii="Bookman Old Style" w:hAnsi="Bookman Old Style"/>
                <w:i/>
                <w:color w:val="000000" w:themeColor="text1"/>
                <w:sz w:val="24"/>
                <w:szCs w:val="24"/>
              </w:rPr>
              <w:t>Fair</w:t>
            </w:r>
          </w:p>
        </w:tc>
        <w:tc>
          <w:tcPr>
            <w:tcW w:w="1276" w:type="dxa"/>
            <w:shd w:val="clear" w:color="auto" w:fill="00AFEF"/>
          </w:tcPr>
          <w:p w14:paraId="608AF3D8" w14:textId="77777777" w:rsidR="00746203" w:rsidRPr="00306115" w:rsidRDefault="00746203" w:rsidP="00746203">
            <w:pPr>
              <w:pStyle w:val="TableParagraph"/>
              <w:spacing w:before="40" w:after="40"/>
              <w:ind w:left="57" w:right="57"/>
              <w:jc w:val="center"/>
              <w:rPr>
                <w:rFonts w:ascii="Bookman Old Style" w:hAnsi="Bookman Old Style"/>
                <w:i/>
                <w:color w:val="000000" w:themeColor="text1"/>
                <w:sz w:val="24"/>
                <w:szCs w:val="24"/>
              </w:rPr>
            </w:pPr>
            <w:r w:rsidRPr="00306115">
              <w:rPr>
                <w:rFonts w:ascii="Bookman Old Style" w:hAnsi="Bookman Old Style"/>
                <w:i/>
                <w:color w:val="000000" w:themeColor="text1"/>
                <w:sz w:val="24"/>
                <w:szCs w:val="24"/>
              </w:rPr>
              <w:t>Marginal</w:t>
            </w:r>
          </w:p>
        </w:tc>
        <w:tc>
          <w:tcPr>
            <w:tcW w:w="1842" w:type="dxa"/>
            <w:shd w:val="clear" w:color="auto" w:fill="00AFEF"/>
          </w:tcPr>
          <w:p w14:paraId="4DB9841A" w14:textId="77777777" w:rsidR="00746203" w:rsidRPr="00306115" w:rsidRDefault="00746203" w:rsidP="00746203">
            <w:pPr>
              <w:pStyle w:val="TableParagraph"/>
              <w:spacing w:before="40" w:after="40"/>
              <w:ind w:left="57" w:right="57"/>
              <w:jc w:val="center"/>
              <w:rPr>
                <w:rFonts w:ascii="Bookman Old Style" w:hAnsi="Bookman Old Style"/>
                <w:i/>
                <w:color w:val="000000" w:themeColor="text1"/>
                <w:sz w:val="24"/>
                <w:szCs w:val="24"/>
              </w:rPr>
            </w:pPr>
            <w:r w:rsidRPr="00306115">
              <w:rPr>
                <w:rFonts w:ascii="Bookman Old Style" w:hAnsi="Bookman Old Style"/>
                <w:i/>
                <w:color w:val="000000" w:themeColor="text1"/>
                <w:sz w:val="24"/>
                <w:szCs w:val="24"/>
              </w:rPr>
              <w:t>Unsatisfactory</w:t>
            </w:r>
          </w:p>
        </w:tc>
      </w:tr>
      <w:tr w:rsidR="00746203" w:rsidRPr="00306115" w14:paraId="3DCEF02B" w14:textId="77777777" w:rsidTr="00746203">
        <w:trPr>
          <w:trHeight w:val="422"/>
        </w:trPr>
        <w:tc>
          <w:tcPr>
            <w:tcW w:w="1843" w:type="dxa"/>
            <w:shd w:val="clear" w:color="auto" w:fill="00AFEF"/>
          </w:tcPr>
          <w:p w14:paraId="68024DE7" w14:textId="77777777" w:rsidR="00746203" w:rsidRPr="00306115" w:rsidRDefault="00746203" w:rsidP="00746203">
            <w:pPr>
              <w:pStyle w:val="TableParagraph"/>
              <w:spacing w:before="60" w:after="60"/>
              <w:rPr>
                <w:rFonts w:ascii="Bookman Old Style" w:hAnsi="Bookman Old Style"/>
                <w:i/>
                <w:color w:val="000000" w:themeColor="text1"/>
                <w:sz w:val="24"/>
                <w:szCs w:val="24"/>
              </w:rPr>
            </w:pPr>
            <w:r w:rsidRPr="00306115">
              <w:rPr>
                <w:rFonts w:ascii="Bookman Old Style" w:hAnsi="Bookman Old Style"/>
                <w:i/>
                <w:color w:val="000000" w:themeColor="text1"/>
                <w:sz w:val="24"/>
                <w:szCs w:val="24"/>
              </w:rPr>
              <w:t>Low</w:t>
            </w:r>
          </w:p>
        </w:tc>
        <w:tc>
          <w:tcPr>
            <w:tcW w:w="992" w:type="dxa"/>
            <w:shd w:val="clear" w:color="auto" w:fill="00AF50"/>
          </w:tcPr>
          <w:p w14:paraId="3B737D1F" w14:textId="77777777" w:rsidR="00746203" w:rsidRPr="00306115" w:rsidRDefault="00746203" w:rsidP="00746203">
            <w:pPr>
              <w:pStyle w:val="TableParagraph"/>
              <w:spacing w:before="40" w:after="40"/>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1</w:t>
            </w:r>
          </w:p>
        </w:tc>
        <w:tc>
          <w:tcPr>
            <w:tcW w:w="1560" w:type="dxa"/>
            <w:shd w:val="clear" w:color="auto" w:fill="00AF50"/>
          </w:tcPr>
          <w:p w14:paraId="5893DECF" w14:textId="77777777" w:rsidR="00746203" w:rsidRPr="00306115" w:rsidRDefault="00746203" w:rsidP="00746203">
            <w:pPr>
              <w:pStyle w:val="TableParagraph"/>
              <w:spacing w:before="40" w:after="40"/>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1</w:t>
            </w:r>
          </w:p>
        </w:tc>
        <w:tc>
          <w:tcPr>
            <w:tcW w:w="992" w:type="dxa"/>
            <w:shd w:val="clear" w:color="auto" w:fill="92D050"/>
          </w:tcPr>
          <w:p w14:paraId="3BD78F27" w14:textId="77777777" w:rsidR="00746203" w:rsidRPr="00306115" w:rsidRDefault="00746203" w:rsidP="00746203">
            <w:pPr>
              <w:pStyle w:val="TableParagraph"/>
              <w:spacing w:before="40" w:after="40"/>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2</w:t>
            </w:r>
          </w:p>
        </w:tc>
        <w:tc>
          <w:tcPr>
            <w:tcW w:w="1276" w:type="dxa"/>
            <w:shd w:val="clear" w:color="auto" w:fill="FFFF00"/>
          </w:tcPr>
          <w:p w14:paraId="579BB0D8" w14:textId="77777777" w:rsidR="00746203" w:rsidRPr="00306115" w:rsidRDefault="00746203" w:rsidP="00746203">
            <w:pPr>
              <w:pStyle w:val="TableParagraph"/>
              <w:spacing w:before="40" w:after="40"/>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3</w:t>
            </w:r>
          </w:p>
        </w:tc>
        <w:tc>
          <w:tcPr>
            <w:tcW w:w="1842" w:type="dxa"/>
            <w:shd w:val="clear" w:color="auto" w:fill="FFFF00"/>
          </w:tcPr>
          <w:p w14:paraId="0ADC3AF8" w14:textId="77777777" w:rsidR="00746203" w:rsidRPr="00306115" w:rsidRDefault="00746203" w:rsidP="00746203">
            <w:pPr>
              <w:pStyle w:val="TableParagraph"/>
              <w:spacing w:before="40" w:after="40"/>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3</w:t>
            </w:r>
          </w:p>
        </w:tc>
      </w:tr>
      <w:tr w:rsidR="00746203" w:rsidRPr="00306115" w14:paraId="4B5B0982" w14:textId="77777777" w:rsidTr="00746203">
        <w:trPr>
          <w:trHeight w:val="606"/>
        </w:trPr>
        <w:tc>
          <w:tcPr>
            <w:tcW w:w="1843" w:type="dxa"/>
            <w:shd w:val="clear" w:color="auto" w:fill="00AFEF"/>
          </w:tcPr>
          <w:p w14:paraId="46E084AD" w14:textId="77777777" w:rsidR="00746203" w:rsidRPr="00306115" w:rsidRDefault="00746203" w:rsidP="00746203">
            <w:pPr>
              <w:pStyle w:val="TableParagraph"/>
              <w:spacing w:before="60" w:after="60"/>
              <w:rPr>
                <w:rFonts w:ascii="Bookman Old Style" w:hAnsi="Bookman Old Style"/>
                <w:i/>
                <w:color w:val="000000" w:themeColor="text1"/>
                <w:sz w:val="24"/>
                <w:szCs w:val="24"/>
              </w:rPr>
            </w:pPr>
            <w:r w:rsidRPr="00306115">
              <w:rPr>
                <w:rFonts w:ascii="Bookman Old Style" w:hAnsi="Bookman Old Style"/>
                <w:i/>
                <w:color w:val="000000" w:themeColor="text1"/>
                <w:sz w:val="24"/>
                <w:szCs w:val="24"/>
              </w:rPr>
              <w:t>Low to Moderate</w:t>
            </w:r>
          </w:p>
        </w:tc>
        <w:tc>
          <w:tcPr>
            <w:tcW w:w="992" w:type="dxa"/>
            <w:shd w:val="clear" w:color="auto" w:fill="00AF50"/>
          </w:tcPr>
          <w:p w14:paraId="2E4EBFA2" w14:textId="77777777" w:rsidR="00746203" w:rsidRPr="00306115" w:rsidRDefault="00746203" w:rsidP="00746203">
            <w:pPr>
              <w:pStyle w:val="TableParagraph"/>
              <w:spacing w:before="40" w:after="40"/>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1</w:t>
            </w:r>
          </w:p>
        </w:tc>
        <w:tc>
          <w:tcPr>
            <w:tcW w:w="1560" w:type="dxa"/>
            <w:shd w:val="clear" w:color="auto" w:fill="92D050"/>
          </w:tcPr>
          <w:p w14:paraId="1E1A7B14" w14:textId="77777777" w:rsidR="00746203" w:rsidRPr="00306115" w:rsidRDefault="00746203" w:rsidP="00746203">
            <w:pPr>
              <w:pStyle w:val="TableParagraph"/>
              <w:spacing w:before="40" w:after="40"/>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2</w:t>
            </w:r>
          </w:p>
        </w:tc>
        <w:tc>
          <w:tcPr>
            <w:tcW w:w="992" w:type="dxa"/>
            <w:shd w:val="clear" w:color="auto" w:fill="92D050"/>
          </w:tcPr>
          <w:p w14:paraId="78F05DD8" w14:textId="77777777" w:rsidR="00746203" w:rsidRPr="00306115" w:rsidRDefault="00746203" w:rsidP="00746203">
            <w:pPr>
              <w:pStyle w:val="TableParagraph"/>
              <w:spacing w:before="40" w:after="40"/>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2</w:t>
            </w:r>
          </w:p>
        </w:tc>
        <w:tc>
          <w:tcPr>
            <w:tcW w:w="1276" w:type="dxa"/>
            <w:shd w:val="clear" w:color="auto" w:fill="FFFF00"/>
          </w:tcPr>
          <w:p w14:paraId="384D0E6C" w14:textId="77777777" w:rsidR="00746203" w:rsidRPr="00306115" w:rsidRDefault="00746203" w:rsidP="00746203">
            <w:pPr>
              <w:pStyle w:val="TableParagraph"/>
              <w:spacing w:before="40" w:after="40"/>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3</w:t>
            </w:r>
          </w:p>
        </w:tc>
        <w:tc>
          <w:tcPr>
            <w:tcW w:w="1842" w:type="dxa"/>
            <w:shd w:val="clear" w:color="auto" w:fill="FFC000"/>
          </w:tcPr>
          <w:p w14:paraId="7F2F0EE3" w14:textId="77777777" w:rsidR="00746203" w:rsidRPr="00306115" w:rsidRDefault="00746203" w:rsidP="00746203">
            <w:pPr>
              <w:pStyle w:val="TableParagraph"/>
              <w:spacing w:before="40" w:after="40"/>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4</w:t>
            </w:r>
          </w:p>
        </w:tc>
      </w:tr>
      <w:tr w:rsidR="00746203" w:rsidRPr="00306115" w14:paraId="3C89A217" w14:textId="77777777" w:rsidTr="00746203">
        <w:trPr>
          <w:trHeight w:val="454"/>
        </w:trPr>
        <w:tc>
          <w:tcPr>
            <w:tcW w:w="1843" w:type="dxa"/>
            <w:shd w:val="clear" w:color="auto" w:fill="00AFEF"/>
          </w:tcPr>
          <w:p w14:paraId="7E88A18E" w14:textId="77777777" w:rsidR="00746203" w:rsidRPr="00306115" w:rsidRDefault="00746203" w:rsidP="00746203">
            <w:pPr>
              <w:pStyle w:val="TableParagraph"/>
              <w:spacing w:before="60" w:after="60"/>
              <w:rPr>
                <w:rFonts w:ascii="Bookman Old Style" w:hAnsi="Bookman Old Style"/>
                <w:i/>
                <w:color w:val="000000" w:themeColor="text1"/>
                <w:sz w:val="24"/>
                <w:szCs w:val="24"/>
              </w:rPr>
            </w:pPr>
            <w:r w:rsidRPr="00306115">
              <w:rPr>
                <w:rFonts w:ascii="Bookman Old Style" w:hAnsi="Bookman Old Style"/>
                <w:i/>
                <w:color w:val="000000" w:themeColor="text1"/>
                <w:sz w:val="24"/>
                <w:szCs w:val="24"/>
              </w:rPr>
              <w:t>Moderate</w:t>
            </w:r>
          </w:p>
        </w:tc>
        <w:tc>
          <w:tcPr>
            <w:tcW w:w="992" w:type="dxa"/>
            <w:shd w:val="clear" w:color="auto" w:fill="92D050"/>
          </w:tcPr>
          <w:p w14:paraId="5AAAC2EA" w14:textId="77777777" w:rsidR="00746203" w:rsidRPr="00306115" w:rsidRDefault="00746203" w:rsidP="00746203">
            <w:pPr>
              <w:pStyle w:val="TableParagraph"/>
              <w:spacing w:before="40" w:after="40"/>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2</w:t>
            </w:r>
          </w:p>
        </w:tc>
        <w:tc>
          <w:tcPr>
            <w:tcW w:w="1560" w:type="dxa"/>
            <w:shd w:val="clear" w:color="auto" w:fill="92D050"/>
          </w:tcPr>
          <w:p w14:paraId="64046E70" w14:textId="77777777" w:rsidR="00746203" w:rsidRPr="00306115" w:rsidRDefault="00746203" w:rsidP="00746203">
            <w:pPr>
              <w:pStyle w:val="TableParagraph"/>
              <w:spacing w:before="40" w:after="40"/>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2</w:t>
            </w:r>
          </w:p>
        </w:tc>
        <w:tc>
          <w:tcPr>
            <w:tcW w:w="992" w:type="dxa"/>
            <w:shd w:val="clear" w:color="auto" w:fill="FFFF00"/>
          </w:tcPr>
          <w:p w14:paraId="190D99F4" w14:textId="77777777" w:rsidR="00746203" w:rsidRPr="00306115" w:rsidRDefault="00746203" w:rsidP="00746203">
            <w:pPr>
              <w:pStyle w:val="TableParagraph"/>
              <w:spacing w:before="40" w:after="40"/>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3</w:t>
            </w:r>
          </w:p>
        </w:tc>
        <w:tc>
          <w:tcPr>
            <w:tcW w:w="1276" w:type="dxa"/>
            <w:shd w:val="clear" w:color="auto" w:fill="FFC000"/>
          </w:tcPr>
          <w:p w14:paraId="39D7E242" w14:textId="77777777" w:rsidR="00746203" w:rsidRPr="00306115" w:rsidRDefault="00746203" w:rsidP="00746203">
            <w:pPr>
              <w:pStyle w:val="TableParagraph"/>
              <w:spacing w:before="40" w:after="40"/>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4</w:t>
            </w:r>
          </w:p>
        </w:tc>
        <w:tc>
          <w:tcPr>
            <w:tcW w:w="1842" w:type="dxa"/>
            <w:shd w:val="clear" w:color="auto" w:fill="FFC000"/>
          </w:tcPr>
          <w:p w14:paraId="2A0FD5CB" w14:textId="77777777" w:rsidR="00746203" w:rsidRPr="00306115" w:rsidRDefault="00746203" w:rsidP="00746203">
            <w:pPr>
              <w:pStyle w:val="TableParagraph"/>
              <w:spacing w:before="40" w:after="40"/>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4</w:t>
            </w:r>
          </w:p>
        </w:tc>
      </w:tr>
      <w:tr w:rsidR="00746203" w:rsidRPr="00306115" w14:paraId="04F69A54" w14:textId="77777777" w:rsidTr="00746203">
        <w:trPr>
          <w:trHeight w:val="606"/>
        </w:trPr>
        <w:tc>
          <w:tcPr>
            <w:tcW w:w="1843" w:type="dxa"/>
            <w:shd w:val="clear" w:color="auto" w:fill="00AFEF"/>
          </w:tcPr>
          <w:p w14:paraId="071C21ED" w14:textId="77777777" w:rsidR="00746203" w:rsidRPr="00306115" w:rsidRDefault="00746203" w:rsidP="00746203">
            <w:pPr>
              <w:pStyle w:val="TableParagraph"/>
              <w:spacing w:before="60" w:after="60"/>
              <w:rPr>
                <w:rFonts w:ascii="Bookman Old Style" w:hAnsi="Bookman Old Style"/>
                <w:i/>
                <w:color w:val="000000" w:themeColor="text1"/>
                <w:sz w:val="24"/>
                <w:szCs w:val="24"/>
              </w:rPr>
            </w:pPr>
            <w:r w:rsidRPr="00306115">
              <w:rPr>
                <w:rFonts w:ascii="Bookman Old Style" w:hAnsi="Bookman Old Style"/>
                <w:i/>
                <w:color w:val="000000" w:themeColor="text1"/>
                <w:sz w:val="24"/>
                <w:szCs w:val="24"/>
              </w:rPr>
              <w:t>Moderate to High</w:t>
            </w:r>
          </w:p>
        </w:tc>
        <w:tc>
          <w:tcPr>
            <w:tcW w:w="992" w:type="dxa"/>
            <w:shd w:val="clear" w:color="auto" w:fill="92D050"/>
          </w:tcPr>
          <w:p w14:paraId="5D4E4535" w14:textId="77777777" w:rsidR="00746203" w:rsidRPr="00306115" w:rsidRDefault="00746203" w:rsidP="00746203">
            <w:pPr>
              <w:pStyle w:val="TableParagraph"/>
              <w:spacing w:before="40" w:after="40"/>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2</w:t>
            </w:r>
          </w:p>
        </w:tc>
        <w:tc>
          <w:tcPr>
            <w:tcW w:w="1560" w:type="dxa"/>
            <w:shd w:val="clear" w:color="auto" w:fill="FFFF00"/>
          </w:tcPr>
          <w:p w14:paraId="1EC1E05E" w14:textId="77777777" w:rsidR="00746203" w:rsidRPr="00306115" w:rsidRDefault="00746203" w:rsidP="00746203">
            <w:pPr>
              <w:pStyle w:val="TableParagraph"/>
              <w:spacing w:before="40" w:after="40"/>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3</w:t>
            </w:r>
          </w:p>
        </w:tc>
        <w:tc>
          <w:tcPr>
            <w:tcW w:w="992" w:type="dxa"/>
            <w:shd w:val="clear" w:color="auto" w:fill="FFC000"/>
          </w:tcPr>
          <w:p w14:paraId="0EC92F06" w14:textId="77777777" w:rsidR="00746203" w:rsidRPr="00306115" w:rsidRDefault="00746203" w:rsidP="00746203">
            <w:pPr>
              <w:pStyle w:val="TableParagraph"/>
              <w:spacing w:before="40" w:after="40"/>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4</w:t>
            </w:r>
          </w:p>
        </w:tc>
        <w:tc>
          <w:tcPr>
            <w:tcW w:w="1276" w:type="dxa"/>
            <w:shd w:val="clear" w:color="auto" w:fill="FFC000"/>
          </w:tcPr>
          <w:p w14:paraId="571DA77C" w14:textId="77777777" w:rsidR="00746203" w:rsidRPr="00306115" w:rsidRDefault="00746203" w:rsidP="00746203">
            <w:pPr>
              <w:pStyle w:val="TableParagraph"/>
              <w:spacing w:before="40" w:after="40"/>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4</w:t>
            </w:r>
          </w:p>
        </w:tc>
        <w:tc>
          <w:tcPr>
            <w:tcW w:w="1842" w:type="dxa"/>
            <w:shd w:val="clear" w:color="auto" w:fill="FF0000"/>
          </w:tcPr>
          <w:p w14:paraId="27AF23A1" w14:textId="77777777" w:rsidR="00746203" w:rsidRPr="00306115" w:rsidRDefault="00746203" w:rsidP="00746203">
            <w:pPr>
              <w:pStyle w:val="TableParagraph"/>
              <w:spacing w:before="40" w:after="40"/>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5</w:t>
            </w:r>
          </w:p>
        </w:tc>
      </w:tr>
      <w:tr w:rsidR="00746203" w:rsidRPr="00306115" w14:paraId="7D1945E6" w14:textId="77777777" w:rsidTr="00746203">
        <w:trPr>
          <w:trHeight w:val="377"/>
        </w:trPr>
        <w:tc>
          <w:tcPr>
            <w:tcW w:w="1843" w:type="dxa"/>
            <w:shd w:val="clear" w:color="auto" w:fill="00AFEF"/>
          </w:tcPr>
          <w:p w14:paraId="038B3CE5" w14:textId="77777777" w:rsidR="00746203" w:rsidRPr="00306115" w:rsidRDefault="00746203" w:rsidP="00746203">
            <w:pPr>
              <w:pStyle w:val="TableParagraph"/>
              <w:spacing w:before="60" w:after="60"/>
              <w:rPr>
                <w:rFonts w:ascii="Bookman Old Style" w:hAnsi="Bookman Old Style"/>
                <w:i/>
                <w:color w:val="000000" w:themeColor="text1"/>
                <w:sz w:val="24"/>
                <w:szCs w:val="24"/>
              </w:rPr>
            </w:pPr>
            <w:r w:rsidRPr="00306115">
              <w:rPr>
                <w:rFonts w:ascii="Bookman Old Style" w:hAnsi="Bookman Old Style"/>
                <w:i/>
                <w:color w:val="000000" w:themeColor="text1"/>
                <w:sz w:val="24"/>
                <w:szCs w:val="24"/>
              </w:rPr>
              <w:t>High</w:t>
            </w:r>
          </w:p>
        </w:tc>
        <w:tc>
          <w:tcPr>
            <w:tcW w:w="992" w:type="dxa"/>
            <w:shd w:val="clear" w:color="auto" w:fill="FFFF00"/>
          </w:tcPr>
          <w:p w14:paraId="0FABCF66" w14:textId="77777777" w:rsidR="00746203" w:rsidRPr="00306115" w:rsidRDefault="00746203" w:rsidP="00746203">
            <w:pPr>
              <w:pStyle w:val="TableParagraph"/>
              <w:spacing w:before="40" w:after="40"/>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3</w:t>
            </w:r>
          </w:p>
        </w:tc>
        <w:tc>
          <w:tcPr>
            <w:tcW w:w="1560" w:type="dxa"/>
            <w:shd w:val="clear" w:color="auto" w:fill="FFFF00"/>
          </w:tcPr>
          <w:p w14:paraId="4D4023FE" w14:textId="77777777" w:rsidR="00746203" w:rsidRPr="00306115" w:rsidRDefault="00746203" w:rsidP="00746203">
            <w:pPr>
              <w:pStyle w:val="TableParagraph"/>
              <w:spacing w:before="40" w:after="40"/>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3</w:t>
            </w:r>
          </w:p>
        </w:tc>
        <w:tc>
          <w:tcPr>
            <w:tcW w:w="992" w:type="dxa"/>
            <w:shd w:val="clear" w:color="auto" w:fill="FFC000"/>
          </w:tcPr>
          <w:p w14:paraId="30B199FF" w14:textId="77777777" w:rsidR="00746203" w:rsidRPr="00306115" w:rsidRDefault="00746203" w:rsidP="00746203">
            <w:pPr>
              <w:pStyle w:val="TableParagraph"/>
              <w:spacing w:before="40" w:after="40"/>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4</w:t>
            </w:r>
          </w:p>
        </w:tc>
        <w:tc>
          <w:tcPr>
            <w:tcW w:w="1276" w:type="dxa"/>
            <w:shd w:val="clear" w:color="auto" w:fill="FF0000"/>
          </w:tcPr>
          <w:p w14:paraId="286D937F" w14:textId="77777777" w:rsidR="00746203" w:rsidRPr="00306115" w:rsidRDefault="00746203" w:rsidP="00746203">
            <w:pPr>
              <w:pStyle w:val="TableParagraph"/>
              <w:spacing w:before="40" w:after="40"/>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5</w:t>
            </w:r>
          </w:p>
        </w:tc>
        <w:tc>
          <w:tcPr>
            <w:tcW w:w="1842" w:type="dxa"/>
            <w:shd w:val="clear" w:color="auto" w:fill="FF0000"/>
          </w:tcPr>
          <w:p w14:paraId="0EC02A09" w14:textId="77777777" w:rsidR="00746203" w:rsidRPr="00306115" w:rsidRDefault="00746203" w:rsidP="00746203">
            <w:pPr>
              <w:pStyle w:val="TableParagraph"/>
              <w:spacing w:before="40" w:after="40"/>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5</w:t>
            </w:r>
          </w:p>
        </w:tc>
      </w:tr>
    </w:tbl>
    <w:p w14:paraId="5A2DF891" w14:textId="77777777" w:rsidR="00746203" w:rsidRPr="00306115" w:rsidRDefault="00746203" w:rsidP="00746203">
      <w:pPr>
        <w:pStyle w:val="HeadingAwalDaftarIsiLampiran"/>
        <w:numPr>
          <w:ilvl w:val="0"/>
          <w:numId w:val="0"/>
        </w:numPr>
        <w:ind w:left="720" w:hanging="360"/>
        <w:rPr>
          <w:sz w:val="28"/>
          <w:szCs w:val="28"/>
        </w:rPr>
      </w:pPr>
    </w:p>
    <w:p w14:paraId="28F9555F" w14:textId="1DF7D145" w:rsidR="001F762D" w:rsidRPr="00306115" w:rsidRDefault="001F762D">
      <w:pPr>
        <w:pStyle w:val="HeadingAwalDaftarIsiLampiran"/>
        <w:numPr>
          <w:ilvl w:val="3"/>
          <w:numId w:val="295"/>
        </w:numPr>
        <w:ind w:left="567" w:hanging="567"/>
      </w:pPr>
      <w:r w:rsidRPr="00306115">
        <w:t xml:space="preserve">Matriks Penilaian Faktor Profil </w:t>
      </w:r>
      <w:r w:rsidR="003F1027" w:rsidRPr="00306115">
        <w:t>Risiko</w:t>
      </w:r>
    </w:p>
    <w:p w14:paraId="1A0FA7FE" w14:textId="6AA3F417" w:rsidR="00746203" w:rsidRPr="00306115" w:rsidRDefault="006B00FF" w:rsidP="006B00FF">
      <w:pPr>
        <w:pStyle w:val="HeadingAwalDaftarIsiLampiran"/>
        <w:numPr>
          <w:ilvl w:val="0"/>
          <w:numId w:val="0"/>
        </w:numPr>
        <w:ind w:left="567" w:firstLine="567"/>
      </w:pPr>
      <w:r w:rsidRPr="00306115">
        <w:t>Penentuan peringkat profil risiko didasarkan pada hasil penilaian atas 10 (sepuluh) jenis risiko yang dinilai oleh Manajer Investasi. Manajer Investasi mempertimbangkan signifikansi risiko yang dinilai dalam menentukan peringkat profil risiko</w:t>
      </w:r>
      <w:r w:rsidR="00315B93" w:rsidRPr="00306115">
        <w:t xml:space="preserve"> dan tidak menetapkannya melalui penjumlahan, rata-rata, dan/atau perhitungan berbobot atas kesepuluh jenis risiko</w:t>
      </w:r>
      <w:r w:rsidRPr="00306115">
        <w:t>. Sebagai contoh, Risiko Pasar dan Risiko Likuiditas merupakan risiko yang paling dominan pada aktivitas Manajer Investasi, sehingga memiliki signifikansi yang lebih tinggi dibandingkan dengan risiko lain. Dengan demikian, peringkat profil risiko Manajer Investasi akan lebih banyak dipengaruhi oleh peringkat Risiko Pasar dan Risiko Likuiditas sebagai risiko paling dominan pada Manajer Investasi dan setelahnya oleh risiko lainnya yang dianggap signifikan, misalnya Risiko Kredit, Risiko Konsentrasi, dan/atau Risiko Operasional.</w:t>
      </w:r>
    </w:p>
    <w:p w14:paraId="0A6503BC" w14:textId="0AA5BE5B" w:rsidR="00315B93" w:rsidRPr="00306115" w:rsidRDefault="00994058" w:rsidP="006B00FF">
      <w:pPr>
        <w:pStyle w:val="HeadingAwalDaftarIsiLampiran"/>
        <w:numPr>
          <w:ilvl w:val="0"/>
          <w:numId w:val="0"/>
        </w:numPr>
        <w:ind w:left="567" w:firstLine="567"/>
      </w:pPr>
      <w:r w:rsidRPr="00306115">
        <w:t>Sebagai ilustrasi, hasil penilaian PT ABC Asset Manajemen adalah sebagai berikut:</w:t>
      </w:r>
    </w:p>
    <w:tbl>
      <w:tblPr>
        <w:tblpPr w:leftFromText="180" w:rightFromText="180" w:vertAnchor="text" w:horzAnchor="margin" w:tblpX="562" w:tblpY="275"/>
        <w:tblW w:w="8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48"/>
        <w:gridCol w:w="1417"/>
        <w:gridCol w:w="1560"/>
        <w:gridCol w:w="1280"/>
      </w:tblGrid>
      <w:tr w:rsidR="003648CD" w:rsidRPr="00306115" w14:paraId="42FA4781" w14:textId="77777777" w:rsidTr="003648CD">
        <w:trPr>
          <w:trHeight w:val="1132"/>
        </w:trPr>
        <w:tc>
          <w:tcPr>
            <w:tcW w:w="4248" w:type="dxa"/>
            <w:shd w:val="clear" w:color="auto" w:fill="E7E6E6"/>
            <w:vAlign w:val="center"/>
          </w:tcPr>
          <w:p w14:paraId="0C47053F" w14:textId="77777777" w:rsidR="003648CD" w:rsidRPr="00306115" w:rsidRDefault="003648CD" w:rsidP="003648CD">
            <w:pPr>
              <w:pStyle w:val="TableParagraph"/>
              <w:spacing w:before="60" w:after="60" w:line="276" w:lineRule="auto"/>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lastRenderedPageBreak/>
              <w:t>Jenis Risiko</w:t>
            </w:r>
          </w:p>
        </w:tc>
        <w:tc>
          <w:tcPr>
            <w:tcW w:w="1417" w:type="dxa"/>
            <w:shd w:val="clear" w:color="auto" w:fill="E7E6E6"/>
            <w:vAlign w:val="center"/>
          </w:tcPr>
          <w:p w14:paraId="1BA0ECE6" w14:textId="77777777" w:rsidR="003648CD" w:rsidRPr="00306115" w:rsidRDefault="003648CD" w:rsidP="003648CD">
            <w:pPr>
              <w:pStyle w:val="TableParagraph"/>
              <w:spacing w:before="60" w:after="60" w:line="276" w:lineRule="auto"/>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Tingkat</w:t>
            </w:r>
            <w:r w:rsidRPr="00306115">
              <w:rPr>
                <w:rFonts w:ascii="Bookman Old Style" w:hAnsi="Bookman Old Style"/>
                <w:color w:val="000000" w:themeColor="text1"/>
                <w:sz w:val="24"/>
                <w:szCs w:val="24"/>
                <w:lang w:val="en-US"/>
              </w:rPr>
              <w:t xml:space="preserve"> </w:t>
            </w:r>
            <w:r w:rsidRPr="00306115">
              <w:rPr>
                <w:rFonts w:ascii="Bookman Old Style" w:hAnsi="Bookman Old Style"/>
                <w:color w:val="000000" w:themeColor="text1"/>
                <w:sz w:val="24"/>
                <w:szCs w:val="24"/>
              </w:rPr>
              <w:t>Risiko Inheren</w:t>
            </w:r>
          </w:p>
        </w:tc>
        <w:tc>
          <w:tcPr>
            <w:tcW w:w="1560" w:type="dxa"/>
            <w:shd w:val="clear" w:color="auto" w:fill="E7E6E6"/>
            <w:vAlign w:val="center"/>
          </w:tcPr>
          <w:p w14:paraId="07ACF113" w14:textId="77777777" w:rsidR="003648CD" w:rsidRPr="00306115" w:rsidRDefault="003648CD" w:rsidP="003648CD">
            <w:pPr>
              <w:pStyle w:val="TableParagraph"/>
              <w:spacing w:before="60" w:after="60" w:line="276" w:lineRule="auto"/>
              <w:ind w:firstLine="2"/>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Tingkat Kualitas Penerapan Manajemen Risiko</w:t>
            </w:r>
          </w:p>
        </w:tc>
        <w:tc>
          <w:tcPr>
            <w:tcW w:w="1280" w:type="dxa"/>
            <w:shd w:val="clear" w:color="auto" w:fill="E7E6E6"/>
            <w:vAlign w:val="center"/>
          </w:tcPr>
          <w:p w14:paraId="71C8BCC6" w14:textId="77777777" w:rsidR="003648CD" w:rsidRPr="00306115" w:rsidRDefault="003648CD" w:rsidP="003648CD">
            <w:pPr>
              <w:pStyle w:val="TableParagraph"/>
              <w:spacing w:before="60" w:after="60" w:line="276" w:lineRule="auto"/>
              <w:ind w:hanging="82"/>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 xml:space="preserve">Tingkat </w:t>
            </w:r>
          </w:p>
          <w:p w14:paraId="10A91E40" w14:textId="2C486EA0" w:rsidR="003648CD" w:rsidRPr="00306115" w:rsidRDefault="003648CD" w:rsidP="003648CD">
            <w:pPr>
              <w:pStyle w:val="TableParagraph"/>
              <w:spacing w:before="60" w:after="60" w:line="276" w:lineRule="auto"/>
              <w:ind w:hanging="82"/>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Risiko</w:t>
            </w:r>
          </w:p>
        </w:tc>
      </w:tr>
      <w:tr w:rsidR="00271A9E" w:rsidRPr="00306115" w14:paraId="6C9F1CC1" w14:textId="77777777" w:rsidTr="003648CD">
        <w:trPr>
          <w:trHeight w:val="402"/>
        </w:trPr>
        <w:tc>
          <w:tcPr>
            <w:tcW w:w="4248" w:type="dxa"/>
          </w:tcPr>
          <w:p w14:paraId="1695F9EE" w14:textId="77777777" w:rsidR="00271A9E" w:rsidRPr="00306115" w:rsidRDefault="00271A9E" w:rsidP="00271A9E">
            <w:pPr>
              <w:pStyle w:val="TableParagraph"/>
              <w:spacing w:before="60" w:after="60" w:line="276" w:lineRule="auto"/>
              <w:ind w:left="57"/>
              <w:rPr>
                <w:rFonts w:ascii="Bookman Old Style" w:hAnsi="Bookman Old Style"/>
                <w:color w:val="000000" w:themeColor="text1"/>
                <w:sz w:val="24"/>
                <w:szCs w:val="24"/>
              </w:rPr>
            </w:pPr>
            <w:r w:rsidRPr="00306115">
              <w:rPr>
                <w:rFonts w:ascii="Bookman Old Style" w:hAnsi="Bookman Old Style"/>
                <w:color w:val="000000" w:themeColor="text1"/>
                <w:sz w:val="24"/>
                <w:szCs w:val="24"/>
              </w:rPr>
              <w:t>Risiko Pasar</w:t>
            </w:r>
          </w:p>
        </w:tc>
        <w:tc>
          <w:tcPr>
            <w:tcW w:w="1417" w:type="dxa"/>
          </w:tcPr>
          <w:p w14:paraId="12A1DFAD" w14:textId="2809FFDB" w:rsidR="00271A9E" w:rsidRPr="00306115" w:rsidRDefault="00271A9E" w:rsidP="00271A9E">
            <w:pPr>
              <w:pStyle w:val="TableParagraph"/>
              <w:spacing w:before="60" w:after="60" w:line="276" w:lineRule="auto"/>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2</w:t>
            </w:r>
          </w:p>
        </w:tc>
        <w:tc>
          <w:tcPr>
            <w:tcW w:w="1560" w:type="dxa"/>
          </w:tcPr>
          <w:p w14:paraId="670EBCDF" w14:textId="22A93EF7" w:rsidR="00271A9E" w:rsidRPr="00306115" w:rsidRDefault="00271A9E" w:rsidP="00271A9E">
            <w:pPr>
              <w:pStyle w:val="TableParagraph"/>
              <w:spacing w:before="60" w:after="60" w:line="276" w:lineRule="auto"/>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2</w:t>
            </w:r>
          </w:p>
        </w:tc>
        <w:tc>
          <w:tcPr>
            <w:tcW w:w="1280" w:type="dxa"/>
          </w:tcPr>
          <w:p w14:paraId="3B70ACBA" w14:textId="51E14B5E" w:rsidR="00271A9E" w:rsidRPr="00306115" w:rsidRDefault="00271A9E" w:rsidP="00271A9E">
            <w:pPr>
              <w:pStyle w:val="TableParagraph"/>
              <w:spacing w:before="60" w:after="60" w:line="276" w:lineRule="auto"/>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2</w:t>
            </w:r>
          </w:p>
        </w:tc>
      </w:tr>
      <w:tr w:rsidR="00271A9E" w:rsidRPr="00306115" w14:paraId="4637D732" w14:textId="77777777" w:rsidTr="003648CD">
        <w:trPr>
          <w:trHeight w:val="400"/>
        </w:trPr>
        <w:tc>
          <w:tcPr>
            <w:tcW w:w="4248" w:type="dxa"/>
          </w:tcPr>
          <w:p w14:paraId="2F1F195E" w14:textId="77777777" w:rsidR="00271A9E" w:rsidRPr="00306115" w:rsidRDefault="00271A9E" w:rsidP="00271A9E">
            <w:pPr>
              <w:pStyle w:val="TableParagraph"/>
              <w:spacing w:before="60" w:after="60" w:line="276" w:lineRule="auto"/>
              <w:ind w:left="57"/>
              <w:rPr>
                <w:rFonts w:ascii="Bookman Old Style" w:hAnsi="Bookman Old Style"/>
                <w:color w:val="000000" w:themeColor="text1"/>
                <w:sz w:val="24"/>
                <w:szCs w:val="24"/>
                <w:lang w:val="en-US"/>
              </w:rPr>
            </w:pPr>
            <w:r w:rsidRPr="00306115">
              <w:rPr>
                <w:rFonts w:ascii="Bookman Old Style" w:hAnsi="Bookman Old Style"/>
                <w:color w:val="000000" w:themeColor="text1"/>
                <w:sz w:val="24"/>
                <w:szCs w:val="24"/>
              </w:rPr>
              <w:t>Risiko Likuiditas</w:t>
            </w:r>
            <w:r w:rsidRPr="00306115">
              <w:rPr>
                <w:rFonts w:ascii="Bookman Old Style" w:hAnsi="Bookman Old Style"/>
                <w:color w:val="000000" w:themeColor="text1"/>
                <w:sz w:val="24"/>
                <w:szCs w:val="24"/>
                <w:lang w:val="en-US"/>
              </w:rPr>
              <w:t xml:space="preserve"> Produk Investasi</w:t>
            </w:r>
          </w:p>
        </w:tc>
        <w:tc>
          <w:tcPr>
            <w:tcW w:w="1417" w:type="dxa"/>
          </w:tcPr>
          <w:p w14:paraId="571CEB5C" w14:textId="4B15337C" w:rsidR="00271A9E" w:rsidRPr="00306115" w:rsidRDefault="00271A9E" w:rsidP="00271A9E">
            <w:pPr>
              <w:pStyle w:val="TableParagraph"/>
              <w:spacing w:before="60" w:after="60" w:line="276" w:lineRule="auto"/>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3</w:t>
            </w:r>
          </w:p>
        </w:tc>
        <w:tc>
          <w:tcPr>
            <w:tcW w:w="1560" w:type="dxa"/>
          </w:tcPr>
          <w:p w14:paraId="0B7E1BD1" w14:textId="0764E9D4" w:rsidR="00271A9E" w:rsidRPr="00306115" w:rsidRDefault="00271A9E" w:rsidP="00271A9E">
            <w:pPr>
              <w:pStyle w:val="TableParagraph"/>
              <w:spacing w:before="60" w:after="60" w:line="276" w:lineRule="auto"/>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2</w:t>
            </w:r>
          </w:p>
        </w:tc>
        <w:tc>
          <w:tcPr>
            <w:tcW w:w="1280" w:type="dxa"/>
          </w:tcPr>
          <w:p w14:paraId="7FFDC9E8" w14:textId="456B0BF5" w:rsidR="00271A9E" w:rsidRPr="00306115" w:rsidRDefault="00271A9E" w:rsidP="00271A9E">
            <w:pPr>
              <w:pStyle w:val="TableParagraph"/>
              <w:spacing w:before="60" w:after="60" w:line="276" w:lineRule="auto"/>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2</w:t>
            </w:r>
          </w:p>
        </w:tc>
      </w:tr>
      <w:tr w:rsidR="00271A9E" w:rsidRPr="00306115" w14:paraId="139C0F6C" w14:textId="77777777" w:rsidTr="003648CD">
        <w:trPr>
          <w:trHeight w:val="400"/>
        </w:trPr>
        <w:tc>
          <w:tcPr>
            <w:tcW w:w="4248" w:type="dxa"/>
          </w:tcPr>
          <w:p w14:paraId="67477433" w14:textId="77777777" w:rsidR="00271A9E" w:rsidRPr="00306115" w:rsidRDefault="00271A9E" w:rsidP="00271A9E">
            <w:pPr>
              <w:pStyle w:val="TableParagraph"/>
              <w:spacing w:before="60" w:after="60" w:line="276" w:lineRule="auto"/>
              <w:ind w:left="57"/>
              <w:rPr>
                <w:rFonts w:ascii="Bookman Old Style" w:hAnsi="Bookman Old Style"/>
                <w:color w:val="000000" w:themeColor="text1"/>
                <w:sz w:val="24"/>
                <w:szCs w:val="24"/>
              </w:rPr>
            </w:pPr>
            <w:r w:rsidRPr="00306115">
              <w:rPr>
                <w:rFonts w:ascii="Bookman Old Style" w:hAnsi="Bookman Old Style"/>
                <w:color w:val="000000" w:themeColor="text1"/>
                <w:sz w:val="24"/>
                <w:szCs w:val="24"/>
              </w:rPr>
              <w:t>Risiko Kredit</w:t>
            </w:r>
          </w:p>
        </w:tc>
        <w:tc>
          <w:tcPr>
            <w:tcW w:w="1417" w:type="dxa"/>
          </w:tcPr>
          <w:p w14:paraId="3B41BCF7" w14:textId="36B69AB5" w:rsidR="00271A9E" w:rsidRPr="00306115" w:rsidRDefault="00271A9E" w:rsidP="00271A9E">
            <w:pPr>
              <w:pStyle w:val="TableParagraph"/>
              <w:spacing w:before="60" w:after="60" w:line="276" w:lineRule="auto"/>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2</w:t>
            </w:r>
          </w:p>
        </w:tc>
        <w:tc>
          <w:tcPr>
            <w:tcW w:w="1560" w:type="dxa"/>
          </w:tcPr>
          <w:p w14:paraId="63FB33E8" w14:textId="1659F064" w:rsidR="00271A9E" w:rsidRPr="00306115" w:rsidRDefault="00271A9E" w:rsidP="00271A9E">
            <w:pPr>
              <w:pStyle w:val="TableParagraph"/>
              <w:spacing w:before="60" w:after="60" w:line="276" w:lineRule="auto"/>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3</w:t>
            </w:r>
          </w:p>
        </w:tc>
        <w:tc>
          <w:tcPr>
            <w:tcW w:w="1280" w:type="dxa"/>
          </w:tcPr>
          <w:p w14:paraId="370345DD" w14:textId="1367EF9E" w:rsidR="00271A9E" w:rsidRPr="00306115" w:rsidRDefault="00271A9E" w:rsidP="00271A9E">
            <w:pPr>
              <w:pStyle w:val="TableParagraph"/>
              <w:spacing w:before="60" w:after="60" w:line="276" w:lineRule="auto"/>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2</w:t>
            </w:r>
          </w:p>
        </w:tc>
      </w:tr>
      <w:tr w:rsidR="00271A9E" w:rsidRPr="00306115" w14:paraId="30D1DBC6" w14:textId="77777777" w:rsidTr="003648CD">
        <w:trPr>
          <w:trHeight w:val="400"/>
        </w:trPr>
        <w:tc>
          <w:tcPr>
            <w:tcW w:w="4248" w:type="dxa"/>
          </w:tcPr>
          <w:p w14:paraId="6508576E" w14:textId="77777777" w:rsidR="00271A9E" w:rsidRPr="00306115" w:rsidRDefault="00271A9E" w:rsidP="00271A9E">
            <w:pPr>
              <w:pStyle w:val="TableParagraph"/>
              <w:spacing w:before="60" w:after="60" w:line="276" w:lineRule="auto"/>
              <w:ind w:left="57"/>
              <w:rPr>
                <w:rFonts w:ascii="Bookman Old Style" w:hAnsi="Bookman Old Style"/>
                <w:color w:val="000000" w:themeColor="text1"/>
                <w:sz w:val="24"/>
                <w:szCs w:val="24"/>
              </w:rPr>
            </w:pPr>
            <w:r w:rsidRPr="00306115">
              <w:rPr>
                <w:rFonts w:ascii="Bookman Old Style" w:hAnsi="Bookman Old Style"/>
                <w:color w:val="000000" w:themeColor="text1"/>
                <w:sz w:val="24"/>
                <w:szCs w:val="24"/>
              </w:rPr>
              <w:t>Risiko Konsentrasi Portofolio Efek</w:t>
            </w:r>
          </w:p>
        </w:tc>
        <w:tc>
          <w:tcPr>
            <w:tcW w:w="1417" w:type="dxa"/>
          </w:tcPr>
          <w:p w14:paraId="0C0F15D1" w14:textId="15603839" w:rsidR="00271A9E" w:rsidRPr="00306115" w:rsidRDefault="00271A9E" w:rsidP="00271A9E">
            <w:pPr>
              <w:pStyle w:val="TableParagraph"/>
              <w:spacing w:before="60" w:after="60" w:line="276" w:lineRule="auto"/>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3</w:t>
            </w:r>
          </w:p>
        </w:tc>
        <w:tc>
          <w:tcPr>
            <w:tcW w:w="1560" w:type="dxa"/>
          </w:tcPr>
          <w:p w14:paraId="39C4BA42" w14:textId="2759A28C" w:rsidR="00271A9E" w:rsidRPr="00306115" w:rsidRDefault="00271A9E" w:rsidP="00271A9E">
            <w:pPr>
              <w:pStyle w:val="TableParagraph"/>
              <w:spacing w:before="60" w:after="60" w:line="276" w:lineRule="auto"/>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3</w:t>
            </w:r>
          </w:p>
        </w:tc>
        <w:tc>
          <w:tcPr>
            <w:tcW w:w="1280" w:type="dxa"/>
          </w:tcPr>
          <w:p w14:paraId="4B2A4CD1" w14:textId="34BDA569" w:rsidR="00271A9E" w:rsidRPr="00306115" w:rsidRDefault="00271A9E" w:rsidP="00271A9E">
            <w:pPr>
              <w:pStyle w:val="TableParagraph"/>
              <w:spacing w:before="60" w:after="60" w:line="276" w:lineRule="auto"/>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3</w:t>
            </w:r>
          </w:p>
        </w:tc>
      </w:tr>
      <w:tr w:rsidR="00271A9E" w:rsidRPr="00306115" w14:paraId="2C287D6D" w14:textId="77777777" w:rsidTr="003648CD">
        <w:trPr>
          <w:trHeight w:val="402"/>
        </w:trPr>
        <w:tc>
          <w:tcPr>
            <w:tcW w:w="4248" w:type="dxa"/>
          </w:tcPr>
          <w:p w14:paraId="7DE8F957" w14:textId="77777777" w:rsidR="00271A9E" w:rsidRPr="00306115" w:rsidRDefault="00271A9E" w:rsidP="00271A9E">
            <w:pPr>
              <w:pStyle w:val="TableParagraph"/>
              <w:spacing w:before="60" w:after="60" w:line="276" w:lineRule="auto"/>
              <w:ind w:left="57"/>
              <w:rPr>
                <w:rFonts w:ascii="Bookman Old Style" w:hAnsi="Bookman Old Style"/>
                <w:color w:val="000000" w:themeColor="text1"/>
                <w:sz w:val="24"/>
                <w:szCs w:val="24"/>
              </w:rPr>
            </w:pPr>
            <w:r w:rsidRPr="00306115">
              <w:rPr>
                <w:rFonts w:ascii="Bookman Old Style" w:hAnsi="Bookman Old Style"/>
                <w:color w:val="000000" w:themeColor="text1"/>
                <w:sz w:val="24"/>
                <w:szCs w:val="24"/>
              </w:rPr>
              <w:t>Risiko Operasional</w:t>
            </w:r>
          </w:p>
        </w:tc>
        <w:tc>
          <w:tcPr>
            <w:tcW w:w="1417" w:type="dxa"/>
          </w:tcPr>
          <w:p w14:paraId="6DB28A92" w14:textId="6A7F6ABC" w:rsidR="00271A9E" w:rsidRPr="00306115" w:rsidRDefault="00271A9E" w:rsidP="00271A9E">
            <w:pPr>
              <w:pStyle w:val="TableParagraph"/>
              <w:spacing w:before="60" w:after="60" w:line="276" w:lineRule="auto"/>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4</w:t>
            </w:r>
          </w:p>
        </w:tc>
        <w:tc>
          <w:tcPr>
            <w:tcW w:w="1560" w:type="dxa"/>
          </w:tcPr>
          <w:p w14:paraId="757AE890" w14:textId="352E93FA" w:rsidR="00271A9E" w:rsidRPr="00306115" w:rsidRDefault="00271A9E" w:rsidP="00271A9E">
            <w:pPr>
              <w:pStyle w:val="TableParagraph"/>
              <w:spacing w:before="60" w:after="60" w:line="276" w:lineRule="auto"/>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3</w:t>
            </w:r>
          </w:p>
        </w:tc>
        <w:tc>
          <w:tcPr>
            <w:tcW w:w="1280" w:type="dxa"/>
          </w:tcPr>
          <w:p w14:paraId="0738E150" w14:textId="56EFA3F4" w:rsidR="00271A9E" w:rsidRPr="00306115" w:rsidRDefault="00271A9E" w:rsidP="00271A9E">
            <w:pPr>
              <w:pStyle w:val="TableParagraph"/>
              <w:spacing w:before="60" w:after="60" w:line="276" w:lineRule="auto"/>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4</w:t>
            </w:r>
          </w:p>
        </w:tc>
      </w:tr>
      <w:tr w:rsidR="00271A9E" w:rsidRPr="00306115" w14:paraId="61B61DED" w14:textId="77777777" w:rsidTr="003648CD">
        <w:trPr>
          <w:trHeight w:val="400"/>
        </w:trPr>
        <w:tc>
          <w:tcPr>
            <w:tcW w:w="4248" w:type="dxa"/>
          </w:tcPr>
          <w:p w14:paraId="28607D64" w14:textId="77777777" w:rsidR="00271A9E" w:rsidRPr="00306115" w:rsidRDefault="00271A9E" w:rsidP="00271A9E">
            <w:pPr>
              <w:pStyle w:val="TableParagraph"/>
              <w:spacing w:before="60" w:after="60" w:line="276" w:lineRule="auto"/>
              <w:ind w:left="57"/>
              <w:rPr>
                <w:rFonts w:ascii="Bookman Old Style" w:hAnsi="Bookman Old Style"/>
                <w:color w:val="000000" w:themeColor="text1"/>
                <w:sz w:val="24"/>
                <w:szCs w:val="24"/>
              </w:rPr>
            </w:pPr>
            <w:r w:rsidRPr="00306115">
              <w:rPr>
                <w:rFonts w:ascii="Bookman Old Style" w:hAnsi="Bookman Old Style"/>
                <w:color w:val="000000" w:themeColor="text1"/>
                <w:sz w:val="24"/>
                <w:szCs w:val="24"/>
              </w:rPr>
              <w:t>Risiko Hukum</w:t>
            </w:r>
          </w:p>
        </w:tc>
        <w:tc>
          <w:tcPr>
            <w:tcW w:w="1417" w:type="dxa"/>
          </w:tcPr>
          <w:p w14:paraId="18B7210C" w14:textId="4271A214" w:rsidR="00271A9E" w:rsidRPr="00306115" w:rsidRDefault="00271A9E" w:rsidP="00271A9E">
            <w:pPr>
              <w:pStyle w:val="TableParagraph"/>
              <w:spacing w:before="60" w:after="60" w:line="276" w:lineRule="auto"/>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1</w:t>
            </w:r>
          </w:p>
        </w:tc>
        <w:tc>
          <w:tcPr>
            <w:tcW w:w="1560" w:type="dxa"/>
          </w:tcPr>
          <w:p w14:paraId="447B9A48" w14:textId="1C63BC53" w:rsidR="00271A9E" w:rsidRPr="00306115" w:rsidRDefault="00271A9E" w:rsidP="00271A9E">
            <w:pPr>
              <w:pStyle w:val="TableParagraph"/>
              <w:spacing w:before="60" w:after="60" w:line="276" w:lineRule="auto"/>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2</w:t>
            </w:r>
          </w:p>
        </w:tc>
        <w:tc>
          <w:tcPr>
            <w:tcW w:w="1280" w:type="dxa"/>
          </w:tcPr>
          <w:p w14:paraId="54DA9C97" w14:textId="393C7493" w:rsidR="00271A9E" w:rsidRPr="00306115" w:rsidRDefault="00271A9E" w:rsidP="00271A9E">
            <w:pPr>
              <w:pStyle w:val="TableParagraph"/>
              <w:spacing w:before="60" w:after="60" w:line="276" w:lineRule="auto"/>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1</w:t>
            </w:r>
          </w:p>
        </w:tc>
      </w:tr>
      <w:tr w:rsidR="00271A9E" w:rsidRPr="00306115" w14:paraId="7FAACB9B" w14:textId="77777777" w:rsidTr="003648CD">
        <w:trPr>
          <w:trHeight w:val="401"/>
        </w:trPr>
        <w:tc>
          <w:tcPr>
            <w:tcW w:w="4248" w:type="dxa"/>
          </w:tcPr>
          <w:p w14:paraId="22A6FB78" w14:textId="77777777" w:rsidR="00271A9E" w:rsidRPr="00306115" w:rsidRDefault="00271A9E" w:rsidP="00271A9E">
            <w:pPr>
              <w:pStyle w:val="TableParagraph"/>
              <w:spacing w:before="60" w:after="60" w:line="276" w:lineRule="auto"/>
              <w:ind w:left="57"/>
              <w:rPr>
                <w:rFonts w:ascii="Bookman Old Style" w:hAnsi="Bookman Old Style"/>
                <w:color w:val="000000" w:themeColor="text1"/>
                <w:sz w:val="24"/>
                <w:szCs w:val="24"/>
              </w:rPr>
            </w:pPr>
            <w:r w:rsidRPr="00306115">
              <w:rPr>
                <w:rFonts w:ascii="Bookman Old Style" w:hAnsi="Bookman Old Style"/>
                <w:color w:val="000000" w:themeColor="text1"/>
                <w:sz w:val="24"/>
                <w:szCs w:val="24"/>
              </w:rPr>
              <w:t>Risiko Kepatuhan</w:t>
            </w:r>
          </w:p>
        </w:tc>
        <w:tc>
          <w:tcPr>
            <w:tcW w:w="1417" w:type="dxa"/>
          </w:tcPr>
          <w:p w14:paraId="7B09F36C" w14:textId="5F50FC9F" w:rsidR="00271A9E" w:rsidRPr="00306115" w:rsidRDefault="00271A9E" w:rsidP="00271A9E">
            <w:pPr>
              <w:pStyle w:val="TableParagraph"/>
              <w:spacing w:before="60" w:after="60" w:line="276" w:lineRule="auto"/>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2</w:t>
            </w:r>
          </w:p>
        </w:tc>
        <w:tc>
          <w:tcPr>
            <w:tcW w:w="1560" w:type="dxa"/>
          </w:tcPr>
          <w:p w14:paraId="47CC655A" w14:textId="40F85C11" w:rsidR="00271A9E" w:rsidRPr="00306115" w:rsidRDefault="00271A9E" w:rsidP="00271A9E">
            <w:pPr>
              <w:pStyle w:val="TableParagraph"/>
              <w:spacing w:before="60" w:after="60" w:line="276" w:lineRule="auto"/>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2</w:t>
            </w:r>
          </w:p>
        </w:tc>
        <w:tc>
          <w:tcPr>
            <w:tcW w:w="1280" w:type="dxa"/>
          </w:tcPr>
          <w:p w14:paraId="075915ED" w14:textId="12F0DF21" w:rsidR="00271A9E" w:rsidRPr="00306115" w:rsidRDefault="00271A9E" w:rsidP="00271A9E">
            <w:pPr>
              <w:pStyle w:val="TableParagraph"/>
              <w:spacing w:before="60" w:after="60" w:line="276" w:lineRule="auto"/>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2</w:t>
            </w:r>
          </w:p>
        </w:tc>
      </w:tr>
      <w:tr w:rsidR="00271A9E" w:rsidRPr="00306115" w14:paraId="22AD828F" w14:textId="77777777" w:rsidTr="003648CD">
        <w:trPr>
          <w:trHeight w:val="402"/>
        </w:trPr>
        <w:tc>
          <w:tcPr>
            <w:tcW w:w="4248" w:type="dxa"/>
          </w:tcPr>
          <w:p w14:paraId="56520772" w14:textId="77777777" w:rsidR="00271A9E" w:rsidRPr="00306115" w:rsidRDefault="00271A9E" w:rsidP="00271A9E">
            <w:pPr>
              <w:pStyle w:val="TableParagraph"/>
              <w:spacing w:before="60" w:after="60" w:line="276" w:lineRule="auto"/>
              <w:ind w:left="57"/>
              <w:rPr>
                <w:rFonts w:ascii="Bookman Old Style" w:hAnsi="Bookman Old Style"/>
                <w:color w:val="000000" w:themeColor="text1"/>
                <w:sz w:val="24"/>
                <w:szCs w:val="24"/>
              </w:rPr>
            </w:pPr>
            <w:r w:rsidRPr="00306115">
              <w:rPr>
                <w:rFonts w:ascii="Bookman Old Style" w:hAnsi="Bookman Old Style"/>
                <w:color w:val="000000" w:themeColor="text1"/>
                <w:sz w:val="24"/>
                <w:szCs w:val="24"/>
              </w:rPr>
              <w:t>Risiko Reputasi</w:t>
            </w:r>
          </w:p>
        </w:tc>
        <w:tc>
          <w:tcPr>
            <w:tcW w:w="1417" w:type="dxa"/>
          </w:tcPr>
          <w:p w14:paraId="23F49049" w14:textId="3DACBE7E" w:rsidR="00271A9E" w:rsidRPr="00306115" w:rsidRDefault="00271A9E" w:rsidP="00271A9E">
            <w:pPr>
              <w:pStyle w:val="TableParagraph"/>
              <w:spacing w:before="60" w:after="60" w:line="276" w:lineRule="auto"/>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1</w:t>
            </w:r>
          </w:p>
        </w:tc>
        <w:tc>
          <w:tcPr>
            <w:tcW w:w="1560" w:type="dxa"/>
          </w:tcPr>
          <w:p w14:paraId="784FFB43" w14:textId="2714C8E2" w:rsidR="00271A9E" w:rsidRPr="00306115" w:rsidRDefault="00271A9E" w:rsidP="00271A9E">
            <w:pPr>
              <w:pStyle w:val="TableParagraph"/>
              <w:spacing w:before="60" w:after="60" w:line="276" w:lineRule="auto"/>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2</w:t>
            </w:r>
          </w:p>
        </w:tc>
        <w:tc>
          <w:tcPr>
            <w:tcW w:w="1280" w:type="dxa"/>
          </w:tcPr>
          <w:p w14:paraId="2F6722C4" w14:textId="636B4929" w:rsidR="00271A9E" w:rsidRPr="00306115" w:rsidRDefault="00271A9E" w:rsidP="00271A9E">
            <w:pPr>
              <w:pStyle w:val="TableParagraph"/>
              <w:spacing w:before="60" w:after="60" w:line="276" w:lineRule="auto"/>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1</w:t>
            </w:r>
          </w:p>
        </w:tc>
      </w:tr>
      <w:tr w:rsidR="00271A9E" w:rsidRPr="00306115" w14:paraId="62E814A9" w14:textId="77777777" w:rsidTr="003648CD">
        <w:trPr>
          <w:trHeight w:val="402"/>
        </w:trPr>
        <w:tc>
          <w:tcPr>
            <w:tcW w:w="4248" w:type="dxa"/>
          </w:tcPr>
          <w:p w14:paraId="75767B1E" w14:textId="77777777" w:rsidR="00271A9E" w:rsidRPr="00306115" w:rsidRDefault="00271A9E" w:rsidP="00271A9E">
            <w:pPr>
              <w:pStyle w:val="TableParagraph"/>
              <w:spacing w:before="60" w:after="60" w:line="276" w:lineRule="auto"/>
              <w:ind w:left="57"/>
              <w:rPr>
                <w:rFonts w:ascii="Bookman Old Style" w:hAnsi="Bookman Old Style"/>
                <w:color w:val="000000" w:themeColor="text1"/>
                <w:sz w:val="24"/>
                <w:szCs w:val="24"/>
              </w:rPr>
            </w:pPr>
            <w:r w:rsidRPr="00306115">
              <w:rPr>
                <w:rFonts w:ascii="Bookman Old Style" w:hAnsi="Bookman Old Style"/>
                <w:color w:val="000000" w:themeColor="text1"/>
                <w:sz w:val="24"/>
                <w:szCs w:val="24"/>
              </w:rPr>
              <w:t>Risiko Strategis</w:t>
            </w:r>
          </w:p>
        </w:tc>
        <w:tc>
          <w:tcPr>
            <w:tcW w:w="1417" w:type="dxa"/>
          </w:tcPr>
          <w:p w14:paraId="5D5E1F90" w14:textId="25E2998A" w:rsidR="00271A9E" w:rsidRPr="00306115" w:rsidRDefault="00271A9E" w:rsidP="00271A9E">
            <w:pPr>
              <w:pStyle w:val="TableParagraph"/>
              <w:spacing w:before="60" w:after="60" w:line="276" w:lineRule="auto"/>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2</w:t>
            </w:r>
          </w:p>
        </w:tc>
        <w:tc>
          <w:tcPr>
            <w:tcW w:w="1560" w:type="dxa"/>
          </w:tcPr>
          <w:p w14:paraId="7EEDC647" w14:textId="01290F57" w:rsidR="00271A9E" w:rsidRPr="00306115" w:rsidRDefault="00271A9E" w:rsidP="00271A9E">
            <w:pPr>
              <w:pStyle w:val="TableParagraph"/>
              <w:spacing w:before="60" w:after="60" w:line="276" w:lineRule="auto"/>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3</w:t>
            </w:r>
          </w:p>
        </w:tc>
        <w:tc>
          <w:tcPr>
            <w:tcW w:w="1280" w:type="dxa"/>
          </w:tcPr>
          <w:p w14:paraId="02DC9260" w14:textId="1F3E25AB" w:rsidR="00271A9E" w:rsidRPr="00306115" w:rsidRDefault="00271A9E" w:rsidP="00271A9E">
            <w:pPr>
              <w:pStyle w:val="TableParagraph"/>
              <w:spacing w:before="60" w:after="60" w:line="276" w:lineRule="auto"/>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2</w:t>
            </w:r>
          </w:p>
        </w:tc>
      </w:tr>
      <w:tr w:rsidR="00271A9E" w:rsidRPr="00306115" w14:paraId="1363692C" w14:textId="77777777" w:rsidTr="003648CD">
        <w:trPr>
          <w:trHeight w:val="402"/>
        </w:trPr>
        <w:tc>
          <w:tcPr>
            <w:tcW w:w="4248" w:type="dxa"/>
          </w:tcPr>
          <w:p w14:paraId="7C6D828A" w14:textId="77777777" w:rsidR="00271A9E" w:rsidRPr="00306115" w:rsidRDefault="00271A9E" w:rsidP="00271A9E">
            <w:pPr>
              <w:pStyle w:val="TableParagraph"/>
              <w:spacing w:before="60" w:after="60" w:line="276" w:lineRule="auto"/>
              <w:ind w:left="57"/>
              <w:rPr>
                <w:rFonts w:ascii="Bookman Old Style" w:hAnsi="Bookman Old Style"/>
                <w:color w:val="000000" w:themeColor="text1"/>
                <w:sz w:val="24"/>
                <w:szCs w:val="24"/>
              </w:rPr>
            </w:pPr>
            <w:r w:rsidRPr="00306115">
              <w:rPr>
                <w:rFonts w:ascii="Bookman Old Style" w:hAnsi="Bookman Old Style"/>
                <w:color w:val="000000" w:themeColor="text1"/>
                <w:sz w:val="24"/>
                <w:szCs w:val="24"/>
              </w:rPr>
              <w:t>Risiko Investasi</w:t>
            </w:r>
          </w:p>
        </w:tc>
        <w:tc>
          <w:tcPr>
            <w:tcW w:w="1417" w:type="dxa"/>
          </w:tcPr>
          <w:p w14:paraId="1035F59A" w14:textId="2E37D948" w:rsidR="00271A9E" w:rsidRPr="00306115" w:rsidRDefault="00271A9E" w:rsidP="00271A9E">
            <w:pPr>
              <w:pStyle w:val="TableParagraph"/>
              <w:spacing w:before="60" w:after="60" w:line="276" w:lineRule="auto"/>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2</w:t>
            </w:r>
          </w:p>
        </w:tc>
        <w:tc>
          <w:tcPr>
            <w:tcW w:w="1560" w:type="dxa"/>
          </w:tcPr>
          <w:p w14:paraId="011BC607" w14:textId="2F975B10" w:rsidR="00271A9E" w:rsidRPr="00306115" w:rsidRDefault="00271A9E" w:rsidP="00271A9E">
            <w:pPr>
              <w:pStyle w:val="TableParagraph"/>
              <w:spacing w:before="60" w:after="60" w:line="276" w:lineRule="auto"/>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2</w:t>
            </w:r>
          </w:p>
        </w:tc>
        <w:tc>
          <w:tcPr>
            <w:tcW w:w="1280" w:type="dxa"/>
          </w:tcPr>
          <w:p w14:paraId="2188AD0C" w14:textId="5C8D43F9" w:rsidR="00271A9E" w:rsidRPr="00306115" w:rsidRDefault="00271A9E" w:rsidP="00271A9E">
            <w:pPr>
              <w:pStyle w:val="TableParagraph"/>
              <w:spacing w:before="60" w:after="60" w:line="276" w:lineRule="auto"/>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2</w:t>
            </w:r>
          </w:p>
        </w:tc>
      </w:tr>
      <w:tr w:rsidR="003648CD" w:rsidRPr="00306115" w14:paraId="54AFACD0" w14:textId="77777777" w:rsidTr="003648CD">
        <w:trPr>
          <w:trHeight w:val="683"/>
        </w:trPr>
        <w:tc>
          <w:tcPr>
            <w:tcW w:w="4248" w:type="dxa"/>
            <w:vAlign w:val="center"/>
          </w:tcPr>
          <w:p w14:paraId="67C68AB8" w14:textId="77777777" w:rsidR="003648CD" w:rsidRPr="00306115" w:rsidRDefault="003648CD" w:rsidP="003648CD">
            <w:pPr>
              <w:pStyle w:val="TableParagraph"/>
              <w:spacing w:before="60" w:after="60" w:line="276" w:lineRule="auto"/>
              <w:ind w:left="57"/>
              <w:rPr>
                <w:rFonts w:ascii="Bookman Old Style" w:hAnsi="Bookman Old Style"/>
                <w:b/>
                <w:bCs/>
                <w:color w:val="000000" w:themeColor="text1"/>
                <w:sz w:val="24"/>
                <w:szCs w:val="24"/>
              </w:rPr>
            </w:pPr>
            <w:r w:rsidRPr="00306115">
              <w:rPr>
                <w:rFonts w:ascii="Bookman Old Style" w:hAnsi="Bookman Old Style"/>
                <w:b/>
                <w:bCs/>
                <w:color w:val="000000" w:themeColor="text1"/>
                <w:sz w:val="24"/>
                <w:szCs w:val="24"/>
              </w:rPr>
              <w:t>Peringkat Komposit</w:t>
            </w:r>
          </w:p>
        </w:tc>
        <w:tc>
          <w:tcPr>
            <w:tcW w:w="1417" w:type="dxa"/>
          </w:tcPr>
          <w:p w14:paraId="46C4B336" w14:textId="77777777" w:rsidR="003648CD" w:rsidRPr="00306115" w:rsidRDefault="003648CD" w:rsidP="003648CD">
            <w:pPr>
              <w:pStyle w:val="TableParagraph"/>
              <w:spacing w:before="60" w:after="60" w:line="276" w:lineRule="auto"/>
              <w:rPr>
                <w:rFonts w:ascii="Bookman Old Style" w:hAnsi="Bookman Old Style"/>
                <w:b/>
                <w:bCs/>
                <w:color w:val="000000" w:themeColor="text1"/>
                <w:sz w:val="24"/>
                <w:szCs w:val="24"/>
              </w:rPr>
            </w:pPr>
          </w:p>
        </w:tc>
        <w:tc>
          <w:tcPr>
            <w:tcW w:w="1560" w:type="dxa"/>
          </w:tcPr>
          <w:p w14:paraId="031BF23E" w14:textId="77777777" w:rsidR="003648CD" w:rsidRPr="00306115" w:rsidRDefault="003648CD" w:rsidP="003648CD">
            <w:pPr>
              <w:pStyle w:val="TableParagraph"/>
              <w:spacing w:before="60" w:after="60" w:line="276" w:lineRule="auto"/>
              <w:rPr>
                <w:rFonts w:ascii="Bookman Old Style" w:hAnsi="Bookman Old Style"/>
                <w:b/>
                <w:bCs/>
                <w:color w:val="000000" w:themeColor="text1"/>
                <w:sz w:val="24"/>
                <w:szCs w:val="24"/>
              </w:rPr>
            </w:pPr>
          </w:p>
        </w:tc>
        <w:tc>
          <w:tcPr>
            <w:tcW w:w="1280" w:type="dxa"/>
            <w:vAlign w:val="center"/>
          </w:tcPr>
          <w:p w14:paraId="6228DCE8" w14:textId="1E5DC81B" w:rsidR="00166A08" w:rsidRPr="00306115" w:rsidRDefault="00166A08" w:rsidP="003648CD">
            <w:pPr>
              <w:pStyle w:val="TableParagraph"/>
              <w:spacing w:before="60" w:after="60" w:line="276" w:lineRule="auto"/>
              <w:jc w:val="center"/>
              <w:rPr>
                <w:rFonts w:ascii="Bookman Old Style" w:hAnsi="Bookman Old Style"/>
                <w:b/>
                <w:bCs/>
                <w:strike/>
                <w:color w:val="000000" w:themeColor="text1"/>
                <w:sz w:val="24"/>
                <w:szCs w:val="24"/>
              </w:rPr>
            </w:pPr>
            <w:r w:rsidRPr="00306115">
              <w:rPr>
                <w:rFonts w:ascii="Bookman Old Style" w:hAnsi="Bookman Old Style"/>
                <w:b/>
                <w:bCs/>
                <w:color w:val="000000" w:themeColor="text1"/>
                <w:sz w:val="24"/>
                <w:szCs w:val="24"/>
              </w:rPr>
              <w:t>3</w:t>
            </w:r>
          </w:p>
        </w:tc>
      </w:tr>
    </w:tbl>
    <w:p w14:paraId="6F001B61" w14:textId="77777777" w:rsidR="006B00FF" w:rsidRPr="00306115" w:rsidRDefault="006B00FF" w:rsidP="00746203">
      <w:pPr>
        <w:pStyle w:val="HeadingAwalDaftarIsiLampiran"/>
        <w:numPr>
          <w:ilvl w:val="0"/>
          <w:numId w:val="0"/>
        </w:numPr>
        <w:ind w:left="567"/>
      </w:pPr>
    </w:p>
    <w:p w14:paraId="23AFBA18" w14:textId="277C44DE" w:rsidR="007735FF" w:rsidRPr="00306115" w:rsidRDefault="007735FF" w:rsidP="007735FF">
      <w:pPr>
        <w:pStyle w:val="HeadingAwalDaftarIsiLampiran"/>
        <w:numPr>
          <w:ilvl w:val="0"/>
          <w:numId w:val="0"/>
        </w:numPr>
        <w:ind w:left="567" w:firstLine="567"/>
      </w:pPr>
      <w:r w:rsidRPr="00306115">
        <w:t xml:space="preserve">Berdasarkan tabel di atas, Risiko Pasar dan Risiko Likuiditas Produk Investasi (sebagai risiko yang paling dominan pada aktivitas Manajer Investasi) sama-sama berada pada </w:t>
      </w:r>
      <w:r w:rsidR="0073259D" w:rsidRPr="00306115">
        <w:t>t</w:t>
      </w:r>
      <w:r w:rsidRPr="00306115">
        <w:t xml:space="preserve">ingkat </w:t>
      </w:r>
      <w:r w:rsidR="0073259D" w:rsidRPr="00306115">
        <w:t>r</w:t>
      </w:r>
      <w:r w:rsidRPr="00306115">
        <w:t xml:space="preserve">isiko 2. Namun demikian, Manajer Investasi turut mempertimbangkan bahwa Risiko Operasional berada pada </w:t>
      </w:r>
      <w:r w:rsidR="0073259D" w:rsidRPr="00306115">
        <w:t>t</w:t>
      </w:r>
      <w:r w:rsidRPr="00306115">
        <w:t xml:space="preserve">ingkat </w:t>
      </w:r>
      <w:r w:rsidR="0073259D" w:rsidRPr="00306115">
        <w:t>t</w:t>
      </w:r>
      <w:r w:rsidRPr="00306115">
        <w:t xml:space="preserve">isiko 4, jauh lebih tinggi dibandingkan jenis risiko lainnya, sehingga tetap dipandang signifikan meskipun bukan termasuk risiko yang paling dominan. </w:t>
      </w:r>
    </w:p>
    <w:p w14:paraId="46A1FA4F" w14:textId="48F64A90" w:rsidR="00166A08" w:rsidRPr="00306115" w:rsidRDefault="007735FF" w:rsidP="007735FF">
      <w:pPr>
        <w:pStyle w:val="HeadingAwalDaftarIsiLampiran"/>
        <w:numPr>
          <w:ilvl w:val="0"/>
          <w:numId w:val="0"/>
        </w:numPr>
        <w:ind w:left="567" w:firstLine="567"/>
      </w:pPr>
      <w:r w:rsidRPr="00306115">
        <w:t xml:space="preserve">Dengan mempertimbangkan kedua hal tersebut, Manajer Investasi menetapkan </w:t>
      </w:r>
      <w:r w:rsidR="0073259D" w:rsidRPr="00306115">
        <w:t>p</w:t>
      </w:r>
      <w:r w:rsidRPr="00306115">
        <w:t xml:space="preserve">eringkat </w:t>
      </w:r>
      <w:r w:rsidR="0073259D" w:rsidRPr="00306115">
        <w:t>p</w:t>
      </w:r>
      <w:r w:rsidRPr="00306115">
        <w:t xml:space="preserve">rofil </w:t>
      </w:r>
      <w:r w:rsidR="0073259D" w:rsidRPr="00306115">
        <w:t>r</w:t>
      </w:r>
      <w:r w:rsidRPr="00306115">
        <w:t xml:space="preserve">isiko=3, tidak semata mengikuti </w:t>
      </w:r>
      <w:r w:rsidR="0073259D" w:rsidRPr="00306115">
        <w:t>t</w:t>
      </w:r>
      <w:r w:rsidRPr="00306115">
        <w:t xml:space="preserve">ingkat Risiko Pasar dan </w:t>
      </w:r>
      <w:r w:rsidR="0073259D" w:rsidRPr="00306115">
        <w:t xml:space="preserve">Risiko </w:t>
      </w:r>
      <w:r w:rsidRPr="00306115">
        <w:t>Likuiditas</w:t>
      </w:r>
      <w:r w:rsidR="0073259D" w:rsidRPr="00306115">
        <w:t xml:space="preserve"> Produk Investasi</w:t>
      </w:r>
      <w:r w:rsidRPr="00306115">
        <w:t xml:space="preserve"> yang dominan namun rendah (2), dan tidak pula secara otomatis mengikuti </w:t>
      </w:r>
      <w:r w:rsidR="0073259D" w:rsidRPr="00306115">
        <w:t>t</w:t>
      </w:r>
      <w:r w:rsidRPr="00306115">
        <w:t>ingkat Risiko Operasional yang tertinggi (4), melainkan berdasarkan pertimbangan profesional atas signifikansi seluruh jenis risiko secara menyeluruh</w:t>
      </w:r>
      <w:r w:rsidR="0073259D" w:rsidRPr="00306115">
        <w:t>.</w:t>
      </w:r>
    </w:p>
    <w:p w14:paraId="5780826A" w14:textId="77777777" w:rsidR="00166A08" w:rsidRPr="00306115" w:rsidRDefault="00166A08" w:rsidP="00746203">
      <w:pPr>
        <w:pStyle w:val="HeadingAwalDaftarIsiLampiran"/>
        <w:numPr>
          <w:ilvl w:val="0"/>
          <w:numId w:val="0"/>
        </w:numPr>
        <w:ind w:left="567"/>
      </w:pPr>
    </w:p>
    <w:p w14:paraId="4DC1D44B" w14:textId="45A6BBD3" w:rsidR="003F1027" w:rsidRPr="00306115" w:rsidRDefault="003F1027">
      <w:pPr>
        <w:pStyle w:val="HeadingAwalDaftarIsiLampiran"/>
        <w:numPr>
          <w:ilvl w:val="3"/>
          <w:numId w:val="295"/>
        </w:numPr>
        <w:ind w:left="567" w:hanging="567"/>
      </w:pPr>
      <w:r w:rsidRPr="00306115">
        <w:t>Matriks Peringkat Faktor Profil Risiko</w:t>
      </w:r>
    </w:p>
    <w:tbl>
      <w:tblPr>
        <w:tblW w:w="8470" w:type="dxa"/>
        <w:tblInd w:w="5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66"/>
        <w:gridCol w:w="6804"/>
      </w:tblGrid>
      <w:tr w:rsidR="00906ED2" w:rsidRPr="00306115" w14:paraId="018A8764" w14:textId="77777777" w:rsidTr="00943E1B">
        <w:trPr>
          <w:trHeight w:val="636"/>
          <w:tblHeader/>
        </w:trPr>
        <w:tc>
          <w:tcPr>
            <w:tcW w:w="1666" w:type="dxa"/>
            <w:shd w:val="clear" w:color="auto" w:fill="E7E6E6"/>
            <w:vAlign w:val="center"/>
          </w:tcPr>
          <w:p w14:paraId="39FA7399" w14:textId="77777777" w:rsidR="00906ED2" w:rsidRPr="00306115" w:rsidRDefault="00906ED2" w:rsidP="00396CC4">
            <w:pPr>
              <w:pStyle w:val="TableParagraph"/>
              <w:spacing w:before="120" w:after="120"/>
              <w:ind w:left="142" w:right="142"/>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Peringkat</w:t>
            </w:r>
          </w:p>
        </w:tc>
        <w:tc>
          <w:tcPr>
            <w:tcW w:w="6804" w:type="dxa"/>
            <w:shd w:val="clear" w:color="auto" w:fill="E7E6E6"/>
            <w:vAlign w:val="center"/>
          </w:tcPr>
          <w:p w14:paraId="58319769" w14:textId="77777777" w:rsidR="00906ED2" w:rsidRPr="00306115" w:rsidRDefault="00906ED2" w:rsidP="00396CC4">
            <w:pPr>
              <w:pStyle w:val="TableParagraph"/>
              <w:spacing w:before="120" w:after="120"/>
              <w:ind w:left="142" w:right="142"/>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Definisi</w:t>
            </w:r>
          </w:p>
        </w:tc>
      </w:tr>
      <w:tr w:rsidR="00906ED2" w:rsidRPr="00306115" w14:paraId="344D0C9A" w14:textId="77777777" w:rsidTr="00C61EBD">
        <w:trPr>
          <w:trHeight w:val="490"/>
        </w:trPr>
        <w:tc>
          <w:tcPr>
            <w:tcW w:w="1666" w:type="dxa"/>
          </w:tcPr>
          <w:p w14:paraId="3A78BE8D" w14:textId="77777777" w:rsidR="00906ED2" w:rsidRPr="00306115" w:rsidRDefault="00906ED2" w:rsidP="00396CC4">
            <w:pPr>
              <w:pStyle w:val="TableParagraph"/>
              <w:spacing w:before="120" w:after="120"/>
              <w:ind w:left="142" w:right="142"/>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Peringkat 1</w:t>
            </w:r>
          </w:p>
        </w:tc>
        <w:tc>
          <w:tcPr>
            <w:tcW w:w="6804" w:type="dxa"/>
          </w:tcPr>
          <w:p w14:paraId="4532FC0B" w14:textId="77777777" w:rsidR="00906ED2" w:rsidRPr="00306115" w:rsidRDefault="00906ED2" w:rsidP="00396CC4">
            <w:pPr>
              <w:pStyle w:val="TableParagraph"/>
              <w:ind w:left="142" w:right="142"/>
              <w:jc w:val="both"/>
              <w:rPr>
                <w:rFonts w:ascii="Bookman Old Style" w:hAnsi="Bookman Old Style"/>
                <w:color w:val="000000" w:themeColor="text1"/>
                <w:sz w:val="24"/>
                <w:szCs w:val="24"/>
              </w:rPr>
            </w:pPr>
            <w:r w:rsidRPr="00306115">
              <w:rPr>
                <w:rFonts w:ascii="Bookman Old Style" w:hAnsi="Bookman Old Style"/>
                <w:color w:val="000000" w:themeColor="text1"/>
                <w:sz w:val="24"/>
                <w:szCs w:val="24"/>
              </w:rPr>
              <w:t xml:space="preserve">Profil risiko </w:t>
            </w:r>
            <w:r w:rsidRPr="00306115">
              <w:rPr>
                <w:rFonts w:ascii="Bookman Old Style" w:hAnsi="Bookman Old Style"/>
                <w:color w:val="000000" w:themeColor="text1"/>
                <w:sz w:val="24"/>
                <w:szCs w:val="24"/>
                <w:lang w:val="en-US"/>
              </w:rPr>
              <w:t>Manajer Investasi</w:t>
            </w:r>
            <w:r w:rsidRPr="00306115">
              <w:rPr>
                <w:rFonts w:ascii="Bookman Old Style" w:hAnsi="Bookman Old Style"/>
                <w:color w:val="000000" w:themeColor="text1"/>
                <w:sz w:val="24"/>
                <w:szCs w:val="24"/>
              </w:rPr>
              <w:t xml:space="preserve"> yang termasuk dalam peringkat ini pada umumnya </w:t>
            </w:r>
            <w:r w:rsidRPr="00306115">
              <w:rPr>
                <w:rFonts w:ascii="Bookman Old Style" w:hAnsi="Bookman Old Style"/>
                <w:color w:val="000000" w:themeColor="text1"/>
                <w:sz w:val="24"/>
                <w:szCs w:val="24"/>
                <w:lang w:val="en-GB"/>
              </w:rPr>
              <w:t>memiliki</w:t>
            </w:r>
            <w:r w:rsidRPr="00306115">
              <w:rPr>
                <w:rFonts w:ascii="Bookman Old Style" w:hAnsi="Bookman Old Style"/>
                <w:color w:val="000000" w:themeColor="text1"/>
                <w:sz w:val="24"/>
                <w:szCs w:val="24"/>
              </w:rPr>
              <w:t xml:space="preserve"> karakteristik antara lain sebagai berikut:</w:t>
            </w:r>
          </w:p>
          <w:p w14:paraId="15CE3AA5" w14:textId="662BB224" w:rsidR="00396CC4" w:rsidRPr="00306115" w:rsidRDefault="007A1181">
            <w:pPr>
              <w:pStyle w:val="TableParagraph"/>
              <w:numPr>
                <w:ilvl w:val="0"/>
                <w:numId w:val="420"/>
              </w:numPr>
              <w:tabs>
                <w:tab w:val="left" w:pos="994"/>
              </w:tabs>
              <w:ind w:left="709" w:right="142" w:hanging="567"/>
              <w:jc w:val="both"/>
              <w:rPr>
                <w:rFonts w:ascii="Bookman Old Style" w:hAnsi="Bookman Old Style"/>
                <w:color w:val="000000" w:themeColor="text1"/>
                <w:sz w:val="24"/>
                <w:szCs w:val="24"/>
              </w:rPr>
            </w:pPr>
            <w:r w:rsidRPr="00306115">
              <w:rPr>
                <w:rFonts w:ascii="Bookman Old Style" w:hAnsi="Bookman Old Style"/>
                <w:color w:val="000000" w:themeColor="text1"/>
                <w:sz w:val="24"/>
                <w:szCs w:val="24"/>
              </w:rPr>
              <w:t>d</w:t>
            </w:r>
            <w:r w:rsidR="00906ED2" w:rsidRPr="00306115">
              <w:rPr>
                <w:rFonts w:ascii="Bookman Old Style" w:hAnsi="Bookman Old Style"/>
                <w:color w:val="000000" w:themeColor="text1"/>
                <w:sz w:val="24"/>
                <w:szCs w:val="24"/>
              </w:rPr>
              <w:t>engan mempertimbangkan aktivitas kegiatan usaha yang dilakukan Manajer Investasi, kemungkinan kerugian yang dihadapi Manajer Investasi beserta Produk Investasi dari risiko inheren komposit, tergolong sangat rendah selama periode waktu tertentu pada masa datang</w:t>
            </w:r>
            <w:r w:rsidR="00D706DE" w:rsidRPr="00306115">
              <w:rPr>
                <w:rFonts w:ascii="Bookman Old Style" w:hAnsi="Bookman Old Style"/>
                <w:color w:val="000000" w:themeColor="text1"/>
                <w:sz w:val="24"/>
                <w:szCs w:val="24"/>
              </w:rPr>
              <w:t>; dan</w:t>
            </w:r>
          </w:p>
          <w:p w14:paraId="12E347FA" w14:textId="647A22BD" w:rsidR="00906ED2" w:rsidRPr="00306115" w:rsidRDefault="007A1181">
            <w:pPr>
              <w:pStyle w:val="TableParagraph"/>
              <w:numPr>
                <w:ilvl w:val="0"/>
                <w:numId w:val="420"/>
              </w:numPr>
              <w:tabs>
                <w:tab w:val="left" w:pos="994"/>
              </w:tabs>
              <w:ind w:left="709" w:right="142" w:hanging="567"/>
              <w:jc w:val="both"/>
              <w:rPr>
                <w:rFonts w:ascii="Bookman Old Style" w:hAnsi="Bookman Old Style"/>
                <w:color w:val="000000" w:themeColor="text1"/>
                <w:sz w:val="24"/>
                <w:szCs w:val="24"/>
              </w:rPr>
            </w:pPr>
            <w:r w:rsidRPr="00306115">
              <w:rPr>
                <w:rFonts w:ascii="Bookman Old Style" w:hAnsi="Bookman Old Style"/>
                <w:color w:val="000000" w:themeColor="text1"/>
                <w:sz w:val="24"/>
                <w:szCs w:val="24"/>
              </w:rPr>
              <w:t>k</w:t>
            </w:r>
            <w:r w:rsidR="00906ED2" w:rsidRPr="00306115">
              <w:rPr>
                <w:rFonts w:ascii="Bookman Old Style" w:hAnsi="Bookman Old Style"/>
                <w:color w:val="000000" w:themeColor="text1"/>
                <w:sz w:val="24"/>
                <w:szCs w:val="24"/>
              </w:rPr>
              <w:t xml:space="preserve">ualitas penerapan Manajemen Risiko secara komposit sangat memadai. Dalam hal terdapat </w:t>
            </w:r>
            <w:r w:rsidR="00906ED2" w:rsidRPr="00306115">
              <w:rPr>
                <w:rFonts w:ascii="Bookman Old Style" w:hAnsi="Bookman Old Style"/>
                <w:color w:val="000000" w:themeColor="text1"/>
                <w:sz w:val="24"/>
                <w:szCs w:val="24"/>
              </w:rPr>
              <w:lastRenderedPageBreak/>
              <w:t>kelemahan minor, kelemahan tersebut tidak signifikan sehingga dapat diabaikan.</w:t>
            </w:r>
          </w:p>
        </w:tc>
      </w:tr>
      <w:tr w:rsidR="00906ED2" w:rsidRPr="00306115" w14:paraId="46A22444" w14:textId="77777777" w:rsidTr="00943E1B">
        <w:trPr>
          <w:trHeight w:val="978"/>
        </w:trPr>
        <w:tc>
          <w:tcPr>
            <w:tcW w:w="1666" w:type="dxa"/>
          </w:tcPr>
          <w:p w14:paraId="0AE92E10" w14:textId="77777777" w:rsidR="00906ED2" w:rsidRPr="00306115" w:rsidRDefault="00906ED2" w:rsidP="00396CC4">
            <w:pPr>
              <w:pStyle w:val="TableParagraph"/>
              <w:spacing w:before="120" w:after="120"/>
              <w:ind w:left="142" w:right="142"/>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lastRenderedPageBreak/>
              <w:t>Peringkat 2</w:t>
            </w:r>
          </w:p>
        </w:tc>
        <w:tc>
          <w:tcPr>
            <w:tcW w:w="6804" w:type="dxa"/>
          </w:tcPr>
          <w:p w14:paraId="2E98E58B" w14:textId="77777777" w:rsidR="00906ED2" w:rsidRPr="00306115" w:rsidRDefault="00906ED2" w:rsidP="00396CC4">
            <w:pPr>
              <w:pStyle w:val="TableParagraph"/>
              <w:ind w:left="142" w:right="142"/>
              <w:jc w:val="both"/>
              <w:rPr>
                <w:rFonts w:ascii="Bookman Old Style" w:hAnsi="Bookman Old Style"/>
                <w:color w:val="000000" w:themeColor="text1"/>
                <w:sz w:val="24"/>
                <w:szCs w:val="24"/>
              </w:rPr>
            </w:pPr>
            <w:r w:rsidRPr="00306115">
              <w:rPr>
                <w:rFonts w:ascii="Bookman Old Style" w:hAnsi="Bookman Old Style"/>
                <w:color w:val="000000" w:themeColor="text1"/>
                <w:sz w:val="24"/>
                <w:szCs w:val="24"/>
              </w:rPr>
              <w:t xml:space="preserve">Profil risiko </w:t>
            </w:r>
            <w:r w:rsidRPr="00306115">
              <w:rPr>
                <w:rFonts w:ascii="Bookman Old Style" w:hAnsi="Bookman Old Style"/>
                <w:color w:val="000000" w:themeColor="text1"/>
                <w:sz w:val="24"/>
                <w:szCs w:val="24"/>
                <w:lang w:val="en-US"/>
              </w:rPr>
              <w:t>Manajer Investasi</w:t>
            </w:r>
            <w:r w:rsidRPr="00306115">
              <w:rPr>
                <w:rFonts w:ascii="Bookman Old Style" w:hAnsi="Bookman Old Style"/>
                <w:color w:val="000000" w:themeColor="text1"/>
                <w:sz w:val="24"/>
                <w:szCs w:val="24"/>
              </w:rPr>
              <w:t xml:space="preserve"> yang termasuk dalam peringkat ini pada umumnya </w:t>
            </w:r>
            <w:r w:rsidRPr="00306115">
              <w:rPr>
                <w:rFonts w:ascii="Bookman Old Style" w:hAnsi="Bookman Old Style"/>
                <w:color w:val="000000" w:themeColor="text1"/>
                <w:sz w:val="24"/>
                <w:szCs w:val="24"/>
                <w:lang w:val="en-US"/>
              </w:rPr>
              <w:t>m</w:t>
            </w:r>
            <w:r w:rsidRPr="00306115">
              <w:rPr>
                <w:rFonts w:ascii="Bookman Old Style" w:hAnsi="Bookman Old Style"/>
                <w:color w:val="000000" w:themeColor="text1"/>
                <w:sz w:val="24"/>
                <w:szCs w:val="24"/>
              </w:rPr>
              <w:t>emiliki karakteristik antara lain sebagai berikut:</w:t>
            </w:r>
          </w:p>
          <w:p w14:paraId="2177EC6A" w14:textId="31B7AC5D" w:rsidR="007A1181" w:rsidRPr="00306115" w:rsidRDefault="00D706DE">
            <w:pPr>
              <w:pStyle w:val="TableParagraph"/>
              <w:numPr>
                <w:ilvl w:val="0"/>
                <w:numId w:val="419"/>
              </w:numPr>
              <w:tabs>
                <w:tab w:val="left" w:pos="710"/>
              </w:tabs>
              <w:ind w:left="709" w:right="142" w:hanging="567"/>
              <w:jc w:val="both"/>
              <w:rPr>
                <w:rFonts w:ascii="Bookman Old Style" w:hAnsi="Bookman Old Style"/>
                <w:color w:val="000000" w:themeColor="text1"/>
                <w:sz w:val="24"/>
                <w:szCs w:val="24"/>
              </w:rPr>
            </w:pPr>
            <w:r w:rsidRPr="00306115">
              <w:rPr>
                <w:rFonts w:ascii="Bookman Old Style" w:hAnsi="Bookman Old Style"/>
                <w:color w:val="000000" w:themeColor="text1"/>
                <w:sz w:val="24"/>
                <w:szCs w:val="24"/>
              </w:rPr>
              <w:t>d</w:t>
            </w:r>
            <w:r w:rsidR="00906ED2" w:rsidRPr="00306115">
              <w:rPr>
                <w:rFonts w:ascii="Bookman Old Style" w:hAnsi="Bookman Old Style"/>
                <w:color w:val="000000" w:themeColor="text1"/>
                <w:sz w:val="24"/>
                <w:szCs w:val="24"/>
              </w:rPr>
              <w:t xml:space="preserve">engan mempertimbangkan aktivitas kegiatan usaha yang dilakukan </w:t>
            </w:r>
            <w:r w:rsidR="00906ED2" w:rsidRPr="00306115">
              <w:rPr>
                <w:rFonts w:ascii="Bookman Old Style" w:hAnsi="Bookman Old Style"/>
                <w:color w:val="000000" w:themeColor="text1"/>
                <w:sz w:val="24"/>
                <w:szCs w:val="24"/>
                <w:lang w:val="en-US"/>
              </w:rPr>
              <w:t>Manajer Investasi</w:t>
            </w:r>
            <w:r w:rsidR="00906ED2" w:rsidRPr="00306115">
              <w:rPr>
                <w:rFonts w:ascii="Bookman Old Style" w:hAnsi="Bookman Old Style"/>
                <w:color w:val="000000" w:themeColor="text1"/>
                <w:sz w:val="24"/>
                <w:szCs w:val="24"/>
              </w:rPr>
              <w:t xml:space="preserve">, kemungkinan kerugian yang dihadapi </w:t>
            </w:r>
            <w:r w:rsidR="00906ED2" w:rsidRPr="00306115">
              <w:rPr>
                <w:rFonts w:ascii="Bookman Old Style" w:hAnsi="Bookman Old Style"/>
                <w:color w:val="000000" w:themeColor="text1"/>
                <w:sz w:val="24"/>
                <w:szCs w:val="24"/>
                <w:lang w:val="en-US"/>
              </w:rPr>
              <w:t xml:space="preserve">Manajer Investasi </w:t>
            </w:r>
            <w:r w:rsidR="00906ED2" w:rsidRPr="00306115">
              <w:rPr>
                <w:rFonts w:ascii="Bookman Old Style" w:hAnsi="Bookman Old Style"/>
                <w:color w:val="000000" w:themeColor="text1"/>
                <w:sz w:val="24"/>
                <w:szCs w:val="24"/>
              </w:rPr>
              <w:t>beserta Produk Investasi dari risiko inheren komposit tergolong rendah selama periode waktu tertentu pada masa datang</w:t>
            </w:r>
            <w:r w:rsidRPr="00306115">
              <w:rPr>
                <w:rFonts w:ascii="Bookman Old Style" w:hAnsi="Bookman Old Style"/>
                <w:color w:val="000000" w:themeColor="text1"/>
                <w:sz w:val="24"/>
                <w:szCs w:val="24"/>
              </w:rPr>
              <w:t>; dan</w:t>
            </w:r>
          </w:p>
          <w:p w14:paraId="46BFC981" w14:textId="77DDCB40" w:rsidR="00906ED2" w:rsidRPr="00306115" w:rsidRDefault="00D706DE">
            <w:pPr>
              <w:pStyle w:val="TableParagraph"/>
              <w:numPr>
                <w:ilvl w:val="0"/>
                <w:numId w:val="419"/>
              </w:numPr>
              <w:tabs>
                <w:tab w:val="left" w:pos="710"/>
              </w:tabs>
              <w:ind w:left="709" w:right="142" w:hanging="567"/>
              <w:jc w:val="both"/>
              <w:rPr>
                <w:rFonts w:ascii="Bookman Old Style" w:hAnsi="Bookman Old Style"/>
                <w:color w:val="000000" w:themeColor="text1"/>
                <w:sz w:val="24"/>
                <w:szCs w:val="24"/>
              </w:rPr>
            </w:pPr>
            <w:r w:rsidRPr="00306115">
              <w:rPr>
                <w:rFonts w:ascii="Bookman Old Style" w:hAnsi="Bookman Old Style"/>
                <w:color w:val="000000" w:themeColor="text1"/>
                <w:sz w:val="24"/>
                <w:szCs w:val="24"/>
              </w:rPr>
              <w:t>k</w:t>
            </w:r>
            <w:r w:rsidR="00906ED2" w:rsidRPr="00306115">
              <w:rPr>
                <w:rFonts w:ascii="Bookman Old Style" w:hAnsi="Bookman Old Style"/>
                <w:color w:val="000000" w:themeColor="text1"/>
                <w:sz w:val="24"/>
                <w:szCs w:val="24"/>
              </w:rPr>
              <w:t>ualitas penerapan Manajemen Risiko secara komposit memadai. Dalam hal terdapat kelemahan minor, kelemahan tersebut dapat diselesaikan pada aktivitas kegiatan usaha normal.</w:t>
            </w:r>
          </w:p>
        </w:tc>
      </w:tr>
      <w:tr w:rsidR="00906ED2" w:rsidRPr="00306115" w14:paraId="758C2BEA" w14:textId="77777777" w:rsidTr="00943E1B">
        <w:trPr>
          <w:trHeight w:val="412"/>
        </w:trPr>
        <w:tc>
          <w:tcPr>
            <w:tcW w:w="1666" w:type="dxa"/>
          </w:tcPr>
          <w:p w14:paraId="55562CB4" w14:textId="77777777" w:rsidR="00906ED2" w:rsidRPr="00306115" w:rsidRDefault="00906ED2" w:rsidP="00396CC4">
            <w:pPr>
              <w:pStyle w:val="TableParagraph"/>
              <w:spacing w:before="120" w:after="120"/>
              <w:ind w:left="142" w:right="142"/>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Peringkat 3</w:t>
            </w:r>
          </w:p>
        </w:tc>
        <w:tc>
          <w:tcPr>
            <w:tcW w:w="6804" w:type="dxa"/>
          </w:tcPr>
          <w:p w14:paraId="65FDD3B9" w14:textId="77777777" w:rsidR="00906ED2" w:rsidRPr="00306115" w:rsidRDefault="00906ED2" w:rsidP="00396CC4">
            <w:pPr>
              <w:pStyle w:val="TableParagraph"/>
              <w:ind w:left="142" w:right="142"/>
              <w:jc w:val="both"/>
              <w:rPr>
                <w:rFonts w:ascii="Bookman Old Style" w:hAnsi="Bookman Old Style"/>
                <w:color w:val="000000" w:themeColor="text1"/>
                <w:sz w:val="24"/>
                <w:szCs w:val="24"/>
              </w:rPr>
            </w:pPr>
            <w:r w:rsidRPr="00306115">
              <w:rPr>
                <w:rFonts w:ascii="Bookman Old Style" w:hAnsi="Bookman Old Style"/>
                <w:color w:val="000000" w:themeColor="text1"/>
                <w:sz w:val="24"/>
                <w:szCs w:val="24"/>
              </w:rPr>
              <w:t xml:space="preserve">Profil risiko </w:t>
            </w:r>
            <w:r w:rsidRPr="00306115">
              <w:rPr>
                <w:rFonts w:ascii="Bookman Old Style" w:hAnsi="Bookman Old Style"/>
                <w:color w:val="000000" w:themeColor="text1"/>
                <w:sz w:val="24"/>
                <w:szCs w:val="24"/>
                <w:lang w:val="en-US"/>
              </w:rPr>
              <w:t>Manajer Investasi</w:t>
            </w:r>
            <w:r w:rsidRPr="00306115">
              <w:rPr>
                <w:rFonts w:ascii="Bookman Old Style" w:hAnsi="Bookman Old Style"/>
                <w:color w:val="000000" w:themeColor="text1"/>
                <w:sz w:val="24"/>
                <w:szCs w:val="24"/>
              </w:rPr>
              <w:t xml:space="preserve"> yang termasuk dalam peringkat ini pada </w:t>
            </w:r>
            <w:r w:rsidRPr="00306115">
              <w:rPr>
                <w:rFonts w:ascii="Bookman Old Style" w:hAnsi="Bookman Old Style"/>
                <w:color w:val="000000" w:themeColor="text1"/>
                <w:sz w:val="24"/>
                <w:szCs w:val="24"/>
                <w:lang w:val="en-GB"/>
              </w:rPr>
              <w:t>umumnya</w:t>
            </w:r>
            <w:r w:rsidRPr="00306115">
              <w:rPr>
                <w:rFonts w:ascii="Bookman Old Style" w:hAnsi="Bookman Old Style"/>
                <w:color w:val="000000" w:themeColor="text1"/>
                <w:sz w:val="24"/>
                <w:szCs w:val="24"/>
              </w:rPr>
              <w:t xml:space="preserve"> memiliki karakteristik antara lain sebagai berikut:</w:t>
            </w:r>
          </w:p>
          <w:p w14:paraId="55B05458" w14:textId="49513489" w:rsidR="00906ED2" w:rsidRPr="00306115" w:rsidRDefault="00D706DE">
            <w:pPr>
              <w:pStyle w:val="TableParagraph"/>
              <w:numPr>
                <w:ilvl w:val="0"/>
                <w:numId w:val="418"/>
              </w:numPr>
              <w:tabs>
                <w:tab w:val="left" w:pos="852"/>
              </w:tabs>
              <w:ind w:left="709" w:right="142" w:hanging="567"/>
              <w:jc w:val="both"/>
              <w:rPr>
                <w:rFonts w:ascii="Bookman Old Style" w:hAnsi="Bookman Old Style"/>
                <w:color w:val="000000" w:themeColor="text1"/>
                <w:sz w:val="24"/>
                <w:szCs w:val="24"/>
              </w:rPr>
            </w:pPr>
            <w:r w:rsidRPr="00306115">
              <w:rPr>
                <w:rFonts w:ascii="Bookman Old Style" w:hAnsi="Bookman Old Style"/>
                <w:color w:val="000000" w:themeColor="text1"/>
                <w:sz w:val="24"/>
                <w:szCs w:val="24"/>
              </w:rPr>
              <w:t>d</w:t>
            </w:r>
            <w:r w:rsidR="00906ED2" w:rsidRPr="00306115">
              <w:rPr>
                <w:rFonts w:ascii="Bookman Old Style" w:hAnsi="Bookman Old Style"/>
                <w:color w:val="000000" w:themeColor="text1"/>
                <w:sz w:val="24"/>
                <w:szCs w:val="24"/>
              </w:rPr>
              <w:t xml:space="preserve">engan mempertimbangkan aktivitas kegiatan usaha yang dilakukan </w:t>
            </w:r>
            <w:r w:rsidR="00906ED2" w:rsidRPr="00306115">
              <w:rPr>
                <w:rFonts w:ascii="Bookman Old Style" w:hAnsi="Bookman Old Style"/>
                <w:color w:val="000000" w:themeColor="text1"/>
                <w:sz w:val="24"/>
                <w:szCs w:val="24"/>
                <w:lang w:val="en-US"/>
              </w:rPr>
              <w:t>Manajer Investasi</w:t>
            </w:r>
            <w:r w:rsidR="00906ED2" w:rsidRPr="00306115">
              <w:rPr>
                <w:rFonts w:ascii="Bookman Old Style" w:hAnsi="Bookman Old Style"/>
                <w:color w:val="000000" w:themeColor="text1"/>
                <w:sz w:val="24"/>
                <w:szCs w:val="24"/>
              </w:rPr>
              <w:t xml:space="preserve">, kemungkinan kerugian yang dihadapi </w:t>
            </w:r>
            <w:r w:rsidR="00906ED2" w:rsidRPr="00306115">
              <w:rPr>
                <w:rFonts w:ascii="Bookman Old Style" w:hAnsi="Bookman Old Style"/>
                <w:color w:val="000000" w:themeColor="text1"/>
                <w:sz w:val="24"/>
                <w:szCs w:val="24"/>
                <w:lang w:val="en-US"/>
              </w:rPr>
              <w:t>Manajer Investasi</w:t>
            </w:r>
            <w:r w:rsidR="00906ED2" w:rsidRPr="00306115">
              <w:rPr>
                <w:rFonts w:ascii="Bookman Old Style" w:hAnsi="Bookman Old Style"/>
                <w:color w:val="000000" w:themeColor="text1"/>
                <w:sz w:val="24"/>
                <w:szCs w:val="24"/>
              </w:rPr>
              <w:t xml:space="preserve"> beserta Produk Investasi dari risiko inheren komposit tergolong cukup tinggi selama periode waktu tertentu pada masa datang</w:t>
            </w:r>
            <w:r w:rsidRPr="00306115">
              <w:rPr>
                <w:rFonts w:ascii="Bookman Old Style" w:hAnsi="Bookman Old Style"/>
                <w:color w:val="000000" w:themeColor="text1"/>
                <w:sz w:val="24"/>
                <w:szCs w:val="24"/>
              </w:rPr>
              <w:t>; dan</w:t>
            </w:r>
          </w:p>
          <w:p w14:paraId="68A0A2A3" w14:textId="3B5488DC" w:rsidR="00906ED2" w:rsidRPr="00306115" w:rsidRDefault="00D706DE">
            <w:pPr>
              <w:pStyle w:val="TableParagraph"/>
              <w:numPr>
                <w:ilvl w:val="0"/>
                <w:numId w:val="418"/>
              </w:numPr>
              <w:tabs>
                <w:tab w:val="left" w:pos="852"/>
              </w:tabs>
              <w:ind w:left="709" w:right="142" w:hanging="567"/>
              <w:jc w:val="both"/>
              <w:rPr>
                <w:rFonts w:ascii="Bookman Old Style" w:hAnsi="Bookman Old Style"/>
                <w:color w:val="000000" w:themeColor="text1"/>
                <w:sz w:val="24"/>
                <w:szCs w:val="24"/>
              </w:rPr>
            </w:pPr>
            <w:r w:rsidRPr="00306115">
              <w:rPr>
                <w:rFonts w:ascii="Bookman Old Style" w:hAnsi="Bookman Old Style"/>
                <w:color w:val="000000" w:themeColor="text1"/>
                <w:sz w:val="24"/>
                <w:szCs w:val="24"/>
              </w:rPr>
              <w:t>k</w:t>
            </w:r>
            <w:r w:rsidR="00906ED2" w:rsidRPr="00306115">
              <w:rPr>
                <w:rFonts w:ascii="Bookman Old Style" w:hAnsi="Bookman Old Style"/>
                <w:color w:val="000000" w:themeColor="text1"/>
                <w:sz w:val="24"/>
                <w:szCs w:val="24"/>
              </w:rPr>
              <w:t>ualitas penerapan Manajemen Risiko secara komposit cukup memadai. Meskipun persyaratan minimum terpenuhi, terdapat beberapa kelemahan yang cukup signifikan yang memerlukan perbaikan segera.</w:t>
            </w:r>
          </w:p>
        </w:tc>
      </w:tr>
      <w:tr w:rsidR="00906ED2" w:rsidRPr="00306115" w14:paraId="231ECC58" w14:textId="77777777" w:rsidTr="00943E1B">
        <w:trPr>
          <w:trHeight w:val="128"/>
        </w:trPr>
        <w:tc>
          <w:tcPr>
            <w:tcW w:w="1666" w:type="dxa"/>
          </w:tcPr>
          <w:p w14:paraId="1D7DB502" w14:textId="77777777" w:rsidR="00906ED2" w:rsidRPr="00306115" w:rsidRDefault="00906ED2" w:rsidP="00396CC4">
            <w:pPr>
              <w:pStyle w:val="TableParagraph"/>
              <w:spacing w:before="120" w:after="120"/>
              <w:ind w:left="142" w:right="142"/>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Peringkat 4</w:t>
            </w:r>
          </w:p>
        </w:tc>
        <w:tc>
          <w:tcPr>
            <w:tcW w:w="6804" w:type="dxa"/>
          </w:tcPr>
          <w:p w14:paraId="7A95D115" w14:textId="77777777" w:rsidR="00906ED2" w:rsidRPr="00306115" w:rsidRDefault="00906ED2" w:rsidP="00396CC4">
            <w:pPr>
              <w:pStyle w:val="TableParagraph"/>
              <w:ind w:left="142" w:right="142"/>
              <w:jc w:val="both"/>
              <w:rPr>
                <w:rFonts w:ascii="Bookman Old Style" w:hAnsi="Bookman Old Style"/>
                <w:color w:val="000000" w:themeColor="text1"/>
                <w:sz w:val="24"/>
                <w:szCs w:val="24"/>
              </w:rPr>
            </w:pPr>
            <w:r w:rsidRPr="00306115">
              <w:rPr>
                <w:rFonts w:ascii="Bookman Old Style" w:hAnsi="Bookman Old Style"/>
                <w:color w:val="000000" w:themeColor="text1"/>
                <w:sz w:val="24"/>
                <w:szCs w:val="24"/>
              </w:rPr>
              <w:t xml:space="preserve">Profil risiko </w:t>
            </w:r>
            <w:r w:rsidRPr="00306115">
              <w:rPr>
                <w:rFonts w:ascii="Bookman Old Style" w:hAnsi="Bookman Old Style"/>
                <w:color w:val="000000" w:themeColor="text1"/>
                <w:sz w:val="24"/>
                <w:szCs w:val="24"/>
                <w:lang w:val="en-US"/>
              </w:rPr>
              <w:t>Manajer Investasi</w:t>
            </w:r>
            <w:r w:rsidRPr="00306115">
              <w:rPr>
                <w:rFonts w:ascii="Bookman Old Style" w:hAnsi="Bookman Old Style"/>
                <w:color w:val="000000" w:themeColor="text1"/>
                <w:sz w:val="24"/>
                <w:szCs w:val="24"/>
              </w:rPr>
              <w:t xml:space="preserve"> yang termasuk dalam peringkat ini pada </w:t>
            </w:r>
            <w:r w:rsidRPr="00306115">
              <w:rPr>
                <w:rFonts w:ascii="Bookman Old Style" w:hAnsi="Bookman Old Style"/>
                <w:color w:val="000000" w:themeColor="text1"/>
                <w:sz w:val="24"/>
                <w:szCs w:val="24"/>
                <w:lang w:val="en-GB"/>
              </w:rPr>
              <w:t>umumnya</w:t>
            </w:r>
            <w:r w:rsidRPr="00306115">
              <w:rPr>
                <w:rFonts w:ascii="Bookman Old Style" w:hAnsi="Bookman Old Style"/>
                <w:color w:val="000000" w:themeColor="text1"/>
                <w:sz w:val="24"/>
                <w:szCs w:val="24"/>
              </w:rPr>
              <w:t xml:space="preserve"> memiliki karakteristik antara lain sebagai berikut:</w:t>
            </w:r>
          </w:p>
          <w:p w14:paraId="045EB671" w14:textId="77777777" w:rsidR="00B2002E" w:rsidRPr="00306115" w:rsidRDefault="00B2002E">
            <w:pPr>
              <w:pStyle w:val="TableParagraph"/>
              <w:numPr>
                <w:ilvl w:val="0"/>
                <w:numId w:val="421"/>
              </w:numPr>
              <w:tabs>
                <w:tab w:val="left" w:pos="710"/>
              </w:tabs>
              <w:ind w:left="709" w:right="142" w:hanging="567"/>
              <w:jc w:val="both"/>
              <w:rPr>
                <w:rFonts w:ascii="Bookman Old Style" w:hAnsi="Bookman Old Style"/>
                <w:color w:val="000000" w:themeColor="text1"/>
                <w:sz w:val="24"/>
                <w:szCs w:val="24"/>
              </w:rPr>
            </w:pPr>
            <w:r w:rsidRPr="00306115">
              <w:rPr>
                <w:rFonts w:ascii="Bookman Old Style" w:hAnsi="Bookman Old Style"/>
                <w:color w:val="000000" w:themeColor="text1"/>
                <w:sz w:val="24"/>
                <w:szCs w:val="24"/>
              </w:rPr>
              <w:t>d</w:t>
            </w:r>
            <w:r w:rsidR="00906ED2" w:rsidRPr="00306115">
              <w:rPr>
                <w:rFonts w:ascii="Bookman Old Style" w:hAnsi="Bookman Old Style"/>
                <w:color w:val="000000" w:themeColor="text1"/>
                <w:sz w:val="24"/>
                <w:szCs w:val="24"/>
              </w:rPr>
              <w:t xml:space="preserve">engan mempertimbangkan aktivitas kegiatan usaha yang dilakukan </w:t>
            </w:r>
            <w:r w:rsidR="00906ED2" w:rsidRPr="00306115">
              <w:rPr>
                <w:rFonts w:ascii="Bookman Old Style" w:hAnsi="Bookman Old Style"/>
                <w:color w:val="000000" w:themeColor="text1"/>
                <w:sz w:val="24"/>
                <w:szCs w:val="24"/>
                <w:lang w:val="en-US"/>
              </w:rPr>
              <w:t>Manajer Investasi</w:t>
            </w:r>
            <w:r w:rsidR="00906ED2" w:rsidRPr="00306115">
              <w:rPr>
                <w:rFonts w:ascii="Bookman Old Style" w:hAnsi="Bookman Old Style"/>
                <w:color w:val="000000" w:themeColor="text1"/>
                <w:sz w:val="24"/>
                <w:szCs w:val="24"/>
              </w:rPr>
              <w:t xml:space="preserve">, kemungkinan kerugian yang dihadapi </w:t>
            </w:r>
            <w:r w:rsidR="00906ED2" w:rsidRPr="00306115">
              <w:rPr>
                <w:rFonts w:ascii="Bookman Old Style" w:hAnsi="Bookman Old Style"/>
                <w:color w:val="000000" w:themeColor="text1"/>
                <w:sz w:val="24"/>
                <w:szCs w:val="24"/>
                <w:lang w:val="en-US"/>
              </w:rPr>
              <w:t xml:space="preserve">Manajer Investasi </w:t>
            </w:r>
            <w:r w:rsidR="00906ED2" w:rsidRPr="00306115">
              <w:rPr>
                <w:rFonts w:ascii="Bookman Old Style" w:hAnsi="Bookman Old Style"/>
                <w:color w:val="000000" w:themeColor="text1"/>
                <w:sz w:val="24"/>
                <w:szCs w:val="24"/>
              </w:rPr>
              <w:t>beserta Produk Investasi dari risiko inheren komposit tergolong tinggi selama periode waktu tertentu pada masa datang</w:t>
            </w:r>
            <w:r w:rsidRPr="00306115">
              <w:rPr>
                <w:rFonts w:ascii="Bookman Old Style" w:hAnsi="Bookman Old Style"/>
                <w:color w:val="000000" w:themeColor="text1"/>
                <w:sz w:val="24"/>
                <w:szCs w:val="24"/>
              </w:rPr>
              <w:t>; dan</w:t>
            </w:r>
          </w:p>
          <w:p w14:paraId="212853AD" w14:textId="00163EED" w:rsidR="00906ED2" w:rsidRPr="00306115" w:rsidRDefault="00B2002E">
            <w:pPr>
              <w:pStyle w:val="TableParagraph"/>
              <w:numPr>
                <w:ilvl w:val="0"/>
                <w:numId w:val="421"/>
              </w:numPr>
              <w:tabs>
                <w:tab w:val="left" w:pos="710"/>
              </w:tabs>
              <w:ind w:left="709" w:right="142" w:hanging="567"/>
              <w:jc w:val="both"/>
              <w:rPr>
                <w:rFonts w:ascii="Bookman Old Style" w:hAnsi="Bookman Old Style"/>
                <w:color w:val="000000" w:themeColor="text1"/>
                <w:sz w:val="24"/>
                <w:szCs w:val="24"/>
              </w:rPr>
            </w:pPr>
            <w:r w:rsidRPr="00306115">
              <w:rPr>
                <w:rFonts w:ascii="Bookman Old Style" w:hAnsi="Bookman Old Style"/>
                <w:color w:val="000000" w:themeColor="text1"/>
                <w:sz w:val="24"/>
                <w:szCs w:val="24"/>
              </w:rPr>
              <w:t>k</w:t>
            </w:r>
            <w:r w:rsidR="00906ED2" w:rsidRPr="00306115">
              <w:rPr>
                <w:rFonts w:ascii="Bookman Old Style" w:hAnsi="Bookman Old Style"/>
                <w:color w:val="000000" w:themeColor="text1"/>
                <w:sz w:val="24"/>
                <w:szCs w:val="24"/>
              </w:rPr>
              <w:t>ualitas penerapan Manajemen Risiko secara komposit kurang memadai. Terdapat kelemahan signifikan pada berbagai aspek Manajemen Risiko yang memerlukan perbaikan segera.</w:t>
            </w:r>
          </w:p>
        </w:tc>
      </w:tr>
      <w:tr w:rsidR="00906ED2" w:rsidRPr="00306115" w14:paraId="7B68F393" w14:textId="77777777" w:rsidTr="00C61EBD">
        <w:trPr>
          <w:trHeight w:val="631"/>
        </w:trPr>
        <w:tc>
          <w:tcPr>
            <w:tcW w:w="1666" w:type="dxa"/>
          </w:tcPr>
          <w:p w14:paraId="6F922428" w14:textId="77777777" w:rsidR="00906ED2" w:rsidRPr="00306115" w:rsidRDefault="00906ED2" w:rsidP="00396CC4">
            <w:pPr>
              <w:pStyle w:val="TableParagraph"/>
              <w:spacing w:before="120" w:after="120"/>
              <w:ind w:left="142" w:right="142"/>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Peringkat 5</w:t>
            </w:r>
          </w:p>
        </w:tc>
        <w:tc>
          <w:tcPr>
            <w:tcW w:w="6804" w:type="dxa"/>
          </w:tcPr>
          <w:p w14:paraId="54820AB7" w14:textId="77777777" w:rsidR="00906ED2" w:rsidRPr="00306115" w:rsidRDefault="00906ED2" w:rsidP="00396CC4">
            <w:pPr>
              <w:pStyle w:val="TableParagraph"/>
              <w:ind w:left="142" w:right="142"/>
              <w:jc w:val="both"/>
              <w:rPr>
                <w:rFonts w:ascii="Bookman Old Style" w:hAnsi="Bookman Old Style"/>
                <w:color w:val="000000" w:themeColor="text1"/>
                <w:sz w:val="24"/>
                <w:szCs w:val="24"/>
              </w:rPr>
            </w:pPr>
            <w:r w:rsidRPr="00306115">
              <w:rPr>
                <w:rFonts w:ascii="Bookman Old Style" w:hAnsi="Bookman Old Style"/>
                <w:color w:val="000000" w:themeColor="text1"/>
                <w:sz w:val="24"/>
                <w:szCs w:val="24"/>
              </w:rPr>
              <w:t xml:space="preserve">Profil </w:t>
            </w:r>
            <w:r w:rsidRPr="00306115">
              <w:rPr>
                <w:rFonts w:ascii="Bookman Old Style" w:hAnsi="Bookman Old Style"/>
                <w:color w:val="000000" w:themeColor="text1"/>
                <w:sz w:val="24"/>
                <w:szCs w:val="24"/>
                <w:lang w:val="en-GB"/>
              </w:rPr>
              <w:t>risiko</w:t>
            </w:r>
            <w:r w:rsidRPr="00306115">
              <w:rPr>
                <w:rFonts w:ascii="Bookman Old Style" w:hAnsi="Bookman Old Style"/>
                <w:color w:val="000000" w:themeColor="text1"/>
                <w:sz w:val="24"/>
                <w:szCs w:val="24"/>
              </w:rPr>
              <w:t xml:space="preserve"> </w:t>
            </w:r>
            <w:r w:rsidRPr="00306115">
              <w:rPr>
                <w:rFonts w:ascii="Bookman Old Style" w:hAnsi="Bookman Old Style"/>
                <w:color w:val="000000" w:themeColor="text1"/>
                <w:sz w:val="24"/>
                <w:szCs w:val="24"/>
                <w:lang w:val="en-US"/>
              </w:rPr>
              <w:t>Manajer Investasi</w:t>
            </w:r>
            <w:r w:rsidRPr="00306115">
              <w:rPr>
                <w:rFonts w:ascii="Bookman Old Style" w:hAnsi="Bookman Old Style"/>
                <w:color w:val="000000" w:themeColor="text1"/>
                <w:sz w:val="24"/>
                <w:szCs w:val="24"/>
              </w:rPr>
              <w:t xml:space="preserve"> yang termasuk dalam peringkat ini pada umumnya memiliki karakteristik antara lain sebagai berikut:</w:t>
            </w:r>
          </w:p>
          <w:p w14:paraId="16F6A781" w14:textId="77777777" w:rsidR="00B2002E" w:rsidRPr="00306115" w:rsidRDefault="00B2002E">
            <w:pPr>
              <w:pStyle w:val="TableParagraph"/>
              <w:numPr>
                <w:ilvl w:val="0"/>
                <w:numId w:val="417"/>
              </w:numPr>
              <w:tabs>
                <w:tab w:val="left" w:pos="852"/>
              </w:tabs>
              <w:ind w:left="709" w:right="142" w:hanging="567"/>
              <w:jc w:val="both"/>
              <w:rPr>
                <w:rFonts w:ascii="Bookman Old Style" w:hAnsi="Bookman Old Style"/>
                <w:color w:val="000000" w:themeColor="text1"/>
                <w:sz w:val="24"/>
                <w:szCs w:val="24"/>
              </w:rPr>
            </w:pPr>
            <w:r w:rsidRPr="00306115">
              <w:rPr>
                <w:rFonts w:ascii="Bookman Old Style" w:hAnsi="Bookman Old Style"/>
                <w:color w:val="000000" w:themeColor="text1"/>
                <w:sz w:val="24"/>
                <w:szCs w:val="24"/>
              </w:rPr>
              <w:t>d</w:t>
            </w:r>
            <w:r w:rsidR="00906ED2" w:rsidRPr="00306115">
              <w:rPr>
                <w:rFonts w:ascii="Bookman Old Style" w:hAnsi="Bookman Old Style"/>
                <w:color w:val="000000" w:themeColor="text1"/>
                <w:sz w:val="24"/>
                <w:szCs w:val="24"/>
              </w:rPr>
              <w:t xml:space="preserve">engan mempertimbangkan aktivitas kegiatan usaha yang dilakukan </w:t>
            </w:r>
            <w:r w:rsidR="00906ED2" w:rsidRPr="00306115">
              <w:rPr>
                <w:rFonts w:ascii="Bookman Old Style" w:hAnsi="Bookman Old Style"/>
                <w:color w:val="000000" w:themeColor="text1"/>
                <w:sz w:val="24"/>
                <w:szCs w:val="24"/>
                <w:lang w:val="en-US"/>
              </w:rPr>
              <w:t>Manajer Investasi</w:t>
            </w:r>
            <w:r w:rsidR="00906ED2" w:rsidRPr="00306115">
              <w:rPr>
                <w:rFonts w:ascii="Bookman Old Style" w:hAnsi="Bookman Old Style"/>
                <w:color w:val="000000" w:themeColor="text1"/>
                <w:sz w:val="24"/>
                <w:szCs w:val="24"/>
              </w:rPr>
              <w:t xml:space="preserve">, kemungkinan kerugian yang dihadapi </w:t>
            </w:r>
            <w:r w:rsidR="00906ED2" w:rsidRPr="00306115">
              <w:rPr>
                <w:rFonts w:ascii="Bookman Old Style" w:hAnsi="Bookman Old Style"/>
                <w:color w:val="000000" w:themeColor="text1"/>
                <w:sz w:val="24"/>
                <w:szCs w:val="24"/>
                <w:lang w:val="en-US"/>
              </w:rPr>
              <w:t>Manajer Investasi</w:t>
            </w:r>
            <w:r w:rsidR="00906ED2" w:rsidRPr="00306115">
              <w:rPr>
                <w:rFonts w:ascii="Bookman Old Style" w:hAnsi="Bookman Old Style"/>
                <w:color w:val="000000" w:themeColor="text1"/>
                <w:sz w:val="24"/>
                <w:szCs w:val="24"/>
              </w:rPr>
              <w:t xml:space="preserve"> beserta Produk Investasi dari risiko inheren komposit tergolong sangat tinggi selama periode waktu tertentu pada masa datang</w:t>
            </w:r>
            <w:r w:rsidRPr="00306115">
              <w:rPr>
                <w:rFonts w:ascii="Bookman Old Style" w:hAnsi="Bookman Old Style"/>
                <w:color w:val="000000" w:themeColor="text1"/>
                <w:sz w:val="24"/>
                <w:szCs w:val="24"/>
              </w:rPr>
              <w:t>; dan</w:t>
            </w:r>
          </w:p>
          <w:p w14:paraId="469FCC2F" w14:textId="0F84CE51" w:rsidR="00906ED2" w:rsidRPr="00306115" w:rsidRDefault="00B2002E">
            <w:pPr>
              <w:pStyle w:val="TableParagraph"/>
              <w:numPr>
                <w:ilvl w:val="0"/>
                <w:numId w:val="417"/>
              </w:numPr>
              <w:tabs>
                <w:tab w:val="left" w:pos="852"/>
              </w:tabs>
              <w:ind w:left="709" w:right="142" w:hanging="567"/>
              <w:jc w:val="both"/>
              <w:rPr>
                <w:rFonts w:ascii="Bookman Old Style" w:hAnsi="Bookman Old Style"/>
                <w:color w:val="000000" w:themeColor="text1"/>
                <w:sz w:val="24"/>
                <w:szCs w:val="24"/>
              </w:rPr>
            </w:pPr>
            <w:r w:rsidRPr="00306115">
              <w:rPr>
                <w:rFonts w:ascii="Bookman Old Style" w:hAnsi="Bookman Old Style"/>
                <w:color w:val="000000" w:themeColor="text1"/>
                <w:sz w:val="24"/>
                <w:szCs w:val="24"/>
              </w:rPr>
              <w:t>k</w:t>
            </w:r>
            <w:r w:rsidR="00906ED2" w:rsidRPr="00306115">
              <w:rPr>
                <w:rFonts w:ascii="Bookman Old Style" w:hAnsi="Bookman Old Style"/>
                <w:color w:val="000000" w:themeColor="text1"/>
                <w:sz w:val="24"/>
                <w:szCs w:val="24"/>
              </w:rPr>
              <w:t xml:space="preserve">ualitas penerapan Manajemen Risiko secara komposit tidak memadai. Terdapat kelemahan </w:t>
            </w:r>
            <w:r w:rsidR="00906ED2" w:rsidRPr="00306115">
              <w:rPr>
                <w:rFonts w:ascii="Bookman Old Style" w:hAnsi="Bookman Old Style"/>
                <w:color w:val="000000" w:themeColor="text1"/>
                <w:sz w:val="24"/>
                <w:szCs w:val="24"/>
              </w:rPr>
              <w:lastRenderedPageBreak/>
              <w:t>signifikan pada berbagai aspek Manajemen Risiko yang tindakan penyelesaiannya di</w:t>
            </w:r>
            <w:r w:rsidR="00906ED2" w:rsidRPr="00306115">
              <w:rPr>
                <w:rFonts w:ascii="Bookman Old Style" w:hAnsi="Bookman Old Style"/>
                <w:color w:val="000000" w:themeColor="text1"/>
                <w:sz w:val="24"/>
                <w:szCs w:val="24"/>
                <w:lang w:val="en-US"/>
              </w:rPr>
              <w:t xml:space="preserve"> </w:t>
            </w:r>
            <w:r w:rsidR="00906ED2" w:rsidRPr="00306115">
              <w:rPr>
                <w:rFonts w:ascii="Bookman Old Style" w:hAnsi="Bookman Old Style"/>
                <w:color w:val="000000" w:themeColor="text1"/>
                <w:sz w:val="24"/>
                <w:szCs w:val="24"/>
              </w:rPr>
              <w:t>luar kemampuan manajemen.</w:t>
            </w:r>
          </w:p>
        </w:tc>
      </w:tr>
    </w:tbl>
    <w:p w14:paraId="4705507D" w14:textId="77777777" w:rsidR="003648CD" w:rsidRPr="00306115" w:rsidRDefault="003648CD" w:rsidP="003648CD">
      <w:pPr>
        <w:pStyle w:val="HeadingAwalDaftarIsiLampiran"/>
        <w:numPr>
          <w:ilvl w:val="0"/>
          <w:numId w:val="0"/>
        </w:numPr>
        <w:ind w:left="567"/>
      </w:pPr>
    </w:p>
    <w:p w14:paraId="61FAD3D7" w14:textId="1D826B77" w:rsidR="003F1027" w:rsidRPr="00306115" w:rsidRDefault="003F1027">
      <w:pPr>
        <w:pStyle w:val="HeadingAwalDaftarIsiLampiran"/>
        <w:numPr>
          <w:ilvl w:val="3"/>
          <w:numId w:val="295"/>
        </w:numPr>
        <w:ind w:left="567" w:hanging="567"/>
      </w:pPr>
      <w:r w:rsidRPr="00306115">
        <w:t>Matriks Peringkat Faktor Tata Kelola</w:t>
      </w:r>
    </w:p>
    <w:tbl>
      <w:tblPr>
        <w:tblW w:w="850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6804"/>
      </w:tblGrid>
      <w:tr w:rsidR="00943E1B" w:rsidRPr="00306115" w14:paraId="54F02A41" w14:textId="77777777" w:rsidTr="00943E1B">
        <w:trPr>
          <w:trHeight w:val="366"/>
        </w:trPr>
        <w:tc>
          <w:tcPr>
            <w:tcW w:w="1701" w:type="dxa"/>
            <w:shd w:val="clear" w:color="auto" w:fill="D9D9D9" w:themeFill="background1" w:themeFillShade="D9"/>
          </w:tcPr>
          <w:p w14:paraId="6997DD89" w14:textId="77777777" w:rsidR="00943E1B" w:rsidRPr="00306115" w:rsidRDefault="00943E1B" w:rsidP="00943E1B">
            <w:pPr>
              <w:pStyle w:val="TableParagraph"/>
              <w:spacing w:before="120" w:after="120"/>
              <w:ind w:left="142" w:right="142"/>
              <w:jc w:val="center"/>
              <w:rPr>
                <w:rFonts w:ascii="Bookman Old Style" w:hAnsi="Bookman Old Style"/>
                <w:color w:val="000000" w:themeColor="text1"/>
                <w:sz w:val="24"/>
              </w:rPr>
            </w:pPr>
            <w:r w:rsidRPr="00306115">
              <w:rPr>
                <w:rFonts w:ascii="Bookman Old Style" w:hAnsi="Bookman Old Style"/>
                <w:b/>
                <w:bCs/>
                <w:color w:val="000000" w:themeColor="text1"/>
                <w:sz w:val="24"/>
              </w:rPr>
              <w:t xml:space="preserve">  </w:t>
            </w:r>
            <w:r w:rsidRPr="00306115">
              <w:rPr>
                <w:rFonts w:ascii="Bookman Old Style" w:hAnsi="Bookman Old Style"/>
                <w:color w:val="000000" w:themeColor="text1"/>
                <w:sz w:val="24"/>
              </w:rPr>
              <w:t>Peringkat</w:t>
            </w:r>
          </w:p>
        </w:tc>
        <w:tc>
          <w:tcPr>
            <w:tcW w:w="6804" w:type="dxa"/>
            <w:shd w:val="clear" w:color="auto" w:fill="D9D9D9" w:themeFill="background1" w:themeFillShade="D9"/>
          </w:tcPr>
          <w:p w14:paraId="021AB075" w14:textId="77777777" w:rsidR="00943E1B" w:rsidRPr="00306115" w:rsidRDefault="00943E1B" w:rsidP="00943E1B">
            <w:pPr>
              <w:pStyle w:val="TableParagraph"/>
              <w:spacing w:before="120" w:after="120"/>
              <w:ind w:left="142" w:right="142"/>
              <w:jc w:val="center"/>
              <w:rPr>
                <w:rFonts w:ascii="Bookman Old Style" w:hAnsi="Bookman Old Style"/>
                <w:color w:val="000000" w:themeColor="text1"/>
                <w:sz w:val="24"/>
              </w:rPr>
            </w:pPr>
            <w:r w:rsidRPr="00306115">
              <w:rPr>
                <w:rFonts w:ascii="Bookman Old Style" w:hAnsi="Bookman Old Style"/>
                <w:color w:val="000000" w:themeColor="text1"/>
                <w:sz w:val="24"/>
              </w:rPr>
              <w:t>Definisi Peringkat</w:t>
            </w:r>
          </w:p>
        </w:tc>
      </w:tr>
      <w:tr w:rsidR="00943E1B" w:rsidRPr="00306115" w14:paraId="5CB27322" w14:textId="77777777" w:rsidTr="00943E1B">
        <w:trPr>
          <w:trHeight w:val="623"/>
        </w:trPr>
        <w:tc>
          <w:tcPr>
            <w:tcW w:w="1701" w:type="dxa"/>
          </w:tcPr>
          <w:p w14:paraId="1C91F0D6" w14:textId="77777777" w:rsidR="00943E1B" w:rsidRPr="00306115" w:rsidRDefault="00943E1B" w:rsidP="00943E1B">
            <w:pPr>
              <w:pStyle w:val="TableParagraph"/>
              <w:spacing w:before="120" w:after="120"/>
              <w:ind w:left="142" w:right="142"/>
              <w:jc w:val="center"/>
              <w:rPr>
                <w:rFonts w:ascii="Bookman Old Style" w:hAnsi="Bookman Old Style"/>
                <w:color w:val="000000" w:themeColor="text1"/>
                <w:sz w:val="24"/>
              </w:rPr>
            </w:pPr>
            <w:r w:rsidRPr="00306115">
              <w:rPr>
                <w:rFonts w:ascii="Bookman Old Style" w:hAnsi="Bookman Old Style"/>
                <w:color w:val="000000" w:themeColor="text1"/>
                <w:sz w:val="24"/>
              </w:rPr>
              <w:t>Peringkat 1</w:t>
            </w:r>
          </w:p>
        </w:tc>
        <w:tc>
          <w:tcPr>
            <w:tcW w:w="6804" w:type="dxa"/>
          </w:tcPr>
          <w:p w14:paraId="25D0F778" w14:textId="77777777" w:rsidR="00943E1B" w:rsidRPr="00306115" w:rsidRDefault="00943E1B" w:rsidP="00943E1B">
            <w:pPr>
              <w:pStyle w:val="TableParagraph"/>
              <w:ind w:left="142" w:right="142"/>
              <w:jc w:val="both"/>
              <w:rPr>
                <w:rFonts w:ascii="Bookman Old Style" w:hAnsi="Bookman Old Style"/>
                <w:color w:val="000000" w:themeColor="text1"/>
                <w:sz w:val="24"/>
              </w:rPr>
            </w:pPr>
            <w:r w:rsidRPr="00306115">
              <w:rPr>
                <w:rFonts w:ascii="Bookman Old Style" w:hAnsi="Bookman Old Style"/>
                <w:color w:val="000000" w:themeColor="text1"/>
                <w:sz w:val="24"/>
                <w:lang w:val="en-GB"/>
              </w:rPr>
              <w:t>Mencerminkan manajemen Manajer Investasi telah melakukan penerapan tata kelola yang secara umum sangat baik. Hal ini tercermin dari pemenuhan yang sangat memadai atas prinsip tata kelola yang baik. Dalam hal terdapat kelemahan dalam penerapan prinsip tata kelola yang baik maka secara umum kelemahan tersebut tidak signifikan dan dapat segera dilakukan perbaikan oleh manajemen Manajer Investasi.</w:t>
            </w:r>
          </w:p>
        </w:tc>
      </w:tr>
      <w:tr w:rsidR="00943E1B" w:rsidRPr="00306115" w14:paraId="5C6F467C" w14:textId="77777777" w:rsidTr="00943E1B">
        <w:trPr>
          <w:trHeight w:val="623"/>
        </w:trPr>
        <w:tc>
          <w:tcPr>
            <w:tcW w:w="1701" w:type="dxa"/>
          </w:tcPr>
          <w:p w14:paraId="44F7D690" w14:textId="77777777" w:rsidR="00943E1B" w:rsidRPr="00306115" w:rsidRDefault="00943E1B" w:rsidP="00943E1B">
            <w:pPr>
              <w:pStyle w:val="TableParagraph"/>
              <w:spacing w:before="120" w:after="120"/>
              <w:ind w:left="142" w:right="142"/>
              <w:jc w:val="center"/>
              <w:rPr>
                <w:rFonts w:ascii="Bookman Old Style" w:hAnsi="Bookman Old Style"/>
                <w:iCs/>
                <w:color w:val="000000" w:themeColor="text1"/>
                <w:sz w:val="24"/>
              </w:rPr>
            </w:pPr>
            <w:r w:rsidRPr="00306115">
              <w:rPr>
                <w:rFonts w:ascii="Bookman Old Style" w:hAnsi="Bookman Old Style"/>
                <w:iCs/>
                <w:color w:val="000000" w:themeColor="text1"/>
                <w:sz w:val="24"/>
              </w:rPr>
              <w:t>Peringkat 2</w:t>
            </w:r>
          </w:p>
        </w:tc>
        <w:tc>
          <w:tcPr>
            <w:tcW w:w="6804" w:type="dxa"/>
          </w:tcPr>
          <w:p w14:paraId="72EF2BC6" w14:textId="77777777" w:rsidR="00943E1B" w:rsidRPr="00306115" w:rsidRDefault="00943E1B" w:rsidP="00943E1B">
            <w:pPr>
              <w:pStyle w:val="TableParagraph"/>
              <w:ind w:left="142" w:right="142"/>
              <w:jc w:val="both"/>
              <w:rPr>
                <w:rFonts w:ascii="Bookman Old Style" w:hAnsi="Bookman Old Style"/>
                <w:color w:val="000000" w:themeColor="text1"/>
                <w:sz w:val="24"/>
              </w:rPr>
            </w:pPr>
            <w:r w:rsidRPr="00306115">
              <w:rPr>
                <w:rFonts w:ascii="Bookman Old Style" w:hAnsi="Bookman Old Style"/>
                <w:color w:val="000000" w:themeColor="text1"/>
                <w:sz w:val="24"/>
                <w:lang w:val="en-GB"/>
              </w:rPr>
              <w:t>Mencerminkan manajemen Manajer Investasi telah melakukan penerapan tata kelola yang secara umum baik. Hal ini tercermin dari pemenuhan yang memadai atas prinsip tata kelola yang baik. Dalam hal terdapat kelemahan dalam penerapan prinsip tata kelola yang baik maka secara umum kelemahan tersebut kurang signifikan dan dapat segera dilakukan perbaikan oleh manajemen Manajer Investasi.</w:t>
            </w:r>
          </w:p>
        </w:tc>
      </w:tr>
      <w:tr w:rsidR="00943E1B" w:rsidRPr="00306115" w14:paraId="3DDD4095" w14:textId="77777777" w:rsidTr="00943E1B">
        <w:trPr>
          <w:trHeight w:val="623"/>
        </w:trPr>
        <w:tc>
          <w:tcPr>
            <w:tcW w:w="1701" w:type="dxa"/>
          </w:tcPr>
          <w:p w14:paraId="33EFF11E" w14:textId="77777777" w:rsidR="00943E1B" w:rsidRPr="00306115" w:rsidRDefault="00943E1B" w:rsidP="00943E1B">
            <w:pPr>
              <w:pStyle w:val="TableParagraph"/>
              <w:spacing w:before="120" w:after="120"/>
              <w:ind w:left="142" w:right="142"/>
              <w:jc w:val="center"/>
              <w:rPr>
                <w:rFonts w:ascii="Bookman Old Style" w:hAnsi="Bookman Old Style"/>
                <w:iCs/>
                <w:color w:val="000000" w:themeColor="text1"/>
                <w:sz w:val="24"/>
              </w:rPr>
            </w:pPr>
            <w:r w:rsidRPr="00306115">
              <w:rPr>
                <w:rFonts w:ascii="Bookman Old Style" w:hAnsi="Bookman Old Style"/>
                <w:iCs/>
                <w:color w:val="000000" w:themeColor="text1"/>
                <w:sz w:val="24"/>
              </w:rPr>
              <w:t>Peringkat 3</w:t>
            </w:r>
          </w:p>
        </w:tc>
        <w:tc>
          <w:tcPr>
            <w:tcW w:w="6804" w:type="dxa"/>
          </w:tcPr>
          <w:p w14:paraId="1701DF39" w14:textId="77777777" w:rsidR="00943E1B" w:rsidRPr="00306115" w:rsidRDefault="00943E1B" w:rsidP="00943E1B">
            <w:pPr>
              <w:pStyle w:val="TableParagraph"/>
              <w:ind w:left="142" w:right="142"/>
              <w:jc w:val="both"/>
              <w:rPr>
                <w:rFonts w:ascii="Bookman Old Style" w:hAnsi="Bookman Old Style"/>
                <w:color w:val="000000" w:themeColor="text1"/>
                <w:sz w:val="24"/>
              </w:rPr>
            </w:pPr>
            <w:r w:rsidRPr="00306115">
              <w:rPr>
                <w:rFonts w:ascii="Bookman Old Style" w:hAnsi="Bookman Old Style"/>
                <w:color w:val="000000" w:themeColor="text1"/>
                <w:sz w:val="24"/>
                <w:lang w:val="en-GB"/>
              </w:rPr>
              <w:t>Mencerminkan manajemen Manajer Investasi telah melakukan penerapan tata kelola yang secara umum cukup baik. Hal ini tercermin dari pemenuhan yang cukup memadai atas prinsip tata kelola yang baik. Dalam hal terdapat kelemahan dalam penerapan prinsip tata kelola yang baik maka secara umum kelemahan tersebut cukup signifikan dan memerlukan perbaikan segera dilakukan oleh manajemen Manajer Investasi.</w:t>
            </w:r>
          </w:p>
        </w:tc>
      </w:tr>
      <w:tr w:rsidR="00943E1B" w:rsidRPr="00306115" w14:paraId="39C6B7F9" w14:textId="77777777" w:rsidTr="00943E1B">
        <w:trPr>
          <w:trHeight w:val="623"/>
        </w:trPr>
        <w:tc>
          <w:tcPr>
            <w:tcW w:w="1701" w:type="dxa"/>
          </w:tcPr>
          <w:p w14:paraId="6C037AC7" w14:textId="77777777" w:rsidR="00943E1B" w:rsidRPr="00306115" w:rsidRDefault="00943E1B" w:rsidP="00943E1B">
            <w:pPr>
              <w:pStyle w:val="TableParagraph"/>
              <w:spacing w:before="120" w:after="120"/>
              <w:ind w:left="142" w:right="142"/>
              <w:jc w:val="center"/>
              <w:rPr>
                <w:rFonts w:ascii="Bookman Old Style" w:hAnsi="Bookman Old Style"/>
                <w:iCs/>
                <w:color w:val="000000" w:themeColor="text1"/>
                <w:sz w:val="24"/>
              </w:rPr>
            </w:pPr>
            <w:r w:rsidRPr="00306115">
              <w:rPr>
                <w:rFonts w:ascii="Bookman Old Style" w:hAnsi="Bookman Old Style"/>
                <w:iCs/>
                <w:color w:val="000000" w:themeColor="text1"/>
                <w:sz w:val="24"/>
              </w:rPr>
              <w:t>Peringkat 4</w:t>
            </w:r>
          </w:p>
        </w:tc>
        <w:tc>
          <w:tcPr>
            <w:tcW w:w="6804" w:type="dxa"/>
          </w:tcPr>
          <w:p w14:paraId="5C8A1EA6" w14:textId="77777777" w:rsidR="00943E1B" w:rsidRPr="00306115" w:rsidRDefault="00943E1B" w:rsidP="00943E1B">
            <w:pPr>
              <w:pStyle w:val="TableParagraph"/>
              <w:ind w:left="142" w:right="142"/>
              <w:jc w:val="both"/>
              <w:rPr>
                <w:rFonts w:ascii="Bookman Old Style" w:hAnsi="Bookman Old Style"/>
                <w:color w:val="000000" w:themeColor="text1"/>
                <w:sz w:val="24"/>
              </w:rPr>
            </w:pPr>
            <w:r w:rsidRPr="00306115">
              <w:rPr>
                <w:rFonts w:ascii="Bookman Old Style" w:hAnsi="Bookman Old Style"/>
                <w:color w:val="000000" w:themeColor="text1"/>
                <w:sz w:val="24"/>
                <w:lang w:val="en-GB"/>
              </w:rPr>
              <w:t>Mencerminkan manajemen Manajer Investasi telah melakukan penerapan tata kelola yang secara umum kurang baik. Hal ini tercermin dari pemenuhan yang kurang memadai atas prinsip tata kelola yang baik. Terdapat kelemahan dalam penerapan prinsip tata kelola maka secara umum kelemahan tersebut signifikan dan memerlukan perbaikan yang menyeluruh oleh manajemen Manajer Investasi.</w:t>
            </w:r>
          </w:p>
        </w:tc>
      </w:tr>
      <w:tr w:rsidR="00943E1B" w:rsidRPr="00306115" w14:paraId="7775E4CD" w14:textId="77777777" w:rsidTr="00943E1B">
        <w:trPr>
          <w:trHeight w:val="623"/>
        </w:trPr>
        <w:tc>
          <w:tcPr>
            <w:tcW w:w="1701" w:type="dxa"/>
          </w:tcPr>
          <w:p w14:paraId="178C93FE" w14:textId="77777777" w:rsidR="00943E1B" w:rsidRPr="00306115" w:rsidRDefault="00943E1B" w:rsidP="00943E1B">
            <w:pPr>
              <w:pStyle w:val="TableParagraph"/>
              <w:spacing w:before="120" w:after="120"/>
              <w:ind w:left="142" w:right="142"/>
              <w:jc w:val="center"/>
              <w:rPr>
                <w:rFonts w:ascii="Bookman Old Style" w:hAnsi="Bookman Old Style"/>
                <w:iCs/>
                <w:color w:val="000000" w:themeColor="text1"/>
                <w:sz w:val="24"/>
              </w:rPr>
            </w:pPr>
            <w:r w:rsidRPr="00306115">
              <w:rPr>
                <w:rFonts w:ascii="Bookman Old Style" w:hAnsi="Bookman Old Style"/>
                <w:iCs/>
                <w:color w:val="000000" w:themeColor="text1"/>
                <w:sz w:val="24"/>
              </w:rPr>
              <w:t>Peringkat 5</w:t>
            </w:r>
          </w:p>
        </w:tc>
        <w:tc>
          <w:tcPr>
            <w:tcW w:w="6804" w:type="dxa"/>
          </w:tcPr>
          <w:p w14:paraId="07162429" w14:textId="77777777" w:rsidR="00943E1B" w:rsidRPr="00306115" w:rsidRDefault="00943E1B" w:rsidP="00943E1B">
            <w:pPr>
              <w:pStyle w:val="TableParagraph"/>
              <w:ind w:left="142" w:right="142"/>
              <w:jc w:val="both"/>
              <w:rPr>
                <w:rFonts w:ascii="Bookman Old Style" w:hAnsi="Bookman Old Style"/>
                <w:color w:val="000000" w:themeColor="text1"/>
                <w:sz w:val="24"/>
              </w:rPr>
            </w:pPr>
            <w:r w:rsidRPr="00306115">
              <w:rPr>
                <w:rFonts w:ascii="Bookman Old Style" w:hAnsi="Bookman Old Style"/>
                <w:color w:val="000000" w:themeColor="text1"/>
                <w:sz w:val="24"/>
                <w:lang w:val="en-GB"/>
              </w:rPr>
              <w:t xml:space="preserve">Mencerminkan manajemen Manajer Investasi telah melakukan penerapan tata kelola yang secara umum tidak baik. Hal ini tercermin dari pemenuhan yang tidak memadai atas prinsip tata kelola yang baik. Terdapat kelemahan dalam penerapan prinsip tata kelola yang baik maka secara umum kelemahan tersebut sangat signifikan dan sulit untuk diperbaiki oleh manajemen Manajer Investasi. </w:t>
            </w:r>
          </w:p>
        </w:tc>
      </w:tr>
    </w:tbl>
    <w:p w14:paraId="525031EB" w14:textId="77777777" w:rsidR="00943E1B" w:rsidRPr="00306115" w:rsidRDefault="00943E1B" w:rsidP="00943E1B">
      <w:pPr>
        <w:pStyle w:val="HeadingAwalDaftarIsiLampiran"/>
        <w:numPr>
          <w:ilvl w:val="0"/>
          <w:numId w:val="0"/>
        </w:numPr>
        <w:ind w:left="567"/>
      </w:pPr>
    </w:p>
    <w:p w14:paraId="4465FFC3" w14:textId="6B3707FA" w:rsidR="00DB2CA0" w:rsidRPr="00306115" w:rsidRDefault="00DB2CA0" w:rsidP="00CA5831">
      <w:pPr>
        <w:pStyle w:val="HeadingAwalDaftarIsiLampiran"/>
        <w:numPr>
          <w:ilvl w:val="0"/>
          <w:numId w:val="0"/>
        </w:numPr>
        <w:ind w:left="567" w:firstLine="567"/>
        <w:rPr>
          <w:sz w:val="28"/>
          <w:szCs w:val="28"/>
        </w:rPr>
      </w:pPr>
      <w:r w:rsidRPr="00306115">
        <w:rPr>
          <w:rFonts w:eastAsia="Bookman Old Style" w:cs="Bookman Old Style"/>
        </w:rPr>
        <w:t xml:space="preserve">Penilaian terhadap faktor tata Kelola Manajer Investasi  merupakan penilaian terhadap pelaksanaan prinsip tata Kelola Manajer Investasi </w:t>
      </w:r>
      <w:r w:rsidRPr="00306115">
        <w:rPr>
          <w:rFonts w:eastAsia="Bookman Old Style" w:cs="Bookman Old Style"/>
        </w:rPr>
        <w:lastRenderedPageBreak/>
        <w:t>yang mengacu pada Peraturan Otoritas Jasa Keuangan mengenai enerapan tata kelola Manajer Investasi.</w:t>
      </w:r>
    </w:p>
    <w:p w14:paraId="79DB4CBC" w14:textId="77777777" w:rsidR="00DB2CA0" w:rsidRPr="00306115" w:rsidRDefault="00DB2CA0" w:rsidP="00943E1B">
      <w:pPr>
        <w:pStyle w:val="HeadingAwalDaftarIsiLampiran"/>
        <w:numPr>
          <w:ilvl w:val="0"/>
          <w:numId w:val="0"/>
        </w:numPr>
        <w:ind w:left="567"/>
      </w:pPr>
    </w:p>
    <w:p w14:paraId="49F65858" w14:textId="041F435E" w:rsidR="003F1027" w:rsidRPr="00306115" w:rsidRDefault="003F1027">
      <w:pPr>
        <w:pStyle w:val="HeadingAwalDaftarIsiLampiran"/>
        <w:numPr>
          <w:ilvl w:val="3"/>
          <w:numId w:val="295"/>
        </w:numPr>
        <w:ind w:left="567" w:hanging="567"/>
      </w:pPr>
      <w:r w:rsidRPr="00306115">
        <w:t>Matriks Peringkat Faktor Rentabilitas</w:t>
      </w:r>
    </w:p>
    <w:tbl>
      <w:tblPr>
        <w:tblW w:w="8526" w:type="dxa"/>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2"/>
        <w:gridCol w:w="6804"/>
      </w:tblGrid>
      <w:tr w:rsidR="00743BDB" w:rsidRPr="00306115" w14:paraId="760ADEFB" w14:textId="77777777" w:rsidTr="00214F76">
        <w:trPr>
          <w:trHeight w:val="606"/>
        </w:trPr>
        <w:tc>
          <w:tcPr>
            <w:tcW w:w="1722" w:type="dxa"/>
            <w:shd w:val="clear" w:color="auto" w:fill="D9D9D9"/>
          </w:tcPr>
          <w:p w14:paraId="7BB76B36" w14:textId="77777777" w:rsidR="00743BDB" w:rsidRPr="00306115" w:rsidRDefault="00743BDB" w:rsidP="00743BDB">
            <w:pPr>
              <w:pStyle w:val="TableParagraph"/>
              <w:spacing w:before="120" w:after="120"/>
              <w:ind w:left="142" w:right="142"/>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Peringkat</w:t>
            </w:r>
          </w:p>
        </w:tc>
        <w:tc>
          <w:tcPr>
            <w:tcW w:w="6804" w:type="dxa"/>
            <w:shd w:val="clear" w:color="auto" w:fill="D9D9D9"/>
          </w:tcPr>
          <w:p w14:paraId="4698FC10" w14:textId="77777777" w:rsidR="00743BDB" w:rsidRPr="00306115" w:rsidRDefault="00743BDB" w:rsidP="00743BDB">
            <w:pPr>
              <w:pStyle w:val="TableParagraph"/>
              <w:spacing w:before="120" w:after="120"/>
              <w:ind w:left="142" w:right="142"/>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Definisi Peringkat</w:t>
            </w:r>
          </w:p>
        </w:tc>
      </w:tr>
      <w:tr w:rsidR="00743BDB" w:rsidRPr="00306115" w14:paraId="150B822E" w14:textId="77777777" w:rsidTr="00214F76">
        <w:trPr>
          <w:trHeight w:val="523"/>
        </w:trPr>
        <w:tc>
          <w:tcPr>
            <w:tcW w:w="1722" w:type="dxa"/>
          </w:tcPr>
          <w:p w14:paraId="1A1935FA" w14:textId="77777777" w:rsidR="00743BDB" w:rsidRPr="00306115" w:rsidRDefault="00743BDB" w:rsidP="00743BDB">
            <w:pPr>
              <w:pStyle w:val="TableParagraph"/>
              <w:spacing w:before="120" w:after="120"/>
              <w:ind w:left="142" w:right="142"/>
              <w:jc w:val="center"/>
              <w:rPr>
                <w:rFonts w:ascii="Bookman Old Style" w:hAnsi="Bookman Old Style"/>
                <w:iCs/>
                <w:color w:val="000000" w:themeColor="text1"/>
                <w:sz w:val="24"/>
                <w:szCs w:val="24"/>
              </w:rPr>
            </w:pPr>
            <w:r w:rsidRPr="00306115">
              <w:rPr>
                <w:rFonts w:ascii="Bookman Old Style" w:hAnsi="Bookman Old Style"/>
                <w:iCs/>
                <w:color w:val="000000" w:themeColor="text1"/>
                <w:sz w:val="24"/>
                <w:szCs w:val="24"/>
              </w:rPr>
              <w:t>Peringkat 1</w:t>
            </w:r>
          </w:p>
        </w:tc>
        <w:tc>
          <w:tcPr>
            <w:tcW w:w="6804" w:type="dxa"/>
          </w:tcPr>
          <w:p w14:paraId="543875C9" w14:textId="77777777" w:rsidR="00743BDB" w:rsidRPr="00306115" w:rsidRDefault="00743BDB" w:rsidP="00743BDB">
            <w:pPr>
              <w:spacing w:after="0" w:line="240" w:lineRule="auto"/>
              <w:ind w:left="142" w:right="142"/>
              <w:rPr>
                <w:color w:val="000000" w:themeColor="text1"/>
                <w:szCs w:val="24"/>
                <w:lang w:val="en-ID"/>
              </w:rPr>
            </w:pPr>
            <w:r w:rsidRPr="00306115">
              <w:rPr>
                <w:color w:val="000000" w:themeColor="text1"/>
                <w:szCs w:val="24"/>
                <w:lang w:val="en-ID"/>
              </w:rPr>
              <w:t>Profitabilitas sangat memadai, kemampuan Manajer Investasi dalam menghasilkan keuntungan sangat baik dan stabil/konsisten.</w:t>
            </w:r>
          </w:p>
        </w:tc>
      </w:tr>
      <w:tr w:rsidR="00743BDB" w:rsidRPr="00306115" w14:paraId="65054367" w14:textId="77777777" w:rsidTr="00214F76">
        <w:trPr>
          <w:trHeight w:val="763"/>
        </w:trPr>
        <w:tc>
          <w:tcPr>
            <w:tcW w:w="1722" w:type="dxa"/>
          </w:tcPr>
          <w:p w14:paraId="758DD03C" w14:textId="77777777" w:rsidR="00743BDB" w:rsidRPr="00306115" w:rsidRDefault="00743BDB" w:rsidP="00743BDB">
            <w:pPr>
              <w:pStyle w:val="TableParagraph"/>
              <w:spacing w:before="120" w:after="120"/>
              <w:ind w:left="142" w:right="142"/>
              <w:jc w:val="center"/>
              <w:rPr>
                <w:rFonts w:ascii="Bookman Old Style" w:hAnsi="Bookman Old Style"/>
                <w:color w:val="000000" w:themeColor="text1"/>
                <w:sz w:val="24"/>
                <w:szCs w:val="24"/>
              </w:rPr>
            </w:pPr>
            <w:r w:rsidRPr="00306115">
              <w:rPr>
                <w:rFonts w:ascii="Bookman Old Style" w:hAnsi="Bookman Old Style"/>
                <w:iCs/>
                <w:color w:val="000000" w:themeColor="text1"/>
                <w:sz w:val="24"/>
                <w:szCs w:val="24"/>
              </w:rPr>
              <w:t>Peringkat 2</w:t>
            </w:r>
          </w:p>
        </w:tc>
        <w:tc>
          <w:tcPr>
            <w:tcW w:w="6804" w:type="dxa"/>
          </w:tcPr>
          <w:p w14:paraId="5C7A9078" w14:textId="77777777" w:rsidR="00743BDB" w:rsidRPr="00306115" w:rsidRDefault="00743BDB" w:rsidP="00743BDB">
            <w:pPr>
              <w:spacing w:after="0" w:line="240" w:lineRule="auto"/>
              <w:ind w:left="142" w:right="142"/>
              <w:rPr>
                <w:color w:val="000000" w:themeColor="text1"/>
                <w:szCs w:val="24"/>
                <w:lang w:val="en-ID"/>
              </w:rPr>
            </w:pPr>
            <w:r w:rsidRPr="00306115">
              <w:rPr>
                <w:color w:val="000000" w:themeColor="text1"/>
                <w:szCs w:val="24"/>
                <w:lang w:val="en-ID"/>
              </w:rPr>
              <w:t>Profitabilitas memadai, kemampuan Manajer Investasi dalam menghasilkan keuntungan baik dan cukup stabil/konsisten.</w:t>
            </w:r>
          </w:p>
        </w:tc>
      </w:tr>
      <w:tr w:rsidR="00743BDB" w:rsidRPr="00306115" w14:paraId="0A3FFFE1" w14:textId="77777777" w:rsidTr="00214F76">
        <w:trPr>
          <w:trHeight w:val="835"/>
        </w:trPr>
        <w:tc>
          <w:tcPr>
            <w:tcW w:w="1722" w:type="dxa"/>
          </w:tcPr>
          <w:p w14:paraId="15F7B145" w14:textId="77777777" w:rsidR="00743BDB" w:rsidRPr="00306115" w:rsidRDefault="00743BDB" w:rsidP="00743BDB">
            <w:pPr>
              <w:pStyle w:val="TableParagraph"/>
              <w:spacing w:before="120" w:after="120"/>
              <w:ind w:left="142" w:right="142"/>
              <w:jc w:val="center"/>
              <w:rPr>
                <w:rFonts w:ascii="Bookman Old Style" w:hAnsi="Bookman Old Style"/>
                <w:iCs/>
                <w:color w:val="000000" w:themeColor="text1"/>
                <w:sz w:val="24"/>
                <w:szCs w:val="24"/>
              </w:rPr>
            </w:pPr>
            <w:r w:rsidRPr="00306115">
              <w:rPr>
                <w:rFonts w:ascii="Bookman Old Style" w:hAnsi="Bookman Old Style"/>
                <w:iCs/>
                <w:color w:val="000000" w:themeColor="text1"/>
                <w:sz w:val="24"/>
                <w:szCs w:val="24"/>
              </w:rPr>
              <w:t>Peringkat 3</w:t>
            </w:r>
          </w:p>
        </w:tc>
        <w:tc>
          <w:tcPr>
            <w:tcW w:w="6804" w:type="dxa"/>
          </w:tcPr>
          <w:p w14:paraId="5A58584A" w14:textId="77777777" w:rsidR="00743BDB" w:rsidRPr="00306115" w:rsidRDefault="00743BDB" w:rsidP="00743BDB">
            <w:pPr>
              <w:spacing w:after="0" w:line="240" w:lineRule="auto"/>
              <w:ind w:left="142" w:right="142"/>
              <w:rPr>
                <w:color w:val="000000" w:themeColor="text1"/>
                <w:szCs w:val="24"/>
                <w:lang w:val="en-ID"/>
              </w:rPr>
            </w:pPr>
            <w:r w:rsidRPr="00306115">
              <w:rPr>
                <w:color w:val="000000" w:themeColor="text1"/>
                <w:szCs w:val="24"/>
                <w:lang w:val="en-ID"/>
              </w:rPr>
              <w:t>Profitabilitas cukup memadai, kemampuan Manajer Investasi dalam menghasilkan keuntungan cukup baik namun kurang stabil/konsisten.</w:t>
            </w:r>
          </w:p>
        </w:tc>
      </w:tr>
      <w:tr w:rsidR="00743BDB" w:rsidRPr="00306115" w14:paraId="6ED51DDE" w14:textId="77777777" w:rsidTr="00214F76">
        <w:trPr>
          <w:trHeight w:val="982"/>
        </w:trPr>
        <w:tc>
          <w:tcPr>
            <w:tcW w:w="1722" w:type="dxa"/>
          </w:tcPr>
          <w:p w14:paraId="54480AEB" w14:textId="77777777" w:rsidR="00743BDB" w:rsidRPr="00306115" w:rsidRDefault="00743BDB" w:rsidP="00743BDB">
            <w:pPr>
              <w:pStyle w:val="TableParagraph"/>
              <w:spacing w:before="120" w:after="120"/>
              <w:ind w:left="142" w:right="142"/>
              <w:jc w:val="center"/>
              <w:rPr>
                <w:rFonts w:ascii="Bookman Old Style" w:hAnsi="Bookman Old Style"/>
                <w:i/>
                <w:color w:val="000000" w:themeColor="text1"/>
                <w:sz w:val="24"/>
                <w:szCs w:val="24"/>
              </w:rPr>
            </w:pPr>
            <w:r w:rsidRPr="00306115">
              <w:rPr>
                <w:rFonts w:ascii="Bookman Old Style" w:hAnsi="Bookman Old Style"/>
                <w:iCs/>
                <w:color w:val="000000" w:themeColor="text1"/>
                <w:sz w:val="24"/>
                <w:szCs w:val="24"/>
              </w:rPr>
              <w:t>Peringkat 4</w:t>
            </w:r>
          </w:p>
        </w:tc>
        <w:tc>
          <w:tcPr>
            <w:tcW w:w="6804" w:type="dxa"/>
          </w:tcPr>
          <w:p w14:paraId="6AD7AB57" w14:textId="77777777" w:rsidR="00743BDB" w:rsidRPr="00306115" w:rsidRDefault="00743BDB" w:rsidP="00743BDB">
            <w:pPr>
              <w:spacing w:after="0" w:line="240" w:lineRule="auto"/>
              <w:ind w:left="142" w:right="142"/>
              <w:rPr>
                <w:color w:val="000000" w:themeColor="text1"/>
                <w:szCs w:val="24"/>
              </w:rPr>
            </w:pPr>
            <w:r w:rsidRPr="00306115">
              <w:rPr>
                <w:color w:val="000000" w:themeColor="text1"/>
                <w:szCs w:val="24"/>
                <w:lang w:val="en-ID"/>
              </w:rPr>
              <w:t>Profitabilitas kurang memadai, kemampuan Manajer Investasi dalam menghasilkan keuntungan tidak memadai atau Manajer Investasi mengalami kerugian dan kemampuannya tidak stabil/tidak konsisten.</w:t>
            </w:r>
          </w:p>
        </w:tc>
      </w:tr>
      <w:tr w:rsidR="00743BDB" w:rsidRPr="00306115" w14:paraId="6B994BCD" w14:textId="77777777" w:rsidTr="00214F76">
        <w:trPr>
          <w:trHeight w:val="982"/>
        </w:trPr>
        <w:tc>
          <w:tcPr>
            <w:tcW w:w="1722" w:type="dxa"/>
          </w:tcPr>
          <w:p w14:paraId="00E7B1D5" w14:textId="77777777" w:rsidR="00743BDB" w:rsidRPr="00306115" w:rsidRDefault="00743BDB" w:rsidP="00743BDB">
            <w:pPr>
              <w:pStyle w:val="TableParagraph"/>
              <w:spacing w:before="120" w:after="120"/>
              <w:ind w:left="142" w:right="142"/>
              <w:jc w:val="center"/>
              <w:rPr>
                <w:rFonts w:ascii="Bookman Old Style" w:hAnsi="Bookman Old Style"/>
                <w:i/>
                <w:color w:val="000000" w:themeColor="text1"/>
                <w:sz w:val="24"/>
                <w:szCs w:val="24"/>
              </w:rPr>
            </w:pPr>
            <w:r w:rsidRPr="00306115">
              <w:rPr>
                <w:rFonts w:ascii="Bookman Old Style" w:hAnsi="Bookman Old Style"/>
                <w:iCs/>
                <w:color w:val="000000" w:themeColor="text1"/>
                <w:sz w:val="24"/>
                <w:szCs w:val="24"/>
              </w:rPr>
              <w:t>Peringkat 5</w:t>
            </w:r>
          </w:p>
        </w:tc>
        <w:tc>
          <w:tcPr>
            <w:tcW w:w="6804" w:type="dxa"/>
          </w:tcPr>
          <w:p w14:paraId="539DE64F" w14:textId="77777777" w:rsidR="00743BDB" w:rsidRPr="00306115" w:rsidRDefault="00743BDB" w:rsidP="00743BDB">
            <w:pPr>
              <w:spacing w:after="0" w:line="240" w:lineRule="auto"/>
              <w:ind w:left="142" w:right="142"/>
              <w:rPr>
                <w:color w:val="000000" w:themeColor="text1"/>
                <w:szCs w:val="24"/>
              </w:rPr>
            </w:pPr>
            <w:r w:rsidRPr="00306115">
              <w:rPr>
                <w:color w:val="000000" w:themeColor="text1"/>
                <w:szCs w:val="24"/>
                <w:lang w:val="en-ID"/>
              </w:rPr>
              <w:t>Profitabilitas tidak memadai, Manajer Investasi mengalami kerugian yang signifikan dan kemampuannya dalam menghasilkan keuntungan tidak stabil/ tidak konsisten.</w:t>
            </w:r>
          </w:p>
        </w:tc>
      </w:tr>
    </w:tbl>
    <w:p w14:paraId="583203F0" w14:textId="77777777" w:rsidR="00AB16F6" w:rsidRPr="00306115" w:rsidRDefault="00AB16F6" w:rsidP="00AB16F6">
      <w:pPr>
        <w:pStyle w:val="HeadingAwalDaftarIsiLampiran"/>
        <w:numPr>
          <w:ilvl w:val="0"/>
          <w:numId w:val="0"/>
        </w:numPr>
        <w:ind w:left="567"/>
      </w:pPr>
    </w:p>
    <w:p w14:paraId="3B0EEA6C" w14:textId="483945A7" w:rsidR="003F1027" w:rsidRPr="00306115" w:rsidRDefault="003F1027">
      <w:pPr>
        <w:pStyle w:val="HeadingAwalDaftarIsiLampiran"/>
        <w:numPr>
          <w:ilvl w:val="3"/>
          <w:numId w:val="295"/>
        </w:numPr>
        <w:ind w:left="567" w:hanging="567"/>
      </w:pPr>
      <w:r w:rsidRPr="00306115">
        <w:t>Matriks Peringkat Faktor Permodalan</w:t>
      </w:r>
    </w:p>
    <w:tbl>
      <w:tblPr>
        <w:tblW w:w="8526" w:type="dxa"/>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2"/>
        <w:gridCol w:w="6804"/>
      </w:tblGrid>
      <w:tr w:rsidR="00005224" w:rsidRPr="00306115" w14:paraId="0AE3213D" w14:textId="77777777" w:rsidTr="00214F76">
        <w:trPr>
          <w:trHeight w:val="366"/>
        </w:trPr>
        <w:tc>
          <w:tcPr>
            <w:tcW w:w="1722" w:type="dxa"/>
            <w:shd w:val="clear" w:color="auto" w:fill="D9D9D9"/>
          </w:tcPr>
          <w:p w14:paraId="50D64719" w14:textId="77777777" w:rsidR="00005224" w:rsidRPr="00306115" w:rsidRDefault="00005224" w:rsidP="00214F76">
            <w:pPr>
              <w:pStyle w:val="TableParagraph"/>
              <w:spacing w:before="120" w:after="120"/>
              <w:ind w:left="142" w:right="142"/>
              <w:jc w:val="center"/>
              <w:rPr>
                <w:rFonts w:ascii="Bookman Old Style" w:hAnsi="Bookman Old Style"/>
                <w:color w:val="000000" w:themeColor="text1"/>
                <w:sz w:val="24"/>
              </w:rPr>
            </w:pPr>
            <w:r w:rsidRPr="00306115">
              <w:rPr>
                <w:rFonts w:ascii="Bookman Old Style" w:hAnsi="Bookman Old Style"/>
                <w:color w:val="000000" w:themeColor="text1"/>
                <w:sz w:val="24"/>
              </w:rPr>
              <w:t>Peringkat</w:t>
            </w:r>
          </w:p>
        </w:tc>
        <w:tc>
          <w:tcPr>
            <w:tcW w:w="6804" w:type="dxa"/>
            <w:shd w:val="clear" w:color="auto" w:fill="D9D9D9"/>
          </w:tcPr>
          <w:p w14:paraId="477266EB" w14:textId="77777777" w:rsidR="00005224" w:rsidRPr="00306115" w:rsidRDefault="00005224" w:rsidP="00214F76">
            <w:pPr>
              <w:pStyle w:val="TableParagraph"/>
              <w:spacing w:before="120" w:after="120"/>
              <w:ind w:left="142" w:right="142"/>
              <w:jc w:val="center"/>
              <w:rPr>
                <w:rFonts w:ascii="Bookman Old Style" w:hAnsi="Bookman Old Style"/>
                <w:color w:val="000000" w:themeColor="text1"/>
                <w:sz w:val="24"/>
              </w:rPr>
            </w:pPr>
            <w:r w:rsidRPr="00306115">
              <w:rPr>
                <w:rFonts w:ascii="Bookman Old Style" w:hAnsi="Bookman Old Style"/>
                <w:color w:val="000000" w:themeColor="text1"/>
                <w:sz w:val="24"/>
              </w:rPr>
              <w:t>Definisi Peringkat</w:t>
            </w:r>
          </w:p>
        </w:tc>
      </w:tr>
      <w:tr w:rsidR="00005224" w:rsidRPr="00306115" w14:paraId="178D7D22" w14:textId="77777777" w:rsidTr="00214F76">
        <w:trPr>
          <w:trHeight w:val="623"/>
        </w:trPr>
        <w:tc>
          <w:tcPr>
            <w:tcW w:w="1722" w:type="dxa"/>
          </w:tcPr>
          <w:p w14:paraId="467EC8CC" w14:textId="77777777" w:rsidR="00005224" w:rsidRPr="00306115" w:rsidRDefault="00005224" w:rsidP="00214F76">
            <w:pPr>
              <w:pStyle w:val="TableParagraph"/>
              <w:spacing w:before="120" w:after="120"/>
              <w:ind w:left="142" w:right="142"/>
              <w:jc w:val="center"/>
              <w:rPr>
                <w:rFonts w:ascii="Bookman Old Style" w:hAnsi="Bookman Old Style"/>
                <w:color w:val="000000" w:themeColor="text1"/>
                <w:sz w:val="24"/>
              </w:rPr>
            </w:pPr>
            <w:r w:rsidRPr="00306115">
              <w:rPr>
                <w:rFonts w:ascii="Bookman Old Style" w:hAnsi="Bookman Old Style"/>
                <w:color w:val="000000" w:themeColor="text1"/>
                <w:sz w:val="24"/>
              </w:rPr>
              <w:t>Peringkat 1</w:t>
            </w:r>
          </w:p>
        </w:tc>
        <w:tc>
          <w:tcPr>
            <w:tcW w:w="6804" w:type="dxa"/>
          </w:tcPr>
          <w:p w14:paraId="08EA1753" w14:textId="77777777" w:rsidR="00005224" w:rsidRPr="00306115" w:rsidRDefault="00005224" w:rsidP="00214F76">
            <w:pPr>
              <w:pStyle w:val="TableParagraph"/>
              <w:ind w:left="142" w:right="142"/>
              <w:jc w:val="both"/>
              <w:rPr>
                <w:rFonts w:ascii="Bookman Old Style" w:hAnsi="Bookman Old Style"/>
                <w:color w:val="000000" w:themeColor="text1"/>
                <w:sz w:val="24"/>
              </w:rPr>
            </w:pPr>
            <w:r w:rsidRPr="00306115">
              <w:rPr>
                <w:rFonts w:ascii="Bookman Old Style" w:hAnsi="Bookman Old Style"/>
                <w:color w:val="000000" w:themeColor="text1"/>
                <w:sz w:val="24"/>
              </w:rPr>
              <w:t xml:space="preserve">Manajer Investasi memiliki kualitas permodalan yang </w:t>
            </w:r>
            <w:r w:rsidRPr="00306115">
              <w:rPr>
                <w:rStyle w:val="Strong"/>
                <w:rFonts w:ascii="Bookman Old Style" w:hAnsi="Bookman Old Style"/>
                <w:b w:val="0"/>
                <w:bCs w:val="0"/>
                <w:color w:val="000000" w:themeColor="text1"/>
                <w:sz w:val="24"/>
              </w:rPr>
              <w:t>sangat kuat</w:t>
            </w:r>
            <w:r w:rsidRPr="00306115">
              <w:rPr>
                <w:rFonts w:ascii="Bookman Old Style" w:hAnsi="Bookman Old Style"/>
                <w:color w:val="000000" w:themeColor="text1"/>
                <w:sz w:val="24"/>
              </w:rPr>
              <w:t>, contohnya Modal Kerja Bersih Disesuaikan melampaui 270 hari total pengeluaran.</w:t>
            </w:r>
          </w:p>
        </w:tc>
      </w:tr>
      <w:tr w:rsidR="00005224" w:rsidRPr="00306115" w14:paraId="7F9B38B0" w14:textId="77777777" w:rsidTr="00214F76">
        <w:trPr>
          <w:trHeight w:val="623"/>
        </w:trPr>
        <w:tc>
          <w:tcPr>
            <w:tcW w:w="1722" w:type="dxa"/>
          </w:tcPr>
          <w:p w14:paraId="2A063AC0" w14:textId="77777777" w:rsidR="00005224" w:rsidRPr="00306115" w:rsidRDefault="00005224" w:rsidP="00214F76">
            <w:pPr>
              <w:pStyle w:val="TableParagraph"/>
              <w:spacing w:before="120" w:after="120"/>
              <w:ind w:left="142" w:right="142"/>
              <w:jc w:val="center"/>
              <w:rPr>
                <w:rFonts w:ascii="Bookman Old Style" w:hAnsi="Bookman Old Style"/>
                <w:iCs/>
                <w:color w:val="000000" w:themeColor="text1"/>
                <w:sz w:val="24"/>
              </w:rPr>
            </w:pPr>
            <w:r w:rsidRPr="00306115">
              <w:rPr>
                <w:rFonts w:ascii="Bookman Old Style" w:hAnsi="Bookman Old Style"/>
                <w:color w:val="000000" w:themeColor="text1"/>
                <w:sz w:val="24"/>
              </w:rPr>
              <w:t>Peringkat 2</w:t>
            </w:r>
          </w:p>
        </w:tc>
        <w:tc>
          <w:tcPr>
            <w:tcW w:w="6804" w:type="dxa"/>
          </w:tcPr>
          <w:p w14:paraId="4C089078" w14:textId="77777777" w:rsidR="00005224" w:rsidRPr="00306115" w:rsidRDefault="00005224" w:rsidP="00214F76">
            <w:pPr>
              <w:pStyle w:val="TableParagraph"/>
              <w:ind w:left="142" w:right="142"/>
              <w:jc w:val="both"/>
              <w:rPr>
                <w:rFonts w:ascii="Bookman Old Style" w:hAnsi="Bookman Old Style"/>
                <w:color w:val="000000" w:themeColor="text1"/>
                <w:sz w:val="24"/>
              </w:rPr>
            </w:pPr>
            <w:r w:rsidRPr="00306115">
              <w:rPr>
                <w:rFonts w:ascii="Bookman Old Style" w:hAnsi="Bookman Old Style"/>
                <w:color w:val="000000" w:themeColor="text1"/>
                <w:sz w:val="24"/>
              </w:rPr>
              <w:t xml:space="preserve">Manajer Investasi memiliki kualitas permodalan yang </w:t>
            </w:r>
            <w:r w:rsidRPr="00306115">
              <w:rPr>
                <w:rStyle w:val="Strong"/>
                <w:rFonts w:ascii="Bookman Old Style" w:hAnsi="Bookman Old Style"/>
                <w:b w:val="0"/>
                <w:bCs w:val="0"/>
                <w:color w:val="000000" w:themeColor="text1"/>
                <w:sz w:val="24"/>
              </w:rPr>
              <w:t>cukup kuat</w:t>
            </w:r>
            <w:r w:rsidRPr="00306115">
              <w:rPr>
                <w:rFonts w:ascii="Bookman Old Style" w:hAnsi="Bookman Old Style"/>
                <w:color w:val="000000" w:themeColor="text1"/>
                <w:sz w:val="24"/>
              </w:rPr>
              <w:t>, contohnya Modal Kerja Bersih Disesuaikan melampaui 180 hari total pengeluaran.</w:t>
            </w:r>
          </w:p>
        </w:tc>
      </w:tr>
      <w:tr w:rsidR="00005224" w:rsidRPr="00306115" w14:paraId="679012C0" w14:textId="77777777" w:rsidTr="00214F76">
        <w:trPr>
          <w:trHeight w:val="623"/>
        </w:trPr>
        <w:tc>
          <w:tcPr>
            <w:tcW w:w="1722" w:type="dxa"/>
          </w:tcPr>
          <w:p w14:paraId="00DAA3C3" w14:textId="77777777" w:rsidR="00005224" w:rsidRPr="00306115" w:rsidRDefault="00005224" w:rsidP="00214F76">
            <w:pPr>
              <w:pStyle w:val="TableParagraph"/>
              <w:spacing w:before="120" w:after="120"/>
              <w:ind w:left="142" w:right="142"/>
              <w:jc w:val="center"/>
              <w:rPr>
                <w:rFonts w:ascii="Bookman Old Style" w:hAnsi="Bookman Old Style"/>
                <w:i/>
                <w:color w:val="000000" w:themeColor="text1"/>
                <w:sz w:val="24"/>
              </w:rPr>
            </w:pPr>
            <w:r w:rsidRPr="00306115">
              <w:rPr>
                <w:rFonts w:ascii="Bookman Old Style" w:hAnsi="Bookman Old Style"/>
                <w:iCs/>
                <w:color w:val="000000" w:themeColor="text1"/>
                <w:sz w:val="24"/>
              </w:rPr>
              <w:t>Peringkat 3</w:t>
            </w:r>
          </w:p>
        </w:tc>
        <w:tc>
          <w:tcPr>
            <w:tcW w:w="6804" w:type="dxa"/>
          </w:tcPr>
          <w:p w14:paraId="5EC93200" w14:textId="77777777" w:rsidR="00005224" w:rsidRPr="00306115" w:rsidRDefault="00005224" w:rsidP="00214F76">
            <w:pPr>
              <w:pStyle w:val="TableParagraph"/>
              <w:ind w:left="142" w:right="142"/>
              <w:jc w:val="both"/>
              <w:rPr>
                <w:rFonts w:ascii="Bookman Old Style" w:hAnsi="Bookman Old Style"/>
                <w:color w:val="000000" w:themeColor="text1"/>
                <w:sz w:val="24"/>
              </w:rPr>
            </w:pPr>
            <w:r w:rsidRPr="00306115">
              <w:rPr>
                <w:rFonts w:ascii="Bookman Old Style" w:hAnsi="Bookman Old Style"/>
                <w:color w:val="000000" w:themeColor="text1"/>
                <w:sz w:val="24"/>
              </w:rPr>
              <w:t xml:space="preserve">Manajer Investasi memiliki kualitas permodalan yang </w:t>
            </w:r>
            <w:r w:rsidRPr="00306115">
              <w:rPr>
                <w:rStyle w:val="Strong"/>
                <w:rFonts w:ascii="Bookman Old Style" w:hAnsi="Bookman Old Style"/>
                <w:b w:val="0"/>
                <w:bCs w:val="0"/>
                <w:color w:val="000000" w:themeColor="text1"/>
                <w:sz w:val="24"/>
              </w:rPr>
              <w:t>cukup</w:t>
            </w:r>
            <w:r w:rsidRPr="00306115">
              <w:rPr>
                <w:rFonts w:ascii="Bookman Old Style" w:hAnsi="Bookman Old Style"/>
                <w:color w:val="000000" w:themeColor="text1"/>
                <w:sz w:val="24"/>
              </w:rPr>
              <w:t>, contohnya Modal Kerja Bersih Disesuaikan melampaui 120 hari total pengeluaran.</w:t>
            </w:r>
          </w:p>
        </w:tc>
      </w:tr>
      <w:tr w:rsidR="00005224" w:rsidRPr="00306115" w14:paraId="1599E86D" w14:textId="77777777" w:rsidTr="00214F76">
        <w:trPr>
          <w:trHeight w:val="623"/>
        </w:trPr>
        <w:tc>
          <w:tcPr>
            <w:tcW w:w="1722" w:type="dxa"/>
          </w:tcPr>
          <w:p w14:paraId="1D2C3282" w14:textId="77777777" w:rsidR="00005224" w:rsidRPr="00306115" w:rsidRDefault="00005224" w:rsidP="00214F76">
            <w:pPr>
              <w:pStyle w:val="TableParagraph"/>
              <w:spacing w:before="120" w:after="120"/>
              <w:ind w:left="142" w:right="142"/>
              <w:jc w:val="center"/>
              <w:rPr>
                <w:rFonts w:ascii="Bookman Old Style" w:hAnsi="Bookman Old Style"/>
                <w:i/>
                <w:color w:val="000000" w:themeColor="text1"/>
                <w:sz w:val="24"/>
              </w:rPr>
            </w:pPr>
            <w:r w:rsidRPr="00306115">
              <w:rPr>
                <w:rFonts w:ascii="Bookman Old Style" w:hAnsi="Bookman Old Style"/>
                <w:iCs/>
                <w:color w:val="000000" w:themeColor="text1"/>
                <w:sz w:val="24"/>
              </w:rPr>
              <w:t>Peringkat 4</w:t>
            </w:r>
          </w:p>
        </w:tc>
        <w:tc>
          <w:tcPr>
            <w:tcW w:w="6804" w:type="dxa"/>
          </w:tcPr>
          <w:p w14:paraId="439A6823" w14:textId="77777777" w:rsidR="00005224" w:rsidRPr="00306115" w:rsidRDefault="00005224" w:rsidP="00214F76">
            <w:pPr>
              <w:pStyle w:val="TableParagraph"/>
              <w:ind w:left="142" w:right="142"/>
              <w:jc w:val="both"/>
              <w:rPr>
                <w:rFonts w:ascii="Bookman Old Style" w:hAnsi="Bookman Old Style"/>
                <w:color w:val="000000" w:themeColor="text1"/>
                <w:sz w:val="24"/>
              </w:rPr>
            </w:pPr>
            <w:r w:rsidRPr="00306115">
              <w:rPr>
                <w:rFonts w:ascii="Bookman Old Style" w:hAnsi="Bookman Old Style"/>
                <w:color w:val="000000" w:themeColor="text1"/>
                <w:sz w:val="24"/>
              </w:rPr>
              <w:t xml:space="preserve">Manajer Investasi memiliki kualitas permodalan yang </w:t>
            </w:r>
            <w:r w:rsidRPr="00306115">
              <w:rPr>
                <w:rStyle w:val="Strong"/>
                <w:rFonts w:ascii="Bookman Old Style" w:hAnsi="Bookman Old Style"/>
                <w:b w:val="0"/>
                <w:bCs w:val="0"/>
                <w:color w:val="000000" w:themeColor="text1"/>
                <w:sz w:val="24"/>
              </w:rPr>
              <w:t>kurang</w:t>
            </w:r>
            <w:r w:rsidRPr="00306115">
              <w:rPr>
                <w:rStyle w:val="Strong"/>
                <w:rFonts w:ascii="Bookman Old Style" w:hAnsi="Bookman Old Style"/>
                <w:color w:val="000000" w:themeColor="text1"/>
                <w:sz w:val="24"/>
              </w:rPr>
              <w:t xml:space="preserve"> </w:t>
            </w:r>
            <w:r w:rsidRPr="00306115">
              <w:rPr>
                <w:rStyle w:val="Strong"/>
                <w:rFonts w:ascii="Bookman Old Style" w:hAnsi="Bookman Old Style"/>
                <w:b w:val="0"/>
                <w:bCs w:val="0"/>
                <w:color w:val="000000" w:themeColor="text1"/>
                <w:sz w:val="24"/>
              </w:rPr>
              <w:t>memadai</w:t>
            </w:r>
            <w:r w:rsidRPr="00306115">
              <w:rPr>
                <w:rFonts w:ascii="Bookman Old Style" w:hAnsi="Bookman Old Style"/>
                <w:color w:val="000000" w:themeColor="text1"/>
                <w:sz w:val="24"/>
              </w:rPr>
              <w:t>, contohnya Modal Kerja Bersih Disesuaikan hanya melampaui 90 hari total pengeluaran.</w:t>
            </w:r>
          </w:p>
        </w:tc>
      </w:tr>
      <w:tr w:rsidR="00005224" w:rsidRPr="00306115" w14:paraId="10F473AB" w14:textId="77777777" w:rsidTr="00214F76">
        <w:trPr>
          <w:trHeight w:val="623"/>
        </w:trPr>
        <w:tc>
          <w:tcPr>
            <w:tcW w:w="1722" w:type="dxa"/>
          </w:tcPr>
          <w:p w14:paraId="4C764BAE" w14:textId="77777777" w:rsidR="00005224" w:rsidRPr="00306115" w:rsidRDefault="00005224" w:rsidP="00214F76">
            <w:pPr>
              <w:pStyle w:val="TableParagraph"/>
              <w:spacing w:before="120" w:after="120"/>
              <w:ind w:left="142" w:right="142"/>
              <w:jc w:val="center"/>
              <w:rPr>
                <w:rFonts w:ascii="Bookman Old Style" w:hAnsi="Bookman Old Style"/>
                <w:i/>
                <w:color w:val="000000" w:themeColor="text1"/>
                <w:sz w:val="24"/>
              </w:rPr>
            </w:pPr>
            <w:r w:rsidRPr="00306115">
              <w:rPr>
                <w:rFonts w:ascii="Bookman Old Style" w:hAnsi="Bookman Old Style"/>
                <w:iCs/>
                <w:color w:val="000000" w:themeColor="text1"/>
                <w:sz w:val="24"/>
              </w:rPr>
              <w:t>Peringkat 5</w:t>
            </w:r>
          </w:p>
        </w:tc>
        <w:tc>
          <w:tcPr>
            <w:tcW w:w="6804" w:type="dxa"/>
          </w:tcPr>
          <w:p w14:paraId="714220E2" w14:textId="77777777" w:rsidR="00005224" w:rsidRPr="00306115" w:rsidRDefault="00005224" w:rsidP="00214F76">
            <w:pPr>
              <w:pStyle w:val="TableParagraph"/>
              <w:ind w:left="142" w:right="142"/>
              <w:jc w:val="both"/>
              <w:rPr>
                <w:rFonts w:ascii="Bookman Old Style" w:hAnsi="Bookman Old Style"/>
                <w:color w:val="000000" w:themeColor="text1"/>
                <w:sz w:val="24"/>
              </w:rPr>
            </w:pPr>
            <w:r w:rsidRPr="00306115">
              <w:rPr>
                <w:rFonts w:ascii="Bookman Old Style" w:hAnsi="Bookman Old Style"/>
                <w:color w:val="000000" w:themeColor="text1"/>
                <w:sz w:val="24"/>
              </w:rPr>
              <w:t xml:space="preserve">Manajer Investasi memiliki kualitas permodalan yang </w:t>
            </w:r>
            <w:r w:rsidRPr="00306115">
              <w:rPr>
                <w:rStyle w:val="Strong"/>
                <w:rFonts w:ascii="Bookman Old Style" w:hAnsi="Bookman Old Style"/>
                <w:b w:val="0"/>
                <w:bCs w:val="0"/>
                <w:color w:val="000000" w:themeColor="text1"/>
                <w:sz w:val="24"/>
              </w:rPr>
              <w:t>tidak</w:t>
            </w:r>
            <w:r w:rsidRPr="00306115">
              <w:rPr>
                <w:rStyle w:val="Strong"/>
                <w:rFonts w:ascii="Bookman Old Style" w:hAnsi="Bookman Old Style"/>
                <w:color w:val="000000" w:themeColor="text1"/>
                <w:sz w:val="24"/>
              </w:rPr>
              <w:t xml:space="preserve"> </w:t>
            </w:r>
            <w:r w:rsidRPr="00306115">
              <w:rPr>
                <w:rStyle w:val="Strong"/>
                <w:rFonts w:ascii="Bookman Old Style" w:hAnsi="Bookman Old Style"/>
                <w:b w:val="0"/>
                <w:bCs w:val="0"/>
                <w:color w:val="000000" w:themeColor="text1"/>
                <w:sz w:val="24"/>
              </w:rPr>
              <w:t>memadai</w:t>
            </w:r>
            <w:r w:rsidRPr="00306115">
              <w:rPr>
                <w:rFonts w:ascii="Bookman Old Style" w:hAnsi="Bookman Old Style"/>
                <w:color w:val="000000" w:themeColor="text1"/>
                <w:sz w:val="24"/>
              </w:rPr>
              <w:t>, contohnya Modal Kerja Bersih Disesuaikan berada di bawah 90 hari total pengeluaran.</w:t>
            </w:r>
          </w:p>
        </w:tc>
      </w:tr>
    </w:tbl>
    <w:p w14:paraId="33A0463B" w14:textId="77777777" w:rsidR="00AB16F6" w:rsidRPr="00306115" w:rsidRDefault="00AB16F6" w:rsidP="00AB16F6">
      <w:pPr>
        <w:pStyle w:val="HeadingAwalDaftarIsiLampiran"/>
        <w:numPr>
          <w:ilvl w:val="0"/>
          <w:numId w:val="0"/>
        </w:numPr>
        <w:ind w:left="567"/>
      </w:pPr>
    </w:p>
    <w:p w14:paraId="751E0B44" w14:textId="0A11B8EF" w:rsidR="003F1027" w:rsidRPr="00306115" w:rsidRDefault="003F1027">
      <w:pPr>
        <w:pStyle w:val="HeadingAwalDaftarIsiLampiran"/>
        <w:numPr>
          <w:ilvl w:val="3"/>
          <w:numId w:val="295"/>
        </w:numPr>
        <w:ind w:left="567" w:hanging="567"/>
      </w:pPr>
      <w:r w:rsidRPr="00306115">
        <w:t>Matriks Peringkat Komposit Tingkat Kesehatan Manajer Investasi</w:t>
      </w:r>
    </w:p>
    <w:tbl>
      <w:tblPr>
        <w:tblW w:w="850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6945"/>
      </w:tblGrid>
      <w:tr w:rsidR="00247DCD" w:rsidRPr="00306115" w14:paraId="003B2888" w14:textId="77777777" w:rsidTr="00F62AFE">
        <w:trPr>
          <w:trHeight w:val="503"/>
        </w:trPr>
        <w:tc>
          <w:tcPr>
            <w:tcW w:w="1560" w:type="dxa"/>
            <w:shd w:val="clear" w:color="auto" w:fill="E7E6E6"/>
            <w:vAlign w:val="center"/>
          </w:tcPr>
          <w:p w14:paraId="7A7428DA" w14:textId="77777777" w:rsidR="00247DCD" w:rsidRPr="00306115" w:rsidRDefault="00247DCD" w:rsidP="00F62AFE">
            <w:pPr>
              <w:pStyle w:val="TableParagraph"/>
              <w:spacing w:before="120" w:after="120"/>
              <w:ind w:left="142" w:right="142"/>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Peringkat</w:t>
            </w:r>
          </w:p>
        </w:tc>
        <w:tc>
          <w:tcPr>
            <w:tcW w:w="6945" w:type="dxa"/>
            <w:shd w:val="clear" w:color="auto" w:fill="E7E6E6"/>
            <w:vAlign w:val="center"/>
          </w:tcPr>
          <w:p w14:paraId="55502F80" w14:textId="77777777" w:rsidR="00247DCD" w:rsidRPr="00306115" w:rsidRDefault="00247DCD" w:rsidP="00F62AFE">
            <w:pPr>
              <w:pStyle w:val="TableParagraph"/>
              <w:spacing w:before="120" w:after="120"/>
              <w:ind w:left="142" w:right="142"/>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Penjelasan</w:t>
            </w:r>
          </w:p>
        </w:tc>
      </w:tr>
      <w:tr w:rsidR="00247DCD" w:rsidRPr="00306115" w14:paraId="65DCEE72" w14:textId="77777777" w:rsidTr="00F62AFE">
        <w:trPr>
          <w:trHeight w:val="2255"/>
        </w:trPr>
        <w:tc>
          <w:tcPr>
            <w:tcW w:w="1560" w:type="dxa"/>
          </w:tcPr>
          <w:p w14:paraId="788E9383" w14:textId="4C5E681D" w:rsidR="00247DCD" w:rsidRPr="00306115" w:rsidRDefault="00247DCD" w:rsidP="00F62AFE">
            <w:pPr>
              <w:pStyle w:val="TableParagraph"/>
              <w:spacing w:before="120" w:after="120"/>
              <w:ind w:left="142" w:right="142"/>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Peringkat Komposit</w:t>
            </w:r>
            <w:r w:rsidR="00F62AFE" w:rsidRPr="00306115">
              <w:rPr>
                <w:rFonts w:ascii="Bookman Old Style" w:hAnsi="Bookman Old Style"/>
                <w:color w:val="000000" w:themeColor="text1"/>
                <w:sz w:val="24"/>
                <w:szCs w:val="24"/>
              </w:rPr>
              <w:t xml:space="preserve"> </w:t>
            </w:r>
            <w:r w:rsidRPr="00306115">
              <w:rPr>
                <w:rFonts w:ascii="Bookman Old Style" w:hAnsi="Bookman Old Style"/>
                <w:color w:val="000000" w:themeColor="text1"/>
                <w:sz w:val="24"/>
                <w:szCs w:val="24"/>
              </w:rPr>
              <w:t>1</w:t>
            </w:r>
          </w:p>
        </w:tc>
        <w:tc>
          <w:tcPr>
            <w:tcW w:w="6945" w:type="dxa"/>
          </w:tcPr>
          <w:p w14:paraId="10BE0BF2" w14:textId="77777777" w:rsidR="00247DCD" w:rsidRPr="00306115" w:rsidRDefault="00247DCD" w:rsidP="00247DCD">
            <w:pPr>
              <w:pStyle w:val="TableParagraph"/>
              <w:spacing w:before="120" w:after="120" w:line="276" w:lineRule="auto"/>
              <w:ind w:left="105" w:right="118"/>
              <w:jc w:val="both"/>
              <w:rPr>
                <w:rFonts w:ascii="Bookman Old Style" w:hAnsi="Bookman Old Style"/>
                <w:color w:val="000000" w:themeColor="text1"/>
                <w:sz w:val="24"/>
                <w:szCs w:val="24"/>
              </w:rPr>
            </w:pPr>
            <w:r w:rsidRPr="00306115">
              <w:rPr>
                <w:rFonts w:ascii="Bookman Old Style" w:hAnsi="Bookman Old Style"/>
                <w:color w:val="000000" w:themeColor="text1"/>
                <w:sz w:val="24"/>
                <w:szCs w:val="24"/>
              </w:rPr>
              <w:t xml:space="preserve">Mencerminkan kondisi </w:t>
            </w:r>
            <w:r w:rsidRPr="00306115">
              <w:rPr>
                <w:rFonts w:ascii="Bookman Old Style" w:hAnsi="Bookman Old Style"/>
                <w:color w:val="000000" w:themeColor="text1"/>
                <w:sz w:val="24"/>
                <w:szCs w:val="24"/>
                <w:lang w:val="en-US"/>
              </w:rPr>
              <w:t>Manajer Investasi</w:t>
            </w:r>
            <w:r w:rsidRPr="00306115">
              <w:rPr>
                <w:rFonts w:ascii="Bookman Old Style" w:hAnsi="Bookman Old Style"/>
                <w:color w:val="000000" w:themeColor="text1"/>
                <w:sz w:val="24"/>
                <w:szCs w:val="24"/>
              </w:rPr>
              <w:t xml:space="preserve"> </w:t>
            </w:r>
            <w:r w:rsidRPr="00306115">
              <w:rPr>
                <w:rFonts w:ascii="Bookman Old Style" w:hAnsi="Bookman Old Style"/>
                <w:color w:val="000000" w:themeColor="text1"/>
                <w:sz w:val="24"/>
                <w:szCs w:val="24"/>
                <w:lang w:val="en-US"/>
              </w:rPr>
              <w:t xml:space="preserve">beserta produk kelolaannya </w:t>
            </w:r>
            <w:r w:rsidRPr="00306115">
              <w:rPr>
                <w:rFonts w:ascii="Bookman Old Style" w:hAnsi="Bookman Old Style"/>
                <w:color w:val="000000" w:themeColor="text1"/>
                <w:sz w:val="24"/>
                <w:szCs w:val="24"/>
              </w:rPr>
              <w:t xml:space="preserve">yang secara umum sangat sehat sehingga dinilai sangat mampu menghadapi pengaruh negatif yang signifikan dari perubahan kondisi bisnis dan faktor eksternal lain yang tercermin dari peringkat faktor penilaian, antara lain profil risiko, penerapan tata kelola, rentabilitas, dan permodalan yang secara umum sangat </w:t>
            </w:r>
            <w:r w:rsidRPr="00306115">
              <w:rPr>
                <w:rFonts w:ascii="Bookman Old Style" w:hAnsi="Bookman Old Style"/>
                <w:color w:val="000000" w:themeColor="text1"/>
                <w:sz w:val="24"/>
                <w:szCs w:val="24"/>
              </w:rPr>
              <w:lastRenderedPageBreak/>
              <w:t>baik. Dalam hal terdapat kelemahan maka secara umum kelemahan tersebut tidak signifikan dan tidak material.</w:t>
            </w:r>
          </w:p>
        </w:tc>
      </w:tr>
      <w:tr w:rsidR="00247DCD" w:rsidRPr="00306115" w14:paraId="5ACEF60F" w14:textId="77777777" w:rsidTr="00F62AFE">
        <w:trPr>
          <w:trHeight w:val="2317"/>
        </w:trPr>
        <w:tc>
          <w:tcPr>
            <w:tcW w:w="1560" w:type="dxa"/>
          </w:tcPr>
          <w:p w14:paraId="67B479B5" w14:textId="77777777" w:rsidR="00247DCD" w:rsidRPr="00306115" w:rsidRDefault="00247DCD" w:rsidP="00F62AFE">
            <w:pPr>
              <w:pStyle w:val="TableParagraph"/>
              <w:spacing w:before="120" w:after="120"/>
              <w:ind w:left="142" w:right="142"/>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lastRenderedPageBreak/>
              <w:t>Peringkat Komposit 2</w:t>
            </w:r>
          </w:p>
        </w:tc>
        <w:tc>
          <w:tcPr>
            <w:tcW w:w="6945" w:type="dxa"/>
          </w:tcPr>
          <w:p w14:paraId="11ADFCFB" w14:textId="77777777" w:rsidR="00247DCD" w:rsidRPr="00306115" w:rsidRDefault="00247DCD" w:rsidP="00247DCD">
            <w:pPr>
              <w:pStyle w:val="TableParagraph"/>
              <w:spacing w:before="120" w:after="120" w:line="276" w:lineRule="auto"/>
              <w:ind w:left="105" w:right="118"/>
              <w:jc w:val="both"/>
              <w:rPr>
                <w:rFonts w:ascii="Bookman Old Style" w:hAnsi="Bookman Old Style"/>
                <w:color w:val="000000" w:themeColor="text1"/>
                <w:sz w:val="24"/>
                <w:szCs w:val="24"/>
              </w:rPr>
            </w:pPr>
            <w:r w:rsidRPr="00306115">
              <w:rPr>
                <w:rFonts w:ascii="Bookman Old Style" w:hAnsi="Bookman Old Style"/>
                <w:color w:val="000000" w:themeColor="text1"/>
                <w:sz w:val="24"/>
                <w:szCs w:val="24"/>
              </w:rPr>
              <w:t xml:space="preserve">Mencerminkan kondisi </w:t>
            </w:r>
            <w:r w:rsidRPr="00306115">
              <w:rPr>
                <w:rFonts w:ascii="Bookman Old Style" w:hAnsi="Bookman Old Style"/>
                <w:color w:val="000000" w:themeColor="text1"/>
                <w:sz w:val="24"/>
                <w:szCs w:val="24"/>
                <w:lang w:val="en-US"/>
              </w:rPr>
              <w:t>Manajer Investasi</w:t>
            </w:r>
            <w:r w:rsidRPr="00306115">
              <w:rPr>
                <w:rFonts w:ascii="Bookman Old Style" w:hAnsi="Bookman Old Style"/>
                <w:color w:val="000000" w:themeColor="text1"/>
                <w:sz w:val="24"/>
                <w:szCs w:val="24"/>
              </w:rPr>
              <w:t xml:space="preserve"> </w:t>
            </w:r>
            <w:r w:rsidRPr="00306115">
              <w:rPr>
                <w:rFonts w:ascii="Bookman Old Style" w:hAnsi="Bookman Old Style"/>
                <w:color w:val="000000" w:themeColor="text1"/>
                <w:sz w:val="24"/>
                <w:szCs w:val="24"/>
                <w:lang w:val="en-US"/>
              </w:rPr>
              <w:t xml:space="preserve">beserta produk kelolaannya </w:t>
            </w:r>
            <w:r w:rsidRPr="00306115">
              <w:rPr>
                <w:rFonts w:ascii="Bookman Old Style" w:hAnsi="Bookman Old Style"/>
                <w:color w:val="000000" w:themeColor="text1"/>
                <w:sz w:val="24"/>
                <w:szCs w:val="24"/>
              </w:rPr>
              <w:t>yang secara umum sehat sehingga dinilai mampu menghadapi pengaruh negatif yang signifikan dari perubahan kondisi bisnis dan faktor eksternal lain yang  tercermin dari peringkat faktor penilaian, antara lain profil risiko, penerapan tata kelola, rentabilitas, dan permodalan yang secara umum baik. Dalam hal terdapat kelemahan maka secara umum kelemahan tersebut kurang signifikan dan kurang material.</w:t>
            </w:r>
          </w:p>
        </w:tc>
      </w:tr>
      <w:tr w:rsidR="00247DCD" w:rsidRPr="00306115" w14:paraId="61F4C7A3" w14:textId="77777777" w:rsidTr="00F62AFE">
        <w:trPr>
          <w:trHeight w:val="3050"/>
        </w:trPr>
        <w:tc>
          <w:tcPr>
            <w:tcW w:w="1560" w:type="dxa"/>
          </w:tcPr>
          <w:p w14:paraId="50C28539" w14:textId="77777777" w:rsidR="00247DCD" w:rsidRPr="00306115" w:rsidRDefault="00247DCD" w:rsidP="00F62AFE">
            <w:pPr>
              <w:pStyle w:val="TableParagraph"/>
              <w:spacing w:before="120" w:after="120"/>
              <w:ind w:left="142" w:right="142"/>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Peringkat Komposit 3</w:t>
            </w:r>
          </w:p>
        </w:tc>
        <w:tc>
          <w:tcPr>
            <w:tcW w:w="6945" w:type="dxa"/>
          </w:tcPr>
          <w:p w14:paraId="517DCB80" w14:textId="77777777" w:rsidR="00247DCD" w:rsidRPr="00306115" w:rsidRDefault="00247DCD" w:rsidP="00247DCD">
            <w:pPr>
              <w:pStyle w:val="TableParagraph"/>
              <w:spacing w:before="120" w:after="120" w:line="276" w:lineRule="auto"/>
              <w:ind w:left="105" w:right="118"/>
              <w:jc w:val="both"/>
              <w:rPr>
                <w:rFonts w:ascii="Bookman Old Style" w:hAnsi="Bookman Old Style"/>
                <w:color w:val="000000" w:themeColor="text1"/>
                <w:sz w:val="24"/>
                <w:szCs w:val="24"/>
              </w:rPr>
            </w:pPr>
            <w:r w:rsidRPr="00306115">
              <w:rPr>
                <w:rFonts w:ascii="Bookman Old Style" w:hAnsi="Bookman Old Style"/>
                <w:color w:val="000000" w:themeColor="text1"/>
                <w:sz w:val="24"/>
                <w:szCs w:val="24"/>
              </w:rPr>
              <w:t xml:space="preserve">Mencerminkan kondisi </w:t>
            </w:r>
            <w:r w:rsidRPr="00306115">
              <w:rPr>
                <w:rFonts w:ascii="Bookman Old Style" w:hAnsi="Bookman Old Style"/>
                <w:color w:val="000000" w:themeColor="text1"/>
                <w:sz w:val="24"/>
                <w:szCs w:val="24"/>
                <w:lang w:val="en-US"/>
              </w:rPr>
              <w:t>Manajer Investasi</w:t>
            </w:r>
            <w:r w:rsidRPr="00306115">
              <w:rPr>
                <w:rFonts w:ascii="Bookman Old Style" w:hAnsi="Bookman Old Style"/>
                <w:color w:val="000000" w:themeColor="text1"/>
                <w:sz w:val="24"/>
                <w:szCs w:val="24"/>
              </w:rPr>
              <w:t xml:space="preserve"> </w:t>
            </w:r>
            <w:r w:rsidRPr="00306115">
              <w:rPr>
                <w:rFonts w:ascii="Bookman Old Style" w:hAnsi="Bookman Old Style"/>
                <w:color w:val="000000" w:themeColor="text1"/>
                <w:sz w:val="24"/>
                <w:szCs w:val="24"/>
                <w:lang w:val="en-US"/>
              </w:rPr>
              <w:t xml:space="preserve">beserta produk kelolaannya </w:t>
            </w:r>
            <w:r w:rsidRPr="00306115">
              <w:rPr>
                <w:rFonts w:ascii="Bookman Old Style" w:hAnsi="Bookman Old Style"/>
                <w:color w:val="000000" w:themeColor="text1"/>
                <w:sz w:val="24"/>
                <w:szCs w:val="24"/>
              </w:rPr>
              <w:t xml:space="preserve">yang secara umum cukup sehat sehingga dinilai cukup mampu menghadapi pengaruh negatif yang signifikan dari perubahan kondisi bisnis dan faktor eksternal lain yang tercermin dari peringkat faktor penilaian, antara lain profil risiko, penerapan tata kelola, rentabilitas, dan permodalan yang secara umum cukup baik. Dalam hal terdapat kelemahan maka secara umum kelemahan tersebut cukup signifikan dan cukup material, yang apabila tidak berhasil diatasi dengan baik oleh manajemen dapat mengganggu kelangsungan usaha </w:t>
            </w:r>
            <w:r w:rsidRPr="00306115">
              <w:rPr>
                <w:rFonts w:ascii="Bookman Old Style" w:hAnsi="Bookman Old Style"/>
                <w:color w:val="000000" w:themeColor="text1"/>
                <w:sz w:val="24"/>
                <w:szCs w:val="24"/>
                <w:lang w:val="en-US"/>
              </w:rPr>
              <w:t>Manajer Investasi.</w:t>
            </w:r>
            <w:r w:rsidRPr="00306115">
              <w:rPr>
                <w:rFonts w:ascii="Bookman Old Style" w:hAnsi="Bookman Old Style"/>
                <w:color w:val="000000" w:themeColor="text1"/>
                <w:sz w:val="24"/>
                <w:szCs w:val="24"/>
              </w:rPr>
              <w:t xml:space="preserve"> </w:t>
            </w:r>
          </w:p>
        </w:tc>
      </w:tr>
      <w:tr w:rsidR="00247DCD" w:rsidRPr="00306115" w14:paraId="6997591C" w14:textId="77777777" w:rsidTr="00F62AFE">
        <w:trPr>
          <w:trHeight w:val="2641"/>
        </w:trPr>
        <w:tc>
          <w:tcPr>
            <w:tcW w:w="1560" w:type="dxa"/>
          </w:tcPr>
          <w:p w14:paraId="069BA5C4" w14:textId="77777777" w:rsidR="00247DCD" w:rsidRPr="00306115" w:rsidRDefault="00247DCD" w:rsidP="00F62AFE">
            <w:pPr>
              <w:pStyle w:val="TableParagraph"/>
              <w:spacing w:before="120" w:after="120"/>
              <w:ind w:left="142" w:right="142"/>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Peringkat Komposit 4</w:t>
            </w:r>
          </w:p>
        </w:tc>
        <w:tc>
          <w:tcPr>
            <w:tcW w:w="6945" w:type="dxa"/>
          </w:tcPr>
          <w:p w14:paraId="1C32F2BF" w14:textId="77777777" w:rsidR="00247DCD" w:rsidRPr="00306115" w:rsidRDefault="00247DCD" w:rsidP="00247DCD">
            <w:pPr>
              <w:pStyle w:val="TableParagraph"/>
              <w:spacing w:before="120" w:after="120" w:line="276" w:lineRule="auto"/>
              <w:ind w:left="105" w:right="118"/>
              <w:jc w:val="both"/>
              <w:rPr>
                <w:rFonts w:ascii="Bookman Old Style" w:hAnsi="Bookman Old Style"/>
                <w:color w:val="000000" w:themeColor="text1"/>
                <w:sz w:val="24"/>
                <w:szCs w:val="24"/>
              </w:rPr>
            </w:pPr>
            <w:r w:rsidRPr="00306115">
              <w:rPr>
                <w:rFonts w:ascii="Bookman Old Style" w:hAnsi="Bookman Old Style"/>
                <w:color w:val="000000" w:themeColor="text1"/>
                <w:sz w:val="24"/>
                <w:szCs w:val="24"/>
              </w:rPr>
              <w:t xml:space="preserve">Mencerminkan kondisi </w:t>
            </w:r>
            <w:r w:rsidRPr="00306115">
              <w:rPr>
                <w:rFonts w:ascii="Bookman Old Style" w:hAnsi="Bookman Old Style"/>
                <w:color w:val="000000" w:themeColor="text1"/>
                <w:sz w:val="24"/>
                <w:szCs w:val="24"/>
                <w:lang w:val="en-US"/>
              </w:rPr>
              <w:t>Manajer Investasi</w:t>
            </w:r>
            <w:r w:rsidRPr="00306115">
              <w:rPr>
                <w:rFonts w:ascii="Bookman Old Style" w:hAnsi="Bookman Old Style"/>
                <w:color w:val="000000" w:themeColor="text1"/>
                <w:sz w:val="24"/>
                <w:szCs w:val="24"/>
              </w:rPr>
              <w:t xml:space="preserve"> </w:t>
            </w:r>
            <w:r w:rsidRPr="00306115">
              <w:rPr>
                <w:rFonts w:ascii="Bookman Old Style" w:hAnsi="Bookman Old Style"/>
                <w:color w:val="000000" w:themeColor="text1"/>
                <w:sz w:val="24"/>
                <w:szCs w:val="24"/>
                <w:lang w:val="en-US"/>
              </w:rPr>
              <w:t xml:space="preserve">beserta produk kelolaannya </w:t>
            </w:r>
            <w:r w:rsidRPr="00306115">
              <w:rPr>
                <w:rFonts w:ascii="Bookman Old Style" w:hAnsi="Bookman Old Style"/>
                <w:color w:val="000000" w:themeColor="text1"/>
                <w:sz w:val="24"/>
                <w:szCs w:val="24"/>
              </w:rPr>
              <w:t xml:space="preserve">yang secara umum kurang sehat sehingga dinilai kurang mampu menghadapi pengaruh negatif yang signifikan dari perubahan kondisi bisnis dan faktor eksternal lain yang tercermin dari peringkat faktor penilaian, antara lain profil risiko, penerapan tata kelola, rentabilitas, dan permodalan yang secara umum kurang baik. Terdapat kelemahan yang secara umum signifikan dan material, dan tidak dapat diatasi dengan baik oleh manajemen serta mengganggu kelangsungan usaha </w:t>
            </w:r>
            <w:r w:rsidRPr="00306115">
              <w:rPr>
                <w:rFonts w:ascii="Bookman Old Style" w:hAnsi="Bookman Old Style"/>
                <w:color w:val="000000" w:themeColor="text1"/>
                <w:sz w:val="24"/>
                <w:szCs w:val="24"/>
                <w:lang w:val="en-US"/>
              </w:rPr>
              <w:t>Manajer Investasi</w:t>
            </w:r>
            <w:r w:rsidRPr="00306115">
              <w:rPr>
                <w:rFonts w:ascii="Bookman Old Style" w:hAnsi="Bookman Old Style"/>
                <w:color w:val="000000" w:themeColor="text1"/>
                <w:sz w:val="24"/>
                <w:szCs w:val="24"/>
              </w:rPr>
              <w:t>.</w:t>
            </w:r>
          </w:p>
        </w:tc>
      </w:tr>
      <w:tr w:rsidR="00247DCD" w:rsidRPr="00306115" w14:paraId="6F373082" w14:textId="77777777" w:rsidTr="00F62AFE">
        <w:trPr>
          <w:trHeight w:val="138"/>
        </w:trPr>
        <w:tc>
          <w:tcPr>
            <w:tcW w:w="1560" w:type="dxa"/>
          </w:tcPr>
          <w:p w14:paraId="6E426B33" w14:textId="77777777" w:rsidR="00247DCD" w:rsidRPr="00306115" w:rsidRDefault="00247DCD" w:rsidP="00F62AFE">
            <w:pPr>
              <w:pStyle w:val="TableParagraph"/>
              <w:spacing w:before="120" w:after="120"/>
              <w:ind w:left="142" w:right="142"/>
              <w:jc w:val="center"/>
              <w:rPr>
                <w:rFonts w:ascii="Bookman Old Style" w:hAnsi="Bookman Old Style"/>
                <w:color w:val="000000" w:themeColor="text1"/>
                <w:sz w:val="24"/>
                <w:szCs w:val="24"/>
              </w:rPr>
            </w:pPr>
            <w:r w:rsidRPr="00306115">
              <w:rPr>
                <w:rFonts w:ascii="Bookman Old Style" w:hAnsi="Bookman Old Style"/>
                <w:color w:val="000000" w:themeColor="text1"/>
                <w:sz w:val="24"/>
                <w:szCs w:val="24"/>
              </w:rPr>
              <w:t>Peringkat Komposit 5</w:t>
            </w:r>
          </w:p>
        </w:tc>
        <w:tc>
          <w:tcPr>
            <w:tcW w:w="6945" w:type="dxa"/>
          </w:tcPr>
          <w:p w14:paraId="0517702D" w14:textId="77777777" w:rsidR="00247DCD" w:rsidRPr="00306115" w:rsidRDefault="00247DCD" w:rsidP="00247DCD">
            <w:pPr>
              <w:pStyle w:val="TableParagraph"/>
              <w:spacing w:before="120" w:after="120" w:line="276" w:lineRule="auto"/>
              <w:ind w:left="105" w:right="118"/>
              <w:jc w:val="both"/>
              <w:rPr>
                <w:rFonts w:ascii="Bookman Old Style" w:hAnsi="Bookman Old Style"/>
                <w:color w:val="000000" w:themeColor="text1"/>
                <w:sz w:val="24"/>
                <w:szCs w:val="24"/>
                <w:lang w:val="en-US"/>
              </w:rPr>
            </w:pPr>
            <w:r w:rsidRPr="00306115">
              <w:rPr>
                <w:rFonts w:ascii="Bookman Old Style" w:hAnsi="Bookman Old Style"/>
                <w:color w:val="000000" w:themeColor="text1"/>
                <w:sz w:val="24"/>
                <w:szCs w:val="24"/>
              </w:rPr>
              <w:t xml:space="preserve">Mencerminkan kondisi </w:t>
            </w:r>
            <w:r w:rsidRPr="00306115">
              <w:rPr>
                <w:rFonts w:ascii="Bookman Old Style" w:hAnsi="Bookman Old Style"/>
                <w:color w:val="000000" w:themeColor="text1"/>
                <w:sz w:val="24"/>
                <w:szCs w:val="24"/>
                <w:lang w:val="en-US"/>
              </w:rPr>
              <w:t>Manajer Investasi</w:t>
            </w:r>
            <w:r w:rsidRPr="00306115">
              <w:rPr>
                <w:rFonts w:ascii="Bookman Old Style" w:hAnsi="Bookman Old Style"/>
                <w:color w:val="000000" w:themeColor="text1"/>
                <w:sz w:val="24"/>
                <w:szCs w:val="24"/>
              </w:rPr>
              <w:t xml:space="preserve"> </w:t>
            </w:r>
            <w:r w:rsidRPr="00306115">
              <w:rPr>
                <w:rFonts w:ascii="Bookman Old Style" w:hAnsi="Bookman Old Style"/>
                <w:color w:val="000000" w:themeColor="text1"/>
                <w:sz w:val="24"/>
                <w:szCs w:val="24"/>
                <w:lang w:val="en-US"/>
              </w:rPr>
              <w:t xml:space="preserve">beserta produk kelolaannya </w:t>
            </w:r>
            <w:r w:rsidRPr="00306115">
              <w:rPr>
                <w:rFonts w:ascii="Bookman Old Style" w:hAnsi="Bookman Old Style"/>
                <w:color w:val="000000" w:themeColor="text1"/>
                <w:sz w:val="24"/>
                <w:szCs w:val="24"/>
              </w:rPr>
              <w:t>yang secara umum tidak sehat sehingga</w:t>
            </w:r>
            <w:r w:rsidRPr="00306115">
              <w:rPr>
                <w:rFonts w:ascii="Bookman Old Style" w:hAnsi="Bookman Old Style"/>
                <w:color w:val="000000" w:themeColor="text1"/>
                <w:sz w:val="24"/>
                <w:szCs w:val="24"/>
                <w:lang w:val="en-US"/>
              </w:rPr>
              <w:t xml:space="preserve"> </w:t>
            </w:r>
            <w:r w:rsidRPr="00306115">
              <w:rPr>
                <w:rFonts w:ascii="Bookman Old Style" w:hAnsi="Bookman Old Style"/>
                <w:color w:val="000000" w:themeColor="text1"/>
                <w:sz w:val="24"/>
                <w:szCs w:val="24"/>
              </w:rPr>
              <w:t>dinilai tidak mampu menghadapi pengaruh negatif yang signifikan dari perubahan kondisi bisnis dan faktor eksternal lain yang tercermin dari</w:t>
            </w:r>
            <w:r w:rsidRPr="00306115">
              <w:rPr>
                <w:rFonts w:ascii="Bookman Old Style" w:hAnsi="Bookman Old Style"/>
                <w:color w:val="000000" w:themeColor="text1"/>
                <w:sz w:val="24"/>
                <w:szCs w:val="24"/>
                <w:lang w:val="en-US"/>
              </w:rPr>
              <w:t xml:space="preserve"> </w:t>
            </w:r>
            <w:r w:rsidRPr="00306115">
              <w:rPr>
                <w:rFonts w:ascii="Bookman Old Style" w:hAnsi="Bookman Old Style"/>
                <w:color w:val="000000" w:themeColor="text1"/>
                <w:sz w:val="24"/>
                <w:szCs w:val="24"/>
              </w:rPr>
              <w:t xml:space="preserve">peringkat faktor penilaian, antara lain profil risiko, penerapan tata kelola, rentabilitas, dan permodalan yang secara umum tidak </w:t>
            </w:r>
            <w:r w:rsidRPr="00306115">
              <w:rPr>
                <w:rFonts w:ascii="Bookman Old Style" w:hAnsi="Bookman Old Style"/>
                <w:color w:val="000000" w:themeColor="text1"/>
                <w:sz w:val="24"/>
                <w:szCs w:val="24"/>
              </w:rPr>
              <w:lastRenderedPageBreak/>
              <w:t>baik. Terdapat kelemahan yang secara umum sangat signifikan dan sangat material sehingga untuk mengatasinya diperlukan dukungan dana dari pemegang saham atau sumber dana dari pihak lain untuk memperkuat kondisi keuangan</w:t>
            </w:r>
            <w:r w:rsidRPr="00306115">
              <w:rPr>
                <w:rFonts w:ascii="Bookman Old Style" w:hAnsi="Bookman Old Style"/>
                <w:color w:val="000000" w:themeColor="text1"/>
                <w:sz w:val="24"/>
                <w:szCs w:val="24"/>
                <w:lang w:val="en-US"/>
              </w:rPr>
              <w:t xml:space="preserve"> Manajer Investasi</w:t>
            </w:r>
            <w:r w:rsidRPr="00306115">
              <w:rPr>
                <w:rFonts w:ascii="Bookman Old Style" w:hAnsi="Bookman Old Style"/>
                <w:color w:val="000000" w:themeColor="text1"/>
                <w:sz w:val="24"/>
                <w:szCs w:val="24"/>
              </w:rPr>
              <w:t>.</w:t>
            </w:r>
          </w:p>
        </w:tc>
      </w:tr>
    </w:tbl>
    <w:p w14:paraId="6CC5C71A" w14:textId="77777777" w:rsidR="00247DCD" w:rsidRPr="00306115" w:rsidRDefault="00247DCD" w:rsidP="00247DCD">
      <w:pPr>
        <w:pStyle w:val="HeadingAwalDaftarIsiLampiran"/>
        <w:numPr>
          <w:ilvl w:val="0"/>
          <w:numId w:val="0"/>
        </w:numPr>
        <w:ind w:left="567"/>
      </w:pPr>
    </w:p>
    <w:p w14:paraId="6C587C76" w14:textId="77777777" w:rsidR="00BB76E3" w:rsidRPr="00306115" w:rsidRDefault="00BB76E3" w:rsidP="00247DCD">
      <w:pPr>
        <w:pStyle w:val="HeadingAwalDaftarIsiLampiran"/>
        <w:numPr>
          <w:ilvl w:val="0"/>
          <w:numId w:val="0"/>
        </w:numPr>
        <w:ind w:left="567"/>
      </w:pPr>
    </w:p>
    <w:p w14:paraId="1A83C852" w14:textId="77777777" w:rsidR="00BB76E3" w:rsidRPr="00306115" w:rsidRDefault="00BB76E3" w:rsidP="00BB76E3">
      <w:pPr>
        <w:tabs>
          <w:tab w:val="left" w:pos="9071"/>
        </w:tabs>
        <w:spacing w:after="0" w:line="240" w:lineRule="auto"/>
        <w:ind w:left="4536"/>
        <w:rPr>
          <w:noProof/>
          <w:color w:val="000000" w:themeColor="text1"/>
          <w:szCs w:val="24"/>
        </w:rPr>
      </w:pPr>
      <w:r w:rsidRPr="00306115">
        <w:rPr>
          <w:noProof/>
          <w:color w:val="000000" w:themeColor="text1"/>
          <w:szCs w:val="24"/>
        </w:rPr>
        <w:t>Ditetapkan di Jakarta</w:t>
      </w:r>
    </w:p>
    <w:p w14:paraId="4CA8BA3F" w14:textId="77777777" w:rsidR="00BB76E3" w:rsidRPr="00306115" w:rsidRDefault="00BB76E3" w:rsidP="00BB76E3">
      <w:pPr>
        <w:tabs>
          <w:tab w:val="left" w:pos="9071"/>
        </w:tabs>
        <w:spacing w:after="0" w:line="240" w:lineRule="auto"/>
        <w:ind w:left="4536"/>
        <w:rPr>
          <w:noProof/>
          <w:color w:val="000000" w:themeColor="text1"/>
          <w:szCs w:val="24"/>
        </w:rPr>
      </w:pPr>
      <w:r w:rsidRPr="00306115">
        <w:rPr>
          <w:noProof/>
          <w:color w:val="000000" w:themeColor="text1"/>
          <w:szCs w:val="24"/>
        </w:rPr>
        <w:t>pada tanggal …</w:t>
      </w:r>
    </w:p>
    <w:p w14:paraId="7FFDCF29" w14:textId="77777777" w:rsidR="00BB76E3" w:rsidRPr="00306115" w:rsidRDefault="00BB76E3" w:rsidP="00BB76E3">
      <w:pPr>
        <w:tabs>
          <w:tab w:val="left" w:pos="9071"/>
        </w:tabs>
        <w:spacing w:after="0" w:line="240" w:lineRule="auto"/>
        <w:ind w:left="4536"/>
        <w:rPr>
          <w:noProof/>
          <w:color w:val="000000" w:themeColor="text1"/>
          <w:szCs w:val="24"/>
        </w:rPr>
      </w:pPr>
    </w:p>
    <w:p w14:paraId="470154A6" w14:textId="77777777" w:rsidR="00BB76E3" w:rsidRPr="00306115" w:rsidRDefault="00BB76E3" w:rsidP="00BB76E3">
      <w:pPr>
        <w:tabs>
          <w:tab w:val="left" w:pos="9071"/>
        </w:tabs>
        <w:spacing w:after="0" w:line="240" w:lineRule="auto"/>
        <w:ind w:left="4536"/>
        <w:rPr>
          <w:noProof/>
          <w:color w:val="000000" w:themeColor="text1"/>
          <w:szCs w:val="24"/>
        </w:rPr>
      </w:pPr>
      <w:r w:rsidRPr="00306115">
        <w:rPr>
          <w:noProof/>
          <w:color w:val="000000" w:themeColor="text1"/>
          <w:szCs w:val="24"/>
        </w:rPr>
        <w:t>KEPALA</w:t>
      </w:r>
      <w:r w:rsidRPr="00306115">
        <w:rPr>
          <w:noProof/>
          <w:color w:val="000000" w:themeColor="text1"/>
          <w:szCs w:val="24"/>
          <w:lang w:val="en-US"/>
        </w:rPr>
        <w:t xml:space="preserve"> </w:t>
      </w:r>
      <w:r w:rsidRPr="00306115">
        <w:rPr>
          <w:noProof/>
          <w:color w:val="000000" w:themeColor="text1"/>
          <w:szCs w:val="24"/>
        </w:rPr>
        <w:t>EKSEKUTIF PENGAWAS PASAR MODAL, KEUANGAN DERIVATIF, DAN BURSA KARBON</w:t>
      </w:r>
    </w:p>
    <w:p w14:paraId="19194EC8" w14:textId="77777777" w:rsidR="00BB76E3" w:rsidRPr="00306115" w:rsidRDefault="00BB76E3" w:rsidP="00BB76E3">
      <w:pPr>
        <w:tabs>
          <w:tab w:val="left" w:pos="9071"/>
        </w:tabs>
        <w:spacing w:after="0" w:line="240" w:lineRule="auto"/>
        <w:ind w:left="4536"/>
        <w:rPr>
          <w:noProof/>
          <w:color w:val="000000" w:themeColor="text1"/>
          <w:szCs w:val="24"/>
        </w:rPr>
      </w:pPr>
      <w:r w:rsidRPr="00306115">
        <w:rPr>
          <w:noProof/>
          <w:color w:val="000000" w:themeColor="text1"/>
          <w:szCs w:val="24"/>
        </w:rPr>
        <w:t>OTORITAS JASA KEUANGAN</w:t>
      </w:r>
    </w:p>
    <w:p w14:paraId="7AF00666" w14:textId="77777777" w:rsidR="00BB76E3" w:rsidRPr="00306115" w:rsidRDefault="00BB76E3" w:rsidP="00BB76E3">
      <w:pPr>
        <w:tabs>
          <w:tab w:val="left" w:pos="9071"/>
        </w:tabs>
        <w:spacing w:after="0" w:line="240" w:lineRule="auto"/>
        <w:ind w:left="4536"/>
        <w:rPr>
          <w:noProof/>
          <w:color w:val="000000" w:themeColor="text1"/>
          <w:szCs w:val="24"/>
        </w:rPr>
      </w:pPr>
      <w:r w:rsidRPr="00306115">
        <w:rPr>
          <w:noProof/>
          <w:color w:val="000000" w:themeColor="text1"/>
          <w:szCs w:val="24"/>
          <w:lang w:val="en-US"/>
        </w:rPr>
        <w:t>REPUBLIK INDONESIA</w:t>
      </w:r>
      <w:r w:rsidRPr="00306115">
        <w:rPr>
          <w:noProof/>
          <w:color w:val="000000" w:themeColor="text1"/>
          <w:szCs w:val="24"/>
        </w:rPr>
        <w:t>,</w:t>
      </w:r>
    </w:p>
    <w:p w14:paraId="65327CA6" w14:textId="77777777" w:rsidR="00BB76E3" w:rsidRPr="00306115" w:rsidRDefault="00BB76E3" w:rsidP="00BB76E3">
      <w:pPr>
        <w:spacing w:after="0" w:line="240" w:lineRule="auto"/>
        <w:ind w:left="5245" w:right="26"/>
        <w:rPr>
          <w:noProof/>
          <w:color w:val="000000" w:themeColor="text1"/>
          <w:szCs w:val="24"/>
        </w:rPr>
      </w:pPr>
    </w:p>
    <w:p w14:paraId="5CE4E769" w14:textId="77777777" w:rsidR="00BB76E3" w:rsidRPr="00306115" w:rsidRDefault="00BB76E3" w:rsidP="00BB76E3">
      <w:pPr>
        <w:spacing w:after="0" w:line="240" w:lineRule="auto"/>
        <w:ind w:left="5245" w:right="26"/>
        <w:rPr>
          <w:noProof/>
          <w:color w:val="000000" w:themeColor="text1"/>
          <w:szCs w:val="24"/>
        </w:rPr>
      </w:pPr>
    </w:p>
    <w:p w14:paraId="2E2B9F08" w14:textId="77777777" w:rsidR="00C61EBD" w:rsidRPr="00306115" w:rsidRDefault="00C61EBD" w:rsidP="00BB76E3">
      <w:pPr>
        <w:spacing w:after="0" w:line="240" w:lineRule="auto"/>
        <w:ind w:left="5245" w:right="26"/>
        <w:rPr>
          <w:noProof/>
          <w:color w:val="000000" w:themeColor="text1"/>
          <w:szCs w:val="24"/>
        </w:rPr>
      </w:pPr>
    </w:p>
    <w:p w14:paraId="1B413D77" w14:textId="77777777" w:rsidR="00C61EBD" w:rsidRPr="00306115" w:rsidRDefault="00C61EBD" w:rsidP="00BB76E3">
      <w:pPr>
        <w:spacing w:after="0" w:line="240" w:lineRule="auto"/>
        <w:ind w:left="5245" w:right="26"/>
        <w:rPr>
          <w:noProof/>
          <w:color w:val="000000" w:themeColor="text1"/>
          <w:szCs w:val="24"/>
        </w:rPr>
      </w:pPr>
    </w:p>
    <w:p w14:paraId="548E91B1" w14:textId="77777777" w:rsidR="00BB76E3" w:rsidRPr="00306115" w:rsidRDefault="00BB76E3" w:rsidP="00BB76E3">
      <w:pPr>
        <w:spacing w:after="0" w:line="240" w:lineRule="auto"/>
        <w:ind w:left="5245" w:right="26"/>
        <w:rPr>
          <w:noProof/>
          <w:color w:val="000000" w:themeColor="text1"/>
          <w:szCs w:val="24"/>
        </w:rPr>
      </w:pPr>
    </w:p>
    <w:p w14:paraId="7C781860" w14:textId="77777777" w:rsidR="00BB76E3" w:rsidRPr="00306115" w:rsidRDefault="00BB76E3" w:rsidP="00BB76E3">
      <w:pPr>
        <w:tabs>
          <w:tab w:val="left" w:pos="8910"/>
        </w:tabs>
        <w:spacing w:after="0" w:line="240" w:lineRule="auto"/>
        <w:ind w:left="4536"/>
        <w:jc w:val="center"/>
        <w:rPr>
          <w:noProof/>
          <w:color w:val="000000" w:themeColor="text1"/>
          <w:szCs w:val="24"/>
        </w:rPr>
      </w:pPr>
      <w:r w:rsidRPr="00306115">
        <w:rPr>
          <w:noProof/>
          <w:color w:val="000000" w:themeColor="text1"/>
          <w:szCs w:val="24"/>
        </w:rPr>
        <w:t>HASAN FAWZI</w:t>
      </w:r>
    </w:p>
    <w:p w14:paraId="355B181D" w14:textId="77777777" w:rsidR="00BB76E3" w:rsidRPr="00306115" w:rsidRDefault="00BB76E3" w:rsidP="00247DCD">
      <w:pPr>
        <w:pStyle w:val="HeadingAwalDaftarIsiLampiran"/>
        <w:numPr>
          <w:ilvl w:val="0"/>
          <w:numId w:val="0"/>
        </w:numPr>
        <w:ind w:left="567"/>
      </w:pPr>
    </w:p>
    <w:p w14:paraId="7BEC22B0" w14:textId="77777777" w:rsidR="000A19A8" w:rsidRPr="00306115" w:rsidRDefault="000A19A8" w:rsidP="00247DCD">
      <w:pPr>
        <w:pStyle w:val="HeadingAwalDaftarIsiLampiran"/>
        <w:numPr>
          <w:ilvl w:val="0"/>
          <w:numId w:val="0"/>
        </w:numPr>
        <w:ind w:left="567"/>
        <w:sectPr w:rsidR="000A19A8" w:rsidRPr="00306115" w:rsidSect="00304D44">
          <w:headerReference w:type="first" r:id="rId23"/>
          <w:pgSz w:w="11907" w:h="18711" w:code="41"/>
          <w:pgMar w:top="1418" w:right="1418" w:bottom="1418" w:left="1418" w:header="709" w:footer="709" w:gutter="0"/>
          <w:pgNumType w:fmt="numberInDash" w:start="2"/>
          <w:cols w:space="708"/>
          <w:titlePg/>
          <w:docGrid w:linePitch="360"/>
        </w:sectPr>
      </w:pPr>
    </w:p>
    <w:p w14:paraId="09384B3E" w14:textId="22CCF2CF" w:rsidR="00BB76E3" w:rsidRPr="00306115" w:rsidRDefault="000A19A8" w:rsidP="00247DCD">
      <w:pPr>
        <w:pStyle w:val="HeadingAwalDaftarIsiLampiran"/>
        <w:numPr>
          <w:ilvl w:val="0"/>
          <w:numId w:val="0"/>
        </w:numPr>
        <w:ind w:left="567"/>
      </w:pPr>
      <w:r w:rsidRPr="00306115">
        <w:rPr>
          <w:rFonts w:eastAsia="MS Mincho" w:cs="Arial"/>
          <w:b/>
          <w:lang w:eastAsia="id-ID"/>
        </w:rPr>
        <w:lastRenderedPageBreak/>
        <w:drawing>
          <wp:anchor distT="0" distB="0" distL="114300" distR="114300" simplePos="0" relativeHeight="251667458" behindDoc="1" locked="0" layoutInCell="1" allowOverlap="1" wp14:anchorId="2B8BBCAD" wp14:editId="15ED792E">
            <wp:simplePos x="0" y="0"/>
            <wp:positionH relativeFrom="margin">
              <wp:align>left</wp:align>
            </wp:positionH>
            <wp:positionV relativeFrom="paragraph">
              <wp:posOffset>0</wp:posOffset>
            </wp:positionV>
            <wp:extent cx="2333625" cy="1009650"/>
            <wp:effectExtent l="0" t="0" r="9525" b="0"/>
            <wp:wrapSquare wrapText="bothSides"/>
            <wp:docPr id="751206286" name="Picture 751206286" descr="A logo with a red and white letter x&#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A logo with a red and white letter x&#10;&#10;AI-generated content may be incorrect."/>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33625"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52C606" w14:textId="77777777" w:rsidR="00BB76E3" w:rsidRPr="00306115" w:rsidRDefault="00BB76E3" w:rsidP="00247DCD">
      <w:pPr>
        <w:pStyle w:val="HeadingAwalDaftarIsiLampiran"/>
        <w:numPr>
          <w:ilvl w:val="0"/>
          <w:numId w:val="0"/>
        </w:numPr>
        <w:ind w:left="567"/>
      </w:pPr>
    </w:p>
    <w:p w14:paraId="5285DC1E" w14:textId="77777777" w:rsidR="000A19A8" w:rsidRPr="00306115" w:rsidRDefault="000A19A8" w:rsidP="00247DCD">
      <w:pPr>
        <w:pStyle w:val="HeadingAwalDaftarIsiLampiran"/>
        <w:numPr>
          <w:ilvl w:val="0"/>
          <w:numId w:val="0"/>
        </w:numPr>
        <w:ind w:left="567"/>
      </w:pPr>
    </w:p>
    <w:p w14:paraId="4698B1FF" w14:textId="77777777" w:rsidR="000A19A8" w:rsidRPr="00306115" w:rsidRDefault="000A19A8" w:rsidP="00247DCD">
      <w:pPr>
        <w:pStyle w:val="HeadingAwalDaftarIsiLampiran"/>
        <w:numPr>
          <w:ilvl w:val="0"/>
          <w:numId w:val="0"/>
        </w:numPr>
        <w:ind w:left="567"/>
      </w:pPr>
    </w:p>
    <w:p w14:paraId="47097519" w14:textId="77777777" w:rsidR="000A19A8" w:rsidRPr="00306115" w:rsidRDefault="000A19A8" w:rsidP="00247DCD">
      <w:pPr>
        <w:pStyle w:val="HeadingAwalDaftarIsiLampiran"/>
        <w:numPr>
          <w:ilvl w:val="0"/>
          <w:numId w:val="0"/>
        </w:numPr>
        <w:ind w:left="567"/>
      </w:pPr>
    </w:p>
    <w:p w14:paraId="73C34256" w14:textId="77777777" w:rsidR="000A19A8" w:rsidRPr="00306115" w:rsidRDefault="000A19A8" w:rsidP="00247DCD">
      <w:pPr>
        <w:pStyle w:val="HeadingAwalDaftarIsiLampiran"/>
        <w:numPr>
          <w:ilvl w:val="0"/>
          <w:numId w:val="0"/>
        </w:numPr>
        <w:ind w:left="567"/>
      </w:pPr>
    </w:p>
    <w:p w14:paraId="110D2088" w14:textId="77777777" w:rsidR="000A19A8" w:rsidRPr="00306115" w:rsidRDefault="000A19A8" w:rsidP="00247DCD">
      <w:pPr>
        <w:pStyle w:val="HeadingAwalDaftarIsiLampiran"/>
        <w:numPr>
          <w:ilvl w:val="0"/>
          <w:numId w:val="0"/>
        </w:numPr>
        <w:ind w:left="567"/>
      </w:pPr>
    </w:p>
    <w:p w14:paraId="4992F70F" w14:textId="77777777" w:rsidR="000A19A8" w:rsidRPr="00306115" w:rsidRDefault="000A19A8" w:rsidP="00247DCD">
      <w:pPr>
        <w:pStyle w:val="HeadingAwalDaftarIsiLampiran"/>
        <w:numPr>
          <w:ilvl w:val="0"/>
          <w:numId w:val="0"/>
        </w:numPr>
        <w:ind w:left="567"/>
      </w:pPr>
    </w:p>
    <w:p w14:paraId="42C7A2F7" w14:textId="29FAA7B1" w:rsidR="000A19A8" w:rsidRPr="00306115" w:rsidRDefault="000A19A8" w:rsidP="000A19A8">
      <w:pPr>
        <w:tabs>
          <w:tab w:val="left" w:pos="8910"/>
        </w:tabs>
        <w:spacing w:after="0" w:line="240" w:lineRule="auto"/>
        <w:ind w:right="26"/>
        <w:rPr>
          <w:noProof/>
          <w:color w:val="000000" w:themeColor="text1"/>
          <w:szCs w:val="24"/>
        </w:rPr>
      </w:pPr>
      <w:r w:rsidRPr="00306115">
        <w:rPr>
          <w:noProof/>
          <w:color w:val="000000" w:themeColor="text1"/>
          <w:szCs w:val="24"/>
        </w:rPr>
        <w:t>LAMPIRAN V</w:t>
      </w:r>
      <w:r w:rsidR="00E65BD1" w:rsidRPr="00306115">
        <w:rPr>
          <w:noProof/>
          <w:color w:val="000000" w:themeColor="text1"/>
          <w:szCs w:val="24"/>
        </w:rPr>
        <w:t>I</w:t>
      </w:r>
    </w:p>
    <w:p w14:paraId="7FC3C7E6" w14:textId="77777777" w:rsidR="000A19A8" w:rsidRPr="00306115" w:rsidRDefault="000A19A8" w:rsidP="000A19A8">
      <w:pPr>
        <w:tabs>
          <w:tab w:val="left" w:pos="8910"/>
        </w:tabs>
        <w:spacing w:after="0" w:line="240" w:lineRule="auto"/>
        <w:ind w:right="26"/>
        <w:rPr>
          <w:noProof/>
          <w:color w:val="000000" w:themeColor="text1"/>
          <w:szCs w:val="24"/>
        </w:rPr>
      </w:pPr>
      <w:r w:rsidRPr="00306115">
        <w:rPr>
          <w:noProof/>
          <w:color w:val="000000" w:themeColor="text1"/>
          <w:szCs w:val="24"/>
        </w:rPr>
        <w:t>PERATURAN ANGGOTA DEWAN KOMISIONER OTORITAS JASA KEUANGAN</w:t>
      </w:r>
    </w:p>
    <w:p w14:paraId="14D8D185" w14:textId="77777777" w:rsidR="000A19A8" w:rsidRPr="00306115" w:rsidRDefault="000A19A8" w:rsidP="000A19A8">
      <w:pPr>
        <w:tabs>
          <w:tab w:val="left" w:pos="8910"/>
        </w:tabs>
        <w:spacing w:after="0" w:line="240" w:lineRule="auto"/>
        <w:ind w:right="26"/>
        <w:rPr>
          <w:noProof/>
          <w:color w:val="000000" w:themeColor="text1"/>
          <w:szCs w:val="24"/>
        </w:rPr>
      </w:pPr>
      <w:r w:rsidRPr="00306115">
        <w:rPr>
          <w:noProof/>
          <w:color w:val="000000" w:themeColor="text1"/>
          <w:szCs w:val="24"/>
        </w:rPr>
        <w:t>REPUBLIK INDONESIA</w:t>
      </w:r>
    </w:p>
    <w:p w14:paraId="5CEAA4AB" w14:textId="77777777" w:rsidR="000A19A8" w:rsidRPr="00306115" w:rsidRDefault="000A19A8" w:rsidP="000A19A8">
      <w:pPr>
        <w:tabs>
          <w:tab w:val="left" w:pos="8910"/>
        </w:tabs>
        <w:spacing w:after="0" w:line="240" w:lineRule="auto"/>
        <w:ind w:right="26"/>
        <w:rPr>
          <w:noProof/>
          <w:color w:val="000000" w:themeColor="text1"/>
          <w:szCs w:val="24"/>
        </w:rPr>
      </w:pPr>
      <w:r w:rsidRPr="00306115">
        <w:rPr>
          <w:noProof/>
          <w:color w:val="000000" w:themeColor="text1"/>
          <w:szCs w:val="24"/>
        </w:rPr>
        <w:t>NOMOR ...TAHUN ...</w:t>
      </w:r>
    </w:p>
    <w:p w14:paraId="30BC2DA8" w14:textId="77777777" w:rsidR="000A19A8" w:rsidRPr="00306115" w:rsidRDefault="000A19A8" w:rsidP="000A19A8">
      <w:pPr>
        <w:tabs>
          <w:tab w:val="left" w:pos="8910"/>
        </w:tabs>
        <w:spacing w:after="0" w:line="240" w:lineRule="auto"/>
        <w:ind w:right="26"/>
        <w:rPr>
          <w:noProof/>
          <w:color w:val="000000" w:themeColor="text1"/>
          <w:szCs w:val="24"/>
        </w:rPr>
      </w:pPr>
      <w:r w:rsidRPr="00306115">
        <w:rPr>
          <w:noProof/>
          <w:color w:val="000000" w:themeColor="text1"/>
          <w:szCs w:val="24"/>
        </w:rPr>
        <w:t>TENTANG</w:t>
      </w:r>
    </w:p>
    <w:p w14:paraId="3E305156" w14:textId="77777777" w:rsidR="000A19A8" w:rsidRPr="00306115" w:rsidRDefault="000A19A8" w:rsidP="000A19A8">
      <w:pPr>
        <w:spacing w:after="0" w:line="240" w:lineRule="auto"/>
        <w:rPr>
          <w:noProof/>
          <w:color w:val="000000" w:themeColor="text1"/>
          <w:szCs w:val="24"/>
          <w:lang w:val="en-US"/>
        </w:rPr>
      </w:pPr>
      <w:r w:rsidRPr="00306115">
        <w:rPr>
          <w:noProof/>
          <w:color w:val="000000" w:themeColor="text1"/>
          <w:szCs w:val="24"/>
        </w:rPr>
        <w:t xml:space="preserve">PEDOMAN PENERAPAN MANAJEMEN RISIKO DAN PENILAIAN </w:t>
      </w:r>
      <w:r w:rsidRPr="00306115">
        <w:rPr>
          <w:noProof/>
          <w:color w:val="000000" w:themeColor="text1"/>
          <w:szCs w:val="24"/>
        </w:rPr>
        <w:br/>
        <w:t xml:space="preserve">TINGKAT KESEHATAN MANAJER </w:t>
      </w:r>
      <w:r w:rsidRPr="00306115">
        <w:rPr>
          <w:noProof/>
          <w:color w:val="000000" w:themeColor="text1"/>
          <w:szCs w:val="24"/>
          <w:lang w:val="en-US"/>
        </w:rPr>
        <w:t>INVESTASI</w:t>
      </w:r>
    </w:p>
    <w:p w14:paraId="12F4836A" w14:textId="77777777" w:rsidR="00257215" w:rsidRPr="00306115" w:rsidRDefault="00257215" w:rsidP="00247DCD">
      <w:pPr>
        <w:pStyle w:val="HeadingAwalDaftarIsiLampiran"/>
        <w:numPr>
          <w:ilvl w:val="0"/>
          <w:numId w:val="0"/>
        </w:numPr>
        <w:ind w:left="567"/>
        <w:sectPr w:rsidR="00257215" w:rsidRPr="00306115" w:rsidSect="00304D44">
          <w:headerReference w:type="first" r:id="rId24"/>
          <w:pgSz w:w="11907" w:h="18711" w:code="41"/>
          <w:pgMar w:top="1418" w:right="1418" w:bottom="1418" w:left="1418" w:header="709" w:footer="709" w:gutter="0"/>
          <w:pgNumType w:fmt="numberInDash" w:start="2"/>
          <w:cols w:space="708"/>
          <w:titlePg/>
          <w:docGrid w:linePitch="360"/>
        </w:sectPr>
      </w:pPr>
    </w:p>
    <w:p w14:paraId="5515DCE2" w14:textId="134FD6B4" w:rsidR="000A19A8" w:rsidRPr="00306115" w:rsidRDefault="002678D8" w:rsidP="007205DF">
      <w:pPr>
        <w:pStyle w:val="HeadingAwalDaftarIsiLampiran"/>
        <w:numPr>
          <w:ilvl w:val="0"/>
          <w:numId w:val="0"/>
        </w:numPr>
        <w:jc w:val="center"/>
      </w:pPr>
      <w:r w:rsidRPr="00306115">
        <w:lastRenderedPageBreak/>
        <w:t>LAPORAN HASIL PENILAIAN  SENDIRI</w:t>
      </w:r>
    </w:p>
    <w:p w14:paraId="22424783" w14:textId="717920AE" w:rsidR="002678D8" w:rsidRPr="00306115" w:rsidRDefault="002678D8" w:rsidP="007205DF">
      <w:pPr>
        <w:pStyle w:val="HeadingAwalDaftarIsiLampiran"/>
        <w:numPr>
          <w:ilvl w:val="0"/>
          <w:numId w:val="0"/>
        </w:numPr>
        <w:jc w:val="center"/>
      </w:pPr>
      <w:r w:rsidRPr="00306115">
        <w:t>PENILAIAN TINGKAT KESEHATAN MANAJER INVESTASI</w:t>
      </w:r>
    </w:p>
    <w:p w14:paraId="348B99F6" w14:textId="77777777" w:rsidR="00307947" w:rsidRPr="00306115" w:rsidRDefault="00307947" w:rsidP="003B64B4">
      <w:pPr>
        <w:pStyle w:val="HeadingAwalDaftarIsiLampiran"/>
        <w:numPr>
          <w:ilvl w:val="0"/>
          <w:numId w:val="0"/>
        </w:numPr>
        <w:ind w:left="720" w:hanging="360"/>
      </w:pPr>
    </w:p>
    <w:p w14:paraId="1FEB7C8D" w14:textId="77777777" w:rsidR="00307947" w:rsidRPr="00306115" w:rsidRDefault="00307947" w:rsidP="003B64B4">
      <w:pPr>
        <w:pStyle w:val="HeadingAwalDaftarIsiLampiran"/>
        <w:numPr>
          <w:ilvl w:val="0"/>
          <w:numId w:val="0"/>
        </w:numPr>
        <w:ind w:left="720" w:hanging="360"/>
      </w:pPr>
    </w:p>
    <w:p w14:paraId="6B963679" w14:textId="77777777" w:rsidR="0052558F" w:rsidRPr="00306115" w:rsidRDefault="0052558F" w:rsidP="003B64B4">
      <w:pPr>
        <w:pStyle w:val="HeadingAwalDaftarIsiLampiran"/>
        <w:numPr>
          <w:ilvl w:val="0"/>
          <w:numId w:val="0"/>
        </w:numPr>
        <w:ind w:left="720" w:hanging="36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94"/>
        <w:gridCol w:w="6509"/>
      </w:tblGrid>
      <w:tr w:rsidR="0052558F" w:rsidRPr="00306115" w14:paraId="41847831" w14:textId="77777777" w:rsidTr="00F534F0">
        <w:tc>
          <w:tcPr>
            <w:tcW w:w="1250" w:type="pct"/>
          </w:tcPr>
          <w:p w14:paraId="7CB4A063" w14:textId="5EB80584" w:rsidR="0052558F" w:rsidRPr="00306115" w:rsidRDefault="0052558F" w:rsidP="006626CC">
            <w:pPr>
              <w:spacing w:before="60" w:after="60"/>
              <w:rPr>
                <w:rFonts w:eastAsia="Calibri" w:cs="Bookman Old Style"/>
                <w:bCs/>
                <w:color w:val="000000" w:themeColor="text1"/>
                <w:szCs w:val="24"/>
              </w:rPr>
            </w:pPr>
            <w:r w:rsidRPr="00306115">
              <w:rPr>
                <w:rFonts w:eastAsia="Calibri" w:cs="Bookman Old Style"/>
                <w:bCs/>
                <w:color w:val="000000" w:themeColor="text1"/>
                <w:szCs w:val="24"/>
              </w:rPr>
              <w:t xml:space="preserve">LAMPIRAN </w:t>
            </w:r>
            <w:r w:rsidR="00EA738C" w:rsidRPr="00306115">
              <w:rPr>
                <w:rFonts w:eastAsia="Calibri" w:cs="Bookman Old Style"/>
                <w:bCs/>
                <w:color w:val="000000" w:themeColor="text1"/>
                <w:szCs w:val="24"/>
              </w:rPr>
              <w:t>V</w:t>
            </w:r>
            <w:r w:rsidR="001A4377" w:rsidRPr="00306115">
              <w:rPr>
                <w:rFonts w:eastAsia="Calibri" w:cs="Bookman Old Style"/>
                <w:bCs/>
                <w:color w:val="000000" w:themeColor="text1"/>
                <w:szCs w:val="24"/>
              </w:rPr>
              <w:t>I</w:t>
            </w:r>
            <w:r w:rsidRPr="00306115">
              <w:rPr>
                <w:rFonts w:eastAsia="Calibri" w:cs="Bookman Old Style"/>
                <w:bCs/>
                <w:color w:val="000000" w:themeColor="text1"/>
                <w:szCs w:val="24"/>
              </w:rPr>
              <w:t>.1.</w:t>
            </w:r>
          </w:p>
        </w:tc>
        <w:tc>
          <w:tcPr>
            <w:tcW w:w="162" w:type="pct"/>
          </w:tcPr>
          <w:p w14:paraId="3879ED7A" w14:textId="77777777" w:rsidR="0052558F" w:rsidRPr="00306115" w:rsidRDefault="0052558F" w:rsidP="006626CC">
            <w:pPr>
              <w:spacing w:before="60" w:after="60"/>
              <w:jc w:val="right"/>
              <w:rPr>
                <w:rFonts w:eastAsia="Calibri" w:cs="Bookman Old Style"/>
                <w:bCs/>
                <w:color w:val="000000" w:themeColor="text1"/>
                <w:szCs w:val="24"/>
              </w:rPr>
            </w:pPr>
            <w:r w:rsidRPr="00306115">
              <w:rPr>
                <w:rFonts w:eastAsia="Calibri" w:cs="Bookman Old Style"/>
                <w:bCs/>
                <w:color w:val="000000" w:themeColor="text1"/>
                <w:szCs w:val="24"/>
              </w:rPr>
              <w:t>:</w:t>
            </w:r>
          </w:p>
        </w:tc>
        <w:tc>
          <w:tcPr>
            <w:tcW w:w="3589" w:type="pct"/>
          </w:tcPr>
          <w:p w14:paraId="3898305F" w14:textId="77777777" w:rsidR="0052558F" w:rsidRPr="00306115" w:rsidRDefault="0052558F" w:rsidP="006626CC">
            <w:pPr>
              <w:spacing w:before="60" w:after="60"/>
              <w:rPr>
                <w:rFonts w:eastAsia="Calibri" w:cs="Bookman Old Style"/>
                <w:bCs/>
                <w:color w:val="000000" w:themeColor="text1"/>
                <w:szCs w:val="24"/>
              </w:rPr>
            </w:pPr>
            <w:r w:rsidRPr="00306115">
              <w:rPr>
                <w:rFonts w:eastAsia="Calibri" w:cs="Bookman Old Style"/>
                <w:bCs/>
                <w:color w:val="000000" w:themeColor="text1"/>
                <w:szCs w:val="24"/>
              </w:rPr>
              <w:t>Laporan Hasil Penilaian Sendiri Tingkat Kesehatan Manajer Investasi</w:t>
            </w:r>
          </w:p>
        </w:tc>
      </w:tr>
      <w:tr w:rsidR="0052558F" w:rsidRPr="00306115" w14:paraId="7315336E" w14:textId="77777777" w:rsidTr="00F534F0">
        <w:tc>
          <w:tcPr>
            <w:tcW w:w="1250" w:type="pct"/>
          </w:tcPr>
          <w:p w14:paraId="1203B4D0" w14:textId="0FC7A6A8" w:rsidR="0052558F" w:rsidRPr="00306115" w:rsidRDefault="0052558F" w:rsidP="006626CC">
            <w:pPr>
              <w:spacing w:before="60" w:after="60"/>
              <w:rPr>
                <w:rFonts w:eastAsia="Calibri" w:cs="Bookman Old Style"/>
                <w:bCs/>
                <w:color w:val="000000" w:themeColor="text1"/>
                <w:szCs w:val="24"/>
              </w:rPr>
            </w:pPr>
            <w:r w:rsidRPr="00306115">
              <w:rPr>
                <w:rFonts w:eastAsia="Calibri" w:cs="Bookman Old Style"/>
                <w:bCs/>
                <w:color w:val="000000" w:themeColor="text1"/>
                <w:szCs w:val="24"/>
              </w:rPr>
              <w:t xml:space="preserve">LAMPIRAN </w:t>
            </w:r>
            <w:r w:rsidR="001A4377" w:rsidRPr="00306115">
              <w:rPr>
                <w:rFonts w:eastAsia="Calibri" w:cs="Bookman Old Style"/>
                <w:bCs/>
                <w:color w:val="000000" w:themeColor="text1"/>
                <w:szCs w:val="24"/>
              </w:rPr>
              <w:t>VI</w:t>
            </w:r>
            <w:r w:rsidRPr="00306115">
              <w:rPr>
                <w:rFonts w:eastAsia="Calibri" w:cs="Bookman Old Style"/>
                <w:bCs/>
                <w:color w:val="000000" w:themeColor="text1"/>
                <w:szCs w:val="24"/>
              </w:rPr>
              <w:t>.2.</w:t>
            </w:r>
          </w:p>
        </w:tc>
        <w:tc>
          <w:tcPr>
            <w:tcW w:w="162" w:type="pct"/>
          </w:tcPr>
          <w:p w14:paraId="333C4E34" w14:textId="77777777" w:rsidR="0052558F" w:rsidRPr="00306115" w:rsidRDefault="0052558F" w:rsidP="006626CC">
            <w:pPr>
              <w:spacing w:before="60" w:after="60"/>
              <w:jc w:val="right"/>
              <w:rPr>
                <w:rFonts w:eastAsia="Calibri" w:cs="Bookman Old Style"/>
                <w:bCs/>
                <w:color w:val="000000" w:themeColor="text1"/>
                <w:szCs w:val="24"/>
              </w:rPr>
            </w:pPr>
            <w:r w:rsidRPr="00306115">
              <w:rPr>
                <w:rFonts w:eastAsia="Calibri" w:cs="Bookman Old Style"/>
                <w:bCs/>
                <w:color w:val="000000" w:themeColor="text1"/>
                <w:szCs w:val="24"/>
              </w:rPr>
              <w:t>:</w:t>
            </w:r>
          </w:p>
        </w:tc>
        <w:tc>
          <w:tcPr>
            <w:tcW w:w="3589" w:type="pct"/>
          </w:tcPr>
          <w:p w14:paraId="2B90F509" w14:textId="77777777" w:rsidR="0052558F" w:rsidRPr="00306115" w:rsidRDefault="0052558F" w:rsidP="006626CC">
            <w:pPr>
              <w:spacing w:before="60" w:after="60"/>
              <w:rPr>
                <w:rFonts w:eastAsia="Calibri" w:cs="Bookman Old Style"/>
                <w:bCs/>
                <w:color w:val="000000" w:themeColor="text1"/>
                <w:szCs w:val="24"/>
              </w:rPr>
            </w:pPr>
            <w:r w:rsidRPr="00306115">
              <w:rPr>
                <w:rFonts w:eastAsia="Calibri" w:cs="Bookman Old Style"/>
                <w:bCs/>
                <w:color w:val="000000" w:themeColor="text1"/>
                <w:szCs w:val="24"/>
              </w:rPr>
              <w:t>Penilaian Sendiri Faktor Profil Risiko</w:t>
            </w:r>
          </w:p>
        </w:tc>
      </w:tr>
      <w:tr w:rsidR="0052558F" w:rsidRPr="00306115" w14:paraId="00B9F522" w14:textId="77777777" w:rsidTr="00F534F0">
        <w:tc>
          <w:tcPr>
            <w:tcW w:w="1250" w:type="pct"/>
          </w:tcPr>
          <w:p w14:paraId="0F630903" w14:textId="3AF07D35" w:rsidR="0052558F" w:rsidRPr="00306115" w:rsidRDefault="0052558F" w:rsidP="006626CC">
            <w:pPr>
              <w:spacing w:before="60" w:after="60"/>
              <w:rPr>
                <w:rFonts w:eastAsia="Calibri" w:cs="Bookman Old Style"/>
                <w:bCs/>
                <w:color w:val="000000" w:themeColor="text1"/>
                <w:szCs w:val="24"/>
              </w:rPr>
            </w:pPr>
            <w:r w:rsidRPr="00306115">
              <w:rPr>
                <w:rFonts w:eastAsia="Calibri" w:cs="Bookman Old Style"/>
                <w:bCs/>
                <w:color w:val="000000" w:themeColor="text1"/>
                <w:szCs w:val="24"/>
              </w:rPr>
              <w:t xml:space="preserve">LAMPIRAN </w:t>
            </w:r>
            <w:r w:rsidR="001A4377" w:rsidRPr="00306115">
              <w:rPr>
                <w:rFonts w:eastAsia="Calibri" w:cs="Bookman Old Style"/>
                <w:bCs/>
                <w:color w:val="000000" w:themeColor="text1"/>
                <w:szCs w:val="24"/>
              </w:rPr>
              <w:t>VI</w:t>
            </w:r>
            <w:r w:rsidRPr="00306115">
              <w:rPr>
                <w:rFonts w:eastAsia="Calibri" w:cs="Bookman Old Style"/>
                <w:bCs/>
                <w:color w:val="000000" w:themeColor="text1"/>
                <w:szCs w:val="24"/>
              </w:rPr>
              <w:t>.3.</w:t>
            </w:r>
          </w:p>
        </w:tc>
        <w:tc>
          <w:tcPr>
            <w:tcW w:w="162" w:type="pct"/>
          </w:tcPr>
          <w:p w14:paraId="655D69EA" w14:textId="77777777" w:rsidR="0052558F" w:rsidRPr="00306115" w:rsidRDefault="0052558F" w:rsidP="006626CC">
            <w:pPr>
              <w:spacing w:before="60" w:after="60"/>
              <w:jc w:val="right"/>
              <w:rPr>
                <w:rFonts w:eastAsia="Calibri" w:cs="Bookman Old Style"/>
                <w:bCs/>
                <w:color w:val="000000" w:themeColor="text1"/>
                <w:szCs w:val="24"/>
              </w:rPr>
            </w:pPr>
            <w:r w:rsidRPr="00306115">
              <w:rPr>
                <w:rFonts w:eastAsia="Calibri" w:cs="Bookman Old Style"/>
                <w:bCs/>
                <w:color w:val="000000" w:themeColor="text1"/>
                <w:szCs w:val="24"/>
              </w:rPr>
              <w:t>:</w:t>
            </w:r>
          </w:p>
        </w:tc>
        <w:tc>
          <w:tcPr>
            <w:tcW w:w="3589" w:type="pct"/>
          </w:tcPr>
          <w:p w14:paraId="4BB52E31" w14:textId="30DFC544" w:rsidR="0052558F" w:rsidRPr="00306115" w:rsidRDefault="0052558F" w:rsidP="006626CC">
            <w:pPr>
              <w:spacing w:before="60" w:after="60"/>
              <w:rPr>
                <w:rFonts w:eastAsia="Calibri" w:cs="Bookman Old Style"/>
                <w:bCs/>
                <w:color w:val="000000" w:themeColor="text1"/>
                <w:szCs w:val="24"/>
              </w:rPr>
            </w:pPr>
            <w:r w:rsidRPr="00306115">
              <w:rPr>
                <w:rFonts w:eastAsia="Calibri" w:cs="Bookman Old Style"/>
                <w:bCs/>
                <w:color w:val="000000" w:themeColor="text1"/>
                <w:szCs w:val="24"/>
              </w:rPr>
              <w:t>Penilaian Sendiri Kualitas Penerapan Manajemen Risiko</w:t>
            </w:r>
          </w:p>
        </w:tc>
      </w:tr>
      <w:tr w:rsidR="0052558F" w:rsidRPr="00306115" w14:paraId="55A261F6" w14:textId="77777777" w:rsidTr="00F534F0">
        <w:tc>
          <w:tcPr>
            <w:tcW w:w="1250" w:type="pct"/>
          </w:tcPr>
          <w:p w14:paraId="78FDB8F8" w14:textId="7FDDDD25" w:rsidR="0052558F" w:rsidRPr="00306115" w:rsidRDefault="0052558F" w:rsidP="006626CC">
            <w:pPr>
              <w:spacing w:before="60" w:after="60"/>
              <w:rPr>
                <w:rFonts w:eastAsia="Calibri" w:cs="Bookman Old Style"/>
                <w:bCs/>
                <w:color w:val="000000" w:themeColor="text1"/>
                <w:szCs w:val="24"/>
              </w:rPr>
            </w:pPr>
            <w:r w:rsidRPr="00306115">
              <w:rPr>
                <w:rFonts w:eastAsia="Calibri" w:cs="Bookman Old Style"/>
                <w:bCs/>
                <w:color w:val="000000" w:themeColor="text1"/>
                <w:szCs w:val="24"/>
              </w:rPr>
              <w:t xml:space="preserve">LAMPIRAN </w:t>
            </w:r>
            <w:r w:rsidR="001A4377" w:rsidRPr="00306115">
              <w:rPr>
                <w:rFonts w:eastAsia="Calibri" w:cs="Bookman Old Style"/>
                <w:bCs/>
                <w:color w:val="000000" w:themeColor="text1"/>
                <w:szCs w:val="24"/>
              </w:rPr>
              <w:t>VI</w:t>
            </w:r>
            <w:r w:rsidRPr="00306115">
              <w:rPr>
                <w:rFonts w:eastAsia="Calibri" w:cs="Bookman Old Style"/>
                <w:bCs/>
                <w:color w:val="000000" w:themeColor="text1"/>
                <w:szCs w:val="24"/>
              </w:rPr>
              <w:t>.4.</w:t>
            </w:r>
          </w:p>
        </w:tc>
        <w:tc>
          <w:tcPr>
            <w:tcW w:w="162" w:type="pct"/>
          </w:tcPr>
          <w:p w14:paraId="38ADF4F6" w14:textId="77777777" w:rsidR="0052558F" w:rsidRPr="00306115" w:rsidRDefault="0052558F" w:rsidP="006626CC">
            <w:pPr>
              <w:spacing w:before="60" w:after="60"/>
              <w:jc w:val="right"/>
              <w:rPr>
                <w:rFonts w:eastAsia="Calibri" w:cs="Bookman Old Style"/>
                <w:bCs/>
                <w:color w:val="000000" w:themeColor="text1"/>
                <w:szCs w:val="24"/>
              </w:rPr>
            </w:pPr>
            <w:r w:rsidRPr="00306115">
              <w:rPr>
                <w:rFonts w:eastAsia="Calibri" w:cs="Bookman Old Style"/>
                <w:bCs/>
                <w:color w:val="000000" w:themeColor="text1"/>
                <w:szCs w:val="24"/>
              </w:rPr>
              <w:t>:</w:t>
            </w:r>
          </w:p>
        </w:tc>
        <w:tc>
          <w:tcPr>
            <w:tcW w:w="3589" w:type="pct"/>
          </w:tcPr>
          <w:p w14:paraId="049B51EB" w14:textId="77777777" w:rsidR="0052558F" w:rsidRPr="00306115" w:rsidRDefault="0052558F" w:rsidP="006626CC">
            <w:pPr>
              <w:spacing w:before="60" w:after="60"/>
              <w:rPr>
                <w:rFonts w:eastAsia="Calibri" w:cs="Bookman Old Style"/>
                <w:bCs/>
                <w:color w:val="000000" w:themeColor="text1"/>
                <w:szCs w:val="24"/>
              </w:rPr>
            </w:pPr>
            <w:r w:rsidRPr="00306115">
              <w:rPr>
                <w:rFonts w:eastAsia="Calibri" w:cs="Bookman Old Style"/>
                <w:bCs/>
                <w:color w:val="000000" w:themeColor="text1"/>
                <w:szCs w:val="24"/>
              </w:rPr>
              <w:t>Penilaian Sendiri Faktor Tata Kelola</w:t>
            </w:r>
          </w:p>
        </w:tc>
      </w:tr>
      <w:tr w:rsidR="0052558F" w:rsidRPr="00306115" w14:paraId="19A7E8AD" w14:textId="77777777" w:rsidTr="00F534F0">
        <w:tc>
          <w:tcPr>
            <w:tcW w:w="1250" w:type="pct"/>
          </w:tcPr>
          <w:p w14:paraId="5195000B" w14:textId="47525EEE" w:rsidR="0052558F" w:rsidRPr="00306115" w:rsidRDefault="0052558F" w:rsidP="006626CC">
            <w:pPr>
              <w:spacing w:before="60" w:after="60"/>
              <w:rPr>
                <w:rFonts w:eastAsia="Calibri" w:cs="Bookman Old Style"/>
                <w:bCs/>
                <w:color w:val="000000" w:themeColor="text1"/>
                <w:szCs w:val="24"/>
              </w:rPr>
            </w:pPr>
            <w:r w:rsidRPr="00306115">
              <w:rPr>
                <w:rFonts w:eastAsia="Calibri" w:cs="Bookman Old Style"/>
                <w:bCs/>
                <w:color w:val="000000" w:themeColor="text1"/>
                <w:szCs w:val="24"/>
              </w:rPr>
              <w:t xml:space="preserve">LAMPIRAN </w:t>
            </w:r>
            <w:r w:rsidR="001A4377" w:rsidRPr="00306115">
              <w:rPr>
                <w:rFonts w:eastAsia="Calibri" w:cs="Bookman Old Style"/>
                <w:bCs/>
                <w:color w:val="000000" w:themeColor="text1"/>
                <w:szCs w:val="24"/>
              </w:rPr>
              <w:t>VI</w:t>
            </w:r>
            <w:r w:rsidRPr="00306115">
              <w:rPr>
                <w:rFonts w:eastAsia="Calibri" w:cs="Bookman Old Style"/>
                <w:bCs/>
                <w:color w:val="000000" w:themeColor="text1"/>
                <w:szCs w:val="24"/>
              </w:rPr>
              <w:t>.5.</w:t>
            </w:r>
          </w:p>
        </w:tc>
        <w:tc>
          <w:tcPr>
            <w:tcW w:w="162" w:type="pct"/>
          </w:tcPr>
          <w:p w14:paraId="5C2F927E" w14:textId="77777777" w:rsidR="0052558F" w:rsidRPr="00306115" w:rsidRDefault="0052558F" w:rsidP="006626CC">
            <w:pPr>
              <w:spacing w:before="60" w:after="60"/>
              <w:jc w:val="right"/>
              <w:rPr>
                <w:rFonts w:eastAsia="Calibri" w:cs="Bookman Old Style"/>
                <w:bCs/>
                <w:color w:val="000000" w:themeColor="text1"/>
                <w:szCs w:val="24"/>
              </w:rPr>
            </w:pPr>
            <w:r w:rsidRPr="00306115">
              <w:rPr>
                <w:rFonts w:eastAsia="Calibri" w:cs="Bookman Old Style"/>
                <w:bCs/>
                <w:color w:val="000000" w:themeColor="text1"/>
                <w:szCs w:val="24"/>
              </w:rPr>
              <w:t>:</w:t>
            </w:r>
          </w:p>
        </w:tc>
        <w:tc>
          <w:tcPr>
            <w:tcW w:w="3589" w:type="pct"/>
          </w:tcPr>
          <w:p w14:paraId="2813C637" w14:textId="77777777" w:rsidR="0052558F" w:rsidRPr="00306115" w:rsidRDefault="0052558F" w:rsidP="006626CC">
            <w:pPr>
              <w:spacing w:before="60" w:after="60"/>
              <w:rPr>
                <w:rFonts w:eastAsia="Calibri" w:cs="Bookman Old Style"/>
                <w:bCs/>
                <w:color w:val="000000" w:themeColor="text1"/>
                <w:szCs w:val="24"/>
              </w:rPr>
            </w:pPr>
            <w:r w:rsidRPr="00306115">
              <w:rPr>
                <w:rFonts w:eastAsia="Calibri" w:cs="Bookman Old Style"/>
                <w:bCs/>
                <w:color w:val="000000" w:themeColor="text1"/>
                <w:szCs w:val="24"/>
              </w:rPr>
              <w:t>Penilaian Sendiri Faktor Rentabilitas</w:t>
            </w:r>
          </w:p>
        </w:tc>
      </w:tr>
      <w:tr w:rsidR="0052558F" w:rsidRPr="00306115" w14:paraId="6DB14A9A" w14:textId="77777777" w:rsidTr="00F534F0">
        <w:tc>
          <w:tcPr>
            <w:tcW w:w="1250" w:type="pct"/>
          </w:tcPr>
          <w:p w14:paraId="5995ED44" w14:textId="212594DA" w:rsidR="0052558F" w:rsidRPr="00306115" w:rsidRDefault="0052558F" w:rsidP="006626CC">
            <w:pPr>
              <w:spacing w:before="60" w:after="60"/>
              <w:rPr>
                <w:rFonts w:eastAsia="Calibri" w:cs="Bookman Old Style"/>
                <w:bCs/>
                <w:color w:val="000000" w:themeColor="text1"/>
                <w:szCs w:val="24"/>
              </w:rPr>
            </w:pPr>
            <w:r w:rsidRPr="00306115">
              <w:rPr>
                <w:rFonts w:eastAsia="Calibri" w:cs="Bookman Old Style"/>
                <w:bCs/>
                <w:color w:val="000000" w:themeColor="text1"/>
                <w:szCs w:val="24"/>
              </w:rPr>
              <w:t xml:space="preserve">LAMPIRAN </w:t>
            </w:r>
            <w:r w:rsidR="001A4377" w:rsidRPr="00306115">
              <w:rPr>
                <w:rFonts w:eastAsia="Calibri" w:cs="Bookman Old Style"/>
                <w:bCs/>
                <w:color w:val="000000" w:themeColor="text1"/>
                <w:szCs w:val="24"/>
              </w:rPr>
              <w:t>VI</w:t>
            </w:r>
            <w:r w:rsidRPr="00306115">
              <w:rPr>
                <w:rFonts w:eastAsia="Calibri" w:cs="Bookman Old Style"/>
                <w:bCs/>
                <w:color w:val="000000" w:themeColor="text1"/>
                <w:szCs w:val="24"/>
              </w:rPr>
              <w:t>.6.</w:t>
            </w:r>
          </w:p>
        </w:tc>
        <w:tc>
          <w:tcPr>
            <w:tcW w:w="162" w:type="pct"/>
          </w:tcPr>
          <w:p w14:paraId="67BC4149" w14:textId="77777777" w:rsidR="0052558F" w:rsidRPr="00306115" w:rsidRDefault="0052558F" w:rsidP="006626CC">
            <w:pPr>
              <w:spacing w:before="60" w:after="60"/>
              <w:jc w:val="right"/>
              <w:rPr>
                <w:rFonts w:eastAsia="Calibri" w:cs="Bookman Old Style"/>
                <w:bCs/>
                <w:color w:val="000000" w:themeColor="text1"/>
                <w:szCs w:val="24"/>
              </w:rPr>
            </w:pPr>
            <w:r w:rsidRPr="00306115">
              <w:rPr>
                <w:rFonts w:eastAsia="Calibri" w:cs="Bookman Old Style"/>
                <w:bCs/>
                <w:color w:val="000000" w:themeColor="text1"/>
                <w:szCs w:val="24"/>
              </w:rPr>
              <w:t>:</w:t>
            </w:r>
          </w:p>
        </w:tc>
        <w:tc>
          <w:tcPr>
            <w:tcW w:w="3589" w:type="pct"/>
          </w:tcPr>
          <w:p w14:paraId="3C2189D3" w14:textId="77777777" w:rsidR="0052558F" w:rsidRPr="00306115" w:rsidRDefault="0052558F" w:rsidP="006626CC">
            <w:pPr>
              <w:spacing w:before="60" w:after="60"/>
              <w:rPr>
                <w:rFonts w:eastAsia="Calibri" w:cs="Bookman Old Style"/>
                <w:bCs/>
                <w:color w:val="000000" w:themeColor="text1"/>
                <w:szCs w:val="24"/>
              </w:rPr>
            </w:pPr>
            <w:r w:rsidRPr="00306115">
              <w:rPr>
                <w:rFonts w:eastAsia="Calibri" w:cs="Bookman Old Style"/>
                <w:bCs/>
                <w:color w:val="000000" w:themeColor="text1"/>
                <w:szCs w:val="24"/>
              </w:rPr>
              <w:t>Penilaian Sendiri Faktor Permodalan</w:t>
            </w:r>
          </w:p>
        </w:tc>
      </w:tr>
    </w:tbl>
    <w:p w14:paraId="44880381" w14:textId="77777777" w:rsidR="0052558F" w:rsidRPr="00306115" w:rsidRDefault="0052558F" w:rsidP="003B64B4">
      <w:pPr>
        <w:pStyle w:val="HeadingAwalDaftarIsiLampiran"/>
        <w:numPr>
          <w:ilvl w:val="0"/>
          <w:numId w:val="0"/>
        </w:numPr>
        <w:ind w:left="720" w:hanging="360"/>
      </w:pPr>
    </w:p>
    <w:p w14:paraId="2E452B0A" w14:textId="77777777" w:rsidR="00F534F0" w:rsidRPr="00306115" w:rsidRDefault="00F534F0" w:rsidP="003B64B4">
      <w:pPr>
        <w:pStyle w:val="HeadingAwalDaftarIsiLampiran"/>
        <w:numPr>
          <w:ilvl w:val="0"/>
          <w:numId w:val="0"/>
        </w:numPr>
        <w:ind w:left="720" w:hanging="360"/>
        <w:sectPr w:rsidR="00F534F0" w:rsidRPr="00306115" w:rsidSect="00304D44">
          <w:headerReference w:type="first" r:id="rId25"/>
          <w:pgSz w:w="11907" w:h="18711" w:code="41"/>
          <w:pgMar w:top="1418" w:right="1418" w:bottom="1418" w:left="1418" w:header="709" w:footer="709" w:gutter="0"/>
          <w:pgNumType w:fmt="numberInDash" w:start="2"/>
          <w:cols w:space="708"/>
          <w:titlePg/>
          <w:docGrid w:linePitch="360"/>
        </w:sectPr>
      </w:pPr>
    </w:p>
    <w:p w14:paraId="118A1AE3" w14:textId="77777777" w:rsidR="00842C1A" w:rsidRPr="00306115" w:rsidRDefault="0001619B">
      <w:pPr>
        <w:pStyle w:val="HeadingAwalDaftarIsiLampiran"/>
        <w:numPr>
          <w:ilvl w:val="6"/>
          <w:numId w:val="295"/>
        </w:numPr>
        <w:ind w:left="567" w:hanging="567"/>
      </w:pPr>
      <w:r w:rsidRPr="00306115">
        <w:rPr>
          <w:rFonts w:eastAsia="Calibri" w:cs="Bookman Old Style"/>
          <w:bCs/>
        </w:rPr>
        <w:lastRenderedPageBreak/>
        <w:t>Laporan Hasil Penilaian Sendiri Tingkat Kesehatan Manajer Investasi</w:t>
      </w:r>
    </w:p>
    <w:p w14:paraId="0AF0F45B" w14:textId="77777777" w:rsidR="00842C1A" w:rsidRPr="00306115" w:rsidRDefault="00842C1A" w:rsidP="00842C1A">
      <w:pPr>
        <w:pStyle w:val="HeadingAwalDaftarIsiLampiran"/>
        <w:numPr>
          <w:ilvl w:val="0"/>
          <w:numId w:val="0"/>
        </w:numPr>
        <w:ind w:left="567"/>
        <w:rPr>
          <w:rFonts w:eastAsia="Calibri" w:cs="Bookman Old Style"/>
          <w:bCs/>
        </w:rPr>
      </w:pPr>
    </w:p>
    <w:p w14:paraId="6459E4F9" w14:textId="77777777" w:rsidR="00842C1A" w:rsidRPr="00306115" w:rsidRDefault="00842C1A" w:rsidP="00842C1A">
      <w:pPr>
        <w:pStyle w:val="HeadingAwalDaftarIsiLampiran"/>
        <w:numPr>
          <w:ilvl w:val="0"/>
          <w:numId w:val="0"/>
        </w:numPr>
        <w:ind w:left="567"/>
        <w:rPr>
          <w:rFonts w:eastAsia="Calibri" w:cs="Bookman Old Style"/>
          <w:bCs/>
        </w:rPr>
      </w:pPr>
    </w:p>
    <w:p w14:paraId="7437F57B" w14:textId="58DAFE48" w:rsidR="00842C1A" w:rsidRPr="00306115" w:rsidRDefault="00842C1A" w:rsidP="00842C1A">
      <w:pPr>
        <w:pStyle w:val="HeadingAwalDaftarIsiLampiran"/>
        <w:numPr>
          <w:ilvl w:val="0"/>
          <w:numId w:val="0"/>
        </w:numPr>
        <w:ind w:left="567"/>
      </w:pPr>
      <w:r w:rsidRPr="00306115">
        <w:t>Nama Manajer Investasi:</w:t>
      </w:r>
      <w:r w:rsidRPr="00306115">
        <w:tab/>
      </w:r>
    </w:p>
    <w:p w14:paraId="21D1603A" w14:textId="22277A12" w:rsidR="00842C1A" w:rsidRPr="00306115" w:rsidRDefault="00842C1A" w:rsidP="00842C1A">
      <w:pPr>
        <w:pStyle w:val="BodyText"/>
        <w:numPr>
          <w:ilvl w:val="0"/>
          <w:numId w:val="0"/>
        </w:numPr>
        <w:tabs>
          <w:tab w:val="left" w:pos="2835"/>
          <w:tab w:val="left" w:pos="3119"/>
        </w:tabs>
        <w:ind w:left="567"/>
        <w:rPr>
          <w:color w:val="000000" w:themeColor="text1"/>
        </w:rPr>
      </w:pPr>
      <w:r w:rsidRPr="00306115">
        <w:rPr>
          <w:color w:val="000000" w:themeColor="text1"/>
        </w:rPr>
        <w:t>Kelompok Manajer Investasi (Manajer Investasi Kegiatan Usaha):</w:t>
      </w:r>
    </w:p>
    <w:p w14:paraId="354D3DF4" w14:textId="77777777" w:rsidR="00842C1A" w:rsidRPr="00306115" w:rsidRDefault="00842C1A" w:rsidP="00842C1A">
      <w:pPr>
        <w:pStyle w:val="BodyText"/>
        <w:numPr>
          <w:ilvl w:val="0"/>
          <w:numId w:val="0"/>
        </w:numPr>
        <w:tabs>
          <w:tab w:val="left" w:pos="2835"/>
          <w:tab w:val="left" w:pos="3119"/>
        </w:tabs>
        <w:ind w:left="567"/>
        <w:rPr>
          <w:color w:val="000000" w:themeColor="text1"/>
        </w:rPr>
      </w:pPr>
    </w:p>
    <w:tbl>
      <w:tblPr>
        <w:tblStyle w:val="TableGrid"/>
        <w:tblW w:w="0" w:type="auto"/>
        <w:tblInd w:w="562" w:type="dxa"/>
        <w:tblLook w:val="04A0" w:firstRow="1" w:lastRow="0" w:firstColumn="1" w:lastColumn="0" w:noHBand="0" w:noVBand="1"/>
      </w:tblPr>
      <w:tblGrid>
        <w:gridCol w:w="709"/>
        <w:gridCol w:w="5134"/>
        <w:gridCol w:w="2656"/>
      </w:tblGrid>
      <w:tr w:rsidR="00AC10A8" w:rsidRPr="00306115" w14:paraId="11031CF9" w14:textId="77777777" w:rsidTr="00AC10A8">
        <w:tc>
          <w:tcPr>
            <w:tcW w:w="709" w:type="dxa"/>
            <w:shd w:val="clear" w:color="auto" w:fill="D9D9D9" w:themeFill="background1" w:themeFillShade="D9"/>
          </w:tcPr>
          <w:p w14:paraId="7285940E" w14:textId="77777777" w:rsidR="00AC10A8" w:rsidRPr="00306115" w:rsidRDefault="00AC10A8" w:rsidP="00AC10A8">
            <w:pPr>
              <w:pStyle w:val="BodyText"/>
              <w:numPr>
                <w:ilvl w:val="0"/>
                <w:numId w:val="0"/>
              </w:numPr>
              <w:tabs>
                <w:tab w:val="left" w:pos="2835"/>
                <w:tab w:val="left" w:pos="3119"/>
              </w:tabs>
              <w:spacing w:before="120" w:after="120"/>
              <w:jc w:val="center"/>
              <w:rPr>
                <w:color w:val="000000" w:themeColor="text1"/>
              </w:rPr>
            </w:pPr>
            <w:r w:rsidRPr="00306115">
              <w:rPr>
                <w:color w:val="000000" w:themeColor="text1"/>
              </w:rPr>
              <w:t>No.</w:t>
            </w:r>
          </w:p>
        </w:tc>
        <w:tc>
          <w:tcPr>
            <w:tcW w:w="5134" w:type="dxa"/>
            <w:shd w:val="clear" w:color="auto" w:fill="D9D9D9" w:themeFill="background1" w:themeFillShade="D9"/>
          </w:tcPr>
          <w:p w14:paraId="098DDDE4" w14:textId="77777777" w:rsidR="00AC10A8" w:rsidRPr="00306115" w:rsidRDefault="00AC10A8" w:rsidP="00AC10A8">
            <w:pPr>
              <w:pStyle w:val="BodyText"/>
              <w:numPr>
                <w:ilvl w:val="0"/>
                <w:numId w:val="0"/>
              </w:numPr>
              <w:tabs>
                <w:tab w:val="left" w:pos="2835"/>
                <w:tab w:val="left" w:pos="3119"/>
              </w:tabs>
              <w:spacing w:before="120" w:after="120"/>
              <w:jc w:val="center"/>
              <w:rPr>
                <w:color w:val="000000" w:themeColor="text1"/>
              </w:rPr>
            </w:pPr>
            <w:r w:rsidRPr="00306115">
              <w:rPr>
                <w:color w:val="000000" w:themeColor="text1"/>
              </w:rPr>
              <w:t>Faktor Penilaian</w:t>
            </w:r>
          </w:p>
        </w:tc>
        <w:tc>
          <w:tcPr>
            <w:tcW w:w="2656" w:type="dxa"/>
            <w:shd w:val="clear" w:color="auto" w:fill="D9D9D9" w:themeFill="background1" w:themeFillShade="D9"/>
          </w:tcPr>
          <w:p w14:paraId="22863099" w14:textId="77777777" w:rsidR="00AC10A8" w:rsidRPr="00306115" w:rsidRDefault="00AC10A8" w:rsidP="00AC10A8">
            <w:pPr>
              <w:pStyle w:val="BodyText"/>
              <w:numPr>
                <w:ilvl w:val="0"/>
                <w:numId w:val="0"/>
              </w:numPr>
              <w:tabs>
                <w:tab w:val="left" w:pos="2835"/>
                <w:tab w:val="left" w:pos="3119"/>
              </w:tabs>
              <w:spacing w:before="120" w:after="120"/>
              <w:jc w:val="center"/>
              <w:rPr>
                <w:color w:val="000000" w:themeColor="text1"/>
              </w:rPr>
            </w:pPr>
            <w:r w:rsidRPr="00306115">
              <w:rPr>
                <w:color w:val="000000" w:themeColor="text1"/>
              </w:rPr>
              <w:t>Peringkat</w:t>
            </w:r>
          </w:p>
        </w:tc>
      </w:tr>
      <w:tr w:rsidR="00AC10A8" w:rsidRPr="00306115" w14:paraId="6EF808B0" w14:textId="77777777" w:rsidTr="00AC10A8">
        <w:tc>
          <w:tcPr>
            <w:tcW w:w="709" w:type="dxa"/>
          </w:tcPr>
          <w:p w14:paraId="3F7B498F" w14:textId="77777777" w:rsidR="00AC10A8" w:rsidRPr="00306115" w:rsidRDefault="00AC10A8" w:rsidP="00AC10A8">
            <w:pPr>
              <w:pStyle w:val="BodyText"/>
              <w:numPr>
                <w:ilvl w:val="0"/>
                <w:numId w:val="0"/>
              </w:numPr>
              <w:tabs>
                <w:tab w:val="left" w:pos="2835"/>
                <w:tab w:val="left" w:pos="3119"/>
              </w:tabs>
              <w:spacing w:before="120" w:after="120"/>
              <w:jc w:val="center"/>
              <w:rPr>
                <w:color w:val="000000" w:themeColor="text1"/>
              </w:rPr>
            </w:pPr>
            <w:r w:rsidRPr="00306115">
              <w:rPr>
                <w:color w:val="000000" w:themeColor="text1"/>
              </w:rPr>
              <w:t>1.</w:t>
            </w:r>
          </w:p>
        </w:tc>
        <w:tc>
          <w:tcPr>
            <w:tcW w:w="5134" w:type="dxa"/>
          </w:tcPr>
          <w:p w14:paraId="77C1C943" w14:textId="77777777" w:rsidR="00AC10A8" w:rsidRPr="00306115" w:rsidRDefault="00AC10A8" w:rsidP="00AC10A8">
            <w:pPr>
              <w:pStyle w:val="BodyText"/>
              <w:numPr>
                <w:ilvl w:val="0"/>
                <w:numId w:val="0"/>
              </w:numPr>
              <w:tabs>
                <w:tab w:val="left" w:pos="2835"/>
                <w:tab w:val="left" w:pos="3119"/>
              </w:tabs>
              <w:spacing w:before="120" w:after="120"/>
              <w:rPr>
                <w:color w:val="000000" w:themeColor="text1"/>
              </w:rPr>
            </w:pPr>
            <w:r w:rsidRPr="00306115">
              <w:rPr>
                <w:color w:val="000000" w:themeColor="text1"/>
              </w:rPr>
              <w:t>Profil Risiko</w:t>
            </w:r>
          </w:p>
        </w:tc>
        <w:tc>
          <w:tcPr>
            <w:tcW w:w="2656" w:type="dxa"/>
          </w:tcPr>
          <w:p w14:paraId="60531922" w14:textId="77777777" w:rsidR="00AC10A8" w:rsidRPr="00306115" w:rsidRDefault="00AC10A8" w:rsidP="00AC10A8">
            <w:pPr>
              <w:pStyle w:val="BodyText"/>
              <w:numPr>
                <w:ilvl w:val="0"/>
                <w:numId w:val="0"/>
              </w:numPr>
              <w:tabs>
                <w:tab w:val="left" w:pos="2835"/>
                <w:tab w:val="left" w:pos="3119"/>
              </w:tabs>
              <w:spacing w:before="120" w:after="120"/>
              <w:rPr>
                <w:color w:val="000000" w:themeColor="text1"/>
              </w:rPr>
            </w:pPr>
          </w:p>
        </w:tc>
      </w:tr>
      <w:tr w:rsidR="00AC10A8" w:rsidRPr="00306115" w14:paraId="7B748BDC" w14:textId="77777777" w:rsidTr="00AC10A8">
        <w:tc>
          <w:tcPr>
            <w:tcW w:w="709" w:type="dxa"/>
          </w:tcPr>
          <w:p w14:paraId="3C7231E3" w14:textId="77777777" w:rsidR="00AC10A8" w:rsidRPr="00306115" w:rsidRDefault="00AC10A8" w:rsidP="00AC10A8">
            <w:pPr>
              <w:pStyle w:val="BodyText"/>
              <w:numPr>
                <w:ilvl w:val="0"/>
                <w:numId w:val="0"/>
              </w:numPr>
              <w:tabs>
                <w:tab w:val="left" w:pos="2835"/>
                <w:tab w:val="left" w:pos="3119"/>
              </w:tabs>
              <w:spacing w:before="120" w:after="120"/>
              <w:jc w:val="center"/>
              <w:rPr>
                <w:color w:val="000000" w:themeColor="text1"/>
              </w:rPr>
            </w:pPr>
            <w:r w:rsidRPr="00306115">
              <w:rPr>
                <w:color w:val="000000" w:themeColor="text1"/>
              </w:rPr>
              <w:t>2.</w:t>
            </w:r>
          </w:p>
        </w:tc>
        <w:tc>
          <w:tcPr>
            <w:tcW w:w="5134" w:type="dxa"/>
          </w:tcPr>
          <w:p w14:paraId="03F0A550" w14:textId="77777777" w:rsidR="00AC10A8" w:rsidRPr="00306115" w:rsidRDefault="00AC10A8" w:rsidP="00AC10A8">
            <w:pPr>
              <w:pStyle w:val="BodyText"/>
              <w:numPr>
                <w:ilvl w:val="0"/>
                <w:numId w:val="0"/>
              </w:numPr>
              <w:tabs>
                <w:tab w:val="left" w:pos="2835"/>
                <w:tab w:val="left" w:pos="3119"/>
              </w:tabs>
              <w:spacing w:before="120" w:after="120"/>
              <w:rPr>
                <w:color w:val="000000" w:themeColor="text1"/>
              </w:rPr>
            </w:pPr>
            <w:r w:rsidRPr="00306115">
              <w:rPr>
                <w:color w:val="000000" w:themeColor="text1"/>
              </w:rPr>
              <w:t>Tata Kelola</w:t>
            </w:r>
          </w:p>
        </w:tc>
        <w:tc>
          <w:tcPr>
            <w:tcW w:w="2656" w:type="dxa"/>
          </w:tcPr>
          <w:p w14:paraId="4202AB5B" w14:textId="77777777" w:rsidR="00AC10A8" w:rsidRPr="00306115" w:rsidRDefault="00AC10A8" w:rsidP="00AC10A8">
            <w:pPr>
              <w:pStyle w:val="BodyText"/>
              <w:numPr>
                <w:ilvl w:val="0"/>
                <w:numId w:val="0"/>
              </w:numPr>
              <w:tabs>
                <w:tab w:val="left" w:pos="2835"/>
                <w:tab w:val="left" w:pos="3119"/>
              </w:tabs>
              <w:spacing w:before="120" w:after="120"/>
              <w:rPr>
                <w:color w:val="000000" w:themeColor="text1"/>
              </w:rPr>
            </w:pPr>
          </w:p>
        </w:tc>
      </w:tr>
      <w:tr w:rsidR="00AC10A8" w:rsidRPr="00306115" w14:paraId="4A8D16A8" w14:textId="77777777" w:rsidTr="00AC10A8">
        <w:tc>
          <w:tcPr>
            <w:tcW w:w="709" w:type="dxa"/>
          </w:tcPr>
          <w:p w14:paraId="412673E7" w14:textId="77777777" w:rsidR="00AC10A8" w:rsidRPr="00306115" w:rsidRDefault="00AC10A8" w:rsidP="00AC10A8">
            <w:pPr>
              <w:pStyle w:val="BodyText"/>
              <w:numPr>
                <w:ilvl w:val="0"/>
                <w:numId w:val="0"/>
              </w:numPr>
              <w:tabs>
                <w:tab w:val="left" w:pos="2835"/>
                <w:tab w:val="left" w:pos="3119"/>
              </w:tabs>
              <w:spacing w:before="120" w:after="120"/>
              <w:jc w:val="center"/>
              <w:rPr>
                <w:color w:val="000000" w:themeColor="text1"/>
              </w:rPr>
            </w:pPr>
            <w:r w:rsidRPr="00306115">
              <w:rPr>
                <w:color w:val="000000" w:themeColor="text1"/>
              </w:rPr>
              <w:t>3.</w:t>
            </w:r>
          </w:p>
        </w:tc>
        <w:tc>
          <w:tcPr>
            <w:tcW w:w="5134" w:type="dxa"/>
          </w:tcPr>
          <w:p w14:paraId="7B393DDB" w14:textId="77777777" w:rsidR="00AC10A8" w:rsidRPr="00306115" w:rsidRDefault="00AC10A8" w:rsidP="00AC10A8">
            <w:pPr>
              <w:pStyle w:val="BodyText"/>
              <w:numPr>
                <w:ilvl w:val="0"/>
                <w:numId w:val="0"/>
              </w:numPr>
              <w:tabs>
                <w:tab w:val="left" w:pos="2835"/>
                <w:tab w:val="left" w:pos="3119"/>
              </w:tabs>
              <w:spacing w:before="120" w:after="120"/>
              <w:rPr>
                <w:color w:val="000000" w:themeColor="text1"/>
              </w:rPr>
            </w:pPr>
            <w:r w:rsidRPr="00306115">
              <w:rPr>
                <w:color w:val="000000" w:themeColor="text1"/>
              </w:rPr>
              <w:t>Rentabilitas</w:t>
            </w:r>
          </w:p>
        </w:tc>
        <w:tc>
          <w:tcPr>
            <w:tcW w:w="2656" w:type="dxa"/>
          </w:tcPr>
          <w:p w14:paraId="5E06EBB3" w14:textId="77777777" w:rsidR="00AC10A8" w:rsidRPr="00306115" w:rsidRDefault="00AC10A8" w:rsidP="00AC10A8">
            <w:pPr>
              <w:pStyle w:val="BodyText"/>
              <w:numPr>
                <w:ilvl w:val="0"/>
                <w:numId w:val="0"/>
              </w:numPr>
              <w:tabs>
                <w:tab w:val="left" w:pos="2835"/>
                <w:tab w:val="left" w:pos="3119"/>
              </w:tabs>
              <w:spacing w:before="120" w:after="120"/>
              <w:rPr>
                <w:color w:val="000000" w:themeColor="text1"/>
              </w:rPr>
            </w:pPr>
          </w:p>
        </w:tc>
      </w:tr>
      <w:tr w:rsidR="00AC10A8" w:rsidRPr="00306115" w14:paraId="327A7614" w14:textId="77777777" w:rsidTr="00AC10A8">
        <w:tc>
          <w:tcPr>
            <w:tcW w:w="709" w:type="dxa"/>
          </w:tcPr>
          <w:p w14:paraId="21AB02B3" w14:textId="77777777" w:rsidR="00AC10A8" w:rsidRPr="00306115" w:rsidRDefault="00AC10A8" w:rsidP="00AC10A8">
            <w:pPr>
              <w:pStyle w:val="BodyText"/>
              <w:numPr>
                <w:ilvl w:val="0"/>
                <w:numId w:val="0"/>
              </w:numPr>
              <w:tabs>
                <w:tab w:val="left" w:pos="2835"/>
                <w:tab w:val="left" w:pos="3119"/>
              </w:tabs>
              <w:spacing w:before="120" w:after="120"/>
              <w:jc w:val="center"/>
              <w:rPr>
                <w:color w:val="000000" w:themeColor="text1"/>
              </w:rPr>
            </w:pPr>
            <w:r w:rsidRPr="00306115">
              <w:rPr>
                <w:color w:val="000000" w:themeColor="text1"/>
              </w:rPr>
              <w:t>4.</w:t>
            </w:r>
          </w:p>
        </w:tc>
        <w:tc>
          <w:tcPr>
            <w:tcW w:w="5134" w:type="dxa"/>
          </w:tcPr>
          <w:p w14:paraId="3893546F" w14:textId="77777777" w:rsidR="00AC10A8" w:rsidRPr="00306115" w:rsidRDefault="00AC10A8" w:rsidP="00AC10A8">
            <w:pPr>
              <w:pStyle w:val="BodyText"/>
              <w:numPr>
                <w:ilvl w:val="0"/>
                <w:numId w:val="0"/>
              </w:numPr>
              <w:tabs>
                <w:tab w:val="left" w:pos="2835"/>
                <w:tab w:val="left" w:pos="3119"/>
              </w:tabs>
              <w:spacing w:before="120" w:after="120"/>
              <w:rPr>
                <w:color w:val="000000" w:themeColor="text1"/>
              </w:rPr>
            </w:pPr>
            <w:r w:rsidRPr="00306115">
              <w:rPr>
                <w:color w:val="000000" w:themeColor="text1"/>
              </w:rPr>
              <w:t>Permodalan</w:t>
            </w:r>
          </w:p>
        </w:tc>
        <w:tc>
          <w:tcPr>
            <w:tcW w:w="2656" w:type="dxa"/>
          </w:tcPr>
          <w:p w14:paraId="071B0423" w14:textId="77777777" w:rsidR="00AC10A8" w:rsidRPr="00306115" w:rsidRDefault="00AC10A8" w:rsidP="00AC10A8">
            <w:pPr>
              <w:pStyle w:val="BodyText"/>
              <w:numPr>
                <w:ilvl w:val="0"/>
                <w:numId w:val="0"/>
              </w:numPr>
              <w:tabs>
                <w:tab w:val="left" w:pos="2835"/>
                <w:tab w:val="left" w:pos="3119"/>
              </w:tabs>
              <w:spacing w:before="120" w:after="120"/>
              <w:rPr>
                <w:color w:val="000000" w:themeColor="text1"/>
              </w:rPr>
            </w:pPr>
          </w:p>
        </w:tc>
      </w:tr>
      <w:tr w:rsidR="00AC10A8" w:rsidRPr="00306115" w14:paraId="33FCED8B" w14:textId="77777777" w:rsidTr="00AC10A8">
        <w:tc>
          <w:tcPr>
            <w:tcW w:w="5843" w:type="dxa"/>
            <w:gridSpan w:val="2"/>
          </w:tcPr>
          <w:p w14:paraId="1F109C0F" w14:textId="77777777" w:rsidR="00AC10A8" w:rsidRPr="00306115" w:rsidRDefault="00AC10A8" w:rsidP="00AC10A8">
            <w:pPr>
              <w:pStyle w:val="BodyText"/>
              <w:numPr>
                <w:ilvl w:val="0"/>
                <w:numId w:val="0"/>
              </w:numPr>
              <w:tabs>
                <w:tab w:val="left" w:pos="2835"/>
                <w:tab w:val="left" w:pos="3119"/>
              </w:tabs>
              <w:spacing w:before="120" w:after="120"/>
              <w:rPr>
                <w:color w:val="000000" w:themeColor="text1"/>
              </w:rPr>
            </w:pPr>
            <w:r w:rsidRPr="00306115">
              <w:rPr>
                <w:color w:val="000000" w:themeColor="text1"/>
              </w:rPr>
              <w:t>Peringkat Tingkat Kesehatan Manajer Investasi</w:t>
            </w:r>
          </w:p>
        </w:tc>
        <w:tc>
          <w:tcPr>
            <w:tcW w:w="2656" w:type="dxa"/>
          </w:tcPr>
          <w:p w14:paraId="5B3FA72A" w14:textId="77777777" w:rsidR="00AC10A8" w:rsidRPr="00306115" w:rsidRDefault="00AC10A8" w:rsidP="00AC10A8">
            <w:pPr>
              <w:pStyle w:val="BodyText"/>
              <w:numPr>
                <w:ilvl w:val="0"/>
                <w:numId w:val="0"/>
              </w:numPr>
              <w:tabs>
                <w:tab w:val="left" w:pos="2835"/>
                <w:tab w:val="left" w:pos="3119"/>
              </w:tabs>
              <w:spacing w:before="120" w:after="120"/>
              <w:rPr>
                <w:color w:val="000000" w:themeColor="text1"/>
              </w:rPr>
            </w:pPr>
          </w:p>
        </w:tc>
      </w:tr>
    </w:tbl>
    <w:p w14:paraId="32B67BCA" w14:textId="77777777" w:rsidR="00842C1A" w:rsidRPr="00306115" w:rsidRDefault="00842C1A" w:rsidP="00842C1A">
      <w:pPr>
        <w:pStyle w:val="BodyText"/>
        <w:numPr>
          <w:ilvl w:val="0"/>
          <w:numId w:val="0"/>
        </w:numPr>
        <w:tabs>
          <w:tab w:val="left" w:pos="2835"/>
          <w:tab w:val="left" w:pos="3119"/>
        </w:tabs>
        <w:ind w:left="567"/>
        <w:rPr>
          <w:color w:val="000000" w:themeColor="text1"/>
        </w:rPr>
      </w:pPr>
    </w:p>
    <w:tbl>
      <w:tblPr>
        <w:tblStyle w:val="TableGrid"/>
        <w:tblW w:w="0" w:type="auto"/>
        <w:tblInd w:w="562" w:type="dxa"/>
        <w:tblLook w:val="04A0" w:firstRow="1" w:lastRow="0" w:firstColumn="1" w:lastColumn="0" w:noHBand="0" w:noVBand="1"/>
      </w:tblPr>
      <w:tblGrid>
        <w:gridCol w:w="4111"/>
        <w:gridCol w:w="4388"/>
      </w:tblGrid>
      <w:tr w:rsidR="002A2F83" w:rsidRPr="00306115" w14:paraId="355DF8CE" w14:textId="77777777" w:rsidTr="00F80E9F">
        <w:tc>
          <w:tcPr>
            <w:tcW w:w="8499" w:type="dxa"/>
            <w:gridSpan w:val="2"/>
            <w:shd w:val="clear" w:color="auto" w:fill="D9D9D9" w:themeFill="background1" w:themeFillShade="D9"/>
          </w:tcPr>
          <w:p w14:paraId="662BB224" w14:textId="77777777" w:rsidR="002A2F83" w:rsidRPr="00306115" w:rsidRDefault="002A2F83" w:rsidP="00F80E9F">
            <w:pPr>
              <w:pStyle w:val="BodyText"/>
              <w:numPr>
                <w:ilvl w:val="0"/>
                <w:numId w:val="0"/>
              </w:numPr>
              <w:tabs>
                <w:tab w:val="left" w:pos="2835"/>
                <w:tab w:val="left" w:pos="3119"/>
              </w:tabs>
              <w:spacing w:before="120" w:after="120"/>
              <w:jc w:val="center"/>
              <w:rPr>
                <w:color w:val="000000" w:themeColor="text1"/>
              </w:rPr>
            </w:pPr>
            <w:r w:rsidRPr="00306115">
              <w:rPr>
                <w:color w:val="000000" w:themeColor="text1"/>
              </w:rPr>
              <w:t>Analisis</w:t>
            </w:r>
          </w:p>
        </w:tc>
      </w:tr>
      <w:tr w:rsidR="002A2F83" w:rsidRPr="00306115" w14:paraId="65D02824" w14:textId="77777777" w:rsidTr="00F80E9F">
        <w:trPr>
          <w:trHeight w:val="2785"/>
        </w:trPr>
        <w:tc>
          <w:tcPr>
            <w:tcW w:w="8499" w:type="dxa"/>
            <w:gridSpan w:val="2"/>
          </w:tcPr>
          <w:p w14:paraId="711EB5A0" w14:textId="77777777" w:rsidR="002A2F83" w:rsidRPr="00306115" w:rsidRDefault="002A2F83" w:rsidP="00F80E9F">
            <w:pPr>
              <w:pStyle w:val="Default"/>
              <w:spacing w:before="120" w:line="276" w:lineRule="auto"/>
              <w:jc w:val="both"/>
              <w:rPr>
                <w:color w:val="000000" w:themeColor="text1"/>
              </w:rPr>
            </w:pPr>
            <w:r w:rsidRPr="00306115">
              <w:rPr>
                <w:color w:val="000000" w:themeColor="text1"/>
              </w:rPr>
              <w:t xml:space="preserve">Analisis mengenai kondisi Manajer Investasi secara keseluruhan tercermin dari keempat faktor penilaian Tingkat Kesehatan Manajer Investasi sebagai berikut: </w:t>
            </w:r>
          </w:p>
          <w:p w14:paraId="422A9D35" w14:textId="77777777" w:rsidR="002A2F83" w:rsidRPr="00306115" w:rsidRDefault="002A2F83">
            <w:pPr>
              <w:pStyle w:val="Default"/>
              <w:numPr>
                <w:ilvl w:val="0"/>
                <w:numId w:val="422"/>
              </w:numPr>
              <w:ind w:left="567" w:hanging="567"/>
              <w:jc w:val="both"/>
              <w:rPr>
                <w:color w:val="000000" w:themeColor="text1"/>
              </w:rPr>
            </w:pPr>
            <w:r w:rsidRPr="00306115">
              <w:rPr>
                <w:color w:val="000000" w:themeColor="text1"/>
              </w:rPr>
              <w:t xml:space="preserve">analisis profil risiko yang mencakup risiko inheren, kualitas penerapan Manajemen Risiko, dan tingkat Risiko untuk masing-masing risiko serta tingkat risiko; </w:t>
            </w:r>
          </w:p>
          <w:p w14:paraId="77DDCB40" w14:textId="77777777" w:rsidR="002A2F83" w:rsidRPr="00306115" w:rsidRDefault="002A2F83">
            <w:pPr>
              <w:pStyle w:val="Default"/>
              <w:numPr>
                <w:ilvl w:val="0"/>
                <w:numId w:val="422"/>
              </w:numPr>
              <w:ind w:left="567" w:hanging="567"/>
              <w:jc w:val="both"/>
              <w:rPr>
                <w:color w:val="000000" w:themeColor="text1"/>
              </w:rPr>
            </w:pPr>
            <w:r w:rsidRPr="00306115">
              <w:rPr>
                <w:color w:val="000000" w:themeColor="text1"/>
              </w:rPr>
              <w:t xml:space="preserve">analisis penerapan tata kelola; </w:t>
            </w:r>
          </w:p>
          <w:p w14:paraId="12CB3DA7" w14:textId="77777777" w:rsidR="002A2F83" w:rsidRPr="00306115" w:rsidRDefault="002A2F83">
            <w:pPr>
              <w:pStyle w:val="Default"/>
              <w:numPr>
                <w:ilvl w:val="0"/>
                <w:numId w:val="422"/>
              </w:numPr>
              <w:ind w:left="567" w:hanging="567"/>
              <w:jc w:val="both"/>
              <w:rPr>
                <w:color w:val="000000" w:themeColor="text1"/>
              </w:rPr>
            </w:pPr>
            <w:r w:rsidRPr="00306115">
              <w:rPr>
                <w:color w:val="000000" w:themeColor="text1"/>
              </w:rPr>
              <w:t xml:space="preserve">analisis rentabilitas; dan </w:t>
            </w:r>
          </w:p>
          <w:p w14:paraId="1A08FC9F" w14:textId="77777777" w:rsidR="002A2F83" w:rsidRPr="00306115" w:rsidRDefault="002A2F83">
            <w:pPr>
              <w:pStyle w:val="Default"/>
              <w:numPr>
                <w:ilvl w:val="0"/>
                <w:numId w:val="422"/>
              </w:numPr>
              <w:spacing w:after="120"/>
              <w:ind w:left="567" w:hanging="567"/>
              <w:jc w:val="both"/>
              <w:rPr>
                <w:color w:val="000000" w:themeColor="text1"/>
              </w:rPr>
            </w:pPr>
            <w:r w:rsidRPr="00306115">
              <w:rPr>
                <w:color w:val="000000" w:themeColor="text1"/>
              </w:rPr>
              <w:t xml:space="preserve">analisis permodalan. </w:t>
            </w:r>
            <w:r w:rsidRPr="00306115">
              <w:rPr>
                <w:strike/>
                <w:color w:val="000000" w:themeColor="text1"/>
              </w:rPr>
              <w:t xml:space="preserve"> </w:t>
            </w:r>
          </w:p>
        </w:tc>
      </w:tr>
      <w:tr w:rsidR="002A2F83" w:rsidRPr="00306115" w14:paraId="31B7AC5D" w14:textId="77777777" w:rsidTr="00F80E9F">
        <w:tc>
          <w:tcPr>
            <w:tcW w:w="4111" w:type="dxa"/>
          </w:tcPr>
          <w:p w14:paraId="7DA0D8BF" w14:textId="77777777" w:rsidR="002A2F83" w:rsidRPr="00306115" w:rsidRDefault="002A2F83" w:rsidP="00F80E9F">
            <w:pPr>
              <w:pStyle w:val="Default"/>
              <w:spacing w:before="120" w:after="120" w:line="276" w:lineRule="auto"/>
              <w:jc w:val="both"/>
              <w:rPr>
                <w:color w:val="000000" w:themeColor="text1"/>
              </w:rPr>
            </w:pPr>
            <w:r w:rsidRPr="00306115">
              <w:rPr>
                <w:color w:val="000000" w:themeColor="text1"/>
              </w:rPr>
              <w:t>Tanggal:</w:t>
            </w:r>
          </w:p>
        </w:tc>
        <w:tc>
          <w:tcPr>
            <w:tcW w:w="4388" w:type="dxa"/>
          </w:tcPr>
          <w:p w14:paraId="1EA81844" w14:textId="77777777" w:rsidR="002A2F83" w:rsidRPr="00306115" w:rsidRDefault="002A2F83" w:rsidP="00F80E9F">
            <w:pPr>
              <w:pStyle w:val="Default"/>
              <w:spacing w:before="120" w:after="120" w:line="276" w:lineRule="auto"/>
              <w:jc w:val="both"/>
              <w:rPr>
                <w:color w:val="000000" w:themeColor="text1"/>
              </w:rPr>
            </w:pPr>
            <w:r w:rsidRPr="00306115">
              <w:rPr>
                <w:color w:val="000000" w:themeColor="text1"/>
              </w:rPr>
              <w:t>Tanggal:</w:t>
            </w:r>
          </w:p>
        </w:tc>
      </w:tr>
      <w:tr w:rsidR="002A2F83" w:rsidRPr="00306115" w14:paraId="6B14E45E" w14:textId="77777777" w:rsidTr="00F80E9F">
        <w:tc>
          <w:tcPr>
            <w:tcW w:w="4111" w:type="dxa"/>
          </w:tcPr>
          <w:p w14:paraId="6E5C4672" w14:textId="77777777" w:rsidR="002A2F83" w:rsidRPr="00306115" w:rsidRDefault="002A2F83" w:rsidP="00F80E9F">
            <w:pPr>
              <w:pStyle w:val="Default"/>
              <w:spacing w:before="120" w:after="120" w:line="276" w:lineRule="auto"/>
              <w:jc w:val="both"/>
              <w:rPr>
                <w:color w:val="000000" w:themeColor="text1"/>
              </w:rPr>
            </w:pPr>
            <w:r w:rsidRPr="00306115">
              <w:rPr>
                <w:color w:val="000000" w:themeColor="text1"/>
              </w:rPr>
              <w:t>Disiapkan Oleh:</w:t>
            </w:r>
          </w:p>
        </w:tc>
        <w:tc>
          <w:tcPr>
            <w:tcW w:w="4388" w:type="dxa"/>
          </w:tcPr>
          <w:p w14:paraId="65077B5F" w14:textId="77777777" w:rsidR="002A2F83" w:rsidRPr="00306115" w:rsidRDefault="002A2F83" w:rsidP="00F80E9F">
            <w:pPr>
              <w:pStyle w:val="Default"/>
              <w:spacing w:before="120" w:after="120" w:line="276" w:lineRule="auto"/>
              <w:jc w:val="both"/>
              <w:rPr>
                <w:color w:val="000000" w:themeColor="text1"/>
              </w:rPr>
            </w:pPr>
            <w:r w:rsidRPr="00306115">
              <w:rPr>
                <w:color w:val="000000" w:themeColor="text1"/>
              </w:rPr>
              <w:t>Disetujui Oleh:</w:t>
            </w:r>
          </w:p>
        </w:tc>
      </w:tr>
    </w:tbl>
    <w:p w14:paraId="5AC12F67" w14:textId="77777777" w:rsidR="00842C1A" w:rsidRPr="00306115" w:rsidRDefault="00842C1A" w:rsidP="009A006A">
      <w:pPr>
        <w:pStyle w:val="HeadingAwalDaftarIsiLampiran"/>
        <w:numPr>
          <w:ilvl w:val="0"/>
          <w:numId w:val="0"/>
        </w:numPr>
        <w:ind w:left="567"/>
        <w:rPr>
          <w:rFonts w:eastAsia="Calibri" w:cs="Bookman Old Style"/>
          <w:bCs/>
        </w:rPr>
      </w:pPr>
    </w:p>
    <w:p w14:paraId="74767604" w14:textId="389202AE" w:rsidR="0001619B" w:rsidRPr="00306115" w:rsidRDefault="00CC2C04">
      <w:pPr>
        <w:pStyle w:val="HeadingAwalDaftarIsiLampiran"/>
        <w:numPr>
          <w:ilvl w:val="6"/>
          <w:numId w:val="295"/>
        </w:numPr>
        <w:ind w:left="567" w:hanging="567"/>
      </w:pPr>
      <w:r w:rsidRPr="00306115">
        <w:rPr>
          <w:rFonts w:eastAsia="Calibri" w:cs="Bookman Old Style"/>
          <w:bCs/>
        </w:rPr>
        <w:t>Penilaian Sendiri Faktor Profil Risiko</w:t>
      </w:r>
    </w:p>
    <w:p w14:paraId="72C8BB29" w14:textId="77777777" w:rsidR="00F80E9F" w:rsidRPr="00306115" w:rsidRDefault="00F80E9F" w:rsidP="00F80E9F">
      <w:pPr>
        <w:pStyle w:val="HeadingAwalDaftarIsiLampiran"/>
        <w:numPr>
          <w:ilvl w:val="0"/>
          <w:numId w:val="0"/>
        </w:numPr>
        <w:ind w:left="567"/>
        <w:rPr>
          <w:rFonts w:eastAsia="Calibri" w:cs="Bookman Old Style"/>
          <w:bCs/>
        </w:rPr>
      </w:pPr>
    </w:p>
    <w:p w14:paraId="6F4E87A3" w14:textId="77777777" w:rsidR="008247A9" w:rsidRPr="00306115" w:rsidRDefault="008247A9" w:rsidP="008247A9">
      <w:pPr>
        <w:pStyle w:val="HeadingAwalDaftarIsiLampiran"/>
        <w:numPr>
          <w:ilvl w:val="0"/>
          <w:numId w:val="0"/>
        </w:numPr>
        <w:ind w:left="567"/>
      </w:pPr>
      <w:r w:rsidRPr="00306115">
        <w:t>Nama Manajer Investasi:</w:t>
      </w:r>
      <w:r w:rsidRPr="00306115">
        <w:tab/>
      </w:r>
    </w:p>
    <w:p w14:paraId="1DB7CCBA" w14:textId="77777777" w:rsidR="008247A9" w:rsidRPr="00306115" w:rsidRDefault="008247A9" w:rsidP="008247A9">
      <w:pPr>
        <w:pStyle w:val="BodyText"/>
        <w:numPr>
          <w:ilvl w:val="0"/>
          <w:numId w:val="0"/>
        </w:numPr>
        <w:tabs>
          <w:tab w:val="left" w:pos="2835"/>
          <w:tab w:val="left" w:pos="3119"/>
        </w:tabs>
        <w:ind w:left="567"/>
        <w:rPr>
          <w:color w:val="000000" w:themeColor="text1"/>
        </w:rPr>
      </w:pPr>
      <w:r w:rsidRPr="00306115">
        <w:rPr>
          <w:color w:val="000000" w:themeColor="text1"/>
        </w:rPr>
        <w:t>Kelompok Manajer Investasi (Manajer Investasi Kegiatan Usaha):</w:t>
      </w:r>
    </w:p>
    <w:p w14:paraId="1DD9A417" w14:textId="77777777" w:rsidR="00F80E9F" w:rsidRPr="00306115" w:rsidRDefault="00F80E9F" w:rsidP="00F80E9F">
      <w:pPr>
        <w:pStyle w:val="HeadingAwalDaftarIsiLampiran"/>
        <w:numPr>
          <w:ilvl w:val="0"/>
          <w:numId w:val="0"/>
        </w:numPr>
        <w:ind w:left="567"/>
        <w:rPr>
          <w:rFonts w:eastAsia="Calibri" w:cs="Bookman Old Style"/>
          <w:bCs/>
        </w:rPr>
      </w:pPr>
    </w:p>
    <w:tbl>
      <w:tblPr>
        <w:tblStyle w:val="TableGrid"/>
        <w:tblW w:w="0" w:type="auto"/>
        <w:tblInd w:w="562" w:type="dxa"/>
        <w:tblLook w:val="04A0" w:firstRow="1" w:lastRow="0" w:firstColumn="1" w:lastColumn="0" w:noHBand="0" w:noVBand="1"/>
      </w:tblPr>
      <w:tblGrid>
        <w:gridCol w:w="4183"/>
        <w:gridCol w:w="1335"/>
        <w:gridCol w:w="1580"/>
        <w:gridCol w:w="1401"/>
      </w:tblGrid>
      <w:tr w:rsidR="008D2285" w:rsidRPr="00306115" w14:paraId="246FA764" w14:textId="77777777" w:rsidTr="008D2285">
        <w:tc>
          <w:tcPr>
            <w:tcW w:w="4395" w:type="dxa"/>
            <w:shd w:val="clear" w:color="auto" w:fill="D9D9D9" w:themeFill="background1" w:themeFillShade="D9"/>
            <w:vAlign w:val="center"/>
          </w:tcPr>
          <w:p w14:paraId="56B5F488" w14:textId="77777777" w:rsidR="008D2285" w:rsidRPr="00306115" w:rsidRDefault="008D2285" w:rsidP="008D2285">
            <w:pPr>
              <w:spacing w:before="120" w:after="120"/>
              <w:jc w:val="center"/>
              <w:rPr>
                <w:rFonts w:eastAsia="Calibri" w:cs="Bookman Old Style"/>
                <w:bCs/>
                <w:color w:val="000000" w:themeColor="text1"/>
                <w:szCs w:val="24"/>
              </w:rPr>
            </w:pPr>
            <w:r w:rsidRPr="00306115">
              <w:rPr>
                <w:rFonts w:eastAsia="Calibri" w:cs="Bookman Old Style"/>
                <w:bCs/>
                <w:color w:val="000000" w:themeColor="text1"/>
                <w:szCs w:val="24"/>
              </w:rPr>
              <w:t>Profil Risiko</w:t>
            </w:r>
          </w:p>
        </w:tc>
        <w:tc>
          <w:tcPr>
            <w:tcW w:w="1117" w:type="dxa"/>
            <w:shd w:val="clear" w:color="auto" w:fill="D9D9D9" w:themeFill="background1" w:themeFillShade="D9"/>
            <w:vAlign w:val="center"/>
          </w:tcPr>
          <w:p w14:paraId="1D72F3C7" w14:textId="77777777" w:rsidR="008D2285" w:rsidRPr="00306115" w:rsidRDefault="008D2285" w:rsidP="008D2285">
            <w:pPr>
              <w:spacing w:before="120" w:after="120"/>
              <w:jc w:val="center"/>
              <w:rPr>
                <w:rFonts w:eastAsia="Calibri" w:cs="Bookman Old Style"/>
                <w:bCs/>
                <w:color w:val="000000" w:themeColor="text1"/>
                <w:szCs w:val="24"/>
              </w:rPr>
            </w:pPr>
            <w:r w:rsidRPr="00306115">
              <w:rPr>
                <w:rFonts w:eastAsia="Calibri" w:cs="Bookman Old Style"/>
                <w:bCs/>
                <w:color w:val="000000" w:themeColor="text1"/>
                <w:szCs w:val="24"/>
              </w:rPr>
              <w:t>Peringkat Risiko Inheren</w:t>
            </w:r>
          </w:p>
        </w:tc>
        <w:tc>
          <w:tcPr>
            <w:tcW w:w="1580" w:type="dxa"/>
            <w:shd w:val="clear" w:color="auto" w:fill="D9D9D9" w:themeFill="background1" w:themeFillShade="D9"/>
            <w:vAlign w:val="center"/>
          </w:tcPr>
          <w:p w14:paraId="5DFEE21F" w14:textId="77777777" w:rsidR="008D2285" w:rsidRPr="00306115" w:rsidRDefault="008D2285" w:rsidP="008D2285">
            <w:pPr>
              <w:spacing w:before="120" w:after="120"/>
              <w:jc w:val="center"/>
              <w:rPr>
                <w:rFonts w:eastAsia="Calibri" w:cs="Bookman Old Style"/>
                <w:bCs/>
                <w:color w:val="000000" w:themeColor="text1"/>
                <w:szCs w:val="24"/>
              </w:rPr>
            </w:pPr>
            <w:r w:rsidRPr="00306115">
              <w:rPr>
                <w:rFonts w:eastAsia="Calibri" w:cs="Bookman Old Style"/>
                <w:bCs/>
                <w:color w:val="000000" w:themeColor="text1"/>
                <w:szCs w:val="24"/>
              </w:rPr>
              <w:t>Peringkat Kualitas Penerapan Manajemen Risiko</w:t>
            </w:r>
          </w:p>
        </w:tc>
        <w:tc>
          <w:tcPr>
            <w:tcW w:w="1407" w:type="dxa"/>
            <w:shd w:val="clear" w:color="auto" w:fill="D9D9D9" w:themeFill="background1" w:themeFillShade="D9"/>
            <w:vAlign w:val="center"/>
          </w:tcPr>
          <w:p w14:paraId="1635AE62" w14:textId="77777777" w:rsidR="008D2285" w:rsidRPr="00306115" w:rsidRDefault="008D2285" w:rsidP="008D2285">
            <w:pPr>
              <w:spacing w:before="120" w:after="120"/>
              <w:jc w:val="center"/>
              <w:rPr>
                <w:rFonts w:eastAsia="Calibri" w:cs="Bookman Old Style"/>
                <w:bCs/>
                <w:color w:val="000000" w:themeColor="text1"/>
                <w:szCs w:val="24"/>
              </w:rPr>
            </w:pPr>
            <w:r w:rsidRPr="00306115">
              <w:rPr>
                <w:rFonts w:eastAsia="Calibri" w:cs="Bookman Old Style"/>
                <w:bCs/>
                <w:color w:val="000000" w:themeColor="text1"/>
                <w:szCs w:val="24"/>
              </w:rPr>
              <w:t>Tingkat Risiko</w:t>
            </w:r>
          </w:p>
        </w:tc>
      </w:tr>
      <w:tr w:rsidR="008D2285" w:rsidRPr="00306115" w14:paraId="32F898B3" w14:textId="77777777" w:rsidTr="008D2285">
        <w:tc>
          <w:tcPr>
            <w:tcW w:w="4395" w:type="dxa"/>
            <w:vAlign w:val="center"/>
          </w:tcPr>
          <w:p w14:paraId="6A756D3C" w14:textId="77777777" w:rsidR="008D2285" w:rsidRPr="00306115" w:rsidRDefault="008D2285" w:rsidP="008D2285">
            <w:pPr>
              <w:spacing w:before="60" w:after="60"/>
              <w:rPr>
                <w:rFonts w:eastAsia="Calibri" w:cs="Bookman Old Style"/>
                <w:bCs/>
                <w:color w:val="000000" w:themeColor="text1"/>
                <w:szCs w:val="24"/>
              </w:rPr>
            </w:pPr>
            <w:r w:rsidRPr="00306115">
              <w:rPr>
                <w:rFonts w:eastAsia="Calibri" w:cs="Bookman Old Style"/>
                <w:bCs/>
                <w:color w:val="000000" w:themeColor="text1"/>
                <w:szCs w:val="24"/>
              </w:rPr>
              <w:t>Risiko Pasar</w:t>
            </w:r>
          </w:p>
        </w:tc>
        <w:tc>
          <w:tcPr>
            <w:tcW w:w="1117" w:type="dxa"/>
            <w:vAlign w:val="center"/>
          </w:tcPr>
          <w:p w14:paraId="35EC82B2" w14:textId="77777777" w:rsidR="008D2285" w:rsidRPr="00306115" w:rsidRDefault="008D2285" w:rsidP="008D2285">
            <w:pPr>
              <w:spacing w:before="60" w:after="60"/>
              <w:rPr>
                <w:rFonts w:eastAsia="Calibri" w:cs="Bookman Old Style"/>
                <w:bCs/>
                <w:color w:val="000000" w:themeColor="text1"/>
                <w:szCs w:val="24"/>
              </w:rPr>
            </w:pPr>
          </w:p>
        </w:tc>
        <w:tc>
          <w:tcPr>
            <w:tcW w:w="1580" w:type="dxa"/>
            <w:vAlign w:val="center"/>
          </w:tcPr>
          <w:p w14:paraId="4D5EAFB8" w14:textId="77777777" w:rsidR="008D2285" w:rsidRPr="00306115" w:rsidRDefault="008D2285" w:rsidP="008D2285">
            <w:pPr>
              <w:spacing w:before="60" w:after="60"/>
              <w:rPr>
                <w:rFonts w:eastAsia="Calibri" w:cs="Bookman Old Style"/>
                <w:bCs/>
                <w:color w:val="000000" w:themeColor="text1"/>
                <w:szCs w:val="24"/>
              </w:rPr>
            </w:pPr>
          </w:p>
        </w:tc>
        <w:tc>
          <w:tcPr>
            <w:tcW w:w="1407" w:type="dxa"/>
            <w:vAlign w:val="center"/>
          </w:tcPr>
          <w:p w14:paraId="30FB47A7" w14:textId="77777777" w:rsidR="008D2285" w:rsidRPr="00306115" w:rsidRDefault="008D2285" w:rsidP="008D2285">
            <w:pPr>
              <w:spacing w:before="60" w:after="60"/>
              <w:rPr>
                <w:rFonts w:eastAsia="Calibri" w:cs="Bookman Old Style"/>
                <w:bCs/>
                <w:color w:val="000000" w:themeColor="text1"/>
                <w:szCs w:val="24"/>
              </w:rPr>
            </w:pPr>
          </w:p>
        </w:tc>
      </w:tr>
      <w:tr w:rsidR="008D2285" w:rsidRPr="00306115" w14:paraId="439E9AD7" w14:textId="77777777" w:rsidTr="008D2285">
        <w:tc>
          <w:tcPr>
            <w:tcW w:w="4395" w:type="dxa"/>
            <w:vAlign w:val="center"/>
          </w:tcPr>
          <w:p w14:paraId="0606EC5D" w14:textId="77777777" w:rsidR="008D2285" w:rsidRPr="00306115" w:rsidRDefault="008D2285" w:rsidP="008D2285">
            <w:pPr>
              <w:spacing w:before="60" w:after="60"/>
              <w:rPr>
                <w:rFonts w:eastAsia="Calibri" w:cs="Bookman Old Style"/>
                <w:bCs/>
                <w:color w:val="000000" w:themeColor="text1"/>
                <w:szCs w:val="24"/>
              </w:rPr>
            </w:pPr>
            <w:r w:rsidRPr="00306115">
              <w:rPr>
                <w:rFonts w:eastAsia="Calibri" w:cs="Bookman Old Style"/>
                <w:bCs/>
                <w:color w:val="000000" w:themeColor="text1"/>
                <w:szCs w:val="24"/>
              </w:rPr>
              <w:t>Risiko Likuiditas Produk Investasi</w:t>
            </w:r>
          </w:p>
        </w:tc>
        <w:tc>
          <w:tcPr>
            <w:tcW w:w="1117" w:type="dxa"/>
            <w:vAlign w:val="center"/>
          </w:tcPr>
          <w:p w14:paraId="52A65D63" w14:textId="77777777" w:rsidR="008D2285" w:rsidRPr="00306115" w:rsidRDefault="008D2285" w:rsidP="008D2285">
            <w:pPr>
              <w:spacing w:before="60" w:after="60"/>
              <w:rPr>
                <w:rFonts w:eastAsia="Calibri" w:cs="Bookman Old Style"/>
                <w:bCs/>
                <w:color w:val="000000" w:themeColor="text1"/>
                <w:szCs w:val="24"/>
              </w:rPr>
            </w:pPr>
          </w:p>
        </w:tc>
        <w:tc>
          <w:tcPr>
            <w:tcW w:w="1580" w:type="dxa"/>
            <w:vAlign w:val="center"/>
          </w:tcPr>
          <w:p w14:paraId="5359823E" w14:textId="77777777" w:rsidR="008D2285" w:rsidRPr="00306115" w:rsidRDefault="008D2285" w:rsidP="008D2285">
            <w:pPr>
              <w:spacing w:before="60" w:after="60"/>
              <w:rPr>
                <w:rFonts w:eastAsia="Calibri" w:cs="Bookman Old Style"/>
                <w:bCs/>
                <w:color w:val="000000" w:themeColor="text1"/>
                <w:szCs w:val="24"/>
              </w:rPr>
            </w:pPr>
          </w:p>
        </w:tc>
        <w:tc>
          <w:tcPr>
            <w:tcW w:w="1407" w:type="dxa"/>
            <w:vAlign w:val="center"/>
          </w:tcPr>
          <w:p w14:paraId="2BE67837" w14:textId="77777777" w:rsidR="008D2285" w:rsidRPr="00306115" w:rsidRDefault="008D2285" w:rsidP="008D2285">
            <w:pPr>
              <w:spacing w:before="60" w:after="60"/>
              <w:rPr>
                <w:rFonts w:eastAsia="Calibri" w:cs="Bookman Old Style"/>
                <w:bCs/>
                <w:color w:val="000000" w:themeColor="text1"/>
                <w:szCs w:val="24"/>
              </w:rPr>
            </w:pPr>
          </w:p>
        </w:tc>
      </w:tr>
      <w:tr w:rsidR="008D2285" w:rsidRPr="00306115" w14:paraId="2345C49E" w14:textId="77777777" w:rsidTr="008D2285">
        <w:tc>
          <w:tcPr>
            <w:tcW w:w="4395" w:type="dxa"/>
            <w:vAlign w:val="center"/>
          </w:tcPr>
          <w:p w14:paraId="36A7012C" w14:textId="77777777" w:rsidR="008D2285" w:rsidRPr="00306115" w:rsidRDefault="008D2285" w:rsidP="008D2285">
            <w:pPr>
              <w:spacing w:before="60" w:after="60"/>
              <w:rPr>
                <w:rFonts w:eastAsia="Calibri" w:cs="Bookman Old Style"/>
                <w:bCs/>
                <w:color w:val="000000" w:themeColor="text1"/>
                <w:szCs w:val="24"/>
              </w:rPr>
            </w:pPr>
            <w:r w:rsidRPr="00306115">
              <w:rPr>
                <w:rFonts w:eastAsia="Calibri" w:cs="Bookman Old Style"/>
                <w:bCs/>
                <w:color w:val="000000" w:themeColor="text1"/>
                <w:szCs w:val="24"/>
              </w:rPr>
              <w:t>Risiko Kredit</w:t>
            </w:r>
          </w:p>
        </w:tc>
        <w:tc>
          <w:tcPr>
            <w:tcW w:w="1117" w:type="dxa"/>
            <w:vAlign w:val="center"/>
          </w:tcPr>
          <w:p w14:paraId="3FE4D15F" w14:textId="77777777" w:rsidR="008D2285" w:rsidRPr="00306115" w:rsidRDefault="008D2285" w:rsidP="008D2285">
            <w:pPr>
              <w:spacing w:before="60" w:after="60"/>
              <w:rPr>
                <w:rFonts w:eastAsia="Calibri" w:cs="Bookman Old Style"/>
                <w:bCs/>
                <w:color w:val="000000" w:themeColor="text1"/>
                <w:szCs w:val="24"/>
              </w:rPr>
            </w:pPr>
          </w:p>
        </w:tc>
        <w:tc>
          <w:tcPr>
            <w:tcW w:w="1580" w:type="dxa"/>
            <w:vAlign w:val="center"/>
          </w:tcPr>
          <w:p w14:paraId="484101ED" w14:textId="77777777" w:rsidR="008D2285" w:rsidRPr="00306115" w:rsidRDefault="008D2285" w:rsidP="008D2285">
            <w:pPr>
              <w:spacing w:before="60" w:after="60"/>
              <w:rPr>
                <w:rFonts w:eastAsia="Calibri" w:cs="Bookman Old Style"/>
                <w:bCs/>
                <w:color w:val="000000" w:themeColor="text1"/>
                <w:szCs w:val="24"/>
              </w:rPr>
            </w:pPr>
          </w:p>
        </w:tc>
        <w:tc>
          <w:tcPr>
            <w:tcW w:w="1407" w:type="dxa"/>
            <w:vAlign w:val="center"/>
          </w:tcPr>
          <w:p w14:paraId="00F3C7D4" w14:textId="77777777" w:rsidR="008D2285" w:rsidRPr="00306115" w:rsidRDefault="008D2285" w:rsidP="008D2285">
            <w:pPr>
              <w:spacing w:before="60" w:after="60"/>
              <w:rPr>
                <w:rFonts w:eastAsia="Calibri" w:cs="Bookman Old Style"/>
                <w:bCs/>
                <w:color w:val="000000" w:themeColor="text1"/>
                <w:szCs w:val="24"/>
              </w:rPr>
            </w:pPr>
          </w:p>
        </w:tc>
      </w:tr>
      <w:tr w:rsidR="008D2285" w:rsidRPr="00306115" w14:paraId="5F43466D" w14:textId="77777777" w:rsidTr="008D2285">
        <w:tc>
          <w:tcPr>
            <w:tcW w:w="4395" w:type="dxa"/>
            <w:vAlign w:val="center"/>
          </w:tcPr>
          <w:p w14:paraId="4694A882" w14:textId="77777777" w:rsidR="008D2285" w:rsidRPr="00306115" w:rsidRDefault="008D2285" w:rsidP="008D2285">
            <w:pPr>
              <w:spacing w:before="60" w:after="60"/>
              <w:rPr>
                <w:rFonts w:eastAsia="Calibri" w:cs="Bookman Old Style"/>
                <w:bCs/>
                <w:color w:val="000000" w:themeColor="text1"/>
                <w:szCs w:val="24"/>
              </w:rPr>
            </w:pPr>
            <w:r w:rsidRPr="00306115">
              <w:rPr>
                <w:rFonts w:eastAsia="Calibri" w:cs="Bookman Old Style"/>
                <w:bCs/>
                <w:color w:val="000000" w:themeColor="text1"/>
                <w:szCs w:val="24"/>
              </w:rPr>
              <w:t>Risiko Konsentrasi Portofolio Efek</w:t>
            </w:r>
          </w:p>
        </w:tc>
        <w:tc>
          <w:tcPr>
            <w:tcW w:w="1117" w:type="dxa"/>
            <w:vAlign w:val="center"/>
          </w:tcPr>
          <w:p w14:paraId="501150AA" w14:textId="77777777" w:rsidR="008D2285" w:rsidRPr="00306115" w:rsidRDefault="008D2285" w:rsidP="008D2285">
            <w:pPr>
              <w:spacing w:before="60" w:after="60"/>
              <w:rPr>
                <w:rFonts w:eastAsia="Calibri" w:cs="Bookman Old Style"/>
                <w:bCs/>
                <w:color w:val="000000" w:themeColor="text1"/>
                <w:szCs w:val="24"/>
              </w:rPr>
            </w:pPr>
          </w:p>
        </w:tc>
        <w:tc>
          <w:tcPr>
            <w:tcW w:w="1580" w:type="dxa"/>
            <w:vAlign w:val="center"/>
          </w:tcPr>
          <w:p w14:paraId="43506C37" w14:textId="77777777" w:rsidR="008D2285" w:rsidRPr="00306115" w:rsidRDefault="008D2285" w:rsidP="008D2285">
            <w:pPr>
              <w:spacing w:before="60" w:after="60"/>
              <w:rPr>
                <w:rFonts w:eastAsia="Calibri" w:cs="Bookman Old Style"/>
                <w:bCs/>
                <w:color w:val="000000" w:themeColor="text1"/>
                <w:szCs w:val="24"/>
              </w:rPr>
            </w:pPr>
          </w:p>
        </w:tc>
        <w:tc>
          <w:tcPr>
            <w:tcW w:w="1407" w:type="dxa"/>
            <w:vAlign w:val="center"/>
          </w:tcPr>
          <w:p w14:paraId="7F544761" w14:textId="77777777" w:rsidR="008D2285" w:rsidRPr="00306115" w:rsidRDefault="008D2285" w:rsidP="008D2285">
            <w:pPr>
              <w:spacing w:before="60" w:after="60"/>
              <w:rPr>
                <w:rFonts w:eastAsia="Calibri" w:cs="Bookman Old Style"/>
                <w:bCs/>
                <w:color w:val="000000" w:themeColor="text1"/>
                <w:szCs w:val="24"/>
              </w:rPr>
            </w:pPr>
          </w:p>
        </w:tc>
      </w:tr>
      <w:tr w:rsidR="008D2285" w:rsidRPr="00306115" w14:paraId="33D21DFC" w14:textId="77777777" w:rsidTr="008D2285">
        <w:tc>
          <w:tcPr>
            <w:tcW w:w="4395" w:type="dxa"/>
            <w:vAlign w:val="center"/>
          </w:tcPr>
          <w:p w14:paraId="32F1BCE8" w14:textId="77777777" w:rsidR="008D2285" w:rsidRPr="00306115" w:rsidRDefault="008D2285" w:rsidP="008D2285">
            <w:pPr>
              <w:spacing w:before="60" w:after="60"/>
              <w:rPr>
                <w:rFonts w:eastAsia="Calibri" w:cs="Bookman Old Style"/>
                <w:bCs/>
                <w:color w:val="000000" w:themeColor="text1"/>
                <w:szCs w:val="24"/>
              </w:rPr>
            </w:pPr>
            <w:r w:rsidRPr="00306115">
              <w:rPr>
                <w:rFonts w:eastAsia="Calibri" w:cs="Bookman Old Style"/>
                <w:bCs/>
                <w:color w:val="000000" w:themeColor="text1"/>
                <w:szCs w:val="24"/>
              </w:rPr>
              <w:t>Risiko Operasional</w:t>
            </w:r>
          </w:p>
        </w:tc>
        <w:tc>
          <w:tcPr>
            <w:tcW w:w="1117" w:type="dxa"/>
            <w:vAlign w:val="center"/>
          </w:tcPr>
          <w:p w14:paraId="7EE8ED0A" w14:textId="77777777" w:rsidR="008D2285" w:rsidRPr="00306115" w:rsidRDefault="008D2285" w:rsidP="008D2285">
            <w:pPr>
              <w:spacing w:before="60" w:after="60"/>
              <w:rPr>
                <w:rFonts w:eastAsia="Calibri" w:cs="Bookman Old Style"/>
                <w:bCs/>
                <w:color w:val="000000" w:themeColor="text1"/>
                <w:szCs w:val="24"/>
              </w:rPr>
            </w:pPr>
          </w:p>
        </w:tc>
        <w:tc>
          <w:tcPr>
            <w:tcW w:w="1580" w:type="dxa"/>
            <w:vAlign w:val="center"/>
          </w:tcPr>
          <w:p w14:paraId="48DA93E4" w14:textId="77777777" w:rsidR="008D2285" w:rsidRPr="00306115" w:rsidRDefault="008D2285" w:rsidP="008D2285">
            <w:pPr>
              <w:spacing w:before="60" w:after="60"/>
              <w:rPr>
                <w:rFonts w:eastAsia="Calibri" w:cs="Bookman Old Style"/>
                <w:bCs/>
                <w:color w:val="000000" w:themeColor="text1"/>
                <w:szCs w:val="24"/>
              </w:rPr>
            </w:pPr>
          </w:p>
        </w:tc>
        <w:tc>
          <w:tcPr>
            <w:tcW w:w="1407" w:type="dxa"/>
            <w:vAlign w:val="center"/>
          </w:tcPr>
          <w:p w14:paraId="04686407" w14:textId="77777777" w:rsidR="008D2285" w:rsidRPr="00306115" w:rsidRDefault="008D2285" w:rsidP="008D2285">
            <w:pPr>
              <w:spacing w:before="60" w:after="60"/>
              <w:rPr>
                <w:rFonts w:eastAsia="Calibri" w:cs="Bookman Old Style"/>
                <w:bCs/>
                <w:color w:val="000000" w:themeColor="text1"/>
                <w:szCs w:val="24"/>
              </w:rPr>
            </w:pPr>
          </w:p>
        </w:tc>
      </w:tr>
      <w:tr w:rsidR="008D2285" w:rsidRPr="00306115" w14:paraId="1B15CC23" w14:textId="77777777" w:rsidTr="008D2285">
        <w:tc>
          <w:tcPr>
            <w:tcW w:w="4395" w:type="dxa"/>
            <w:vAlign w:val="center"/>
          </w:tcPr>
          <w:p w14:paraId="1ED5244A" w14:textId="77777777" w:rsidR="008D2285" w:rsidRPr="00306115" w:rsidRDefault="008D2285" w:rsidP="008D2285">
            <w:pPr>
              <w:spacing w:before="60" w:after="60"/>
              <w:rPr>
                <w:rFonts w:eastAsia="Calibri" w:cs="Bookman Old Style"/>
                <w:bCs/>
                <w:color w:val="000000" w:themeColor="text1"/>
                <w:szCs w:val="24"/>
              </w:rPr>
            </w:pPr>
            <w:r w:rsidRPr="00306115">
              <w:rPr>
                <w:rFonts w:eastAsia="Calibri" w:cs="Bookman Old Style"/>
                <w:bCs/>
                <w:color w:val="000000" w:themeColor="text1"/>
                <w:szCs w:val="24"/>
              </w:rPr>
              <w:t>Risiko</w:t>
            </w:r>
            <w:r w:rsidRPr="00306115">
              <w:rPr>
                <w:color w:val="000000" w:themeColor="text1"/>
                <w:szCs w:val="24"/>
              </w:rPr>
              <w:t xml:space="preserve"> </w:t>
            </w:r>
            <w:r w:rsidRPr="00306115">
              <w:rPr>
                <w:rFonts w:eastAsia="Calibri" w:cs="Bookman Old Style"/>
                <w:bCs/>
                <w:color w:val="000000" w:themeColor="text1"/>
                <w:szCs w:val="24"/>
              </w:rPr>
              <w:t>Hukum</w:t>
            </w:r>
          </w:p>
        </w:tc>
        <w:tc>
          <w:tcPr>
            <w:tcW w:w="1117" w:type="dxa"/>
            <w:vAlign w:val="center"/>
          </w:tcPr>
          <w:p w14:paraId="71DDF941" w14:textId="77777777" w:rsidR="008D2285" w:rsidRPr="00306115" w:rsidRDefault="008D2285" w:rsidP="008D2285">
            <w:pPr>
              <w:spacing w:before="60" w:after="60"/>
              <w:rPr>
                <w:rFonts w:eastAsia="Calibri" w:cs="Bookman Old Style"/>
                <w:bCs/>
                <w:color w:val="000000" w:themeColor="text1"/>
                <w:szCs w:val="24"/>
              </w:rPr>
            </w:pPr>
          </w:p>
        </w:tc>
        <w:tc>
          <w:tcPr>
            <w:tcW w:w="1580" w:type="dxa"/>
            <w:vAlign w:val="center"/>
          </w:tcPr>
          <w:p w14:paraId="6BB032AA" w14:textId="77777777" w:rsidR="008D2285" w:rsidRPr="00306115" w:rsidRDefault="008D2285" w:rsidP="008D2285">
            <w:pPr>
              <w:spacing w:before="60" w:after="60"/>
              <w:rPr>
                <w:rFonts w:eastAsia="Calibri" w:cs="Bookman Old Style"/>
                <w:bCs/>
                <w:color w:val="000000" w:themeColor="text1"/>
                <w:szCs w:val="24"/>
              </w:rPr>
            </w:pPr>
          </w:p>
        </w:tc>
        <w:tc>
          <w:tcPr>
            <w:tcW w:w="1407" w:type="dxa"/>
            <w:vAlign w:val="center"/>
          </w:tcPr>
          <w:p w14:paraId="61948DEE" w14:textId="77777777" w:rsidR="008D2285" w:rsidRPr="00306115" w:rsidRDefault="008D2285" w:rsidP="008D2285">
            <w:pPr>
              <w:spacing w:before="60" w:after="60"/>
              <w:rPr>
                <w:rFonts w:eastAsia="Calibri" w:cs="Bookman Old Style"/>
                <w:bCs/>
                <w:color w:val="000000" w:themeColor="text1"/>
                <w:szCs w:val="24"/>
              </w:rPr>
            </w:pPr>
          </w:p>
        </w:tc>
      </w:tr>
      <w:tr w:rsidR="008D2285" w:rsidRPr="00306115" w14:paraId="61CEB359" w14:textId="77777777" w:rsidTr="008D2285">
        <w:tc>
          <w:tcPr>
            <w:tcW w:w="4395" w:type="dxa"/>
            <w:vAlign w:val="center"/>
          </w:tcPr>
          <w:p w14:paraId="2E90EDAF" w14:textId="77777777" w:rsidR="008D2285" w:rsidRPr="00306115" w:rsidRDefault="008D2285" w:rsidP="008D2285">
            <w:pPr>
              <w:spacing w:before="60" w:after="60"/>
              <w:rPr>
                <w:rFonts w:eastAsia="Calibri" w:cs="Bookman Old Style"/>
                <w:bCs/>
                <w:color w:val="000000" w:themeColor="text1"/>
                <w:szCs w:val="24"/>
              </w:rPr>
            </w:pPr>
            <w:r w:rsidRPr="00306115">
              <w:rPr>
                <w:rFonts w:eastAsia="Calibri" w:cs="Bookman Old Style"/>
                <w:bCs/>
                <w:color w:val="000000" w:themeColor="text1"/>
                <w:szCs w:val="24"/>
              </w:rPr>
              <w:lastRenderedPageBreak/>
              <w:t>Risiko</w:t>
            </w:r>
            <w:r w:rsidRPr="00306115">
              <w:rPr>
                <w:color w:val="000000" w:themeColor="text1"/>
                <w:szCs w:val="24"/>
              </w:rPr>
              <w:t xml:space="preserve"> </w:t>
            </w:r>
            <w:r w:rsidRPr="00306115">
              <w:rPr>
                <w:rFonts w:eastAsia="Calibri" w:cs="Bookman Old Style"/>
                <w:bCs/>
                <w:color w:val="000000" w:themeColor="text1"/>
                <w:szCs w:val="24"/>
              </w:rPr>
              <w:t>Kepatuhan</w:t>
            </w:r>
          </w:p>
        </w:tc>
        <w:tc>
          <w:tcPr>
            <w:tcW w:w="1117" w:type="dxa"/>
            <w:vAlign w:val="center"/>
          </w:tcPr>
          <w:p w14:paraId="08FB1E41" w14:textId="77777777" w:rsidR="008D2285" w:rsidRPr="00306115" w:rsidRDefault="008D2285" w:rsidP="008D2285">
            <w:pPr>
              <w:spacing w:before="60" w:after="60"/>
              <w:rPr>
                <w:rFonts w:eastAsia="Calibri" w:cs="Bookman Old Style"/>
                <w:bCs/>
                <w:color w:val="000000" w:themeColor="text1"/>
                <w:szCs w:val="24"/>
              </w:rPr>
            </w:pPr>
          </w:p>
        </w:tc>
        <w:tc>
          <w:tcPr>
            <w:tcW w:w="1580" w:type="dxa"/>
            <w:vAlign w:val="center"/>
          </w:tcPr>
          <w:p w14:paraId="24C468A0" w14:textId="77777777" w:rsidR="008D2285" w:rsidRPr="00306115" w:rsidRDefault="008D2285" w:rsidP="008D2285">
            <w:pPr>
              <w:spacing w:before="60" w:after="60"/>
              <w:rPr>
                <w:rFonts w:eastAsia="Calibri" w:cs="Bookman Old Style"/>
                <w:bCs/>
                <w:color w:val="000000" w:themeColor="text1"/>
                <w:szCs w:val="24"/>
              </w:rPr>
            </w:pPr>
          </w:p>
        </w:tc>
        <w:tc>
          <w:tcPr>
            <w:tcW w:w="1407" w:type="dxa"/>
            <w:vAlign w:val="center"/>
          </w:tcPr>
          <w:p w14:paraId="1DEE80C4" w14:textId="77777777" w:rsidR="008D2285" w:rsidRPr="00306115" w:rsidRDefault="008D2285" w:rsidP="008D2285">
            <w:pPr>
              <w:spacing w:before="60" w:after="60"/>
              <w:rPr>
                <w:rFonts w:eastAsia="Calibri" w:cs="Bookman Old Style"/>
                <w:bCs/>
                <w:color w:val="000000" w:themeColor="text1"/>
                <w:szCs w:val="24"/>
              </w:rPr>
            </w:pPr>
          </w:p>
        </w:tc>
      </w:tr>
      <w:tr w:rsidR="008D2285" w:rsidRPr="00306115" w14:paraId="0BE9FE96" w14:textId="77777777" w:rsidTr="008D2285">
        <w:tc>
          <w:tcPr>
            <w:tcW w:w="4395" w:type="dxa"/>
            <w:vAlign w:val="center"/>
          </w:tcPr>
          <w:p w14:paraId="51C3367F" w14:textId="77777777" w:rsidR="008D2285" w:rsidRPr="00306115" w:rsidRDefault="008D2285" w:rsidP="008D2285">
            <w:pPr>
              <w:spacing w:before="60" w:after="60"/>
              <w:rPr>
                <w:rFonts w:eastAsia="Calibri" w:cs="Bookman Old Style"/>
                <w:bCs/>
                <w:color w:val="000000" w:themeColor="text1"/>
                <w:szCs w:val="24"/>
              </w:rPr>
            </w:pPr>
            <w:r w:rsidRPr="00306115">
              <w:rPr>
                <w:rFonts w:eastAsia="Calibri" w:cs="Bookman Old Style"/>
                <w:bCs/>
                <w:color w:val="000000" w:themeColor="text1"/>
                <w:szCs w:val="24"/>
              </w:rPr>
              <w:t>Risiko</w:t>
            </w:r>
            <w:r w:rsidRPr="00306115">
              <w:rPr>
                <w:color w:val="000000" w:themeColor="text1"/>
                <w:szCs w:val="24"/>
              </w:rPr>
              <w:t xml:space="preserve"> </w:t>
            </w:r>
            <w:r w:rsidRPr="00306115">
              <w:rPr>
                <w:rFonts w:eastAsia="Calibri" w:cs="Bookman Old Style"/>
                <w:bCs/>
                <w:color w:val="000000" w:themeColor="text1"/>
                <w:szCs w:val="24"/>
              </w:rPr>
              <w:t>Reputasi</w:t>
            </w:r>
          </w:p>
        </w:tc>
        <w:tc>
          <w:tcPr>
            <w:tcW w:w="1117" w:type="dxa"/>
            <w:vAlign w:val="center"/>
          </w:tcPr>
          <w:p w14:paraId="490E85D2" w14:textId="77777777" w:rsidR="008D2285" w:rsidRPr="00306115" w:rsidRDefault="008D2285" w:rsidP="008D2285">
            <w:pPr>
              <w:spacing w:before="60" w:after="60"/>
              <w:rPr>
                <w:rFonts w:eastAsia="Calibri" w:cs="Bookman Old Style"/>
                <w:bCs/>
                <w:color w:val="000000" w:themeColor="text1"/>
                <w:szCs w:val="24"/>
              </w:rPr>
            </w:pPr>
          </w:p>
        </w:tc>
        <w:tc>
          <w:tcPr>
            <w:tcW w:w="1580" w:type="dxa"/>
            <w:vAlign w:val="center"/>
          </w:tcPr>
          <w:p w14:paraId="4D30A167" w14:textId="77777777" w:rsidR="008D2285" w:rsidRPr="00306115" w:rsidRDefault="008D2285" w:rsidP="008D2285">
            <w:pPr>
              <w:spacing w:before="60" w:after="60"/>
              <w:rPr>
                <w:rFonts w:eastAsia="Calibri" w:cs="Bookman Old Style"/>
                <w:bCs/>
                <w:color w:val="000000" w:themeColor="text1"/>
                <w:szCs w:val="24"/>
              </w:rPr>
            </w:pPr>
          </w:p>
        </w:tc>
        <w:tc>
          <w:tcPr>
            <w:tcW w:w="1407" w:type="dxa"/>
            <w:vAlign w:val="center"/>
          </w:tcPr>
          <w:p w14:paraId="5DACDDA2" w14:textId="77777777" w:rsidR="008D2285" w:rsidRPr="00306115" w:rsidRDefault="008D2285" w:rsidP="008D2285">
            <w:pPr>
              <w:spacing w:before="60" w:after="60"/>
              <w:rPr>
                <w:rFonts w:eastAsia="Calibri" w:cs="Bookman Old Style"/>
                <w:bCs/>
                <w:color w:val="000000" w:themeColor="text1"/>
                <w:szCs w:val="24"/>
              </w:rPr>
            </w:pPr>
          </w:p>
        </w:tc>
      </w:tr>
      <w:tr w:rsidR="008D2285" w:rsidRPr="00306115" w14:paraId="3B2534DB" w14:textId="77777777" w:rsidTr="008D2285">
        <w:tc>
          <w:tcPr>
            <w:tcW w:w="4395" w:type="dxa"/>
            <w:vAlign w:val="center"/>
          </w:tcPr>
          <w:p w14:paraId="4B6D33B5" w14:textId="77777777" w:rsidR="008D2285" w:rsidRPr="00306115" w:rsidRDefault="008D2285" w:rsidP="008D2285">
            <w:pPr>
              <w:spacing w:before="60" w:after="60"/>
              <w:rPr>
                <w:rFonts w:eastAsia="Calibri" w:cs="Bookman Old Style"/>
                <w:bCs/>
                <w:color w:val="000000" w:themeColor="text1"/>
                <w:szCs w:val="24"/>
              </w:rPr>
            </w:pPr>
            <w:r w:rsidRPr="00306115">
              <w:rPr>
                <w:rFonts w:eastAsia="Calibri" w:cs="Bookman Old Style"/>
                <w:bCs/>
                <w:color w:val="000000" w:themeColor="text1"/>
                <w:szCs w:val="24"/>
              </w:rPr>
              <w:t>Risiko</w:t>
            </w:r>
            <w:r w:rsidRPr="00306115">
              <w:rPr>
                <w:color w:val="000000" w:themeColor="text1"/>
                <w:szCs w:val="24"/>
              </w:rPr>
              <w:t xml:space="preserve"> </w:t>
            </w:r>
            <w:r w:rsidRPr="00306115">
              <w:rPr>
                <w:rFonts w:eastAsia="Calibri" w:cs="Bookman Old Style"/>
                <w:bCs/>
                <w:color w:val="000000" w:themeColor="text1"/>
                <w:szCs w:val="24"/>
              </w:rPr>
              <w:t>Strategis</w:t>
            </w:r>
          </w:p>
        </w:tc>
        <w:tc>
          <w:tcPr>
            <w:tcW w:w="1117" w:type="dxa"/>
            <w:vAlign w:val="center"/>
          </w:tcPr>
          <w:p w14:paraId="376582EB" w14:textId="77777777" w:rsidR="008D2285" w:rsidRPr="00306115" w:rsidRDefault="008D2285" w:rsidP="008D2285">
            <w:pPr>
              <w:spacing w:before="60" w:after="60"/>
              <w:rPr>
                <w:rFonts w:eastAsia="Calibri" w:cs="Bookman Old Style"/>
                <w:bCs/>
                <w:color w:val="000000" w:themeColor="text1"/>
                <w:szCs w:val="24"/>
              </w:rPr>
            </w:pPr>
          </w:p>
        </w:tc>
        <w:tc>
          <w:tcPr>
            <w:tcW w:w="1580" w:type="dxa"/>
            <w:vAlign w:val="center"/>
          </w:tcPr>
          <w:p w14:paraId="4C5C34E2" w14:textId="77777777" w:rsidR="008D2285" w:rsidRPr="00306115" w:rsidRDefault="008D2285" w:rsidP="008D2285">
            <w:pPr>
              <w:spacing w:before="60" w:after="60"/>
              <w:rPr>
                <w:rFonts w:eastAsia="Calibri" w:cs="Bookman Old Style"/>
                <w:bCs/>
                <w:color w:val="000000" w:themeColor="text1"/>
                <w:szCs w:val="24"/>
              </w:rPr>
            </w:pPr>
          </w:p>
        </w:tc>
        <w:tc>
          <w:tcPr>
            <w:tcW w:w="1407" w:type="dxa"/>
            <w:vAlign w:val="center"/>
          </w:tcPr>
          <w:p w14:paraId="08658ED5" w14:textId="77777777" w:rsidR="008D2285" w:rsidRPr="00306115" w:rsidRDefault="008D2285" w:rsidP="008D2285">
            <w:pPr>
              <w:spacing w:before="60" w:after="60"/>
              <w:rPr>
                <w:rFonts w:eastAsia="Calibri" w:cs="Bookman Old Style"/>
                <w:bCs/>
                <w:color w:val="000000" w:themeColor="text1"/>
                <w:szCs w:val="24"/>
              </w:rPr>
            </w:pPr>
          </w:p>
        </w:tc>
      </w:tr>
      <w:tr w:rsidR="008D2285" w:rsidRPr="00306115" w14:paraId="7978B7BF" w14:textId="77777777" w:rsidTr="008D2285">
        <w:tc>
          <w:tcPr>
            <w:tcW w:w="4395" w:type="dxa"/>
            <w:vAlign w:val="center"/>
          </w:tcPr>
          <w:p w14:paraId="1D69873C" w14:textId="77777777" w:rsidR="008D2285" w:rsidRPr="00306115" w:rsidRDefault="008D2285" w:rsidP="008D2285">
            <w:pPr>
              <w:spacing w:before="60" w:after="60"/>
              <w:rPr>
                <w:rFonts w:eastAsia="Calibri" w:cs="Bookman Old Style"/>
                <w:bCs/>
                <w:color w:val="000000" w:themeColor="text1"/>
                <w:szCs w:val="24"/>
              </w:rPr>
            </w:pPr>
            <w:r w:rsidRPr="00306115">
              <w:rPr>
                <w:rFonts w:eastAsia="Calibri" w:cs="Bookman Old Style"/>
                <w:bCs/>
                <w:color w:val="000000" w:themeColor="text1"/>
                <w:szCs w:val="24"/>
              </w:rPr>
              <w:t>Risiko</w:t>
            </w:r>
            <w:r w:rsidRPr="00306115">
              <w:rPr>
                <w:color w:val="000000" w:themeColor="text1"/>
                <w:szCs w:val="24"/>
              </w:rPr>
              <w:t xml:space="preserve"> </w:t>
            </w:r>
            <w:r w:rsidRPr="00306115">
              <w:rPr>
                <w:rFonts w:eastAsia="Calibri" w:cs="Bookman Old Style"/>
                <w:bCs/>
                <w:color w:val="000000" w:themeColor="text1"/>
                <w:szCs w:val="24"/>
              </w:rPr>
              <w:t>Investasi</w:t>
            </w:r>
          </w:p>
        </w:tc>
        <w:tc>
          <w:tcPr>
            <w:tcW w:w="1117" w:type="dxa"/>
            <w:vAlign w:val="center"/>
          </w:tcPr>
          <w:p w14:paraId="7475BBD2" w14:textId="77777777" w:rsidR="008D2285" w:rsidRPr="00306115" w:rsidRDefault="008D2285" w:rsidP="008D2285">
            <w:pPr>
              <w:spacing w:before="60" w:after="60"/>
              <w:rPr>
                <w:rFonts w:eastAsia="Calibri" w:cs="Bookman Old Style"/>
                <w:bCs/>
                <w:color w:val="000000" w:themeColor="text1"/>
                <w:szCs w:val="24"/>
              </w:rPr>
            </w:pPr>
          </w:p>
        </w:tc>
        <w:tc>
          <w:tcPr>
            <w:tcW w:w="1580" w:type="dxa"/>
            <w:vAlign w:val="center"/>
          </w:tcPr>
          <w:p w14:paraId="63B35BE0" w14:textId="77777777" w:rsidR="008D2285" w:rsidRPr="00306115" w:rsidRDefault="008D2285" w:rsidP="008D2285">
            <w:pPr>
              <w:spacing w:before="60" w:after="60"/>
              <w:rPr>
                <w:rFonts w:eastAsia="Calibri" w:cs="Bookman Old Style"/>
                <w:bCs/>
                <w:color w:val="000000" w:themeColor="text1"/>
                <w:szCs w:val="24"/>
              </w:rPr>
            </w:pPr>
          </w:p>
        </w:tc>
        <w:tc>
          <w:tcPr>
            <w:tcW w:w="1407" w:type="dxa"/>
            <w:vAlign w:val="center"/>
          </w:tcPr>
          <w:p w14:paraId="72D8927D" w14:textId="77777777" w:rsidR="008D2285" w:rsidRPr="00306115" w:rsidRDefault="008D2285" w:rsidP="008D2285">
            <w:pPr>
              <w:spacing w:before="60" w:after="60"/>
              <w:rPr>
                <w:rFonts w:eastAsia="Calibri" w:cs="Bookman Old Style"/>
                <w:bCs/>
                <w:color w:val="000000" w:themeColor="text1"/>
                <w:szCs w:val="24"/>
              </w:rPr>
            </w:pPr>
          </w:p>
        </w:tc>
      </w:tr>
      <w:tr w:rsidR="008D2285" w:rsidRPr="00306115" w14:paraId="6FA7D899" w14:textId="77777777" w:rsidTr="008D2285">
        <w:tc>
          <w:tcPr>
            <w:tcW w:w="4395" w:type="dxa"/>
            <w:vAlign w:val="center"/>
          </w:tcPr>
          <w:p w14:paraId="272E21C9" w14:textId="77777777" w:rsidR="008D2285" w:rsidRPr="00306115" w:rsidRDefault="008D2285" w:rsidP="008D2285">
            <w:pPr>
              <w:spacing w:before="60" w:after="60"/>
              <w:rPr>
                <w:rFonts w:eastAsia="Calibri" w:cs="Bookman Old Style"/>
                <w:bCs/>
                <w:color w:val="000000" w:themeColor="text1"/>
                <w:szCs w:val="24"/>
              </w:rPr>
            </w:pPr>
            <w:r w:rsidRPr="00306115">
              <w:rPr>
                <w:rFonts w:eastAsia="Calibri" w:cs="Bookman Old Style"/>
                <w:bCs/>
                <w:color w:val="000000" w:themeColor="text1"/>
                <w:szCs w:val="24"/>
              </w:rPr>
              <w:t>Peringkat Komposit</w:t>
            </w:r>
          </w:p>
        </w:tc>
        <w:tc>
          <w:tcPr>
            <w:tcW w:w="1117" w:type="dxa"/>
            <w:vAlign w:val="center"/>
          </w:tcPr>
          <w:p w14:paraId="2FD2D830" w14:textId="77777777" w:rsidR="008D2285" w:rsidRPr="00306115" w:rsidRDefault="008D2285" w:rsidP="008D2285">
            <w:pPr>
              <w:spacing w:before="60" w:after="60"/>
              <w:rPr>
                <w:rFonts w:eastAsia="Calibri" w:cs="Bookman Old Style"/>
                <w:bCs/>
                <w:color w:val="000000" w:themeColor="text1"/>
                <w:szCs w:val="24"/>
              </w:rPr>
            </w:pPr>
          </w:p>
        </w:tc>
        <w:tc>
          <w:tcPr>
            <w:tcW w:w="1580" w:type="dxa"/>
            <w:vAlign w:val="center"/>
          </w:tcPr>
          <w:p w14:paraId="46BC7DCF" w14:textId="77777777" w:rsidR="008D2285" w:rsidRPr="00306115" w:rsidRDefault="008D2285" w:rsidP="008D2285">
            <w:pPr>
              <w:spacing w:before="60" w:after="60"/>
              <w:rPr>
                <w:rFonts w:eastAsia="Calibri" w:cs="Bookman Old Style"/>
                <w:bCs/>
                <w:color w:val="000000" w:themeColor="text1"/>
                <w:szCs w:val="24"/>
              </w:rPr>
            </w:pPr>
          </w:p>
        </w:tc>
        <w:tc>
          <w:tcPr>
            <w:tcW w:w="1407" w:type="dxa"/>
            <w:vAlign w:val="center"/>
          </w:tcPr>
          <w:p w14:paraId="483335E8" w14:textId="77777777" w:rsidR="008D2285" w:rsidRPr="00306115" w:rsidRDefault="008D2285" w:rsidP="008D2285">
            <w:pPr>
              <w:spacing w:before="60" w:after="60"/>
              <w:jc w:val="center"/>
              <w:rPr>
                <w:rFonts w:eastAsia="Calibri" w:cs="Bookman Old Style"/>
                <w:bCs/>
                <w:color w:val="000000" w:themeColor="text1"/>
                <w:szCs w:val="24"/>
              </w:rPr>
            </w:pPr>
            <w:r w:rsidRPr="00306115">
              <w:rPr>
                <w:rFonts w:eastAsia="Calibri" w:cs="Bookman Old Style"/>
                <w:bCs/>
                <w:color w:val="000000" w:themeColor="text1"/>
                <w:szCs w:val="24"/>
              </w:rPr>
              <w:t>Peringkat Profil Risiko</w:t>
            </w:r>
          </w:p>
        </w:tc>
      </w:tr>
      <w:tr w:rsidR="008D2285" w:rsidRPr="00306115" w14:paraId="098FA2CE" w14:textId="77777777" w:rsidTr="008D2285">
        <w:tc>
          <w:tcPr>
            <w:tcW w:w="8499" w:type="dxa"/>
            <w:gridSpan w:val="4"/>
            <w:shd w:val="clear" w:color="auto" w:fill="D9D9D9" w:themeFill="background1" w:themeFillShade="D9"/>
            <w:vAlign w:val="center"/>
          </w:tcPr>
          <w:p w14:paraId="152D6530" w14:textId="77777777" w:rsidR="008D2285" w:rsidRPr="00306115" w:rsidRDefault="008D2285" w:rsidP="008D2285">
            <w:pPr>
              <w:spacing w:before="120" w:after="120"/>
              <w:jc w:val="center"/>
              <w:rPr>
                <w:rFonts w:eastAsia="Calibri" w:cs="Bookman Old Style"/>
                <w:bCs/>
                <w:color w:val="000000" w:themeColor="text1"/>
                <w:szCs w:val="24"/>
              </w:rPr>
            </w:pPr>
            <w:r w:rsidRPr="00306115">
              <w:rPr>
                <w:rFonts w:eastAsia="Calibri" w:cs="Bookman Old Style"/>
                <w:bCs/>
                <w:color w:val="000000" w:themeColor="text1"/>
                <w:szCs w:val="24"/>
              </w:rPr>
              <w:t>Analisis</w:t>
            </w:r>
          </w:p>
        </w:tc>
      </w:tr>
      <w:tr w:rsidR="008D2285" w:rsidRPr="00306115" w14:paraId="5C2428CB" w14:textId="77777777" w:rsidTr="008D2285">
        <w:tc>
          <w:tcPr>
            <w:tcW w:w="8499" w:type="dxa"/>
            <w:gridSpan w:val="4"/>
            <w:vAlign w:val="center"/>
          </w:tcPr>
          <w:p w14:paraId="66656D6F" w14:textId="77777777" w:rsidR="008D2285" w:rsidRPr="00306115" w:rsidRDefault="008D2285" w:rsidP="008D2285">
            <w:pPr>
              <w:spacing w:before="120" w:after="120"/>
              <w:rPr>
                <w:rFonts w:eastAsia="Calibri" w:cs="Bookman Old Style"/>
                <w:bCs/>
                <w:color w:val="000000" w:themeColor="text1"/>
                <w:szCs w:val="24"/>
              </w:rPr>
            </w:pPr>
            <w:r w:rsidRPr="00306115">
              <w:rPr>
                <w:rFonts w:eastAsia="Calibri" w:cs="Bookman Old Style"/>
                <w:bCs/>
                <w:color w:val="000000" w:themeColor="text1"/>
                <w:szCs w:val="24"/>
              </w:rPr>
              <w:t>Uraian mengenai kesimpulan profil risiko Manajer Investasi secara keseluruhan meliputi penilaian atas risiko inheren dan kualitas penerapan Manajemen Risiko.</w:t>
            </w:r>
          </w:p>
        </w:tc>
      </w:tr>
    </w:tbl>
    <w:p w14:paraId="0931CDEF" w14:textId="77777777" w:rsidR="008D2285" w:rsidRPr="00306115" w:rsidRDefault="008D2285" w:rsidP="00F80E9F">
      <w:pPr>
        <w:pStyle w:val="HeadingAwalDaftarIsiLampiran"/>
        <w:numPr>
          <w:ilvl w:val="0"/>
          <w:numId w:val="0"/>
        </w:numPr>
        <w:ind w:left="567"/>
        <w:rPr>
          <w:rFonts w:eastAsia="Calibri" w:cs="Bookman Old Style"/>
          <w:bCs/>
        </w:rPr>
      </w:pPr>
    </w:p>
    <w:p w14:paraId="72BE6254" w14:textId="5372F7DC" w:rsidR="00CC2C04" w:rsidRPr="00306115" w:rsidRDefault="00AF5EA9">
      <w:pPr>
        <w:pStyle w:val="HeadingAwalDaftarIsiLampiran"/>
        <w:numPr>
          <w:ilvl w:val="6"/>
          <w:numId w:val="295"/>
        </w:numPr>
        <w:ind w:left="567" w:hanging="567"/>
      </w:pPr>
      <w:r w:rsidRPr="00306115">
        <w:rPr>
          <w:rFonts w:eastAsia="Calibri" w:cs="Bookman Old Style"/>
          <w:bCs/>
        </w:rPr>
        <w:t>Penilaian Sendiri Kualitas Penerapan Manajemen Risiko</w:t>
      </w:r>
      <w:r w:rsidR="004515F4" w:rsidRPr="00306115">
        <w:rPr>
          <w:rFonts w:eastAsia="Calibri" w:cs="Bookman Old Style"/>
          <w:bCs/>
        </w:rPr>
        <w:t xml:space="preserve"> .......*)</w:t>
      </w:r>
    </w:p>
    <w:p w14:paraId="4538A52F" w14:textId="77777777" w:rsidR="008D2285" w:rsidRPr="00306115" w:rsidRDefault="008D2285" w:rsidP="008D2285">
      <w:pPr>
        <w:pStyle w:val="HeadingAwalDaftarIsiLampiran"/>
        <w:numPr>
          <w:ilvl w:val="0"/>
          <w:numId w:val="0"/>
        </w:numPr>
        <w:ind w:left="567"/>
        <w:rPr>
          <w:rFonts w:eastAsia="Calibri" w:cs="Bookman Old Style"/>
          <w:bCs/>
        </w:rPr>
      </w:pPr>
    </w:p>
    <w:p w14:paraId="1C23FB6B" w14:textId="77777777" w:rsidR="008D2285" w:rsidRPr="00306115" w:rsidRDefault="008D2285" w:rsidP="008D2285">
      <w:pPr>
        <w:pStyle w:val="HeadingAwalDaftarIsiLampiran"/>
        <w:numPr>
          <w:ilvl w:val="0"/>
          <w:numId w:val="0"/>
        </w:numPr>
        <w:ind w:left="567"/>
      </w:pPr>
      <w:r w:rsidRPr="00306115">
        <w:t>Nama Manajer Investasi:</w:t>
      </w:r>
      <w:r w:rsidRPr="00306115">
        <w:tab/>
      </w:r>
    </w:p>
    <w:p w14:paraId="2B70FBE9" w14:textId="77777777" w:rsidR="008D2285" w:rsidRPr="00306115" w:rsidRDefault="008D2285" w:rsidP="008D2285">
      <w:pPr>
        <w:pStyle w:val="BodyText"/>
        <w:numPr>
          <w:ilvl w:val="0"/>
          <w:numId w:val="0"/>
        </w:numPr>
        <w:tabs>
          <w:tab w:val="left" w:pos="2835"/>
          <w:tab w:val="left" w:pos="3119"/>
        </w:tabs>
        <w:ind w:left="567"/>
        <w:rPr>
          <w:color w:val="000000" w:themeColor="text1"/>
        </w:rPr>
      </w:pPr>
      <w:r w:rsidRPr="00306115">
        <w:rPr>
          <w:color w:val="000000" w:themeColor="text1"/>
        </w:rPr>
        <w:t>Kelompok Manajer Investasi (Manajer Investasi Kegiatan Usaha):</w:t>
      </w:r>
    </w:p>
    <w:p w14:paraId="2A55D1A6" w14:textId="77777777" w:rsidR="008D2285" w:rsidRPr="00306115" w:rsidRDefault="008D2285" w:rsidP="008D2285">
      <w:pPr>
        <w:pStyle w:val="HeadingAwalDaftarIsiLampiran"/>
        <w:numPr>
          <w:ilvl w:val="0"/>
          <w:numId w:val="0"/>
        </w:numPr>
        <w:ind w:left="567"/>
        <w:rPr>
          <w:rFonts w:eastAsia="Calibri" w:cs="Bookman Old Style"/>
          <w:bCs/>
        </w:rPr>
      </w:pPr>
    </w:p>
    <w:p w14:paraId="3217237F" w14:textId="77777777" w:rsidR="000F57B1" w:rsidRPr="00306115" w:rsidRDefault="000F57B1" w:rsidP="008D2285">
      <w:pPr>
        <w:pStyle w:val="HeadingAwalDaftarIsiLampiran"/>
        <w:numPr>
          <w:ilvl w:val="0"/>
          <w:numId w:val="0"/>
        </w:numPr>
        <w:ind w:left="567"/>
        <w:rPr>
          <w:rFonts w:eastAsia="Calibri" w:cs="Bookman Old Style"/>
          <w:bCs/>
        </w:rPr>
      </w:pPr>
    </w:p>
    <w:tbl>
      <w:tblPr>
        <w:tblStyle w:val="TableGrid"/>
        <w:tblW w:w="0" w:type="auto"/>
        <w:tblInd w:w="562" w:type="dxa"/>
        <w:tblLook w:val="04A0" w:firstRow="1" w:lastRow="0" w:firstColumn="1" w:lastColumn="0" w:noHBand="0" w:noVBand="1"/>
      </w:tblPr>
      <w:tblGrid>
        <w:gridCol w:w="3544"/>
        <w:gridCol w:w="4955"/>
      </w:tblGrid>
      <w:tr w:rsidR="000F57B1" w:rsidRPr="00306115" w14:paraId="02F693CE" w14:textId="77777777" w:rsidTr="000F57B1">
        <w:tc>
          <w:tcPr>
            <w:tcW w:w="8499" w:type="dxa"/>
            <w:gridSpan w:val="2"/>
            <w:shd w:val="clear" w:color="auto" w:fill="D9D9D9" w:themeFill="background1" w:themeFillShade="D9"/>
          </w:tcPr>
          <w:p w14:paraId="1DF60A51" w14:textId="77777777" w:rsidR="000F57B1" w:rsidRPr="00306115" w:rsidRDefault="000F57B1" w:rsidP="00A26C26">
            <w:pPr>
              <w:spacing w:before="120" w:after="120"/>
              <w:ind w:left="142" w:right="142"/>
              <w:jc w:val="center"/>
              <w:rPr>
                <w:rFonts w:eastAsia="Calibri" w:cs="Bookman Old Style"/>
                <w:bCs/>
                <w:color w:val="000000" w:themeColor="text1"/>
                <w:szCs w:val="24"/>
              </w:rPr>
            </w:pPr>
            <w:r w:rsidRPr="00306115">
              <w:rPr>
                <w:rFonts w:eastAsia="Calibri" w:cs="Bookman Old Style"/>
                <w:bCs/>
                <w:color w:val="000000" w:themeColor="text1"/>
                <w:szCs w:val="24"/>
              </w:rPr>
              <w:t>Analisis</w:t>
            </w:r>
          </w:p>
        </w:tc>
      </w:tr>
      <w:tr w:rsidR="000F57B1" w:rsidRPr="00306115" w14:paraId="0DDB9FE9" w14:textId="77777777" w:rsidTr="007D6218">
        <w:tc>
          <w:tcPr>
            <w:tcW w:w="3544" w:type="dxa"/>
          </w:tcPr>
          <w:p w14:paraId="4890F929" w14:textId="77777777" w:rsidR="000F57B1" w:rsidRPr="00306115" w:rsidRDefault="000F57B1" w:rsidP="00A26C26">
            <w:pPr>
              <w:spacing w:before="60" w:after="60"/>
              <w:ind w:left="142" w:right="142"/>
              <w:rPr>
                <w:rFonts w:eastAsia="Calibri" w:cs="Bookman Old Style"/>
                <w:bCs/>
                <w:color w:val="000000" w:themeColor="text1"/>
                <w:szCs w:val="24"/>
              </w:rPr>
            </w:pPr>
            <w:r w:rsidRPr="00306115">
              <w:rPr>
                <w:rFonts w:eastAsia="Calibri" w:cs="Bookman Old Style"/>
                <w:bCs/>
                <w:color w:val="000000" w:themeColor="text1"/>
                <w:szCs w:val="24"/>
              </w:rPr>
              <w:t>Tingkat Risiko:</w:t>
            </w:r>
          </w:p>
        </w:tc>
        <w:tc>
          <w:tcPr>
            <w:tcW w:w="4955" w:type="dxa"/>
          </w:tcPr>
          <w:p w14:paraId="7CB383FE" w14:textId="77777777" w:rsidR="000F57B1" w:rsidRPr="00306115" w:rsidRDefault="000F57B1" w:rsidP="00A26C26">
            <w:pPr>
              <w:spacing w:before="60" w:after="60"/>
              <w:ind w:left="142" w:right="142"/>
              <w:rPr>
                <w:rFonts w:eastAsia="Calibri" w:cs="Bookman Old Style"/>
                <w:bCs/>
                <w:color w:val="000000" w:themeColor="text1"/>
                <w:szCs w:val="24"/>
              </w:rPr>
            </w:pPr>
          </w:p>
        </w:tc>
      </w:tr>
      <w:tr w:rsidR="000F57B1" w:rsidRPr="00306115" w14:paraId="36341673" w14:textId="77777777" w:rsidTr="000F57B1">
        <w:tc>
          <w:tcPr>
            <w:tcW w:w="8499" w:type="dxa"/>
            <w:gridSpan w:val="2"/>
          </w:tcPr>
          <w:p w14:paraId="3D927234" w14:textId="77777777" w:rsidR="000F57B1" w:rsidRPr="00306115" w:rsidRDefault="000F57B1" w:rsidP="00A26C26">
            <w:pPr>
              <w:spacing w:before="60" w:after="60"/>
              <w:ind w:left="142" w:right="142"/>
              <w:rPr>
                <w:rFonts w:eastAsia="Calibri" w:cs="Bookman Old Style"/>
                <w:bCs/>
                <w:color w:val="000000" w:themeColor="text1"/>
                <w:szCs w:val="24"/>
              </w:rPr>
            </w:pPr>
            <w:r w:rsidRPr="00306115">
              <w:rPr>
                <w:rFonts w:eastAsia="Calibri" w:cs="Bookman Old Style"/>
                <w:bCs/>
                <w:color w:val="000000" w:themeColor="text1"/>
                <w:szCs w:val="24"/>
              </w:rPr>
              <w:t>Kesimpulan akhir mengenai tingkat risiko Manajer Investasi yang mencakup tingkat risiko inheren dan kualitas penerapan Manajemen Risiko sehingga dapat menggambarkan tingkat risiko Manajer Investasi.</w:t>
            </w:r>
          </w:p>
        </w:tc>
      </w:tr>
      <w:tr w:rsidR="000F57B1" w:rsidRPr="00306115" w14:paraId="4C88E223" w14:textId="77777777" w:rsidTr="007D6218">
        <w:tc>
          <w:tcPr>
            <w:tcW w:w="3544" w:type="dxa"/>
          </w:tcPr>
          <w:p w14:paraId="074E004A" w14:textId="77777777" w:rsidR="000F57B1" w:rsidRPr="00306115" w:rsidRDefault="000F57B1" w:rsidP="00A26C26">
            <w:pPr>
              <w:spacing w:before="60" w:after="60"/>
              <w:ind w:left="142" w:right="142"/>
              <w:rPr>
                <w:rFonts w:eastAsia="Calibri" w:cs="Bookman Old Style"/>
                <w:bCs/>
                <w:color w:val="000000" w:themeColor="text1"/>
                <w:szCs w:val="24"/>
              </w:rPr>
            </w:pPr>
            <w:r w:rsidRPr="00306115">
              <w:rPr>
                <w:rFonts w:eastAsia="Calibri" w:cs="Bookman Old Style"/>
                <w:bCs/>
                <w:color w:val="000000" w:themeColor="text1"/>
                <w:szCs w:val="24"/>
              </w:rPr>
              <w:t>Peringkat Risiko Inheren:</w:t>
            </w:r>
          </w:p>
        </w:tc>
        <w:tc>
          <w:tcPr>
            <w:tcW w:w="4955" w:type="dxa"/>
          </w:tcPr>
          <w:p w14:paraId="566DC76F" w14:textId="77777777" w:rsidR="000F57B1" w:rsidRPr="00306115" w:rsidRDefault="000F57B1" w:rsidP="00A26C26">
            <w:pPr>
              <w:spacing w:before="60" w:after="60"/>
              <w:ind w:left="142" w:right="142"/>
              <w:rPr>
                <w:rFonts w:eastAsia="Calibri" w:cs="Bookman Old Style"/>
                <w:bCs/>
                <w:color w:val="000000" w:themeColor="text1"/>
                <w:szCs w:val="24"/>
              </w:rPr>
            </w:pPr>
          </w:p>
        </w:tc>
      </w:tr>
      <w:tr w:rsidR="000F57B1" w:rsidRPr="00306115" w14:paraId="659DD77D" w14:textId="77777777" w:rsidTr="000F57B1">
        <w:tc>
          <w:tcPr>
            <w:tcW w:w="8499" w:type="dxa"/>
            <w:gridSpan w:val="2"/>
          </w:tcPr>
          <w:p w14:paraId="3A58395F" w14:textId="77777777" w:rsidR="000F57B1" w:rsidRPr="00306115" w:rsidRDefault="000F57B1" w:rsidP="00A26C26">
            <w:pPr>
              <w:spacing w:before="60" w:after="60"/>
              <w:ind w:left="142" w:right="142"/>
              <w:rPr>
                <w:rFonts w:eastAsia="Calibri" w:cs="Bookman Old Style"/>
                <w:bCs/>
                <w:color w:val="000000" w:themeColor="text1"/>
                <w:szCs w:val="24"/>
              </w:rPr>
            </w:pPr>
            <w:r w:rsidRPr="00306115">
              <w:rPr>
                <w:rFonts w:eastAsia="Calibri" w:cs="Bookman Old Style"/>
                <w:bCs/>
                <w:color w:val="000000" w:themeColor="text1"/>
                <w:szCs w:val="24"/>
              </w:rPr>
              <w:t>Uraian mengenai penilaian risiko inheren berdasarkan analisis terhadap faktor penilaian dengan menggunakan baik indikator kuantitatif maupun indikator kualitatif sehingga dapat menggambarkan tingkat risiko inheren Manajer Investasi.</w:t>
            </w:r>
          </w:p>
        </w:tc>
      </w:tr>
      <w:tr w:rsidR="000F57B1" w:rsidRPr="00306115" w14:paraId="02994549" w14:textId="77777777" w:rsidTr="007D6218">
        <w:tc>
          <w:tcPr>
            <w:tcW w:w="3544" w:type="dxa"/>
          </w:tcPr>
          <w:p w14:paraId="7360B86A" w14:textId="77777777" w:rsidR="000F57B1" w:rsidRPr="00306115" w:rsidRDefault="000F57B1" w:rsidP="00A26C26">
            <w:pPr>
              <w:spacing w:before="60" w:after="60"/>
              <w:ind w:left="142" w:right="142"/>
              <w:rPr>
                <w:rFonts w:eastAsia="Calibri" w:cs="Bookman Old Style"/>
                <w:bCs/>
                <w:color w:val="000000" w:themeColor="text1"/>
                <w:szCs w:val="24"/>
              </w:rPr>
            </w:pPr>
            <w:r w:rsidRPr="00306115">
              <w:rPr>
                <w:rFonts w:eastAsia="Calibri" w:cs="Bookman Old Style"/>
                <w:bCs/>
                <w:color w:val="000000" w:themeColor="text1"/>
                <w:szCs w:val="24"/>
              </w:rPr>
              <w:t>Peringkat Kualitas Penerapan Manajemen Risiko:</w:t>
            </w:r>
          </w:p>
        </w:tc>
        <w:tc>
          <w:tcPr>
            <w:tcW w:w="4955" w:type="dxa"/>
          </w:tcPr>
          <w:p w14:paraId="608FAAD3" w14:textId="77777777" w:rsidR="000F57B1" w:rsidRPr="00306115" w:rsidRDefault="000F57B1" w:rsidP="00A26C26">
            <w:pPr>
              <w:spacing w:before="60" w:after="60"/>
              <w:ind w:left="142" w:right="142"/>
              <w:rPr>
                <w:rFonts w:eastAsia="Calibri" w:cs="Bookman Old Style"/>
                <w:bCs/>
                <w:color w:val="000000" w:themeColor="text1"/>
                <w:szCs w:val="24"/>
              </w:rPr>
            </w:pPr>
          </w:p>
        </w:tc>
      </w:tr>
      <w:tr w:rsidR="000F57B1" w:rsidRPr="00306115" w14:paraId="21F01010" w14:textId="77777777" w:rsidTr="000F57B1">
        <w:tc>
          <w:tcPr>
            <w:tcW w:w="8499" w:type="dxa"/>
            <w:gridSpan w:val="2"/>
          </w:tcPr>
          <w:p w14:paraId="4D03B2D2" w14:textId="77777777" w:rsidR="000F57B1" w:rsidRPr="00306115" w:rsidRDefault="000F57B1" w:rsidP="00A26C26">
            <w:pPr>
              <w:spacing w:before="60" w:after="60"/>
              <w:ind w:left="142" w:right="142"/>
              <w:rPr>
                <w:rFonts w:eastAsia="Calibri" w:cs="Bookman Old Style"/>
                <w:bCs/>
                <w:color w:val="000000" w:themeColor="text1"/>
                <w:szCs w:val="24"/>
              </w:rPr>
            </w:pPr>
            <w:r w:rsidRPr="00306115">
              <w:rPr>
                <w:rFonts w:eastAsia="Calibri" w:cs="Bookman Old Style"/>
                <w:bCs/>
                <w:color w:val="000000" w:themeColor="text1"/>
                <w:szCs w:val="24"/>
              </w:rPr>
              <w:t>Analisis terhadap kualitas penerapan Manajemen Risiko terdiri dari tata kelola risiko; kerangka Manajemen Risiko; proses Manajemen Risiko, sistem informasi manajemen, sumber daya manusia; dan sistem pengendalian risiko.</w:t>
            </w:r>
          </w:p>
        </w:tc>
      </w:tr>
    </w:tbl>
    <w:p w14:paraId="36094DAF" w14:textId="77777777" w:rsidR="000F57B1" w:rsidRPr="00306115" w:rsidRDefault="000F57B1" w:rsidP="008D2285">
      <w:pPr>
        <w:pStyle w:val="HeadingAwalDaftarIsiLampiran"/>
        <w:numPr>
          <w:ilvl w:val="0"/>
          <w:numId w:val="0"/>
        </w:numPr>
        <w:ind w:left="567"/>
        <w:rPr>
          <w:rFonts w:eastAsia="Calibri" w:cs="Bookman Old Style"/>
          <w:bCs/>
        </w:rPr>
      </w:pPr>
    </w:p>
    <w:p w14:paraId="7C7776D8" w14:textId="3585F412" w:rsidR="00A26C26" w:rsidRPr="00306115" w:rsidRDefault="00A26C26" w:rsidP="008D2285">
      <w:pPr>
        <w:pStyle w:val="HeadingAwalDaftarIsiLampiran"/>
        <w:numPr>
          <w:ilvl w:val="0"/>
          <w:numId w:val="0"/>
        </w:numPr>
        <w:ind w:left="567"/>
        <w:rPr>
          <w:rFonts w:eastAsia="Calibri" w:cs="Bookman Old Style"/>
          <w:bCs/>
        </w:rPr>
      </w:pPr>
      <w:r w:rsidRPr="00306115">
        <w:rPr>
          <w:rFonts w:eastAsia="Calibri" w:cs="Bookman Old Style"/>
          <w:b/>
        </w:rPr>
        <w:t>*)</w:t>
      </w:r>
      <w:r w:rsidRPr="00306115">
        <w:rPr>
          <w:rFonts w:eastAsia="Calibri" w:cs="Bookman Old Style"/>
          <w:bCs/>
        </w:rPr>
        <w:tab/>
        <w:t>Kertas kerja ini digunakan untuk mendukung analisis atas risiko pada Manajer Investasi, meliputi Risiko Pasar, Risiko Likuiditas Produk Investasi, Risiko Kredit, Risiko Konsentrasi Portofolio Efek, Risiko Operasional, Risiko Hukum, Risiko Kepatuhan, Risiko Reputasi, Risiko Strategis, dan Risiko Investasi.</w:t>
      </w:r>
    </w:p>
    <w:p w14:paraId="16B56346" w14:textId="77777777" w:rsidR="008D2285" w:rsidRPr="00306115" w:rsidRDefault="008D2285" w:rsidP="008D2285">
      <w:pPr>
        <w:pStyle w:val="HeadingAwalDaftarIsiLampiran"/>
        <w:numPr>
          <w:ilvl w:val="0"/>
          <w:numId w:val="0"/>
        </w:numPr>
        <w:ind w:left="567"/>
      </w:pPr>
    </w:p>
    <w:p w14:paraId="727352FB" w14:textId="77777777" w:rsidR="00A26C26" w:rsidRPr="00306115" w:rsidRDefault="00A26C26" w:rsidP="008D2285">
      <w:pPr>
        <w:pStyle w:val="HeadingAwalDaftarIsiLampiran"/>
        <w:numPr>
          <w:ilvl w:val="0"/>
          <w:numId w:val="0"/>
        </w:numPr>
        <w:ind w:left="567"/>
      </w:pPr>
    </w:p>
    <w:p w14:paraId="2AB7772F" w14:textId="77777777" w:rsidR="00A26C26" w:rsidRPr="00306115" w:rsidRDefault="00A26C26" w:rsidP="008D2285">
      <w:pPr>
        <w:pStyle w:val="HeadingAwalDaftarIsiLampiran"/>
        <w:numPr>
          <w:ilvl w:val="0"/>
          <w:numId w:val="0"/>
        </w:numPr>
        <w:ind w:left="567"/>
      </w:pPr>
    </w:p>
    <w:p w14:paraId="656CE2CE" w14:textId="78A0FD5D" w:rsidR="0026368F" w:rsidRPr="00306115" w:rsidRDefault="0026368F">
      <w:pPr>
        <w:jc w:val="left"/>
        <w:rPr>
          <w:noProof/>
          <w:color w:val="000000" w:themeColor="text1"/>
          <w:szCs w:val="24"/>
        </w:rPr>
      </w:pPr>
      <w:r w:rsidRPr="00306115">
        <w:rPr>
          <w:color w:val="000000" w:themeColor="text1"/>
        </w:rPr>
        <w:br w:type="page"/>
      </w:r>
    </w:p>
    <w:p w14:paraId="5324DB02" w14:textId="77777777" w:rsidR="0026368F" w:rsidRPr="00306115" w:rsidRDefault="0026368F" w:rsidP="008D2285">
      <w:pPr>
        <w:pStyle w:val="HeadingAwalDaftarIsiLampiran"/>
        <w:numPr>
          <w:ilvl w:val="0"/>
          <w:numId w:val="0"/>
        </w:numPr>
        <w:ind w:left="567"/>
      </w:pPr>
    </w:p>
    <w:p w14:paraId="57995972" w14:textId="14BBADE9" w:rsidR="00AF5EA9" w:rsidRPr="00306115" w:rsidRDefault="00DB1B4C">
      <w:pPr>
        <w:pStyle w:val="HeadingAwalDaftarIsiLampiran"/>
        <w:numPr>
          <w:ilvl w:val="6"/>
          <w:numId w:val="295"/>
        </w:numPr>
        <w:ind w:left="567" w:hanging="567"/>
      </w:pPr>
      <w:r w:rsidRPr="00306115">
        <w:rPr>
          <w:rFonts w:eastAsia="Calibri" w:cs="Bookman Old Style"/>
          <w:bCs/>
        </w:rPr>
        <w:t>Penilaian Sendiri Faktor Tata Kelola</w:t>
      </w:r>
    </w:p>
    <w:p w14:paraId="5DB66B12" w14:textId="77777777" w:rsidR="00A26C26" w:rsidRPr="00306115" w:rsidRDefault="00A26C26" w:rsidP="00A26C26">
      <w:pPr>
        <w:pStyle w:val="HeadingAwalDaftarIsiLampiran"/>
        <w:numPr>
          <w:ilvl w:val="0"/>
          <w:numId w:val="0"/>
        </w:numPr>
        <w:ind w:left="567"/>
        <w:rPr>
          <w:rFonts w:eastAsia="Calibri" w:cs="Bookman Old Style"/>
          <w:bCs/>
        </w:rPr>
      </w:pPr>
    </w:p>
    <w:p w14:paraId="0585DD60" w14:textId="77777777" w:rsidR="00A26C26" w:rsidRPr="00306115" w:rsidRDefault="00A26C26" w:rsidP="00A26C26">
      <w:pPr>
        <w:pStyle w:val="HeadingAwalDaftarIsiLampiran"/>
        <w:numPr>
          <w:ilvl w:val="0"/>
          <w:numId w:val="0"/>
        </w:numPr>
        <w:ind w:left="567"/>
      </w:pPr>
      <w:r w:rsidRPr="00306115">
        <w:t>Nama Manajer Investasi:</w:t>
      </w:r>
      <w:r w:rsidRPr="00306115">
        <w:tab/>
      </w:r>
    </w:p>
    <w:p w14:paraId="234FA4DF" w14:textId="77777777" w:rsidR="00A26C26" w:rsidRPr="00306115" w:rsidRDefault="00A26C26" w:rsidP="00A26C26">
      <w:pPr>
        <w:pStyle w:val="BodyText"/>
        <w:numPr>
          <w:ilvl w:val="0"/>
          <w:numId w:val="0"/>
        </w:numPr>
        <w:tabs>
          <w:tab w:val="left" w:pos="2835"/>
          <w:tab w:val="left" w:pos="3119"/>
        </w:tabs>
        <w:ind w:left="567"/>
        <w:rPr>
          <w:color w:val="000000" w:themeColor="text1"/>
        </w:rPr>
      </w:pPr>
      <w:r w:rsidRPr="00306115">
        <w:rPr>
          <w:color w:val="000000" w:themeColor="text1"/>
        </w:rPr>
        <w:t>Kelompok Manajer Investasi (Manajer Investasi Kegiatan Usaha):</w:t>
      </w:r>
    </w:p>
    <w:p w14:paraId="5632405C" w14:textId="77777777" w:rsidR="00A26C26" w:rsidRPr="00306115" w:rsidRDefault="00A26C26" w:rsidP="00A26C26">
      <w:pPr>
        <w:pStyle w:val="HeadingAwalDaftarIsiLampiran"/>
        <w:numPr>
          <w:ilvl w:val="0"/>
          <w:numId w:val="0"/>
        </w:numPr>
        <w:ind w:left="567"/>
        <w:rPr>
          <w:rFonts w:eastAsia="Calibri" w:cs="Bookman Old Style"/>
          <w:bCs/>
        </w:rPr>
      </w:pPr>
    </w:p>
    <w:tbl>
      <w:tblPr>
        <w:tblStyle w:val="TableGrid"/>
        <w:tblW w:w="0" w:type="auto"/>
        <w:tblInd w:w="562" w:type="dxa"/>
        <w:tblLook w:val="04A0" w:firstRow="1" w:lastRow="0" w:firstColumn="1" w:lastColumn="0" w:noHBand="0" w:noVBand="1"/>
      </w:tblPr>
      <w:tblGrid>
        <w:gridCol w:w="4081"/>
        <w:gridCol w:w="4418"/>
      </w:tblGrid>
      <w:tr w:rsidR="005C1E46" w:rsidRPr="00306115" w14:paraId="69538407" w14:textId="77777777" w:rsidTr="005C1E46">
        <w:tc>
          <w:tcPr>
            <w:tcW w:w="8499" w:type="dxa"/>
            <w:gridSpan w:val="2"/>
            <w:shd w:val="clear" w:color="auto" w:fill="D9D9D9" w:themeFill="background1" w:themeFillShade="D9"/>
          </w:tcPr>
          <w:p w14:paraId="12B5F3B8" w14:textId="77777777" w:rsidR="005C1E46" w:rsidRPr="00306115" w:rsidRDefault="005C1E46" w:rsidP="005C1E46">
            <w:pPr>
              <w:spacing w:before="120" w:after="120"/>
              <w:ind w:left="142" w:right="142"/>
              <w:jc w:val="center"/>
              <w:rPr>
                <w:rFonts w:eastAsia="Calibri" w:cs="Bookman Old Style"/>
                <w:bCs/>
                <w:color w:val="000000" w:themeColor="text1"/>
                <w:szCs w:val="24"/>
              </w:rPr>
            </w:pPr>
            <w:r w:rsidRPr="00306115">
              <w:rPr>
                <w:rFonts w:eastAsia="Calibri" w:cs="Bookman Old Style"/>
                <w:bCs/>
                <w:color w:val="000000" w:themeColor="text1"/>
                <w:szCs w:val="24"/>
              </w:rPr>
              <w:t>Analisis</w:t>
            </w:r>
          </w:p>
        </w:tc>
      </w:tr>
      <w:tr w:rsidR="005C1E46" w:rsidRPr="00306115" w14:paraId="64D6350F" w14:textId="77777777" w:rsidTr="00D57975">
        <w:tc>
          <w:tcPr>
            <w:tcW w:w="4081" w:type="dxa"/>
          </w:tcPr>
          <w:p w14:paraId="43FCE47F" w14:textId="77777777" w:rsidR="005C1E46" w:rsidRPr="00306115" w:rsidRDefault="005C1E46" w:rsidP="005C1E46">
            <w:pPr>
              <w:spacing w:before="60" w:after="60"/>
              <w:ind w:left="142" w:right="142"/>
              <w:rPr>
                <w:rFonts w:eastAsia="Calibri" w:cs="Bookman Old Style"/>
                <w:bCs/>
                <w:color w:val="000000" w:themeColor="text1"/>
                <w:szCs w:val="24"/>
              </w:rPr>
            </w:pPr>
            <w:r w:rsidRPr="00306115">
              <w:rPr>
                <w:rFonts w:eastAsia="Calibri" w:cs="Bookman Old Style"/>
                <w:bCs/>
                <w:color w:val="000000" w:themeColor="text1"/>
                <w:szCs w:val="24"/>
              </w:rPr>
              <w:t>Peringkat Faktor Tata Kelola:</w:t>
            </w:r>
          </w:p>
        </w:tc>
        <w:tc>
          <w:tcPr>
            <w:tcW w:w="4418" w:type="dxa"/>
          </w:tcPr>
          <w:p w14:paraId="57D6C1D0" w14:textId="77777777" w:rsidR="005C1E46" w:rsidRPr="00306115" w:rsidRDefault="005C1E46" w:rsidP="005C1E46">
            <w:pPr>
              <w:spacing w:before="60" w:after="60"/>
              <w:ind w:left="142" w:right="142"/>
              <w:rPr>
                <w:rFonts w:eastAsia="Calibri" w:cs="Bookman Old Style"/>
                <w:bCs/>
                <w:color w:val="000000" w:themeColor="text1"/>
                <w:szCs w:val="24"/>
              </w:rPr>
            </w:pPr>
          </w:p>
        </w:tc>
      </w:tr>
      <w:tr w:rsidR="005C1E46" w:rsidRPr="00306115" w14:paraId="09B19986" w14:textId="77777777" w:rsidTr="005C1E46">
        <w:tc>
          <w:tcPr>
            <w:tcW w:w="8499" w:type="dxa"/>
            <w:gridSpan w:val="2"/>
          </w:tcPr>
          <w:p w14:paraId="08BE5AE4" w14:textId="5468BD3F" w:rsidR="005C1E46" w:rsidRPr="00306115" w:rsidRDefault="005C1E46" w:rsidP="005C1E46">
            <w:pPr>
              <w:spacing w:before="60" w:after="60"/>
              <w:ind w:left="142" w:right="142"/>
              <w:rPr>
                <w:rFonts w:eastAsia="Calibri" w:cs="Bookman Old Style"/>
                <w:bCs/>
                <w:color w:val="000000" w:themeColor="text1"/>
                <w:szCs w:val="24"/>
              </w:rPr>
            </w:pPr>
            <w:r w:rsidRPr="00306115">
              <w:rPr>
                <w:rFonts w:eastAsia="Calibri" w:cs="Bookman Old Style"/>
                <w:bCs/>
                <w:color w:val="000000" w:themeColor="text1"/>
                <w:szCs w:val="24"/>
              </w:rPr>
              <w:t>Uraian mengenai kesimpulan atas kinerja Tata Kelola Manajer Investasi dengan mempertimbangkan faktor penilaian tata kelola sebagaimana diatur dalam Peraturan Otoritas Jasa Keuangan mengenai penerapan tata kelola Manajer Investasi, dengan memperhatikan ukuran, kompleksitas usaha, dan kemampuan Manajer Investasi.</w:t>
            </w:r>
          </w:p>
        </w:tc>
      </w:tr>
    </w:tbl>
    <w:p w14:paraId="4E97055F" w14:textId="77777777" w:rsidR="005C1E46" w:rsidRPr="00306115" w:rsidRDefault="005C1E46" w:rsidP="00A26C26">
      <w:pPr>
        <w:pStyle w:val="HeadingAwalDaftarIsiLampiran"/>
        <w:numPr>
          <w:ilvl w:val="0"/>
          <w:numId w:val="0"/>
        </w:numPr>
        <w:ind w:left="567"/>
      </w:pPr>
    </w:p>
    <w:p w14:paraId="75A224F8" w14:textId="6B2A538E" w:rsidR="00DB1B4C" w:rsidRPr="00306115" w:rsidRDefault="00D847AA">
      <w:pPr>
        <w:pStyle w:val="HeadingAwalDaftarIsiLampiran"/>
        <w:numPr>
          <w:ilvl w:val="6"/>
          <w:numId w:val="295"/>
        </w:numPr>
        <w:ind w:left="567" w:hanging="567"/>
      </w:pPr>
      <w:r w:rsidRPr="00306115">
        <w:rPr>
          <w:rFonts w:eastAsia="Calibri" w:cs="Bookman Old Style"/>
          <w:bCs/>
        </w:rPr>
        <w:t>Penilaian Sendiri Faktor Rentabilitas</w:t>
      </w:r>
    </w:p>
    <w:p w14:paraId="25C43B01" w14:textId="77777777" w:rsidR="00634DB8" w:rsidRPr="00306115" w:rsidRDefault="00634DB8" w:rsidP="00634DB8">
      <w:pPr>
        <w:pStyle w:val="HeadingAwalDaftarIsiLampiran"/>
        <w:numPr>
          <w:ilvl w:val="0"/>
          <w:numId w:val="0"/>
        </w:numPr>
        <w:ind w:left="567"/>
      </w:pPr>
    </w:p>
    <w:p w14:paraId="19F49CC2" w14:textId="77777777" w:rsidR="001811EB" w:rsidRPr="00306115" w:rsidRDefault="001811EB" w:rsidP="001811EB">
      <w:pPr>
        <w:pStyle w:val="HeadingAwalDaftarIsiLampiran"/>
        <w:numPr>
          <w:ilvl w:val="0"/>
          <w:numId w:val="0"/>
        </w:numPr>
        <w:ind w:left="567"/>
      </w:pPr>
      <w:r w:rsidRPr="00306115">
        <w:t>Nama Manajer Investasi:</w:t>
      </w:r>
      <w:r w:rsidRPr="00306115">
        <w:tab/>
      </w:r>
    </w:p>
    <w:p w14:paraId="582E79E5" w14:textId="77777777" w:rsidR="001811EB" w:rsidRPr="00306115" w:rsidRDefault="001811EB" w:rsidP="001811EB">
      <w:pPr>
        <w:pStyle w:val="BodyText"/>
        <w:numPr>
          <w:ilvl w:val="0"/>
          <w:numId w:val="0"/>
        </w:numPr>
        <w:tabs>
          <w:tab w:val="left" w:pos="2835"/>
          <w:tab w:val="left" w:pos="3119"/>
        </w:tabs>
        <w:ind w:left="567"/>
        <w:rPr>
          <w:color w:val="000000" w:themeColor="text1"/>
        </w:rPr>
      </w:pPr>
      <w:r w:rsidRPr="00306115">
        <w:rPr>
          <w:color w:val="000000" w:themeColor="text1"/>
        </w:rPr>
        <w:t>Kelompok Manajer Investasi (Manajer Investasi Kegiatan Usaha):</w:t>
      </w:r>
    </w:p>
    <w:p w14:paraId="3CF4E4A7" w14:textId="77777777" w:rsidR="001811EB" w:rsidRPr="00306115" w:rsidRDefault="001811EB" w:rsidP="00634DB8">
      <w:pPr>
        <w:pStyle w:val="HeadingAwalDaftarIsiLampiran"/>
        <w:numPr>
          <w:ilvl w:val="0"/>
          <w:numId w:val="0"/>
        </w:numPr>
        <w:ind w:left="567"/>
      </w:pPr>
    </w:p>
    <w:tbl>
      <w:tblPr>
        <w:tblStyle w:val="TableGrid"/>
        <w:tblW w:w="0" w:type="auto"/>
        <w:tblInd w:w="541" w:type="dxa"/>
        <w:tblLook w:val="04A0" w:firstRow="1" w:lastRow="0" w:firstColumn="1" w:lastColumn="0" w:noHBand="0" w:noVBand="1"/>
      </w:tblPr>
      <w:tblGrid>
        <w:gridCol w:w="4102"/>
        <w:gridCol w:w="4418"/>
      </w:tblGrid>
      <w:tr w:rsidR="007D6218" w:rsidRPr="00306115" w14:paraId="07011099" w14:textId="77777777" w:rsidTr="007D6218">
        <w:tc>
          <w:tcPr>
            <w:tcW w:w="8520" w:type="dxa"/>
            <w:gridSpan w:val="2"/>
            <w:shd w:val="clear" w:color="auto" w:fill="D9D9D9" w:themeFill="background1" w:themeFillShade="D9"/>
          </w:tcPr>
          <w:p w14:paraId="7C7DF3DB" w14:textId="77777777" w:rsidR="007D6218" w:rsidRPr="00306115" w:rsidRDefault="007D6218" w:rsidP="007D6218">
            <w:pPr>
              <w:spacing w:before="120" w:after="120"/>
              <w:ind w:left="142" w:right="142"/>
              <w:jc w:val="center"/>
              <w:rPr>
                <w:rFonts w:eastAsia="Calibri" w:cs="Bookman Old Style"/>
                <w:bCs/>
                <w:color w:val="000000" w:themeColor="text1"/>
                <w:szCs w:val="24"/>
              </w:rPr>
            </w:pPr>
            <w:r w:rsidRPr="00306115">
              <w:rPr>
                <w:rFonts w:eastAsia="Calibri" w:cs="Bookman Old Style"/>
                <w:bCs/>
                <w:color w:val="000000" w:themeColor="text1"/>
                <w:szCs w:val="24"/>
              </w:rPr>
              <w:t>Analisis</w:t>
            </w:r>
          </w:p>
        </w:tc>
      </w:tr>
      <w:tr w:rsidR="007D6218" w:rsidRPr="00306115" w14:paraId="5652BD16" w14:textId="77777777" w:rsidTr="00D57975">
        <w:tc>
          <w:tcPr>
            <w:tcW w:w="4102" w:type="dxa"/>
          </w:tcPr>
          <w:p w14:paraId="4EE670C2" w14:textId="77777777" w:rsidR="007D6218" w:rsidRPr="00306115" w:rsidRDefault="007D6218" w:rsidP="007D6218">
            <w:pPr>
              <w:spacing w:before="60" w:after="60"/>
              <w:ind w:left="142" w:right="142"/>
              <w:rPr>
                <w:rFonts w:eastAsia="Calibri" w:cs="Bookman Old Style"/>
                <w:bCs/>
                <w:color w:val="000000" w:themeColor="text1"/>
                <w:szCs w:val="24"/>
              </w:rPr>
            </w:pPr>
            <w:r w:rsidRPr="00306115">
              <w:rPr>
                <w:rFonts w:eastAsia="Calibri" w:cs="Bookman Old Style"/>
                <w:bCs/>
                <w:color w:val="000000" w:themeColor="text1"/>
                <w:szCs w:val="24"/>
              </w:rPr>
              <w:t>Peringkat Faktor Rentabilitas:</w:t>
            </w:r>
          </w:p>
        </w:tc>
        <w:tc>
          <w:tcPr>
            <w:tcW w:w="4418" w:type="dxa"/>
          </w:tcPr>
          <w:p w14:paraId="79809EA3" w14:textId="77777777" w:rsidR="007D6218" w:rsidRPr="00306115" w:rsidRDefault="007D6218" w:rsidP="007D6218">
            <w:pPr>
              <w:spacing w:before="120" w:after="120"/>
              <w:ind w:left="142" w:right="142"/>
              <w:rPr>
                <w:rFonts w:eastAsia="Calibri" w:cs="Bookman Old Style"/>
                <w:bCs/>
                <w:color w:val="000000" w:themeColor="text1"/>
                <w:szCs w:val="24"/>
              </w:rPr>
            </w:pPr>
          </w:p>
        </w:tc>
      </w:tr>
      <w:tr w:rsidR="007D6218" w:rsidRPr="00306115" w14:paraId="38D32757" w14:textId="77777777" w:rsidTr="007D6218">
        <w:tc>
          <w:tcPr>
            <w:tcW w:w="8520" w:type="dxa"/>
            <w:gridSpan w:val="2"/>
          </w:tcPr>
          <w:p w14:paraId="3F2CE828" w14:textId="77777777" w:rsidR="007D6218" w:rsidRPr="00306115" w:rsidRDefault="007D6218" w:rsidP="007D6218">
            <w:pPr>
              <w:spacing w:before="60" w:after="60"/>
              <w:ind w:left="142" w:right="142"/>
              <w:rPr>
                <w:rFonts w:eastAsia="Calibri" w:cs="Bookman Old Style"/>
                <w:bCs/>
                <w:color w:val="000000" w:themeColor="text1"/>
                <w:szCs w:val="24"/>
              </w:rPr>
            </w:pPr>
            <w:r w:rsidRPr="00306115">
              <w:rPr>
                <w:rFonts w:eastAsia="Calibri" w:cs="Bookman Old Style"/>
                <w:bCs/>
                <w:color w:val="000000" w:themeColor="text1"/>
                <w:szCs w:val="24"/>
              </w:rPr>
              <w:t>Uraian mengenai kesimpulan atas kinerja rentabilitas Manajer Investasi dengan mempertimbangkan faktor penilaian rentabilitas.</w:t>
            </w:r>
          </w:p>
        </w:tc>
      </w:tr>
    </w:tbl>
    <w:p w14:paraId="7E3A57F9" w14:textId="77777777" w:rsidR="001811EB" w:rsidRPr="00306115" w:rsidRDefault="001811EB" w:rsidP="00634DB8">
      <w:pPr>
        <w:pStyle w:val="HeadingAwalDaftarIsiLampiran"/>
        <w:numPr>
          <w:ilvl w:val="0"/>
          <w:numId w:val="0"/>
        </w:numPr>
        <w:ind w:left="567"/>
      </w:pPr>
    </w:p>
    <w:p w14:paraId="2221B6A9" w14:textId="77777777" w:rsidR="00634DB8" w:rsidRPr="00306115" w:rsidRDefault="00634DB8" w:rsidP="00634DB8">
      <w:pPr>
        <w:pStyle w:val="HeadingAwalDaftarIsiLampiran"/>
        <w:numPr>
          <w:ilvl w:val="0"/>
          <w:numId w:val="0"/>
        </w:numPr>
        <w:ind w:left="567"/>
      </w:pPr>
    </w:p>
    <w:p w14:paraId="5A35B4F6" w14:textId="48C984D7" w:rsidR="00D847AA" w:rsidRPr="00306115" w:rsidRDefault="009A006A">
      <w:pPr>
        <w:pStyle w:val="HeadingAwalDaftarIsiLampiran"/>
        <w:numPr>
          <w:ilvl w:val="6"/>
          <w:numId w:val="295"/>
        </w:numPr>
        <w:ind w:left="567" w:hanging="567"/>
      </w:pPr>
      <w:r w:rsidRPr="00306115">
        <w:rPr>
          <w:rFonts w:eastAsia="Calibri" w:cs="Bookman Old Style"/>
          <w:bCs/>
        </w:rPr>
        <w:t>Penilaian Sendiri Faktor Permodalan</w:t>
      </w:r>
    </w:p>
    <w:p w14:paraId="32D0A37F" w14:textId="77777777" w:rsidR="007D6218" w:rsidRPr="00306115" w:rsidRDefault="007D6218" w:rsidP="007D6218">
      <w:pPr>
        <w:pStyle w:val="HeadingAwalDaftarIsiLampiran"/>
        <w:numPr>
          <w:ilvl w:val="0"/>
          <w:numId w:val="0"/>
        </w:numPr>
        <w:ind w:left="567"/>
        <w:rPr>
          <w:rFonts w:eastAsia="Calibri" w:cs="Bookman Old Style"/>
          <w:bCs/>
        </w:rPr>
      </w:pPr>
    </w:p>
    <w:p w14:paraId="7BDBF434" w14:textId="77777777" w:rsidR="007D6218" w:rsidRPr="00306115" w:rsidRDefault="007D6218" w:rsidP="007D6218">
      <w:pPr>
        <w:pStyle w:val="HeadingAwalDaftarIsiLampiran"/>
        <w:numPr>
          <w:ilvl w:val="0"/>
          <w:numId w:val="0"/>
        </w:numPr>
        <w:ind w:left="567"/>
      </w:pPr>
      <w:r w:rsidRPr="00306115">
        <w:t>Nama Manajer Investasi:</w:t>
      </w:r>
      <w:r w:rsidRPr="00306115">
        <w:tab/>
      </w:r>
    </w:p>
    <w:p w14:paraId="40346401" w14:textId="77777777" w:rsidR="007D6218" w:rsidRPr="00306115" w:rsidRDefault="007D6218" w:rsidP="007D6218">
      <w:pPr>
        <w:pStyle w:val="BodyText"/>
        <w:numPr>
          <w:ilvl w:val="0"/>
          <w:numId w:val="0"/>
        </w:numPr>
        <w:tabs>
          <w:tab w:val="left" w:pos="2835"/>
          <w:tab w:val="left" w:pos="3119"/>
        </w:tabs>
        <w:ind w:left="567"/>
        <w:rPr>
          <w:color w:val="000000" w:themeColor="text1"/>
        </w:rPr>
      </w:pPr>
      <w:r w:rsidRPr="00306115">
        <w:rPr>
          <w:color w:val="000000" w:themeColor="text1"/>
        </w:rPr>
        <w:t>Kelompok Manajer Investasi (Manajer Investasi Kegiatan Usaha):</w:t>
      </w:r>
    </w:p>
    <w:p w14:paraId="3B31AD8E" w14:textId="77777777" w:rsidR="007D6218" w:rsidRPr="00306115" w:rsidRDefault="007D6218" w:rsidP="007D6218">
      <w:pPr>
        <w:pStyle w:val="HeadingAwalDaftarIsiLampiran"/>
        <w:numPr>
          <w:ilvl w:val="0"/>
          <w:numId w:val="0"/>
        </w:numPr>
        <w:ind w:left="567"/>
      </w:pPr>
    </w:p>
    <w:tbl>
      <w:tblPr>
        <w:tblStyle w:val="TableGrid"/>
        <w:tblW w:w="0" w:type="auto"/>
        <w:tblInd w:w="562" w:type="dxa"/>
        <w:tblLook w:val="04A0" w:firstRow="1" w:lastRow="0" w:firstColumn="1" w:lastColumn="0" w:noHBand="0" w:noVBand="1"/>
      </w:tblPr>
      <w:tblGrid>
        <w:gridCol w:w="4111"/>
        <w:gridCol w:w="4388"/>
      </w:tblGrid>
      <w:tr w:rsidR="00D57975" w:rsidRPr="00306115" w14:paraId="206674F1" w14:textId="77777777" w:rsidTr="00D57975">
        <w:tc>
          <w:tcPr>
            <w:tcW w:w="8499" w:type="dxa"/>
            <w:gridSpan w:val="2"/>
            <w:shd w:val="clear" w:color="auto" w:fill="D9D9D9" w:themeFill="background1" w:themeFillShade="D9"/>
          </w:tcPr>
          <w:p w14:paraId="44B64AF5" w14:textId="77777777" w:rsidR="00D57975" w:rsidRPr="00306115" w:rsidRDefault="00D57975" w:rsidP="00D57975">
            <w:pPr>
              <w:spacing w:before="120" w:after="120"/>
              <w:ind w:left="142" w:right="142"/>
              <w:jc w:val="center"/>
              <w:rPr>
                <w:rFonts w:eastAsia="Calibri" w:cs="Bookman Old Style"/>
                <w:bCs/>
                <w:color w:val="000000" w:themeColor="text1"/>
                <w:szCs w:val="24"/>
              </w:rPr>
            </w:pPr>
            <w:r w:rsidRPr="00306115">
              <w:rPr>
                <w:rFonts w:eastAsia="Calibri" w:cs="Bookman Old Style"/>
                <w:bCs/>
                <w:color w:val="000000" w:themeColor="text1"/>
                <w:szCs w:val="24"/>
              </w:rPr>
              <w:t>Analisis</w:t>
            </w:r>
          </w:p>
        </w:tc>
      </w:tr>
      <w:tr w:rsidR="00D57975" w:rsidRPr="00306115" w14:paraId="2646FF80" w14:textId="77777777" w:rsidTr="00D57975">
        <w:tc>
          <w:tcPr>
            <w:tcW w:w="4111" w:type="dxa"/>
          </w:tcPr>
          <w:p w14:paraId="15A11686" w14:textId="77777777" w:rsidR="00D57975" w:rsidRPr="00306115" w:rsidRDefault="00D57975" w:rsidP="00D57975">
            <w:pPr>
              <w:spacing w:before="60" w:after="60"/>
              <w:ind w:left="142" w:right="142"/>
              <w:rPr>
                <w:rFonts w:eastAsia="Calibri" w:cs="Bookman Old Style"/>
                <w:bCs/>
                <w:color w:val="000000" w:themeColor="text1"/>
                <w:szCs w:val="24"/>
              </w:rPr>
            </w:pPr>
            <w:r w:rsidRPr="00306115">
              <w:rPr>
                <w:rFonts w:eastAsia="Calibri" w:cs="Bookman Old Style"/>
                <w:bCs/>
                <w:color w:val="000000" w:themeColor="text1"/>
                <w:szCs w:val="24"/>
              </w:rPr>
              <w:t>Peringkat Faktor Permodalan:</w:t>
            </w:r>
          </w:p>
        </w:tc>
        <w:tc>
          <w:tcPr>
            <w:tcW w:w="4388" w:type="dxa"/>
          </w:tcPr>
          <w:p w14:paraId="5FE9C568" w14:textId="77777777" w:rsidR="00D57975" w:rsidRPr="00306115" w:rsidRDefault="00D57975" w:rsidP="00D57975">
            <w:pPr>
              <w:spacing w:before="60" w:after="60"/>
              <w:ind w:left="142" w:right="142"/>
              <w:rPr>
                <w:rFonts w:eastAsia="Calibri" w:cs="Bookman Old Style"/>
                <w:bCs/>
                <w:color w:val="000000" w:themeColor="text1"/>
                <w:szCs w:val="24"/>
              </w:rPr>
            </w:pPr>
          </w:p>
        </w:tc>
      </w:tr>
      <w:tr w:rsidR="00D57975" w:rsidRPr="00306115" w14:paraId="6A8A385A" w14:textId="77777777" w:rsidTr="00D57975">
        <w:tc>
          <w:tcPr>
            <w:tcW w:w="8499" w:type="dxa"/>
            <w:gridSpan w:val="2"/>
          </w:tcPr>
          <w:p w14:paraId="0CC48760" w14:textId="77777777" w:rsidR="00D57975" w:rsidRPr="00306115" w:rsidRDefault="00D57975" w:rsidP="00D57975">
            <w:pPr>
              <w:spacing w:before="60" w:after="60"/>
              <w:ind w:left="142" w:right="142"/>
              <w:rPr>
                <w:rFonts w:eastAsia="Calibri" w:cs="Bookman Old Style"/>
                <w:bCs/>
                <w:color w:val="000000" w:themeColor="text1"/>
                <w:szCs w:val="24"/>
              </w:rPr>
            </w:pPr>
            <w:r w:rsidRPr="00306115">
              <w:rPr>
                <w:rFonts w:eastAsia="Calibri" w:cs="Bookman Old Style"/>
                <w:bCs/>
                <w:color w:val="000000" w:themeColor="text1"/>
                <w:szCs w:val="24"/>
              </w:rPr>
              <w:t>Uraian mengenai kesimpulan atas kinerja permodalan Manajer Investasi dengan mempertimbangkan faktor penilaian permodalan.</w:t>
            </w:r>
          </w:p>
        </w:tc>
      </w:tr>
    </w:tbl>
    <w:p w14:paraId="154E9771" w14:textId="77777777" w:rsidR="007D6218" w:rsidRPr="00306115" w:rsidRDefault="007D6218" w:rsidP="007D6218">
      <w:pPr>
        <w:pStyle w:val="HeadingAwalDaftarIsiLampiran"/>
        <w:numPr>
          <w:ilvl w:val="0"/>
          <w:numId w:val="0"/>
        </w:numPr>
        <w:ind w:left="567"/>
      </w:pPr>
    </w:p>
    <w:p w14:paraId="13D77DFD" w14:textId="77777777" w:rsidR="00D57975" w:rsidRPr="00306115" w:rsidRDefault="00D57975" w:rsidP="00D57975">
      <w:pPr>
        <w:tabs>
          <w:tab w:val="left" w:pos="9071"/>
        </w:tabs>
        <w:spacing w:after="0" w:line="240" w:lineRule="auto"/>
        <w:ind w:left="4536"/>
        <w:rPr>
          <w:noProof/>
          <w:color w:val="000000" w:themeColor="text1"/>
          <w:szCs w:val="24"/>
        </w:rPr>
      </w:pPr>
      <w:r w:rsidRPr="00306115">
        <w:rPr>
          <w:noProof/>
          <w:color w:val="000000" w:themeColor="text1"/>
          <w:szCs w:val="24"/>
        </w:rPr>
        <w:t>Ditetapkan di Jakarta</w:t>
      </w:r>
    </w:p>
    <w:p w14:paraId="4D09016E" w14:textId="77777777" w:rsidR="00D57975" w:rsidRPr="00306115" w:rsidRDefault="00D57975" w:rsidP="00D57975">
      <w:pPr>
        <w:tabs>
          <w:tab w:val="left" w:pos="9071"/>
        </w:tabs>
        <w:spacing w:after="0" w:line="240" w:lineRule="auto"/>
        <w:ind w:left="4536"/>
        <w:rPr>
          <w:noProof/>
          <w:color w:val="000000" w:themeColor="text1"/>
          <w:szCs w:val="24"/>
        </w:rPr>
      </w:pPr>
      <w:r w:rsidRPr="00306115">
        <w:rPr>
          <w:noProof/>
          <w:color w:val="000000" w:themeColor="text1"/>
          <w:szCs w:val="24"/>
        </w:rPr>
        <w:t>pada tanggal …</w:t>
      </w:r>
    </w:p>
    <w:p w14:paraId="6D88C232" w14:textId="77777777" w:rsidR="00D57975" w:rsidRPr="00306115" w:rsidRDefault="00D57975" w:rsidP="00D57975">
      <w:pPr>
        <w:tabs>
          <w:tab w:val="left" w:pos="9071"/>
        </w:tabs>
        <w:spacing w:after="0" w:line="240" w:lineRule="auto"/>
        <w:ind w:left="4536"/>
        <w:rPr>
          <w:noProof/>
          <w:color w:val="000000" w:themeColor="text1"/>
          <w:szCs w:val="24"/>
        </w:rPr>
      </w:pPr>
    </w:p>
    <w:p w14:paraId="328EE99B" w14:textId="77777777" w:rsidR="00D57975" w:rsidRPr="00306115" w:rsidRDefault="00D57975" w:rsidP="00D57975">
      <w:pPr>
        <w:tabs>
          <w:tab w:val="left" w:pos="9071"/>
        </w:tabs>
        <w:spacing w:after="0" w:line="240" w:lineRule="auto"/>
        <w:ind w:left="4536"/>
        <w:rPr>
          <w:noProof/>
          <w:color w:val="000000" w:themeColor="text1"/>
          <w:szCs w:val="24"/>
        </w:rPr>
      </w:pPr>
      <w:r w:rsidRPr="00306115">
        <w:rPr>
          <w:noProof/>
          <w:color w:val="000000" w:themeColor="text1"/>
          <w:szCs w:val="24"/>
        </w:rPr>
        <w:t>KEPALA</w:t>
      </w:r>
      <w:r w:rsidRPr="00306115">
        <w:rPr>
          <w:noProof/>
          <w:color w:val="000000" w:themeColor="text1"/>
          <w:szCs w:val="24"/>
          <w:lang w:val="en-US"/>
        </w:rPr>
        <w:t xml:space="preserve"> </w:t>
      </w:r>
      <w:r w:rsidRPr="00306115">
        <w:rPr>
          <w:noProof/>
          <w:color w:val="000000" w:themeColor="text1"/>
          <w:szCs w:val="24"/>
        </w:rPr>
        <w:t>EKSEKUTIF PENGAWAS PASAR MODAL, KEUANGAN DERIVATIF, DAN BURSA KARBON</w:t>
      </w:r>
    </w:p>
    <w:p w14:paraId="2FA4B973" w14:textId="77777777" w:rsidR="00D57975" w:rsidRPr="00306115" w:rsidRDefault="00D57975" w:rsidP="00D57975">
      <w:pPr>
        <w:tabs>
          <w:tab w:val="left" w:pos="9071"/>
        </w:tabs>
        <w:spacing w:after="0" w:line="240" w:lineRule="auto"/>
        <w:ind w:left="4536"/>
        <w:rPr>
          <w:noProof/>
          <w:color w:val="000000" w:themeColor="text1"/>
          <w:szCs w:val="24"/>
        </w:rPr>
      </w:pPr>
      <w:r w:rsidRPr="00306115">
        <w:rPr>
          <w:noProof/>
          <w:color w:val="000000" w:themeColor="text1"/>
          <w:szCs w:val="24"/>
        </w:rPr>
        <w:t>OTORITAS JASA KEUANGAN</w:t>
      </w:r>
    </w:p>
    <w:p w14:paraId="5D6B37F5" w14:textId="77777777" w:rsidR="00D57975" w:rsidRPr="00306115" w:rsidRDefault="00D57975" w:rsidP="00D57975">
      <w:pPr>
        <w:tabs>
          <w:tab w:val="left" w:pos="9071"/>
        </w:tabs>
        <w:spacing w:after="0" w:line="240" w:lineRule="auto"/>
        <w:ind w:left="4536"/>
        <w:rPr>
          <w:noProof/>
          <w:color w:val="000000" w:themeColor="text1"/>
          <w:szCs w:val="24"/>
        </w:rPr>
      </w:pPr>
      <w:r w:rsidRPr="00306115">
        <w:rPr>
          <w:noProof/>
          <w:color w:val="000000" w:themeColor="text1"/>
          <w:szCs w:val="24"/>
          <w:lang w:val="en-US"/>
        </w:rPr>
        <w:t>REPUBLIK INDONESIA</w:t>
      </w:r>
      <w:r w:rsidRPr="00306115">
        <w:rPr>
          <w:noProof/>
          <w:color w:val="000000" w:themeColor="text1"/>
          <w:szCs w:val="24"/>
        </w:rPr>
        <w:t>,</w:t>
      </w:r>
    </w:p>
    <w:p w14:paraId="754EA145" w14:textId="77777777" w:rsidR="00D57975" w:rsidRPr="00306115" w:rsidRDefault="00D57975" w:rsidP="00D57975">
      <w:pPr>
        <w:spacing w:after="0" w:line="240" w:lineRule="auto"/>
        <w:ind w:left="5245" w:right="26"/>
        <w:rPr>
          <w:noProof/>
          <w:color w:val="000000" w:themeColor="text1"/>
          <w:szCs w:val="24"/>
        </w:rPr>
      </w:pPr>
    </w:p>
    <w:p w14:paraId="648DCA27" w14:textId="77777777" w:rsidR="00D57975" w:rsidRPr="00306115" w:rsidRDefault="00D57975" w:rsidP="00D57975">
      <w:pPr>
        <w:spacing w:after="0" w:line="240" w:lineRule="auto"/>
        <w:ind w:left="5245" w:right="26"/>
        <w:rPr>
          <w:noProof/>
          <w:color w:val="000000" w:themeColor="text1"/>
          <w:szCs w:val="24"/>
        </w:rPr>
      </w:pPr>
    </w:p>
    <w:p w14:paraId="492B9F4F" w14:textId="0C126DBA" w:rsidR="0026368F" w:rsidRPr="00306115" w:rsidRDefault="0026368F" w:rsidP="00D57975">
      <w:pPr>
        <w:spacing w:after="0" w:line="240" w:lineRule="auto"/>
        <w:ind w:left="5245" w:right="26"/>
        <w:rPr>
          <w:noProof/>
          <w:color w:val="000000" w:themeColor="text1"/>
          <w:szCs w:val="24"/>
        </w:rPr>
      </w:pPr>
    </w:p>
    <w:p w14:paraId="669FD941" w14:textId="77777777" w:rsidR="0026368F" w:rsidRPr="00306115" w:rsidRDefault="0026368F" w:rsidP="00D57975">
      <w:pPr>
        <w:spacing w:after="0" w:line="240" w:lineRule="auto"/>
        <w:ind w:left="5245" w:right="26"/>
        <w:rPr>
          <w:noProof/>
          <w:color w:val="000000" w:themeColor="text1"/>
          <w:szCs w:val="24"/>
        </w:rPr>
      </w:pPr>
    </w:p>
    <w:p w14:paraId="2E911E33" w14:textId="77777777" w:rsidR="00D57975" w:rsidRPr="00306115" w:rsidRDefault="00D57975" w:rsidP="00D57975">
      <w:pPr>
        <w:spacing w:after="0" w:line="240" w:lineRule="auto"/>
        <w:ind w:left="5245" w:right="26"/>
        <w:rPr>
          <w:noProof/>
          <w:color w:val="000000" w:themeColor="text1"/>
          <w:szCs w:val="24"/>
        </w:rPr>
      </w:pPr>
    </w:p>
    <w:p w14:paraId="763EC53E" w14:textId="20F34542" w:rsidR="000B03FD" w:rsidRPr="00306115" w:rsidRDefault="00D57975" w:rsidP="00C46590">
      <w:pPr>
        <w:tabs>
          <w:tab w:val="left" w:pos="8910"/>
        </w:tabs>
        <w:spacing w:after="0" w:line="240" w:lineRule="auto"/>
        <w:ind w:left="4536"/>
        <w:jc w:val="center"/>
        <w:rPr>
          <w:noProof/>
          <w:color w:val="000000" w:themeColor="text1"/>
          <w:szCs w:val="24"/>
          <w:lang w:val="en-US"/>
        </w:rPr>
      </w:pPr>
      <w:r w:rsidRPr="00306115">
        <w:rPr>
          <w:noProof/>
          <w:color w:val="000000" w:themeColor="text1"/>
          <w:szCs w:val="24"/>
        </w:rPr>
        <w:t>HASAN FAWZ</w:t>
      </w:r>
      <w:r w:rsidR="003925F8" w:rsidRPr="00306115">
        <w:rPr>
          <w:noProof/>
          <w:color w:val="000000" w:themeColor="text1"/>
          <w:szCs w:val="24"/>
        </w:rPr>
        <w:t>I</w:t>
      </w:r>
    </w:p>
    <w:sectPr w:rsidR="000B03FD" w:rsidRPr="00306115" w:rsidSect="003925F8">
      <w:headerReference w:type="first" r:id="rId26"/>
      <w:pgSz w:w="11907" w:h="18711" w:code="41"/>
      <w:pgMar w:top="1418" w:right="1418" w:bottom="1418" w:left="1418" w:header="709"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D51F3" w14:textId="77777777" w:rsidR="00DD3739" w:rsidRDefault="00DD3739" w:rsidP="00E968A8">
      <w:pPr>
        <w:spacing w:after="0" w:line="240" w:lineRule="auto"/>
      </w:pPr>
      <w:r>
        <w:separator/>
      </w:r>
    </w:p>
  </w:endnote>
  <w:endnote w:type="continuationSeparator" w:id="0">
    <w:p w14:paraId="4FA218DB" w14:textId="77777777" w:rsidR="00DD3739" w:rsidRDefault="00DD3739" w:rsidP="00E96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ookmanOldStyle-Italic">
    <w:altName w:val="Cambria"/>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BookAntiqua">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2449F" w14:textId="77777777" w:rsidR="00DD3739" w:rsidRDefault="00DD3739" w:rsidP="00E968A8">
      <w:pPr>
        <w:spacing w:after="0" w:line="240" w:lineRule="auto"/>
      </w:pPr>
      <w:r>
        <w:separator/>
      </w:r>
    </w:p>
  </w:footnote>
  <w:footnote w:type="continuationSeparator" w:id="0">
    <w:p w14:paraId="6B0DC987" w14:textId="77777777" w:rsidR="00DD3739" w:rsidRDefault="00DD3739" w:rsidP="00E96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24"/>
      </w:rPr>
      <w:id w:val="1896772049"/>
      <w:docPartObj>
        <w:docPartGallery w:val="Page Numbers (Top of Page)"/>
        <w:docPartUnique/>
      </w:docPartObj>
    </w:sdtPr>
    <w:sdtEndPr>
      <w:rPr>
        <w:noProof/>
      </w:rPr>
    </w:sdtEndPr>
    <w:sdtContent>
      <w:p w14:paraId="2A06197E" w14:textId="4E373F61" w:rsidR="006471EB" w:rsidRPr="002B5ACC" w:rsidRDefault="006471EB">
        <w:pPr>
          <w:pStyle w:val="Header"/>
          <w:jc w:val="center"/>
          <w:rPr>
            <w:szCs w:val="24"/>
          </w:rPr>
        </w:pPr>
        <w:r w:rsidRPr="002B5ACC">
          <w:rPr>
            <w:szCs w:val="24"/>
          </w:rPr>
          <w:fldChar w:fldCharType="begin"/>
        </w:r>
        <w:r w:rsidRPr="002B5ACC">
          <w:rPr>
            <w:szCs w:val="24"/>
          </w:rPr>
          <w:instrText xml:space="preserve"> PAGE   \* MERGEFORMAT </w:instrText>
        </w:r>
        <w:r w:rsidRPr="002B5ACC">
          <w:rPr>
            <w:szCs w:val="24"/>
          </w:rPr>
          <w:fldChar w:fldCharType="separate"/>
        </w:r>
        <w:r w:rsidRPr="002B5ACC">
          <w:rPr>
            <w:noProof/>
            <w:szCs w:val="24"/>
          </w:rPr>
          <w:t>2</w:t>
        </w:r>
        <w:r w:rsidRPr="002B5ACC">
          <w:rPr>
            <w:noProof/>
            <w:szCs w:val="24"/>
          </w:rPr>
          <w:fldChar w:fldCharType="end"/>
        </w:r>
      </w:p>
    </w:sdtContent>
  </w:sdt>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E8E9F" w14:textId="2CE1AB1C" w:rsidR="00257215" w:rsidRDefault="00257215">
    <w:pPr>
      <w:pStyle w:val="Header"/>
      <w:jc w:val="center"/>
    </w:pPr>
  </w:p>
  <w:p w14:paraId="04CF6483" w14:textId="77777777" w:rsidR="00257215" w:rsidRPr="003B08C5" w:rsidRDefault="00257215" w:rsidP="00A907EE">
    <w:pPr>
      <w:pStyle w:val="Header"/>
      <w:jc w:val="cent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831307"/>
      <w:docPartObj>
        <w:docPartGallery w:val="Page Numbers (Top of Page)"/>
        <w:docPartUnique/>
      </w:docPartObj>
    </w:sdtPr>
    <w:sdtEndPr>
      <w:rPr>
        <w:noProof/>
      </w:rPr>
    </w:sdtEndPr>
    <w:sdtContent>
      <w:p w14:paraId="725B45CF" w14:textId="668D2BBF" w:rsidR="00B17D5A" w:rsidRDefault="00B17D5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ACDADAE" w14:textId="77777777" w:rsidR="00B17D5A" w:rsidRPr="003B08C5" w:rsidRDefault="00B17D5A" w:rsidP="00A907EE">
    <w:pPr>
      <w:pStyle w:val="Header"/>
      <w:jc w:val="cent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0216230"/>
      <w:docPartObj>
        <w:docPartGallery w:val="Page Numbers (Top of Page)"/>
        <w:docPartUnique/>
      </w:docPartObj>
    </w:sdtPr>
    <w:sdtEndPr>
      <w:rPr>
        <w:noProof/>
        <w:szCs w:val="24"/>
      </w:rPr>
    </w:sdtEndPr>
    <w:sdtContent>
      <w:p w14:paraId="313E5D9A" w14:textId="5D70C59B" w:rsidR="006471EB" w:rsidRPr="005051F7" w:rsidRDefault="006471EB">
        <w:pPr>
          <w:pStyle w:val="Header"/>
          <w:jc w:val="center"/>
          <w:rPr>
            <w:szCs w:val="24"/>
          </w:rPr>
        </w:pPr>
        <w:r w:rsidRPr="005051F7">
          <w:rPr>
            <w:szCs w:val="24"/>
          </w:rPr>
          <w:fldChar w:fldCharType="begin"/>
        </w:r>
        <w:r w:rsidRPr="005051F7">
          <w:rPr>
            <w:szCs w:val="24"/>
          </w:rPr>
          <w:instrText xml:space="preserve"> PAGE   \* MERGEFORMAT </w:instrText>
        </w:r>
        <w:r w:rsidRPr="005051F7">
          <w:rPr>
            <w:szCs w:val="24"/>
          </w:rPr>
          <w:fldChar w:fldCharType="separate"/>
        </w:r>
        <w:r w:rsidRPr="005051F7">
          <w:rPr>
            <w:noProof/>
            <w:szCs w:val="24"/>
          </w:rPr>
          <w:t>2</w:t>
        </w:r>
        <w:r w:rsidRPr="005051F7">
          <w:rPr>
            <w:noProof/>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03010" w14:textId="1A0A4FCD" w:rsidR="003A3967" w:rsidRPr="003A3967" w:rsidRDefault="003A3967">
    <w:pPr>
      <w:pStyle w:val="Header"/>
      <w:jc w:val="center"/>
      <w:rPr>
        <w:szCs w:val="24"/>
      </w:rPr>
    </w:pPr>
  </w:p>
  <w:p w14:paraId="7B009EDD" w14:textId="77777777" w:rsidR="003A3967" w:rsidRPr="003B08C5" w:rsidRDefault="003A3967" w:rsidP="00A907E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8708149"/>
      <w:docPartObj>
        <w:docPartGallery w:val="Page Numbers (Top of Page)"/>
        <w:docPartUnique/>
      </w:docPartObj>
    </w:sdtPr>
    <w:sdtEndPr>
      <w:rPr>
        <w:noProof/>
      </w:rPr>
    </w:sdtEndPr>
    <w:sdtContent>
      <w:p w14:paraId="23D4A2D7" w14:textId="5507B908" w:rsidR="0037786D" w:rsidRDefault="0037786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8B1F8D9" w14:textId="77777777" w:rsidR="003A3967" w:rsidRPr="003B08C5" w:rsidRDefault="003A3967" w:rsidP="00A907EE">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FE810" w14:textId="70A51E3F" w:rsidR="00BC01BE" w:rsidRDefault="00BC01BE">
    <w:pPr>
      <w:pStyle w:val="Header"/>
      <w:jc w:val="center"/>
    </w:pPr>
  </w:p>
  <w:p w14:paraId="2D367718" w14:textId="77777777" w:rsidR="00BC01BE" w:rsidRPr="003B08C5" w:rsidRDefault="00BC01BE" w:rsidP="00A907EE">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0860231"/>
      <w:docPartObj>
        <w:docPartGallery w:val="Page Numbers (Top of Page)"/>
        <w:docPartUnique/>
      </w:docPartObj>
    </w:sdtPr>
    <w:sdtEndPr>
      <w:rPr>
        <w:noProof/>
      </w:rPr>
    </w:sdtEndPr>
    <w:sdtContent>
      <w:p w14:paraId="172CCDFF" w14:textId="52B5FC83" w:rsidR="00BC01BE" w:rsidRDefault="00BC01B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9EFD1B9" w14:textId="77777777" w:rsidR="00BC01BE" w:rsidRPr="003B08C5" w:rsidRDefault="00BC01BE" w:rsidP="00A907EE">
    <w:pPr>
      <w:pStyle w:val="Header"/>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1620C" w14:textId="37D9E80D" w:rsidR="009E793A" w:rsidRDefault="009E793A">
    <w:pPr>
      <w:pStyle w:val="Header"/>
      <w:jc w:val="center"/>
    </w:pPr>
  </w:p>
  <w:p w14:paraId="1B9B4FB6" w14:textId="77777777" w:rsidR="009E793A" w:rsidRPr="003B08C5" w:rsidRDefault="009E793A" w:rsidP="00A907EE">
    <w:pPr>
      <w:pStyle w:val="Header"/>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102778"/>
      <w:docPartObj>
        <w:docPartGallery w:val="Page Numbers (Top of Page)"/>
        <w:docPartUnique/>
      </w:docPartObj>
    </w:sdtPr>
    <w:sdtEndPr>
      <w:rPr>
        <w:noProof/>
      </w:rPr>
    </w:sdtEndPr>
    <w:sdtContent>
      <w:p w14:paraId="79FE8FC4" w14:textId="1C831CCE" w:rsidR="00931558" w:rsidRDefault="0093155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B86C9" w14:textId="3AAAAA5F" w:rsidR="00084DCD" w:rsidRPr="003B08C5" w:rsidRDefault="00084DCD" w:rsidP="00A907EE">
    <w:pPr>
      <w:pStyle w:val="Header"/>
      <w:jc w:val="cent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677448"/>
      <w:docPartObj>
        <w:docPartGallery w:val="Page Numbers (Top of Page)"/>
        <w:docPartUnique/>
      </w:docPartObj>
    </w:sdtPr>
    <w:sdtEndPr>
      <w:rPr>
        <w:noProof/>
      </w:rPr>
    </w:sdtEndPr>
    <w:sdtContent>
      <w:p w14:paraId="4AC36121" w14:textId="54A73B16" w:rsidR="00304D44" w:rsidRDefault="00304D4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3C47BD6" w14:textId="77777777" w:rsidR="00304D44" w:rsidRPr="003B08C5" w:rsidRDefault="00304D44" w:rsidP="00A907E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7AA8"/>
    <w:multiLevelType w:val="hybridMultilevel"/>
    <w:tmpl w:val="3E1419AE"/>
    <w:lvl w:ilvl="0" w:tplc="38090011">
      <w:start w:val="1"/>
      <w:numFmt w:val="decimal"/>
      <w:lvlText w:val="%1)"/>
      <w:lvlJc w:val="left"/>
      <w:pPr>
        <w:ind w:left="144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BC56FE"/>
    <w:multiLevelType w:val="hybridMultilevel"/>
    <w:tmpl w:val="9B30ED2C"/>
    <w:lvl w:ilvl="0" w:tplc="FFFFFFFF">
      <w:start w:val="1"/>
      <w:numFmt w:val="lowerLetter"/>
      <w:lvlText w:val="%1."/>
      <w:lvlJc w:val="left"/>
      <w:pPr>
        <w:ind w:left="1854" w:hanging="360"/>
      </w:pPr>
      <w:rPr>
        <w:rFonts w:hint="default"/>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 w15:restartNumberingAfterBreak="0">
    <w:nsid w:val="01FE2655"/>
    <w:multiLevelType w:val="multilevel"/>
    <w:tmpl w:val="0E820656"/>
    <w:lvl w:ilvl="0">
      <w:start w:val="1"/>
      <w:numFmt w:val="upperRoman"/>
      <w:lvlText w:val="%1"/>
      <w:lvlJc w:val="left"/>
      <w:pPr>
        <w:ind w:left="834" w:hanging="577"/>
      </w:pPr>
    </w:lvl>
    <w:lvl w:ilvl="1">
      <w:start w:val="1"/>
      <w:numFmt w:val="upperLetter"/>
      <w:lvlText w:val="%1.%2"/>
      <w:lvlJc w:val="left"/>
      <w:pPr>
        <w:ind w:left="834" w:hanging="577"/>
      </w:pPr>
      <w:rPr>
        <w:rFonts w:ascii="Cambria" w:eastAsia="Cambria" w:hAnsi="Cambria" w:cs="Cambria"/>
        <w:b/>
        <w:bCs/>
        <w:sz w:val="22"/>
        <w:szCs w:val="22"/>
      </w:rPr>
    </w:lvl>
    <w:lvl w:ilvl="2">
      <w:start w:val="1"/>
      <w:numFmt w:val="decimal"/>
      <w:lvlText w:val="%3."/>
      <w:lvlJc w:val="left"/>
      <w:pPr>
        <w:ind w:left="919" w:hanging="352"/>
      </w:pPr>
      <w:rPr>
        <w:rFonts w:ascii="Bookman Old Style" w:eastAsia="Cambria" w:hAnsi="Bookman Old Style" w:cs="Cambria" w:hint="default"/>
        <w:b w:val="0"/>
        <w:bCs w:val="0"/>
        <w:sz w:val="24"/>
        <w:szCs w:val="24"/>
      </w:rPr>
    </w:lvl>
    <w:lvl w:ilvl="3">
      <w:numFmt w:val="bullet"/>
      <w:lvlText w:val="•"/>
      <w:lvlJc w:val="left"/>
      <w:pPr>
        <w:ind w:left="4372" w:hanging="352"/>
      </w:pPr>
    </w:lvl>
    <w:lvl w:ilvl="4">
      <w:numFmt w:val="bullet"/>
      <w:lvlText w:val="•"/>
      <w:lvlJc w:val="left"/>
      <w:pPr>
        <w:ind w:left="5929" w:hanging="352"/>
      </w:pPr>
    </w:lvl>
    <w:lvl w:ilvl="5">
      <w:numFmt w:val="bullet"/>
      <w:lvlText w:val="•"/>
      <w:lvlJc w:val="left"/>
      <w:pPr>
        <w:ind w:left="7485" w:hanging="352"/>
      </w:pPr>
    </w:lvl>
    <w:lvl w:ilvl="6">
      <w:numFmt w:val="bullet"/>
      <w:lvlText w:val="•"/>
      <w:lvlJc w:val="left"/>
      <w:pPr>
        <w:ind w:left="9042" w:hanging="352"/>
      </w:pPr>
    </w:lvl>
    <w:lvl w:ilvl="7">
      <w:numFmt w:val="bullet"/>
      <w:lvlText w:val="•"/>
      <w:lvlJc w:val="left"/>
      <w:pPr>
        <w:ind w:left="10598" w:hanging="352"/>
      </w:pPr>
    </w:lvl>
    <w:lvl w:ilvl="8">
      <w:numFmt w:val="bullet"/>
      <w:lvlText w:val="•"/>
      <w:lvlJc w:val="left"/>
      <w:pPr>
        <w:ind w:left="12155" w:hanging="352"/>
      </w:pPr>
    </w:lvl>
  </w:abstractNum>
  <w:abstractNum w:abstractNumId="3" w15:restartNumberingAfterBreak="0">
    <w:nsid w:val="020C3984"/>
    <w:multiLevelType w:val="hybridMultilevel"/>
    <w:tmpl w:val="532A04C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02134FDF"/>
    <w:multiLevelType w:val="hybridMultilevel"/>
    <w:tmpl w:val="04CEC268"/>
    <w:lvl w:ilvl="0" w:tplc="A01E2E18">
      <w:start w:val="1"/>
      <w:numFmt w:val="lowerLetter"/>
      <w:lvlText w:val="%1."/>
      <w:lvlJc w:val="left"/>
      <w:pPr>
        <w:ind w:left="566" w:hanging="425"/>
      </w:pPr>
      <w:rPr>
        <w:rFonts w:hint="default"/>
        <w:b w:val="0"/>
        <w:bCs w:val="0"/>
        <w:i w:val="0"/>
        <w:iCs w:val="0"/>
        <w:spacing w:val="0"/>
        <w:w w:val="100"/>
        <w:sz w:val="24"/>
        <w:szCs w:val="28"/>
        <w:lang w:val="id" w:eastAsia="en-US" w:bidi="ar-SA"/>
      </w:rPr>
    </w:lvl>
    <w:lvl w:ilvl="1" w:tplc="5D588298">
      <w:numFmt w:val="bullet"/>
      <w:lvlText w:val="•"/>
      <w:lvlJc w:val="left"/>
      <w:pPr>
        <w:ind w:left="1294" w:hanging="425"/>
      </w:pPr>
      <w:rPr>
        <w:rFonts w:hint="default"/>
        <w:lang w:val="id" w:eastAsia="en-US" w:bidi="ar-SA"/>
      </w:rPr>
    </w:lvl>
    <w:lvl w:ilvl="2" w:tplc="877E6B3E">
      <w:numFmt w:val="bullet"/>
      <w:lvlText w:val="•"/>
      <w:lvlJc w:val="left"/>
      <w:pPr>
        <w:ind w:left="2028" w:hanging="425"/>
      </w:pPr>
      <w:rPr>
        <w:rFonts w:hint="default"/>
        <w:lang w:val="id" w:eastAsia="en-US" w:bidi="ar-SA"/>
      </w:rPr>
    </w:lvl>
    <w:lvl w:ilvl="3" w:tplc="BB5E93CE">
      <w:numFmt w:val="bullet"/>
      <w:lvlText w:val="•"/>
      <w:lvlJc w:val="left"/>
      <w:pPr>
        <w:ind w:left="2762" w:hanging="425"/>
      </w:pPr>
      <w:rPr>
        <w:rFonts w:hint="default"/>
        <w:lang w:val="id" w:eastAsia="en-US" w:bidi="ar-SA"/>
      </w:rPr>
    </w:lvl>
    <w:lvl w:ilvl="4" w:tplc="E6027612">
      <w:numFmt w:val="bullet"/>
      <w:lvlText w:val="•"/>
      <w:lvlJc w:val="left"/>
      <w:pPr>
        <w:ind w:left="3496" w:hanging="425"/>
      </w:pPr>
      <w:rPr>
        <w:rFonts w:hint="default"/>
        <w:lang w:val="id" w:eastAsia="en-US" w:bidi="ar-SA"/>
      </w:rPr>
    </w:lvl>
    <w:lvl w:ilvl="5" w:tplc="2FE27976">
      <w:numFmt w:val="bullet"/>
      <w:lvlText w:val="•"/>
      <w:lvlJc w:val="left"/>
      <w:pPr>
        <w:ind w:left="4230" w:hanging="425"/>
      </w:pPr>
      <w:rPr>
        <w:rFonts w:hint="default"/>
        <w:lang w:val="id" w:eastAsia="en-US" w:bidi="ar-SA"/>
      </w:rPr>
    </w:lvl>
    <w:lvl w:ilvl="6" w:tplc="43CC3A40">
      <w:numFmt w:val="bullet"/>
      <w:lvlText w:val="•"/>
      <w:lvlJc w:val="left"/>
      <w:pPr>
        <w:ind w:left="4964" w:hanging="425"/>
      </w:pPr>
      <w:rPr>
        <w:rFonts w:hint="default"/>
        <w:lang w:val="id" w:eastAsia="en-US" w:bidi="ar-SA"/>
      </w:rPr>
    </w:lvl>
    <w:lvl w:ilvl="7" w:tplc="2616617E">
      <w:numFmt w:val="bullet"/>
      <w:lvlText w:val="•"/>
      <w:lvlJc w:val="left"/>
      <w:pPr>
        <w:ind w:left="5698" w:hanging="425"/>
      </w:pPr>
      <w:rPr>
        <w:rFonts w:hint="default"/>
        <w:lang w:val="id" w:eastAsia="en-US" w:bidi="ar-SA"/>
      </w:rPr>
    </w:lvl>
    <w:lvl w:ilvl="8" w:tplc="A62C982A">
      <w:numFmt w:val="bullet"/>
      <w:lvlText w:val="•"/>
      <w:lvlJc w:val="left"/>
      <w:pPr>
        <w:ind w:left="6432" w:hanging="425"/>
      </w:pPr>
      <w:rPr>
        <w:rFonts w:hint="default"/>
        <w:lang w:val="id" w:eastAsia="en-US" w:bidi="ar-SA"/>
      </w:rPr>
    </w:lvl>
  </w:abstractNum>
  <w:abstractNum w:abstractNumId="5" w15:restartNumberingAfterBreak="0">
    <w:nsid w:val="025767B0"/>
    <w:multiLevelType w:val="hybridMultilevel"/>
    <w:tmpl w:val="ADF2A234"/>
    <w:lvl w:ilvl="0" w:tplc="002CE2D6">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6" w15:restartNumberingAfterBreak="0">
    <w:nsid w:val="027029E5"/>
    <w:multiLevelType w:val="hybridMultilevel"/>
    <w:tmpl w:val="D3867A80"/>
    <w:lvl w:ilvl="0" w:tplc="9EFA5560">
      <w:start w:val="1"/>
      <w:numFmt w:val="decimal"/>
      <w:lvlText w:val="%1)"/>
      <w:lvlJc w:val="left"/>
      <w:pPr>
        <w:ind w:left="2628" w:hanging="360"/>
      </w:pPr>
      <w:rPr>
        <w:rFonts w:hint="default"/>
      </w:rPr>
    </w:lvl>
    <w:lvl w:ilvl="1" w:tplc="38090019" w:tentative="1">
      <w:start w:val="1"/>
      <w:numFmt w:val="lowerLetter"/>
      <w:lvlText w:val="%2."/>
      <w:lvlJc w:val="left"/>
      <w:pPr>
        <w:ind w:left="3348" w:hanging="360"/>
      </w:pPr>
    </w:lvl>
    <w:lvl w:ilvl="2" w:tplc="3809001B" w:tentative="1">
      <w:start w:val="1"/>
      <w:numFmt w:val="lowerRoman"/>
      <w:lvlText w:val="%3."/>
      <w:lvlJc w:val="right"/>
      <w:pPr>
        <w:ind w:left="4068" w:hanging="180"/>
      </w:pPr>
    </w:lvl>
    <w:lvl w:ilvl="3" w:tplc="3809000F" w:tentative="1">
      <w:start w:val="1"/>
      <w:numFmt w:val="decimal"/>
      <w:lvlText w:val="%4."/>
      <w:lvlJc w:val="left"/>
      <w:pPr>
        <w:ind w:left="4788" w:hanging="360"/>
      </w:pPr>
    </w:lvl>
    <w:lvl w:ilvl="4" w:tplc="38090019" w:tentative="1">
      <w:start w:val="1"/>
      <w:numFmt w:val="lowerLetter"/>
      <w:lvlText w:val="%5."/>
      <w:lvlJc w:val="left"/>
      <w:pPr>
        <w:ind w:left="5508" w:hanging="360"/>
      </w:pPr>
    </w:lvl>
    <w:lvl w:ilvl="5" w:tplc="3809001B" w:tentative="1">
      <w:start w:val="1"/>
      <w:numFmt w:val="lowerRoman"/>
      <w:lvlText w:val="%6."/>
      <w:lvlJc w:val="right"/>
      <w:pPr>
        <w:ind w:left="6228" w:hanging="180"/>
      </w:pPr>
    </w:lvl>
    <w:lvl w:ilvl="6" w:tplc="3809000F" w:tentative="1">
      <w:start w:val="1"/>
      <w:numFmt w:val="decimal"/>
      <w:lvlText w:val="%7."/>
      <w:lvlJc w:val="left"/>
      <w:pPr>
        <w:ind w:left="6948" w:hanging="360"/>
      </w:pPr>
    </w:lvl>
    <w:lvl w:ilvl="7" w:tplc="38090019" w:tentative="1">
      <w:start w:val="1"/>
      <w:numFmt w:val="lowerLetter"/>
      <w:lvlText w:val="%8."/>
      <w:lvlJc w:val="left"/>
      <w:pPr>
        <w:ind w:left="7668" w:hanging="360"/>
      </w:pPr>
    </w:lvl>
    <w:lvl w:ilvl="8" w:tplc="3809001B" w:tentative="1">
      <w:start w:val="1"/>
      <w:numFmt w:val="lowerRoman"/>
      <w:lvlText w:val="%9."/>
      <w:lvlJc w:val="right"/>
      <w:pPr>
        <w:ind w:left="8388" w:hanging="180"/>
      </w:pPr>
    </w:lvl>
  </w:abstractNum>
  <w:abstractNum w:abstractNumId="7" w15:restartNumberingAfterBreak="0">
    <w:nsid w:val="027E5722"/>
    <w:multiLevelType w:val="hybridMultilevel"/>
    <w:tmpl w:val="D37CFB30"/>
    <w:lvl w:ilvl="0" w:tplc="B7C22A4A">
      <w:start w:val="1"/>
      <w:numFmt w:val="lowerLetter"/>
      <w:lvlText w:val="%1)"/>
      <w:lvlJc w:val="left"/>
      <w:pPr>
        <w:ind w:left="3195" w:hanging="360"/>
      </w:pPr>
      <w:rPr>
        <w:rFonts w:hint="default"/>
      </w:rPr>
    </w:lvl>
    <w:lvl w:ilvl="1" w:tplc="38090019" w:tentative="1">
      <w:start w:val="1"/>
      <w:numFmt w:val="lowerLetter"/>
      <w:lvlText w:val="%2."/>
      <w:lvlJc w:val="left"/>
      <w:pPr>
        <w:ind w:left="3915" w:hanging="360"/>
      </w:pPr>
    </w:lvl>
    <w:lvl w:ilvl="2" w:tplc="3809001B" w:tentative="1">
      <w:start w:val="1"/>
      <w:numFmt w:val="lowerRoman"/>
      <w:lvlText w:val="%3."/>
      <w:lvlJc w:val="right"/>
      <w:pPr>
        <w:ind w:left="4635" w:hanging="180"/>
      </w:pPr>
    </w:lvl>
    <w:lvl w:ilvl="3" w:tplc="3809000F" w:tentative="1">
      <w:start w:val="1"/>
      <w:numFmt w:val="decimal"/>
      <w:lvlText w:val="%4."/>
      <w:lvlJc w:val="left"/>
      <w:pPr>
        <w:ind w:left="5355" w:hanging="360"/>
      </w:pPr>
    </w:lvl>
    <w:lvl w:ilvl="4" w:tplc="38090019" w:tentative="1">
      <w:start w:val="1"/>
      <w:numFmt w:val="lowerLetter"/>
      <w:lvlText w:val="%5."/>
      <w:lvlJc w:val="left"/>
      <w:pPr>
        <w:ind w:left="6075" w:hanging="360"/>
      </w:pPr>
    </w:lvl>
    <w:lvl w:ilvl="5" w:tplc="3809001B" w:tentative="1">
      <w:start w:val="1"/>
      <w:numFmt w:val="lowerRoman"/>
      <w:lvlText w:val="%6."/>
      <w:lvlJc w:val="right"/>
      <w:pPr>
        <w:ind w:left="6795" w:hanging="180"/>
      </w:pPr>
    </w:lvl>
    <w:lvl w:ilvl="6" w:tplc="3809000F" w:tentative="1">
      <w:start w:val="1"/>
      <w:numFmt w:val="decimal"/>
      <w:lvlText w:val="%7."/>
      <w:lvlJc w:val="left"/>
      <w:pPr>
        <w:ind w:left="7515" w:hanging="360"/>
      </w:pPr>
    </w:lvl>
    <w:lvl w:ilvl="7" w:tplc="38090019" w:tentative="1">
      <w:start w:val="1"/>
      <w:numFmt w:val="lowerLetter"/>
      <w:lvlText w:val="%8."/>
      <w:lvlJc w:val="left"/>
      <w:pPr>
        <w:ind w:left="8235" w:hanging="360"/>
      </w:pPr>
    </w:lvl>
    <w:lvl w:ilvl="8" w:tplc="3809001B" w:tentative="1">
      <w:start w:val="1"/>
      <w:numFmt w:val="lowerRoman"/>
      <w:lvlText w:val="%9."/>
      <w:lvlJc w:val="right"/>
      <w:pPr>
        <w:ind w:left="8955" w:hanging="180"/>
      </w:pPr>
    </w:lvl>
  </w:abstractNum>
  <w:abstractNum w:abstractNumId="8" w15:restartNumberingAfterBreak="0">
    <w:nsid w:val="02924802"/>
    <w:multiLevelType w:val="multilevel"/>
    <w:tmpl w:val="FE0E277E"/>
    <w:lvl w:ilvl="0">
      <w:start w:val="1"/>
      <w:numFmt w:val="decimal"/>
      <w:lvlText w:val="%1)"/>
      <w:lvlJc w:val="left"/>
      <w:pPr>
        <w:ind w:left="485" w:hanging="433"/>
      </w:pPr>
      <w:rPr>
        <w:rFonts w:ascii="Bookman Old Style" w:eastAsia="Bookman Old Style" w:hAnsi="Bookman Old Style" w:cs="Bookman Old Style"/>
        <w:b w:val="0"/>
        <w:bCs w:val="0"/>
        <w:sz w:val="24"/>
        <w:szCs w:val="24"/>
      </w:rPr>
    </w:lvl>
    <w:lvl w:ilvl="1">
      <w:numFmt w:val="bullet"/>
      <w:lvlText w:val="•"/>
      <w:lvlJc w:val="left"/>
      <w:pPr>
        <w:ind w:left="1089" w:hanging="432"/>
      </w:pPr>
    </w:lvl>
    <w:lvl w:ilvl="2">
      <w:numFmt w:val="bullet"/>
      <w:lvlText w:val="•"/>
      <w:lvlJc w:val="left"/>
      <w:pPr>
        <w:ind w:left="1699" w:hanging="433"/>
      </w:pPr>
    </w:lvl>
    <w:lvl w:ilvl="3">
      <w:numFmt w:val="bullet"/>
      <w:lvlText w:val="•"/>
      <w:lvlJc w:val="left"/>
      <w:pPr>
        <w:ind w:left="2309" w:hanging="432"/>
      </w:pPr>
    </w:lvl>
    <w:lvl w:ilvl="4">
      <w:numFmt w:val="bullet"/>
      <w:lvlText w:val="•"/>
      <w:lvlJc w:val="left"/>
      <w:pPr>
        <w:ind w:left="2919" w:hanging="433"/>
      </w:pPr>
    </w:lvl>
    <w:lvl w:ilvl="5">
      <w:numFmt w:val="bullet"/>
      <w:lvlText w:val="•"/>
      <w:lvlJc w:val="left"/>
      <w:pPr>
        <w:ind w:left="3529" w:hanging="433"/>
      </w:pPr>
    </w:lvl>
    <w:lvl w:ilvl="6">
      <w:numFmt w:val="bullet"/>
      <w:lvlText w:val="•"/>
      <w:lvlJc w:val="left"/>
      <w:pPr>
        <w:ind w:left="4139" w:hanging="433"/>
      </w:pPr>
    </w:lvl>
    <w:lvl w:ilvl="7">
      <w:numFmt w:val="bullet"/>
      <w:lvlText w:val="•"/>
      <w:lvlJc w:val="left"/>
      <w:pPr>
        <w:ind w:left="4749" w:hanging="433"/>
      </w:pPr>
    </w:lvl>
    <w:lvl w:ilvl="8">
      <w:numFmt w:val="bullet"/>
      <w:lvlText w:val="•"/>
      <w:lvlJc w:val="left"/>
      <w:pPr>
        <w:ind w:left="5359" w:hanging="433"/>
      </w:pPr>
    </w:lvl>
  </w:abstractNum>
  <w:abstractNum w:abstractNumId="9" w15:restartNumberingAfterBreak="0">
    <w:nsid w:val="03394A9B"/>
    <w:multiLevelType w:val="hybridMultilevel"/>
    <w:tmpl w:val="A9AE2B02"/>
    <w:lvl w:ilvl="0" w:tplc="11DC82F6">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10" w15:restartNumberingAfterBreak="0">
    <w:nsid w:val="038700D6"/>
    <w:multiLevelType w:val="hybridMultilevel"/>
    <w:tmpl w:val="79BEE1B8"/>
    <w:lvl w:ilvl="0" w:tplc="D4704400">
      <w:start w:val="1"/>
      <w:numFmt w:val="decimal"/>
      <w:lvlText w:val="%1)"/>
      <w:lvlJc w:val="left"/>
      <w:pPr>
        <w:ind w:left="2628" w:hanging="360"/>
      </w:pPr>
      <w:rPr>
        <w:rFonts w:hint="default"/>
        <w:color w:val="000000" w:themeColor="text1"/>
      </w:rPr>
    </w:lvl>
    <w:lvl w:ilvl="1" w:tplc="38090019" w:tentative="1">
      <w:start w:val="1"/>
      <w:numFmt w:val="lowerLetter"/>
      <w:lvlText w:val="%2."/>
      <w:lvlJc w:val="left"/>
      <w:pPr>
        <w:ind w:left="3348" w:hanging="360"/>
      </w:pPr>
    </w:lvl>
    <w:lvl w:ilvl="2" w:tplc="3809001B" w:tentative="1">
      <w:start w:val="1"/>
      <w:numFmt w:val="lowerRoman"/>
      <w:lvlText w:val="%3."/>
      <w:lvlJc w:val="right"/>
      <w:pPr>
        <w:ind w:left="4068" w:hanging="180"/>
      </w:pPr>
    </w:lvl>
    <w:lvl w:ilvl="3" w:tplc="3809000F" w:tentative="1">
      <w:start w:val="1"/>
      <w:numFmt w:val="decimal"/>
      <w:lvlText w:val="%4."/>
      <w:lvlJc w:val="left"/>
      <w:pPr>
        <w:ind w:left="4788" w:hanging="360"/>
      </w:pPr>
    </w:lvl>
    <w:lvl w:ilvl="4" w:tplc="38090019" w:tentative="1">
      <w:start w:val="1"/>
      <w:numFmt w:val="lowerLetter"/>
      <w:lvlText w:val="%5."/>
      <w:lvlJc w:val="left"/>
      <w:pPr>
        <w:ind w:left="5508" w:hanging="360"/>
      </w:pPr>
    </w:lvl>
    <w:lvl w:ilvl="5" w:tplc="3809001B" w:tentative="1">
      <w:start w:val="1"/>
      <w:numFmt w:val="lowerRoman"/>
      <w:lvlText w:val="%6."/>
      <w:lvlJc w:val="right"/>
      <w:pPr>
        <w:ind w:left="6228" w:hanging="180"/>
      </w:pPr>
    </w:lvl>
    <w:lvl w:ilvl="6" w:tplc="3809000F" w:tentative="1">
      <w:start w:val="1"/>
      <w:numFmt w:val="decimal"/>
      <w:lvlText w:val="%7."/>
      <w:lvlJc w:val="left"/>
      <w:pPr>
        <w:ind w:left="6948" w:hanging="360"/>
      </w:pPr>
    </w:lvl>
    <w:lvl w:ilvl="7" w:tplc="38090019" w:tentative="1">
      <w:start w:val="1"/>
      <w:numFmt w:val="lowerLetter"/>
      <w:lvlText w:val="%8."/>
      <w:lvlJc w:val="left"/>
      <w:pPr>
        <w:ind w:left="7668" w:hanging="360"/>
      </w:pPr>
    </w:lvl>
    <w:lvl w:ilvl="8" w:tplc="3809001B" w:tentative="1">
      <w:start w:val="1"/>
      <w:numFmt w:val="lowerRoman"/>
      <w:lvlText w:val="%9."/>
      <w:lvlJc w:val="right"/>
      <w:pPr>
        <w:ind w:left="8388" w:hanging="180"/>
      </w:pPr>
    </w:lvl>
  </w:abstractNum>
  <w:abstractNum w:abstractNumId="11" w15:restartNumberingAfterBreak="0">
    <w:nsid w:val="0441510C"/>
    <w:multiLevelType w:val="hybridMultilevel"/>
    <w:tmpl w:val="FF92232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04891EDA"/>
    <w:multiLevelType w:val="hybridMultilevel"/>
    <w:tmpl w:val="34B8E0F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0493253B"/>
    <w:multiLevelType w:val="hybridMultilevel"/>
    <w:tmpl w:val="D398F2E4"/>
    <w:lvl w:ilvl="0" w:tplc="8084ED5E">
      <w:start w:val="1"/>
      <w:numFmt w:val="lowerLetter"/>
      <w:lvlText w:val="%1."/>
      <w:lvlJc w:val="left"/>
      <w:pPr>
        <w:ind w:left="2061" w:hanging="360"/>
      </w:pPr>
      <w:rPr>
        <w:rFonts w:hint="default"/>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14" w15:restartNumberingAfterBreak="0">
    <w:nsid w:val="04D10035"/>
    <w:multiLevelType w:val="hybridMultilevel"/>
    <w:tmpl w:val="EECEF2C4"/>
    <w:lvl w:ilvl="0" w:tplc="38090011">
      <w:start w:val="1"/>
      <w:numFmt w:val="decimal"/>
      <w:lvlText w:val="%1)"/>
      <w:lvlJc w:val="left"/>
      <w:pPr>
        <w:ind w:left="720" w:hanging="360"/>
      </w:pPr>
      <w:rPr>
        <w:b w:val="0"/>
        <w:bCs w:val="0"/>
        <w:i w:val="0"/>
        <w:iCs w:val="0"/>
        <w:strike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52A5E00"/>
    <w:multiLevelType w:val="hybridMultilevel"/>
    <w:tmpl w:val="F8B6177A"/>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16" w15:restartNumberingAfterBreak="0">
    <w:nsid w:val="056E04C0"/>
    <w:multiLevelType w:val="hybridMultilevel"/>
    <w:tmpl w:val="C8ACF28C"/>
    <w:lvl w:ilvl="0" w:tplc="38090001">
      <w:start w:val="1"/>
      <w:numFmt w:val="bullet"/>
      <w:lvlText w:val=""/>
      <w:lvlJc w:val="left"/>
      <w:pPr>
        <w:ind w:left="1385" w:hanging="360"/>
      </w:pPr>
      <w:rPr>
        <w:rFonts w:ascii="Symbol" w:hAnsi="Symbol" w:hint="default"/>
      </w:rPr>
    </w:lvl>
    <w:lvl w:ilvl="1" w:tplc="38090003" w:tentative="1">
      <w:start w:val="1"/>
      <w:numFmt w:val="bullet"/>
      <w:lvlText w:val="o"/>
      <w:lvlJc w:val="left"/>
      <w:pPr>
        <w:ind w:left="2105" w:hanging="360"/>
      </w:pPr>
      <w:rPr>
        <w:rFonts w:ascii="Courier New" w:hAnsi="Courier New" w:cs="Courier New" w:hint="default"/>
      </w:rPr>
    </w:lvl>
    <w:lvl w:ilvl="2" w:tplc="38090005" w:tentative="1">
      <w:start w:val="1"/>
      <w:numFmt w:val="bullet"/>
      <w:lvlText w:val=""/>
      <w:lvlJc w:val="left"/>
      <w:pPr>
        <w:ind w:left="2825" w:hanging="360"/>
      </w:pPr>
      <w:rPr>
        <w:rFonts w:ascii="Wingdings" w:hAnsi="Wingdings" w:hint="default"/>
      </w:rPr>
    </w:lvl>
    <w:lvl w:ilvl="3" w:tplc="38090001" w:tentative="1">
      <w:start w:val="1"/>
      <w:numFmt w:val="bullet"/>
      <w:lvlText w:val=""/>
      <w:lvlJc w:val="left"/>
      <w:pPr>
        <w:ind w:left="3545" w:hanging="360"/>
      </w:pPr>
      <w:rPr>
        <w:rFonts w:ascii="Symbol" w:hAnsi="Symbol" w:hint="default"/>
      </w:rPr>
    </w:lvl>
    <w:lvl w:ilvl="4" w:tplc="38090003" w:tentative="1">
      <w:start w:val="1"/>
      <w:numFmt w:val="bullet"/>
      <w:lvlText w:val="o"/>
      <w:lvlJc w:val="left"/>
      <w:pPr>
        <w:ind w:left="4265" w:hanging="360"/>
      </w:pPr>
      <w:rPr>
        <w:rFonts w:ascii="Courier New" w:hAnsi="Courier New" w:cs="Courier New" w:hint="default"/>
      </w:rPr>
    </w:lvl>
    <w:lvl w:ilvl="5" w:tplc="38090005" w:tentative="1">
      <w:start w:val="1"/>
      <w:numFmt w:val="bullet"/>
      <w:lvlText w:val=""/>
      <w:lvlJc w:val="left"/>
      <w:pPr>
        <w:ind w:left="4985" w:hanging="360"/>
      </w:pPr>
      <w:rPr>
        <w:rFonts w:ascii="Wingdings" w:hAnsi="Wingdings" w:hint="default"/>
      </w:rPr>
    </w:lvl>
    <w:lvl w:ilvl="6" w:tplc="38090001" w:tentative="1">
      <w:start w:val="1"/>
      <w:numFmt w:val="bullet"/>
      <w:lvlText w:val=""/>
      <w:lvlJc w:val="left"/>
      <w:pPr>
        <w:ind w:left="5705" w:hanging="360"/>
      </w:pPr>
      <w:rPr>
        <w:rFonts w:ascii="Symbol" w:hAnsi="Symbol" w:hint="default"/>
      </w:rPr>
    </w:lvl>
    <w:lvl w:ilvl="7" w:tplc="38090003" w:tentative="1">
      <w:start w:val="1"/>
      <w:numFmt w:val="bullet"/>
      <w:lvlText w:val="o"/>
      <w:lvlJc w:val="left"/>
      <w:pPr>
        <w:ind w:left="6425" w:hanging="360"/>
      </w:pPr>
      <w:rPr>
        <w:rFonts w:ascii="Courier New" w:hAnsi="Courier New" w:cs="Courier New" w:hint="default"/>
      </w:rPr>
    </w:lvl>
    <w:lvl w:ilvl="8" w:tplc="38090005" w:tentative="1">
      <w:start w:val="1"/>
      <w:numFmt w:val="bullet"/>
      <w:lvlText w:val=""/>
      <w:lvlJc w:val="left"/>
      <w:pPr>
        <w:ind w:left="7145" w:hanging="360"/>
      </w:pPr>
      <w:rPr>
        <w:rFonts w:ascii="Wingdings" w:hAnsi="Wingdings" w:hint="default"/>
      </w:rPr>
    </w:lvl>
  </w:abstractNum>
  <w:abstractNum w:abstractNumId="17" w15:restartNumberingAfterBreak="0">
    <w:nsid w:val="05827780"/>
    <w:multiLevelType w:val="multilevel"/>
    <w:tmpl w:val="585A0C56"/>
    <w:lvl w:ilvl="0">
      <w:numFmt w:val="bullet"/>
      <w:lvlText w:val="●"/>
      <w:lvlJc w:val="left"/>
      <w:pPr>
        <w:ind w:left="615" w:hanging="145"/>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05C91FE8"/>
    <w:multiLevelType w:val="hybridMultilevel"/>
    <w:tmpl w:val="119AB26A"/>
    <w:lvl w:ilvl="0" w:tplc="68BA2552">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9" w15:restartNumberingAfterBreak="0">
    <w:nsid w:val="06122344"/>
    <w:multiLevelType w:val="hybridMultilevel"/>
    <w:tmpl w:val="704CB7C2"/>
    <w:lvl w:ilvl="0" w:tplc="3ACC3530">
      <w:start w:val="1"/>
      <w:numFmt w:val="upperLetter"/>
      <w:lvlText w:val="%1."/>
      <w:lvlJc w:val="left"/>
      <w:pPr>
        <w:ind w:left="927" w:hanging="360"/>
      </w:pPr>
      <w:rPr>
        <w:rFonts w:hint="default"/>
        <w:sz w:val="24"/>
        <w:szCs w:val="24"/>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0" w15:restartNumberingAfterBreak="0">
    <w:nsid w:val="06505E71"/>
    <w:multiLevelType w:val="hybridMultilevel"/>
    <w:tmpl w:val="8D600EF2"/>
    <w:lvl w:ilvl="0" w:tplc="41E8AB98">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21" w15:restartNumberingAfterBreak="0">
    <w:nsid w:val="06534B2F"/>
    <w:multiLevelType w:val="hybridMultilevel"/>
    <w:tmpl w:val="576E9360"/>
    <w:lvl w:ilvl="0" w:tplc="2438E406">
      <w:start w:val="1"/>
      <w:numFmt w:val="lowerLetter"/>
      <w:lvlText w:val="%1)"/>
      <w:lvlJc w:val="left"/>
      <w:pPr>
        <w:ind w:left="3195" w:hanging="360"/>
      </w:pPr>
      <w:rPr>
        <w:rFonts w:hint="default"/>
      </w:rPr>
    </w:lvl>
    <w:lvl w:ilvl="1" w:tplc="38090019" w:tentative="1">
      <w:start w:val="1"/>
      <w:numFmt w:val="lowerLetter"/>
      <w:lvlText w:val="%2."/>
      <w:lvlJc w:val="left"/>
      <w:pPr>
        <w:ind w:left="3915" w:hanging="360"/>
      </w:pPr>
    </w:lvl>
    <w:lvl w:ilvl="2" w:tplc="3809001B" w:tentative="1">
      <w:start w:val="1"/>
      <w:numFmt w:val="lowerRoman"/>
      <w:lvlText w:val="%3."/>
      <w:lvlJc w:val="right"/>
      <w:pPr>
        <w:ind w:left="4635" w:hanging="180"/>
      </w:pPr>
    </w:lvl>
    <w:lvl w:ilvl="3" w:tplc="3809000F" w:tentative="1">
      <w:start w:val="1"/>
      <w:numFmt w:val="decimal"/>
      <w:lvlText w:val="%4."/>
      <w:lvlJc w:val="left"/>
      <w:pPr>
        <w:ind w:left="5355" w:hanging="360"/>
      </w:pPr>
    </w:lvl>
    <w:lvl w:ilvl="4" w:tplc="38090019" w:tentative="1">
      <w:start w:val="1"/>
      <w:numFmt w:val="lowerLetter"/>
      <w:lvlText w:val="%5."/>
      <w:lvlJc w:val="left"/>
      <w:pPr>
        <w:ind w:left="6075" w:hanging="360"/>
      </w:pPr>
    </w:lvl>
    <w:lvl w:ilvl="5" w:tplc="3809001B" w:tentative="1">
      <w:start w:val="1"/>
      <w:numFmt w:val="lowerRoman"/>
      <w:lvlText w:val="%6."/>
      <w:lvlJc w:val="right"/>
      <w:pPr>
        <w:ind w:left="6795" w:hanging="180"/>
      </w:pPr>
    </w:lvl>
    <w:lvl w:ilvl="6" w:tplc="3809000F" w:tentative="1">
      <w:start w:val="1"/>
      <w:numFmt w:val="decimal"/>
      <w:lvlText w:val="%7."/>
      <w:lvlJc w:val="left"/>
      <w:pPr>
        <w:ind w:left="7515" w:hanging="360"/>
      </w:pPr>
    </w:lvl>
    <w:lvl w:ilvl="7" w:tplc="38090019" w:tentative="1">
      <w:start w:val="1"/>
      <w:numFmt w:val="lowerLetter"/>
      <w:lvlText w:val="%8."/>
      <w:lvlJc w:val="left"/>
      <w:pPr>
        <w:ind w:left="8235" w:hanging="360"/>
      </w:pPr>
    </w:lvl>
    <w:lvl w:ilvl="8" w:tplc="3809001B" w:tentative="1">
      <w:start w:val="1"/>
      <w:numFmt w:val="lowerRoman"/>
      <w:lvlText w:val="%9."/>
      <w:lvlJc w:val="right"/>
      <w:pPr>
        <w:ind w:left="8955" w:hanging="180"/>
      </w:pPr>
    </w:lvl>
  </w:abstractNum>
  <w:abstractNum w:abstractNumId="22" w15:restartNumberingAfterBreak="0">
    <w:nsid w:val="06535AD5"/>
    <w:multiLevelType w:val="hybridMultilevel"/>
    <w:tmpl w:val="69208D04"/>
    <w:lvl w:ilvl="0" w:tplc="02D88C36">
      <w:start w:val="1"/>
      <w:numFmt w:val="upp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3" w15:restartNumberingAfterBreak="0">
    <w:nsid w:val="06C02DA9"/>
    <w:multiLevelType w:val="multilevel"/>
    <w:tmpl w:val="FC66905A"/>
    <w:lvl w:ilvl="0">
      <w:start w:val="1"/>
      <w:numFmt w:val="upperRoman"/>
      <w:lvlText w:val="%1"/>
      <w:lvlJc w:val="left"/>
      <w:pPr>
        <w:ind w:left="834" w:hanging="577"/>
      </w:pPr>
    </w:lvl>
    <w:lvl w:ilvl="1">
      <w:start w:val="1"/>
      <w:numFmt w:val="upperLetter"/>
      <w:lvlText w:val="%1.%2"/>
      <w:lvlJc w:val="left"/>
      <w:pPr>
        <w:ind w:left="834" w:hanging="577"/>
      </w:pPr>
      <w:rPr>
        <w:rFonts w:ascii="Cambria" w:eastAsia="Cambria" w:hAnsi="Cambria" w:cs="Cambria"/>
        <w:b/>
        <w:bCs/>
        <w:sz w:val="22"/>
        <w:szCs w:val="22"/>
      </w:rPr>
    </w:lvl>
    <w:lvl w:ilvl="2">
      <w:start w:val="1"/>
      <w:numFmt w:val="decimal"/>
      <w:lvlText w:val="%3."/>
      <w:lvlJc w:val="left"/>
      <w:pPr>
        <w:ind w:left="919" w:hanging="352"/>
      </w:pPr>
      <w:rPr>
        <w:rFonts w:ascii="Bookman Old Style" w:eastAsia="Cambria" w:hAnsi="Bookman Old Style" w:cs="Cambria" w:hint="default"/>
        <w:b w:val="0"/>
        <w:bCs w:val="0"/>
        <w:sz w:val="24"/>
        <w:szCs w:val="24"/>
      </w:rPr>
    </w:lvl>
    <w:lvl w:ilvl="3">
      <w:numFmt w:val="bullet"/>
      <w:lvlText w:val="•"/>
      <w:lvlJc w:val="left"/>
      <w:pPr>
        <w:ind w:left="4372" w:hanging="352"/>
      </w:pPr>
    </w:lvl>
    <w:lvl w:ilvl="4">
      <w:numFmt w:val="bullet"/>
      <w:lvlText w:val="•"/>
      <w:lvlJc w:val="left"/>
      <w:pPr>
        <w:ind w:left="5929" w:hanging="352"/>
      </w:pPr>
    </w:lvl>
    <w:lvl w:ilvl="5">
      <w:numFmt w:val="bullet"/>
      <w:lvlText w:val="•"/>
      <w:lvlJc w:val="left"/>
      <w:pPr>
        <w:ind w:left="7485" w:hanging="352"/>
      </w:pPr>
    </w:lvl>
    <w:lvl w:ilvl="6">
      <w:numFmt w:val="bullet"/>
      <w:lvlText w:val="•"/>
      <w:lvlJc w:val="left"/>
      <w:pPr>
        <w:ind w:left="9042" w:hanging="352"/>
      </w:pPr>
    </w:lvl>
    <w:lvl w:ilvl="7">
      <w:numFmt w:val="bullet"/>
      <w:lvlText w:val="•"/>
      <w:lvlJc w:val="left"/>
      <w:pPr>
        <w:ind w:left="10598" w:hanging="352"/>
      </w:pPr>
    </w:lvl>
    <w:lvl w:ilvl="8">
      <w:numFmt w:val="bullet"/>
      <w:lvlText w:val="•"/>
      <w:lvlJc w:val="left"/>
      <w:pPr>
        <w:ind w:left="12155" w:hanging="352"/>
      </w:pPr>
    </w:lvl>
  </w:abstractNum>
  <w:abstractNum w:abstractNumId="24" w15:restartNumberingAfterBreak="0">
    <w:nsid w:val="071E4D32"/>
    <w:multiLevelType w:val="hybridMultilevel"/>
    <w:tmpl w:val="4244AE78"/>
    <w:lvl w:ilvl="0" w:tplc="D5DE5646">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25" w15:restartNumberingAfterBreak="0">
    <w:nsid w:val="076E3FC1"/>
    <w:multiLevelType w:val="hybridMultilevel"/>
    <w:tmpl w:val="1C66F8E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6" w15:restartNumberingAfterBreak="0">
    <w:nsid w:val="07A27D97"/>
    <w:multiLevelType w:val="hybridMultilevel"/>
    <w:tmpl w:val="252E9C2E"/>
    <w:lvl w:ilvl="0" w:tplc="8992511C">
      <w:start w:val="1"/>
      <w:numFmt w:val="lowerLetter"/>
      <w:lvlText w:val="(%1)"/>
      <w:lvlJc w:val="left"/>
      <w:pPr>
        <w:ind w:left="4329" w:hanging="360"/>
      </w:pPr>
      <w:rPr>
        <w:rFonts w:hint="default"/>
      </w:rPr>
    </w:lvl>
    <w:lvl w:ilvl="1" w:tplc="38090019" w:tentative="1">
      <w:start w:val="1"/>
      <w:numFmt w:val="lowerLetter"/>
      <w:lvlText w:val="%2."/>
      <w:lvlJc w:val="left"/>
      <w:pPr>
        <w:ind w:left="5049" w:hanging="360"/>
      </w:pPr>
    </w:lvl>
    <w:lvl w:ilvl="2" w:tplc="3809001B" w:tentative="1">
      <w:start w:val="1"/>
      <w:numFmt w:val="lowerRoman"/>
      <w:lvlText w:val="%3."/>
      <w:lvlJc w:val="right"/>
      <w:pPr>
        <w:ind w:left="5769" w:hanging="180"/>
      </w:pPr>
    </w:lvl>
    <w:lvl w:ilvl="3" w:tplc="3809000F" w:tentative="1">
      <w:start w:val="1"/>
      <w:numFmt w:val="decimal"/>
      <w:lvlText w:val="%4."/>
      <w:lvlJc w:val="left"/>
      <w:pPr>
        <w:ind w:left="6489" w:hanging="360"/>
      </w:pPr>
    </w:lvl>
    <w:lvl w:ilvl="4" w:tplc="38090019" w:tentative="1">
      <w:start w:val="1"/>
      <w:numFmt w:val="lowerLetter"/>
      <w:lvlText w:val="%5."/>
      <w:lvlJc w:val="left"/>
      <w:pPr>
        <w:ind w:left="7209" w:hanging="360"/>
      </w:pPr>
    </w:lvl>
    <w:lvl w:ilvl="5" w:tplc="3809001B" w:tentative="1">
      <w:start w:val="1"/>
      <w:numFmt w:val="lowerRoman"/>
      <w:lvlText w:val="%6."/>
      <w:lvlJc w:val="right"/>
      <w:pPr>
        <w:ind w:left="7929" w:hanging="180"/>
      </w:pPr>
    </w:lvl>
    <w:lvl w:ilvl="6" w:tplc="3809000F" w:tentative="1">
      <w:start w:val="1"/>
      <w:numFmt w:val="decimal"/>
      <w:lvlText w:val="%7."/>
      <w:lvlJc w:val="left"/>
      <w:pPr>
        <w:ind w:left="8649" w:hanging="360"/>
      </w:pPr>
    </w:lvl>
    <w:lvl w:ilvl="7" w:tplc="38090019" w:tentative="1">
      <w:start w:val="1"/>
      <w:numFmt w:val="lowerLetter"/>
      <w:lvlText w:val="%8."/>
      <w:lvlJc w:val="left"/>
      <w:pPr>
        <w:ind w:left="9369" w:hanging="360"/>
      </w:pPr>
    </w:lvl>
    <w:lvl w:ilvl="8" w:tplc="3809001B" w:tentative="1">
      <w:start w:val="1"/>
      <w:numFmt w:val="lowerRoman"/>
      <w:lvlText w:val="%9."/>
      <w:lvlJc w:val="right"/>
      <w:pPr>
        <w:ind w:left="10089" w:hanging="180"/>
      </w:pPr>
    </w:lvl>
  </w:abstractNum>
  <w:abstractNum w:abstractNumId="27" w15:restartNumberingAfterBreak="0">
    <w:nsid w:val="07DF1D3B"/>
    <w:multiLevelType w:val="multilevel"/>
    <w:tmpl w:val="96B07560"/>
    <w:lvl w:ilvl="0">
      <w:start w:val="1"/>
      <w:numFmt w:val="decimal"/>
      <w:lvlText w:val="%1)"/>
      <w:lvlJc w:val="left"/>
      <w:pPr>
        <w:ind w:left="369" w:hanging="360"/>
      </w:pPr>
      <w:rPr>
        <w:b w:val="0"/>
        <w:bCs w:val="0"/>
        <w:i w:val="0"/>
        <w:iCs w:val="0"/>
        <w:sz w:val="24"/>
        <w:szCs w:val="24"/>
      </w:rPr>
    </w:lvl>
    <w:lvl w:ilvl="1">
      <w:numFmt w:val="bullet"/>
      <w:lvlText w:val="•"/>
      <w:lvlJc w:val="left"/>
      <w:pPr>
        <w:ind w:left="1229" w:hanging="360"/>
      </w:pPr>
    </w:lvl>
    <w:lvl w:ilvl="2">
      <w:numFmt w:val="bullet"/>
      <w:lvlText w:val="•"/>
      <w:lvlJc w:val="left"/>
      <w:pPr>
        <w:ind w:left="2098" w:hanging="360"/>
      </w:pPr>
    </w:lvl>
    <w:lvl w:ilvl="3">
      <w:numFmt w:val="bullet"/>
      <w:lvlText w:val="•"/>
      <w:lvlJc w:val="left"/>
      <w:pPr>
        <w:ind w:left="2967" w:hanging="360"/>
      </w:pPr>
    </w:lvl>
    <w:lvl w:ilvl="4">
      <w:numFmt w:val="bullet"/>
      <w:lvlText w:val="•"/>
      <w:lvlJc w:val="left"/>
      <w:pPr>
        <w:ind w:left="3836" w:hanging="360"/>
      </w:pPr>
    </w:lvl>
    <w:lvl w:ilvl="5">
      <w:numFmt w:val="bullet"/>
      <w:lvlText w:val="•"/>
      <w:lvlJc w:val="left"/>
      <w:pPr>
        <w:ind w:left="4705" w:hanging="360"/>
      </w:pPr>
    </w:lvl>
    <w:lvl w:ilvl="6">
      <w:numFmt w:val="bullet"/>
      <w:lvlText w:val="•"/>
      <w:lvlJc w:val="left"/>
      <w:pPr>
        <w:ind w:left="5574" w:hanging="360"/>
      </w:pPr>
    </w:lvl>
    <w:lvl w:ilvl="7">
      <w:numFmt w:val="bullet"/>
      <w:lvlText w:val="•"/>
      <w:lvlJc w:val="left"/>
      <w:pPr>
        <w:ind w:left="6443" w:hanging="360"/>
      </w:pPr>
    </w:lvl>
    <w:lvl w:ilvl="8">
      <w:numFmt w:val="bullet"/>
      <w:lvlText w:val="•"/>
      <w:lvlJc w:val="left"/>
      <w:pPr>
        <w:ind w:left="7312" w:hanging="360"/>
      </w:pPr>
    </w:lvl>
  </w:abstractNum>
  <w:abstractNum w:abstractNumId="28" w15:restartNumberingAfterBreak="0">
    <w:nsid w:val="0819539B"/>
    <w:multiLevelType w:val="hybridMultilevel"/>
    <w:tmpl w:val="6D084B68"/>
    <w:lvl w:ilvl="0" w:tplc="38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8930D4C"/>
    <w:multiLevelType w:val="hybridMultilevel"/>
    <w:tmpl w:val="0316AB44"/>
    <w:lvl w:ilvl="0" w:tplc="38090011">
      <w:start w:val="1"/>
      <w:numFmt w:val="decimal"/>
      <w:lvlText w:val="%1)"/>
      <w:lvlJc w:val="left"/>
      <w:pPr>
        <w:ind w:left="720" w:hanging="360"/>
      </w:pPr>
      <w:rPr>
        <w:b w:val="0"/>
        <w:bCs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08D0523F"/>
    <w:multiLevelType w:val="hybridMultilevel"/>
    <w:tmpl w:val="B2501AE0"/>
    <w:lvl w:ilvl="0" w:tplc="450A1BFA">
      <w:start w:val="1"/>
      <w:numFmt w:val="lowerLetter"/>
      <w:lvlText w:val="(%1)"/>
      <w:lvlJc w:val="left"/>
      <w:pPr>
        <w:ind w:left="4329" w:hanging="360"/>
      </w:pPr>
      <w:rPr>
        <w:rFonts w:hint="default"/>
      </w:rPr>
    </w:lvl>
    <w:lvl w:ilvl="1" w:tplc="38090019" w:tentative="1">
      <w:start w:val="1"/>
      <w:numFmt w:val="lowerLetter"/>
      <w:lvlText w:val="%2."/>
      <w:lvlJc w:val="left"/>
      <w:pPr>
        <w:ind w:left="5049" w:hanging="360"/>
      </w:pPr>
    </w:lvl>
    <w:lvl w:ilvl="2" w:tplc="3809001B" w:tentative="1">
      <w:start w:val="1"/>
      <w:numFmt w:val="lowerRoman"/>
      <w:lvlText w:val="%3."/>
      <w:lvlJc w:val="right"/>
      <w:pPr>
        <w:ind w:left="5769" w:hanging="180"/>
      </w:pPr>
    </w:lvl>
    <w:lvl w:ilvl="3" w:tplc="3809000F" w:tentative="1">
      <w:start w:val="1"/>
      <w:numFmt w:val="decimal"/>
      <w:lvlText w:val="%4."/>
      <w:lvlJc w:val="left"/>
      <w:pPr>
        <w:ind w:left="6489" w:hanging="360"/>
      </w:pPr>
    </w:lvl>
    <w:lvl w:ilvl="4" w:tplc="38090019" w:tentative="1">
      <w:start w:val="1"/>
      <w:numFmt w:val="lowerLetter"/>
      <w:lvlText w:val="%5."/>
      <w:lvlJc w:val="left"/>
      <w:pPr>
        <w:ind w:left="7209" w:hanging="360"/>
      </w:pPr>
    </w:lvl>
    <w:lvl w:ilvl="5" w:tplc="3809001B" w:tentative="1">
      <w:start w:val="1"/>
      <w:numFmt w:val="lowerRoman"/>
      <w:lvlText w:val="%6."/>
      <w:lvlJc w:val="right"/>
      <w:pPr>
        <w:ind w:left="7929" w:hanging="180"/>
      </w:pPr>
    </w:lvl>
    <w:lvl w:ilvl="6" w:tplc="3809000F" w:tentative="1">
      <w:start w:val="1"/>
      <w:numFmt w:val="decimal"/>
      <w:lvlText w:val="%7."/>
      <w:lvlJc w:val="left"/>
      <w:pPr>
        <w:ind w:left="8649" w:hanging="360"/>
      </w:pPr>
    </w:lvl>
    <w:lvl w:ilvl="7" w:tplc="38090019" w:tentative="1">
      <w:start w:val="1"/>
      <w:numFmt w:val="lowerLetter"/>
      <w:lvlText w:val="%8."/>
      <w:lvlJc w:val="left"/>
      <w:pPr>
        <w:ind w:left="9369" w:hanging="360"/>
      </w:pPr>
    </w:lvl>
    <w:lvl w:ilvl="8" w:tplc="3809001B" w:tentative="1">
      <w:start w:val="1"/>
      <w:numFmt w:val="lowerRoman"/>
      <w:lvlText w:val="%9."/>
      <w:lvlJc w:val="right"/>
      <w:pPr>
        <w:ind w:left="10089" w:hanging="180"/>
      </w:pPr>
    </w:lvl>
  </w:abstractNum>
  <w:abstractNum w:abstractNumId="31" w15:restartNumberingAfterBreak="0">
    <w:nsid w:val="08F01889"/>
    <w:multiLevelType w:val="multilevel"/>
    <w:tmpl w:val="0C1AB89C"/>
    <w:lvl w:ilvl="0">
      <w:numFmt w:val="bullet"/>
      <w:lvlText w:val="●"/>
      <w:lvlJc w:val="left"/>
      <w:pPr>
        <w:ind w:left="330" w:hanging="322"/>
      </w:pPr>
      <w:rPr>
        <w:rFonts w:ascii="Noto Sans Symbols" w:eastAsia="Noto Sans Symbols" w:hAnsi="Noto Sans Symbols" w:cs="Noto Sans Symbols"/>
        <w:b w:val="0"/>
        <w:bCs w:val="0"/>
        <w:i w:val="0"/>
        <w:iCs w:val="0"/>
        <w:sz w:val="22"/>
        <w:szCs w:val="22"/>
      </w:rPr>
    </w:lvl>
    <w:lvl w:ilvl="1">
      <w:numFmt w:val="bullet"/>
      <w:lvlText w:val="•"/>
      <w:lvlJc w:val="left"/>
      <w:pPr>
        <w:ind w:left="1211" w:hanging="322"/>
      </w:pPr>
    </w:lvl>
    <w:lvl w:ilvl="2">
      <w:numFmt w:val="bullet"/>
      <w:lvlText w:val="•"/>
      <w:lvlJc w:val="left"/>
      <w:pPr>
        <w:ind w:left="2082" w:hanging="322"/>
      </w:pPr>
    </w:lvl>
    <w:lvl w:ilvl="3">
      <w:numFmt w:val="bullet"/>
      <w:lvlText w:val="•"/>
      <w:lvlJc w:val="left"/>
      <w:pPr>
        <w:ind w:left="2953" w:hanging="322"/>
      </w:pPr>
    </w:lvl>
    <w:lvl w:ilvl="4">
      <w:numFmt w:val="bullet"/>
      <w:lvlText w:val="•"/>
      <w:lvlJc w:val="left"/>
      <w:pPr>
        <w:ind w:left="3824" w:hanging="322"/>
      </w:pPr>
    </w:lvl>
    <w:lvl w:ilvl="5">
      <w:numFmt w:val="bullet"/>
      <w:lvlText w:val="•"/>
      <w:lvlJc w:val="left"/>
      <w:pPr>
        <w:ind w:left="4695" w:hanging="322"/>
      </w:pPr>
    </w:lvl>
    <w:lvl w:ilvl="6">
      <w:numFmt w:val="bullet"/>
      <w:lvlText w:val="•"/>
      <w:lvlJc w:val="left"/>
      <w:pPr>
        <w:ind w:left="5566" w:hanging="322"/>
      </w:pPr>
    </w:lvl>
    <w:lvl w:ilvl="7">
      <w:numFmt w:val="bullet"/>
      <w:lvlText w:val="•"/>
      <w:lvlJc w:val="left"/>
      <w:pPr>
        <w:ind w:left="6437" w:hanging="322"/>
      </w:pPr>
    </w:lvl>
    <w:lvl w:ilvl="8">
      <w:numFmt w:val="bullet"/>
      <w:lvlText w:val="•"/>
      <w:lvlJc w:val="left"/>
      <w:pPr>
        <w:ind w:left="7308" w:hanging="322"/>
      </w:pPr>
    </w:lvl>
  </w:abstractNum>
  <w:abstractNum w:abstractNumId="32" w15:restartNumberingAfterBreak="0">
    <w:nsid w:val="09052866"/>
    <w:multiLevelType w:val="hybridMultilevel"/>
    <w:tmpl w:val="0B286908"/>
    <w:lvl w:ilvl="0" w:tplc="9F4CB02C">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33" w15:restartNumberingAfterBreak="0">
    <w:nsid w:val="09373BA5"/>
    <w:multiLevelType w:val="hybridMultilevel"/>
    <w:tmpl w:val="3BF6B3AE"/>
    <w:lvl w:ilvl="0" w:tplc="3A149B9C">
      <w:start w:val="1"/>
      <w:numFmt w:val="lowerLetter"/>
      <w:lvlText w:val="(%1)"/>
      <w:lvlJc w:val="left"/>
      <w:pPr>
        <w:ind w:left="4329" w:hanging="360"/>
      </w:pPr>
      <w:rPr>
        <w:rFonts w:hint="default"/>
      </w:rPr>
    </w:lvl>
    <w:lvl w:ilvl="1" w:tplc="38090019" w:tentative="1">
      <w:start w:val="1"/>
      <w:numFmt w:val="lowerLetter"/>
      <w:lvlText w:val="%2."/>
      <w:lvlJc w:val="left"/>
      <w:pPr>
        <w:ind w:left="5049" w:hanging="360"/>
      </w:pPr>
    </w:lvl>
    <w:lvl w:ilvl="2" w:tplc="3809001B" w:tentative="1">
      <w:start w:val="1"/>
      <w:numFmt w:val="lowerRoman"/>
      <w:lvlText w:val="%3."/>
      <w:lvlJc w:val="right"/>
      <w:pPr>
        <w:ind w:left="5769" w:hanging="180"/>
      </w:pPr>
    </w:lvl>
    <w:lvl w:ilvl="3" w:tplc="3809000F" w:tentative="1">
      <w:start w:val="1"/>
      <w:numFmt w:val="decimal"/>
      <w:lvlText w:val="%4."/>
      <w:lvlJc w:val="left"/>
      <w:pPr>
        <w:ind w:left="6489" w:hanging="360"/>
      </w:pPr>
    </w:lvl>
    <w:lvl w:ilvl="4" w:tplc="38090019" w:tentative="1">
      <w:start w:val="1"/>
      <w:numFmt w:val="lowerLetter"/>
      <w:lvlText w:val="%5."/>
      <w:lvlJc w:val="left"/>
      <w:pPr>
        <w:ind w:left="7209" w:hanging="360"/>
      </w:pPr>
    </w:lvl>
    <w:lvl w:ilvl="5" w:tplc="3809001B" w:tentative="1">
      <w:start w:val="1"/>
      <w:numFmt w:val="lowerRoman"/>
      <w:lvlText w:val="%6."/>
      <w:lvlJc w:val="right"/>
      <w:pPr>
        <w:ind w:left="7929" w:hanging="180"/>
      </w:pPr>
    </w:lvl>
    <w:lvl w:ilvl="6" w:tplc="3809000F" w:tentative="1">
      <w:start w:val="1"/>
      <w:numFmt w:val="decimal"/>
      <w:lvlText w:val="%7."/>
      <w:lvlJc w:val="left"/>
      <w:pPr>
        <w:ind w:left="8649" w:hanging="360"/>
      </w:pPr>
    </w:lvl>
    <w:lvl w:ilvl="7" w:tplc="38090019" w:tentative="1">
      <w:start w:val="1"/>
      <w:numFmt w:val="lowerLetter"/>
      <w:lvlText w:val="%8."/>
      <w:lvlJc w:val="left"/>
      <w:pPr>
        <w:ind w:left="9369" w:hanging="360"/>
      </w:pPr>
    </w:lvl>
    <w:lvl w:ilvl="8" w:tplc="3809001B" w:tentative="1">
      <w:start w:val="1"/>
      <w:numFmt w:val="lowerRoman"/>
      <w:lvlText w:val="%9."/>
      <w:lvlJc w:val="right"/>
      <w:pPr>
        <w:ind w:left="10089" w:hanging="180"/>
      </w:pPr>
    </w:lvl>
  </w:abstractNum>
  <w:abstractNum w:abstractNumId="34" w15:restartNumberingAfterBreak="0">
    <w:nsid w:val="09441493"/>
    <w:multiLevelType w:val="hybridMultilevel"/>
    <w:tmpl w:val="5A8AC92A"/>
    <w:lvl w:ilvl="0" w:tplc="38090011">
      <w:start w:val="1"/>
      <w:numFmt w:val="decimal"/>
      <w:lvlText w:val="%1)"/>
      <w:lvlJc w:val="left"/>
      <w:pPr>
        <w:ind w:left="2907" w:hanging="360"/>
      </w:pPr>
      <w:rPr>
        <w:rFonts w:hint="default"/>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9750EEB"/>
    <w:multiLevelType w:val="hybridMultilevel"/>
    <w:tmpl w:val="6EA678D2"/>
    <w:lvl w:ilvl="0" w:tplc="9D3690AA">
      <w:start w:val="1"/>
      <w:numFmt w:val="lowerLetter"/>
      <w:lvlText w:val="%1)"/>
      <w:lvlJc w:val="left"/>
      <w:pPr>
        <w:ind w:left="3195" w:hanging="360"/>
      </w:pPr>
      <w:rPr>
        <w:rFonts w:hint="default"/>
      </w:rPr>
    </w:lvl>
    <w:lvl w:ilvl="1" w:tplc="38090019" w:tentative="1">
      <w:start w:val="1"/>
      <w:numFmt w:val="lowerLetter"/>
      <w:lvlText w:val="%2."/>
      <w:lvlJc w:val="left"/>
      <w:pPr>
        <w:ind w:left="3915" w:hanging="360"/>
      </w:pPr>
    </w:lvl>
    <w:lvl w:ilvl="2" w:tplc="3809001B" w:tentative="1">
      <w:start w:val="1"/>
      <w:numFmt w:val="lowerRoman"/>
      <w:lvlText w:val="%3."/>
      <w:lvlJc w:val="right"/>
      <w:pPr>
        <w:ind w:left="4635" w:hanging="180"/>
      </w:pPr>
    </w:lvl>
    <w:lvl w:ilvl="3" w:tplc="3809000F" w:tentative="1">
      <w:start w:val="1"/>
      <w:numFmt w:val="decimal"/>
      <w:lvlText w:val="%4."/>
      <w:lvlJc w:val="left"/>
      <w:pPr>
        <w:ind w:left="5355" w:hanging="360"/>
      </w:pPr>
    </w:lvl>
    <w:lvl w:ilvl="4" w:tplc="38090019" w:tentative="1">
      <w:start w:val="1"/>
      <w:numFmt w:val="lowerLetter"/>
      <w:lvlText w:val="%5."/>
      <w:lvlJc w:val="left"/>
      <w:pPr>
        <w:ind w:left="6075" w:hanging="360"/>
      </w:pPr>
    </w:lvl>
    <w:lvl w:ilvl="5" w:tplc="3809001B" w:tentative="1">
      <w:start w:val="1"/>
      <w:numFmt w:val="lowerRoman"/>
      <w:lvlText w:val="%6."/>
      <w:lvlJc w:val="right"/>
      <w:pPr>
        <w:ind w:left="6795" w:hanging="180"/>
      </w:pPr>
    </w:lvl>
    <w:lvl w:ilvl="6" w:tplc="3809000F" w:tentative="1">
      <w:start w:val="1"/>
      <w:numFmt w:val="decimal"/>
      <w:lvlText w:val="%7."/>
      <w:lvlJc w:val="left"/>
      <w:pPr>
        <w:ind w:left="7515" w:hanging="360"/>
      </w:pPr>
    </w:lvl>
    <w:lvl w:ilvl="7" w:tplc="38090019" w:tentative="1">
      <w:start w:val="1"/>
      <w:numFmt w:val="lowerLetter"/>
      <w:lvlText w:val="%8."/>
      <w:lvlJc w:val="left"/>
      <w:pPr>
        <w:ind w:left="8235" w:hanging="360"/>
      </w:pPr>
    </w:lvl>
    <w:lvl w:ilvl="8" w:tplc="3809001B" w:tentative="1">
      <w:start w:val="1"/>
      <w:numFmt w:val="lowerRoman"/>
      <w:lvlText w:val="%9."/>
      <w:lvlJc w:val="right"/>
      <w:pPr>
        <w:ind w:left="8955" w:hanging="180"/>
      </w:pPr>
    </w:lvl>
  </w:abstractNum>
  <w:abstractNum w:abstractNumId="36" w15:restartNumberingAfterBreak="0">
    <w:nsid w:val="09AC47EF"/>
    <w:multiLevelType w:val="hybridMultilevel"/>
    <w:tmpl w:val="B2EE073E"/>
    <w:lvl w:ilvl="0" w:tplc="1F2888E8">
      <w:start w:val="1"/>
      <w:numFmt w:val="lowerLetter"/>
      <w:lvlText w:val="%1)"/>
      <w:lvlJc w:val="left"/>
      <w:pPr>
        <w:ind w:left="3195" w:hanging="360"/>
      </w:pPr>
      <w:rPr>
        <w:rFonts w:hint="default"/>
      </w:rPr>
    </w:lvl>
    <w:lvl w:ilvl="1" w:tplc="38090019" w:tentative="1">
      <w:start w:val="1"/>
      <w:numFmt w:val="lowerLetter"/>
      <w:lvlText w:val="%2."/>
      <w:lvlJc w:val="left"/>
      <w:pPr>
        <w:ind w:left="3915" w:hanging="360"/>
      </w:pPr>
    </w:lvl>
    <w:lvl w:ilvl="2" w:tplc="3809001B" w:tentative="1">
      <w:start w:val="1"/>
      <w:numFmt w:val="lowerRoman"/>
      <w:lvlText w:val="%3."/>
      <w:lvlJc w:val="right"/>
      <w:pPr>
        <w:ind w:left="4635" w:hanging="180"/>
      </w:pPr>
    </w:lvl>
    <w:lvl w:ilvl="3" w:tplc="3809000F" w:tentative="1">
      <w:start w:val="1"/>
      <w:numFmt w:val="decimal"/>
      <w:lvlText w:val="%4."/>
      <w:lvlJc w:val="left"/>
      <w:pPr>
        <w:ind w:left="5355" w:hanging="360"/>
      </w:pPr>
    </w:lvl>
    <w:lvl w:ilvl="4" w:tplc="38090019" w:tentative="1">
      <w:start w:val="1"/>
      <w:numFmt w:val="lowerLetter"/>
      <w:lvlText w:val="%5."/>
      <w:lvlJc w:val="left"/>
      <w:pPr>
        <w:ind w:left="6075" w:hanging="360"/>
      </w:pPr>
    </w:lvl>
    <w:lvl w:ilvl="5" w:tplc="3809001B" w:tentative="1">
      <w:start w:val="1"/>
      <w:numFmt w:val="lowerRoman"/>
      <w:lvlText w:val="%6."/>
      <w:lvlJc w:val="right"/>
      <w:pPr>
        <w:ind w:left="6795" w:hanging="180"/>
      </w:pPr>
    </w:lvl>
    <w:lvl w:ilvl="6" w:tplc="3809000F" w:tentative="1">
      <w:start w:val="1"/>
      <w:numFmt w:val="decimal"/>
      <w:lvlText w:val="%7."/>
      <w:lvlJc w:val="left"/>
      <w:pPr>
        <w:ind w:left="7515" w:hanging="360"/>
      </w:pPr>
    </w:lvl>
    <w:lvl w:ilvl="7" w:tplc="38090019" w:tentative="1">
      <w:start w:val="1"/>
      <w:numFmt w:val="lowerLetter"/>
      <w:lvlText w:val="%8."/>
      <w:lvlJc w:val="left"/>
      <w:pPr>
        <w:ind w:left="8235" w:hanging="360"/>
      </w:pPr>
    </w:lvl>
    <w:lvl w:ilvl="8" w:tplc="3809001B" w:tentative="1">
      <w:start w:val="1"/>
      <w:numFmt w:val="lowerRoman"/>
      <w:lvlText w:val="%9."/>
      <w:lvlJc w:val="right"/>
      <w:pPr>
        <w:ind w:left="8955" w:hanging="180"/>
      </w:pPr>
    </w:lvl>
  </w:abstractNum>
  <w:abstractNum w:abstractNumId="37" w15:restartNumberingAfterBreak="0">
    <w:nsid w:val="0A225EFE"/>
    <w:multiLevelType w:val="hybridMultilevel"/>
    <w:tmpl w:val="A4643F0E"/>
    <w:lvl w:ilvl="0" w:tplc="5B3C7FC8">
      <w:start w:val="1"/>
      <w:numFmt w:val="lowerLetter"/>
      <w:lvlText w:val="%1)"/>
      <w:lvlJc w:val="left"/>
      <w:pPr>
        <w:ind w:left="3195" w:hanging="360"/>
      </w:pPr>
      <w:rPr>
        <w:rFonts w:hint="default"/>
      </w:rPr>
    </w:lvl>
    <w:lvl w:ilvl="1" w:tplc="38090019" w:tentative="1">
      <w:start w:val="1"/>
      <w:numFmt w:val="lowerLetter"/>
      <w:lvlText w:val="%2."/>
      <w:lvlJc w:val="left"/>
      <w:pPr>
        <w:ind w:left="3915" w:hanging="360"/>
      </w:pPr>
    </w:lvl>
    <w:lvl w:ilvl="2" w:tplc="3809001B" w:tentative="1">
      <w:start w:val="1"/>
      <w:numFmt w:val="lowerRoman"/>
      <w:lvlText w:val="%3."/>
      <w:lvlJc w:val="right"/>
      <w:pPr>
        <w:ind w:left="4635" w:hanging="180"/>
      </w:pPr>
    </w:lvl>
    <w:lvl w:ilvl="3" w:tplc="3809000F" w:tentative="1">
      <w:start w:val="1"/>
      <w:numFmt w:val="decimal"/>
      <w:lvlText w:val="%4."/>
      <w:lvlJc w:val="left"/>
      <w:pPr>
        <w:ind w:left="5355" w:hanging="360"/>
      </w:pPr>
    </w:lvl>
    <w:lvl w:ilvl="4" w:tplc="38090019" w:tentative="1">
      <w:start w:val="1"/>
      <w:numFmt w:val="lowerLetter"/>
      <w:lvlText w:val="%5."/>
      <w:lvlJc w:val="left"/>
      <w:pPr>
        <w:ind w:left="6075" w:hanging="360"/>
      </w:pPr>
    </w:lvl>
    <w:lvl w:ilvl="5" w:tplc="3809001B" w:tentative="1">
      <w:start w:val="1"/>
      <w:numFmt w:val="lowerRoman"/>
      <w:lvlText w:val="%6."/>
      <w:lvlJc w:val="right"/>
      <w:pPr>
        <w:ind w:left="6795" w:hanging="180"/>
      </w:pPr>
    </w:lvl>
    <w:lvl w:ilvl="6" w:tplc="3809000F" w:tentative="1">
      <w:start w:val="1"/>
      <w:numFmt w:val="decimal"/>
      <w:lvlText w:val="%7."/>
      <w:lvlJc w:val="left"/>
      <w:pPr>
        <w:ind w:left="7515" w:hanging="360"/>
      </w:pPr>
    </w:lvl>
    <w:lvl w:ilvl="7" w:tplc="38090019" w:tentative="1">
      <w:start w:val="1"/>
      <w:numFmt w:val="lowerLetter"/>
      <w:lvlText w:val="%8."/>
      <w:lvlJc w:val="left"/>
      <w:pPr>
        <w:ind w:left="8235" w:hanging="360"/>
      </w:pPr>
    </w:lvl>
    <w:lvl w:ilvl="8" w:tplc="3809001B" w:tentative="1">
      <w:start w:val="1"/>
      <w:numFmt w:val="lowerRoman"/>
      <w:lvlText w:val="%9."/>
      <w:lvlJc w:val="right"/>
      <w:pPr>
        <w:ind w:left="8955" w:hanging="180"/>
      </w:pPr>
    </w:lvl>
  </w:abstractNum>
  <w:abstractNum w:abstractNumId="38" w15:restartNumberingAfterBreak="0">
    <w:nsid w:val="0A632C69"/>
    <w:multiLevelType w:val="hybridMultilevel"/>
    <w:tmpl w:val="71F8D908"/>
    <w:lvl w:ilvl="0" w:tplc="35A090DC">
      <w:start w:val="1"/>
      <w:numFmt w:val="decimal"/>
      <w:lvlText w:val="%1."/>
      <w:lvlJc w:val="center"/>
      <w:pPr>
        <w:ind w:left="927" w:hanging="360"/>
      </w:pPr>
      <w:rPr>
        <w:rFonts w:hint="default"/>
        <w:i w:val="0"/>
        <w:iCs w:val="0"/>
        <w:color w:val="000000"/>
      </w:rPr>
    </w:lvl>
    <w:lvl w:ilvl="1" w:tplc="FFFFFFFF">
      <w:start w:val="1"/>
      <w:numFmt w:val="lowerLetter"/>
      <w:lvlText w:val="(%2)"/>
      <w:lvlJc w:val="left"/>
      <w:pPr>
        <w:ind w:left="1647" w:hanging="360"/>
      </w:pPr>
      <w:rPr>
        <w:rFonts w:hint="default"/>
      </w:rPr>
    </w:lvl>
    <w:lvl w:ilvl="2" w:tplc="FFFFFFFF">
      <w:start w:val="1"/>
      <w:numFmt w:val="decimal"/>
      <w:lvlText w:val="(%3)"/>
      <w:lvlJc w:val="left"/>
      <w:pPr>
        <w:ind w:left="2547" w:hanging="360"/>
      </w:pPr>
      <w:rPr>
        <w:rFonts w:hint="default"/>
      </w:rPr>
    </w:lvl>
    <w:lvl w:ilvl="3" w:tplc="33FC951A">
      <w:start w:val="1"/>
      <w:numFmt w:val="decimal"/>
      <w:lvlText w:val="(%4)"/>
      <w:lvlJc w:val="left"/>
      <w:pPr>
        <w:ind w:left="3087" w:hanging="360"/>
      </w:pPr>
      <w:rPr>
        <w:rFonts w:ascii="Bookman Old Style" w:eastAsiaTheme="minorHAnsi" w:hAnsi="Bookman Old Style" w:cstheme="minorBidi"/>
        <w:strike w:val="0"/>
      </w:rPr>
    </w:lvl>
    <w:lvl w:ilvl="4" w:tplc="B470C564">
      <w:start w:val="1"/>
      <w:numFmt w:val="decimal"/>
      <w:lvlText w:val="%5)"/>
      <w:lvlJc w:val="left"/>
      <w:pPr>
        <w:ind w:left="3807" w:hanging="360"/>
      </w:pPr>
      <w:rPr>
        <w:rFonts w:hint="default"/>
        <w:color w:val="000000" w:themeColor="text1"/>
        <w:sz w:val="24"/>
      </w:rPr>
    </w:lvl>
    <w:lvl w:ilvl="5" w:tplc="362A4E38">
      <w:start w:val="1"/>
      <w:numFmt w:val="lowerLetter"/>
      <w:lvlText w:val="%6."/>
      <w:lvlJc w:val="left"/>
      <w:pPr>
        <w:ind w:left="4707" w:hanging="360"/>
      </w:pPr>
      <w:rPr>
        <w:rFonts w:hint="default"/>
      </w:rPr>
    </w:lvl>
    <w:lvl w:ilvl="6" w:tplc="5608E27E">
      <w:start w:val="1"/>
      <w:numFmt w:val="upperLetter"/>
      <w:lvlText w:val="%7."/>
      <w:lvlJc w:val="left"/>
      <w:pPr>
        <w:ind w:left="5247" w:hanging="360"/>
      </w:pPr>
      <w:rPr>
        <w:rFonts w:hint="default"/>
      </w:rPr>
    </w:lvl>
    <w:lvl w:ilvl="7" w:tplc="41AE38BA">
      <w:start w:val="1"/>
      <w:numFmt w:val="lowerLetter"/>
      <w:lvlText w:val="%8)"/>
      <w:lvlJc w:val="left"/>
      <w:pPr>
        <w:ind w:left="5967" w:hanging="360"/>
      </w:pPr>
      <w:rPr>
        <w:rFonts w:hint="default"/>
      </w:rPr>
    </w:lvl>
    <w:lvl w:ilvl="8" w:tplc="4CF849CA">
      <w:start w:val="1"/>
      <w:numFmt w:val="bullet"/>
      <w:lvlText w:val="-"/>
      <w:lvlJc w:val="left"/>
      <w:pPr>
        <w:ind w:left="6867" w:hanging="360"/>
      </w:pPr>
      <w:rPr>
        <w:rFonts w:ascii="Bookman Old Style" w:eastAsiaTheme="minorHAnsi" w:hAnsi="Bookman Old Style" w:cstheme="minorBidi" w:hint="default"/>
        <w:i/>
        <w:color w:val="000000"/>
      </w:rPr>
    </w:lvl>
  </w:abstractNum>
  <w:abstractNum w:abstractNumId="39" w15:restartNumberingAfterBreak="0">
    <w:nsid w:val="0A772005"/>
    <w:multiLevelType w:val="hybridMultilevel"/>
    <w:tmpl w:val="A796BDF8"/>
    <w:lvl w:ilvl="0" w:tplc="F574F670">
      <w:start w:val="1"/>
      <w:numFmt w:val="lowerLetter"/>
      <w:lvlText w:val="%1."/>
      <w:lvlJc w:val="left"/>
      <w:pPr>
        <w:ind w:left="2061" w:hanging="360"/>
      </w:pPr>
      <w:rPr>
        <w:rFonts w:hint="default"/>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40" w15:restartNumberingAfterBreak="0">
    <w:nsid w:val="0AA5157E"/>
    <w:multiLevelType w:val="hybridMultilevel"/>
    <w:tmpl w:val="170EB518"/>
    <w:lvl w:ilvl="0" w:tplc="38090019">
      <w:start w:val="1"/>
      <w:numFmt w:val="lowerLetter"/>
      <w:lvlText w:val="%1."/>
      <w:lvlJc w:val="left"/>
      <w:pPr>
        <w:ind w:left="827" w:hanging="360"/>
      </w:pPr>
    </w:lvl>
    <w:lvl w:ilvl="1" w:tplc="38090019" w:tentative="1">
      <w:start w:val="1"/>
      <w:numFmt w:val="lowerLetter"/>
      <w:lvlText w:val="%2."/>
      <w:lvlJc w:val="left"/>
      <w:pPr>
        <w:ind w:left="1547" w:hanging="360"/>
      </w:pPr>
    </w:lvl>
    <w:lvl w:ilvl="2" w:tplc="3809001B" w:tentative="1">
      <w:start w:val="1"/>
      <w:numFmt w:val="lowerRoman"/>
      <w:lvlText w:val="%3."/>
      <w:lvlJc w:val="right"/>
      <w:pPr>
        <w:ind w:left="2267" w:hanging="180"/>
      </w:pPr>
    </w:lvl>
    <w:lvl w:ilvl="3" w:tplc="3809000F" w:tentative="1">
      <w:start w:val="1"/>
      <w:numFmt w:val="decimal"/>
      <w:lvlText w:val="%4."/>
      <w:lvlJc w:val="left"/>
      <w:pPr>
        <w:ind w:left="2987" w:hanging="360"/>
      </w:pPr>
    </w:lvl>
    <w:lvl w:ilvl="4" w:tplc="38090019" w:tentative="1">
      <w:start w:val="1"/>
      <w:numFmt w:val="lowerLetter"/>
      <w:lvlText w:val="%5."/>
      <w:lvlJc w:val="left"/>
      <w:pPr>
        <w:ind w:left="3707" w:hanging="360"/>
      </w:pPr>
    </w:lvl>
    <w:lvl w:ilvl="5" w:tplc="3809001B" w:tentative="1">
      <w:start w:val="1"/>
      <w:numFmt w:val="lowerRoman"/>
      <w:lvlText w:val="%6."/>
      <w:lvlJc w:val="right"/>
      <w:pPr>
        <w:ind w:left="4427" w:hanging="180"/>
      </w:pPr>
    </w:lvl>
    <w:lvl w:ilvl="6" w:tplc="3809000F" w:tentative="1">
      <w:start w:val="1"/>
      <w:numFmt w:val="decimal"/>
      <w:lvlText w:val="%7."/>
      <w:lvlJc w:val="left"/>
      <w:pPr>
        <w:ind w:left="5147" w:hanging="360"/>
      </w:pPr>
    </w:lvl>
    <w:lvl w:ilvl="7" w:tplc="38090019" w:tentative="1">
      <w:start w:val="1"/>
      <w:numFmt w:val="lowerLetter"/>
      <w:lvlText w:val="%8."/>
      <w:lvlJc w:val="left"/>
      <w:pPr>
        <w:ind w:left="5867" w:hanging="360"/>
      </w:pPr>
    </w:lvl>
    <w:lvl w:ilvl="8" w:tplc="3809001B" w:tentative="1">
      <w:start w:val="1"/>
      <w:numFmt w:val="lowerRoman"/>
      <w:lvlText w:val="%9."/>
      <w:lvlJc w:val="right"/>
      <w:pPr>
        <w:ind w:left="6587" w:hanging="180"/>
      </w:pPr>
    </w:lvl>
  </w:abstractNum>
  <w:abstractNum w:abstractNumId="41" w15:restartNumberingAfterBreak="0">
    <w:nsid w:val="0ABD1C14"/>
    <w:multiLevelType w:val="hybridMultilevel"/>
    <w:tmpl w:val="A9327EE2"/>
    <w:lvl w:ilvl="0" w:tplc="7C24F012">
      <w:start w:val="1"/>
      <w:numFmt w:val="decimal"/>
      <w:lvlText w:val="%1)"/>
      <w:lvlJc w:val="left"/>
      <w:pPr>
        <w:ind w:left="2214" w:hanging="360"/>
      </w:pPr>
      <w:rPr>
        <w:rFonts w:hint="default"/>
      </w:rPr>
    </w:lvl>
    <w:lvl w:ilvl="1" w:tplc="38090019" w:tentative="1">
      <w:start w:val="1"/>
      <w:numFmt w:val="lowerLetter"/>
      <w:lvlText w:val="%2."/>
      <w:lvlJc w:val="left"/>
      <w:pPr>
        <w:ind w:left="2934" w:hanging="360"/>
      </w:pPr>
    </w:lvl>
    <w:lvl w:ilvl="2" w:tplc="3809001B" w:tentative="1">
      <w:start w:val="1"/>
      <w:numFmt w:val="lowerRoman"/>
      <w:lvlText w:val="%3."/>
      <w:lvlJc w:val="right"/>
      <w:pPr>
        <w:ind w:left="3654" w:hanging="180"/>
      </w:pPr>
    </w:lvl>
    <w:lvl w:ilvl="3" w:tplc="3809000F" w:tentative="1">
      <w:start w:val="1"/>
      <w:numFmt w:val="decimal"/>
      <w:lvlText w:val="%4."/>
      <w:lvlJc w:val="left"/>
      <w:pPr>
        <w:ind w:left="4374" w:hanging="360"/>
      </w:pPr>
    </w:lvl>
    <w:lvl w:ilvl="4" w:tplc="38090019" w:tentative="1">
      <w:start w:val="1"/>
      <w:numFmt w:val="lowerLetter"/>
      <w:lvlText w:val="%5."/>
      <w:lvlJc w:val="left"/>
      <w:pPr>
        <w:ind w:left="5094" w:hanging="360"/>
      </w:pPr>
    </w:lvl>
    <w:lvl w:ilvl="5" w:tplc="3809001B" w:tentative="1">
      <w:start w:val="1"/>
      <w:numFmt w:val="lowerRoman"/>
      <w:lvlText w:val="%6."/>
      <w:lvlJc w:val="right"/>
      <w:pPr>
        <w:ind w:left="5814" w:hanging="180"/>
      </w:pPr>
    </w:lvl>
    <w:lvl w:ilvl="6" w:tplc="3809000F" w:tentative="1">
      <w:start w:val="1"/>
      <w:numFmt w:val="decimal"/>
      <w:lvlText w:val="%7."/>
      <w:lvlJc w:val="left"/>
      <w:pPr>
        <w:ind w:left="6534" w:hanging="360"/>
      </w:pPr>
    </w:lvl>
    <w:lvl w:ilvl="7" w:tplc="38090019" w:tentative="1">
      <w:start w:val="1"/>
      <w:numFmt w:val="lowerLetter"/>
      <w:lvlText w:val="%8."/>
      <w:lvlJc w:val="left"/>
      <w:pPr>
        <w:ind w:left="7254" w:hanging="360"/>
      </w:pPr>
    </w:lvl>
    <w:lvl w:ilvl="8" w:tplc="3809001B" w:tentative="1">
      <w:start w:val="1"/>
      <w:numFmt w:val="lowerRoman"/>
      <w:lvlText w:val="%9."/>
      <w:lvlJc w:val="right"/>
      <w:pPr>
        <w:ind w:left="7974" w:hanging="180"/>
      </w:pPr>
    </w:lvl>
  </w:abstractNum>
  <w:abstractNum w:abstractNumId="42" w15:restartNumberingAfterBreak="0">
    <w:nsid w:val="0B15692E"/>
    <w:multiLevelType w:val="hybridMultilevel"/>
    <w:tmpl w:val="959C253E"/>
    <w:lvl w:ilvl="0" w:tplc="38090001">
      <w:start w:val="1"/>
      <w:numFmt w:val="bullet"/>
      <w:lvlText w:val=""/>
      <w:lvlJc w:val="left"/>
      <w:pPr>
        <w:ind w:left="3195" w:hanging="360"/>
      </w:pPr>
      <w:rPr>
        <w:rFonts w:ascii="Symbol" w:hAnsi="Symbol" w:hint="default"/>
      </w:rPr>
    </w:lvl>
    <w:lvl w:ilvl="1" w:tplc="38090003" w:tentative="1">
      <w:start w:val="1"/>
      <w:numFmt w:val="bullet"/>
      <w:lvlText w:val="o"/>
      <w:lvlJc w:val="left"/>
      <w:pPr>
        <w:ind w:left="3915" w:hanging="360"/>
      </w:pPr>
      <w:rPr>
        <w:rFonts w:ascii="Courier New" w:hAnsi="Courier New" w:cs="Courier New" w:hint="default"/>
      </w:rPr>
    </w:lvl>
    <w:lvl w:ilvl="2" w:tplc="38090005" w:tentative="1">
      <w:start w:val="1"/>
      <w:numFmt w:val="bullet"/>
      <w:lvlText w:val=""/>
      <w:lvlJc w:val="left"/>
      <w:pPr>
        <w:ind w:left="4635" w:hanging="360"/>
      </w:pPr>
      <w:rPr>
        <w:rFonts w:ascii="Wingdings" w:hAnsi="Wingdings" w:hint="default"/>
      </w:rPr>
    </w:lvl>
    <w:lvl w:ilvl="3" w:tplc="38090001" w:tentative="1">
      <w:start w:val="1"/>
      <w:numFmt w:val="bullet"/>
      <w:lvlText w:val=""/>
      <w:lvlJc w:val="left"/>
      <w:pPr>
        <w:ind w:left="5355" w:hanging="360"/>
      </w:pPr>
      <w:rPr>
        <w:rFonts w:ascii="Symbol" w:hAnsi="Symbol" w:hint="default"/>
      </w:rPr>
    </w:lvl>
    <w:lvl w:ilvl="4" w:tplc="38090003" w:tentative="1">
      <w:start w:val="1"/>
      <w:numFmt w:val="bullet"/>
      <w:lvlText w:val="o"/>
      <w:lvlJc w:val="left"/>
      <w:pPr>
        <w:ind w:left="6075" w:hanging="360"/>
      </w:pPr>
      <w:rPr>
        <w:rFonts w:ascii="Courier New" w:hAnsi="Courier New" w:cs="Courier New" w:hint="default"/>
      </w:rPr>
    </w:lvl>
    <w:lvl w:ilvl="5" w:tplc="38090005" w:tentative="1">
      <w:start w:val="1"/>
      <w:numFmt w:val="bullet"/>
      <w:lvlText w:val=""/>
      <w:lvlJc w:val="left"/>
      <w:pPr>
        <w:ind w:left="6795" w:hanging="360"/>
      </w:pPr>
      <w:rPr>
        <w:rFonts w:ascii="Wingdings" w:hAnsi="Wingdings" w:hint="default"/>
      </w:rPr>
    </w:lvl>
    <w:lvl w:ilvl="6" w:tplc="38090001" w:tentative="1">
      <w:start w:val="1"/>
      <w:numFmt w:val="bullet"/>
      <w:lvlText w:val=""/>
      <w:lvlJc w:val="left"/>
      <w:pPr>
        <w:ind w:left="7515" w:hanging="360"/>
      </w:pPr>
      <w:rPr>
        <w:rFonts w:ascii="Symbol" w:hAnsi="Symbol" w:hint="default"/>
      </w:rPr>
    </w:lvl>
    <w:lvl w:ilvl="7" w:tplc="38090003" w:tentative="1">
      <w:start w:val="1"/>
      <w:numFmt w:val="bullet"/>
      <w:lvlText w:val="o"/>
      <w:lvlJc w:val="left"/>
      <w:pPr>
        <w:ind w:left="8235" w:hanging="360"/>
      </w:pPr>
      <w:rPr>
        <w:rFonts w:ascii="Courier New" w:hAnsi="Courier New" w:cs="Courier New" w:hint="default"/>
      </w:rPr>
    </w:lvl>
    <w:lvl w:ilvl="8" w:tplc="38090005" w:tentative="1">
      <w:start w:val="1"/>
      <w:numFmt w:val="bullet"/>
      <w:lvlText w:val=""/>
      <w:lvlJc w:val="left"/>
      <w:pPr>
        <w:ind w:left="8955" w:hanging="360"/>
      </w:pPr>
      <w:rPr>
        <w:rFonts w:ascii="Wingdings" w:hAnsi="Wingdings" w:hint="default"/>
      </w:rPr>
    </w:lvl>
  </w:abstractNum>
  <w:abstractNum w:abstractNumId="43" w15:restartNumberingAfterBreak="0">
    <w:nsid w:val="0B160432"/>
    <w:multiLevelType w:val="hybridMultilevel"/>
    <w:tmpl w:val="9042D116"/>
    <w:lvl w:ilvl="0" w:tplc="38090011">
      <w:start w:val="1"/>
      <w:numFmt w:val="decimal"/>
      <w:lvlText w:val="%1)"/>
      <w:lvlJc w:val="left"/>
      <w:pPr>
        <w:ind w:left="720" w:hanging="360"/>
      </w:pPr>
      <w:rPr>
        <w:rFonts w:hint="default"/>
        <w:strike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0B3B0F0C"/>
    <w:multiLevelType w:val="hybridMultilevel"/>
    <w:tmpl w:val="D728960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0BD76533"/>
    <w:multiLevelType w:val="multilevel"/>
    <w:tmpl w:val="917CB502"/>
    <w:lvl w:ilvl="0">
      <w:start w:val="1"/>
      <w:numFmt w:val="decimal"/>
      <w:lvlText w:val="%1)"/>
      <w:lvlJc w:val="left"/>
      <w:pPr>
        <w:ind w:left="438" w:hanging="321"/>
      </w:pPr>
      <w:rPr>
        <w:rFonts w:ascii="Bookman Old Style" w:eastAsia="Bookman Old Style" w:hAnsi="Bookman Old Style" w:cs="Bookman Old Style"/>
        <w:sz w:val="24"/>
        <w:szCs w:val="24"/>
      </w:rPr>
    </w:lvl>
    <w:lvl w:ilvl="1">
      <w:numFmt w:val="bullet"/>
      <w:lvlText w:val="•"/>
      <w:lvlJc w:val="left"/>
      <w:pPr>
        <w:ind w:left="1018" w:hanging="321"/>
      </w:pPr>
    </w:lvl>
    <w:lvl w:ilvl="2">
      <w:numFmt w:val="bullet"/>
      <w:lvlText w:val="•"/>
      <w:lvlJc w:val="left"/>
      <w:pPr>
        <w:ind w:left="1597" w:hanging="321"/>
      </w:pPr>
    </w:lvl>
    <w:lvl w:ilvl="3">
      <w:numFmt w:val="bullet"/>
      <w:lvlText w:val="•"/>
      <w:lvlJc w:val="left"/>
      <w:pPr>
        <w:ind w:left="2175" w:hanging="321"/>
      </w:pPr>
    </w:lvl>
    <w:lvl w:ilvl="4">
      <w:numFmt w:val="bullet"/>
      <w:lvlText w:val="•"/>
      <w:lvlJc w:val="left"/>
      <w:pPr>
        <w:ind w:left="2754" w:hanging="321"/>
      </w:pPr>
    </w:lvl>
    <w:lvl w:ilvl="5">
      <w:numFmt w:val="bullet"/>
      <w:lvlText w:val="•"/>
      <w:lvlJc w:val="left"/>
      <w:pPr>
        <w:ind w:left="3333" w:hanging="321"/>
      </w:pPr>
    </w:lvl>
    <w:lvl w:ilvl="6">
      <w:numFmt w:val="bullet"/>
      <w:lvlText w:val="•"/>
      <w:lvlJc w:val="left"/>
      <w:pPr>
        <w:ind w:left="3911" w:hanging="321"/>
      </w:pPr>
    </w:lvl>
    <w:lvl w:ilvl="7">
      <w:numFmt w:val="bullet"/>
      <w:lvlText w:val="•"/>
      <w:lvlJc w:val="left"/>
      <w:pPr>
        <w:ind w:left="4490" w:hanging="321"/>
      </w:pPr>
    </w:lvl>
    <w:lvl w:ilvl="8">
      <w:numFmt w:val="bullet"/>
      <w:lvlText w:val="•"/>
      <w:lvlJc w:val="left"/>
      <w:pPr>
        <w:ind w:left="5068" w:hanging="321"/>
      </w:pPr>
    </w:lvl>
  </w:abstractNum>
  <w:abstractNum w:abstractNumId="46" w15:restartNumberingAfterBreak="0">
    <w:nsid w:val="0BE57379"/>
    <w:multiLevelType w:val="multilevel"/>
    <w:tmpl w:val="DBFE4BD6"/>
    <w:lvl w:ilvl="0">
      <w:start w:val="1"/>
      <w:numFmt w:val="decimal"/>
      <w:lvlText w:val="%1)"/>
      <w:lvlJc w:val="left"/>
      <w:pPr>
        <w:ind w:left="438" w:hanging="321"/>
      </w:pPr>
      <w:rPr>
        <w:rFonts w:ascii="Bookman Old Style" w:eastAsia="Bookman Old Style" w:hAnsi="Bookman Old Style" w:cs="Bookman Old Style"/>
        <w:sz w:val="24"/>
        <w:szCs w:val="24"/>
      </w:rPr>
    </w:lvl>
    <w:lvl w:ilvl="1">
      <w:numFmt w:val="bullet"/>
      <w:lvlText w:val="•"/>
      <w:lvlJc w:val="left"/>
      <w:pPr>
        <w:ind w:left="1387" w:hanging="321"/>
      </w:pPr>
    </w:lvl>
    <w:lvl w:ilvl="2">
      <w:numFmt w:val="bullet"/>
      <w:lvlText w:val="•"/>
      <w:lvlJc w:val="left"/>
      <w:pPr>
        <w:ind w:left="2334" w:hanging="321"/>
      </w:pPr>
    </w:lvl>
    <w:lvl w:ilvl="3">
      <w:numFmt w:val="bullet"/>
      <w:lvlText w:val="•"/>
      <w:lvlJc w:val="left"/>
      <w:pPr>
        <w:ind w:left="3281" w:hanging="321"/>
      </w:pPr>
    </w:lvl>
    <w:lvl w:ilvl="4">
      <w:numFmt w:val="bullet"/>
      <w:lvlText w:val="•"/>
      <w:lvlJc w:val="left"/>
      <w:pPr>
        <w:ind w:left="4228" w:hanging="321"/>
      </w:pPr>
    </w:lvl>
    <w:lvl w:ilvl="5">
      <w:numFmt w:val="bullet"/>
      <w:lvlText w:val="•"/>
      <w:lvlJc w:val="left"/>
      <w:pPr>
        <w:ind w:left="5175" w:hanging="321"/>
      </w:pPr>
    </w:lvl>
    <w:lvl w:ilvl="6">
      <w:numFmt w:val="bullet"/>
      <w:lvlText w:val="•"/>
      <w:lvlJc w:val="left"/>
      <w:pPr>
        <w:ind w:left="6122" w:hanging="321"/>
      </w:pPr>
    </w:lvl>
    <w:lvl w:ilvl="7">
      <w:numFmt w:val="bullet"/>
      <w:lvlText w:val="•"/>
      <w:lvlJc w:val="left"/>
      <w:pPr>
        <w:ind w:left="7069" w:hanging="321"/>
      </w:pPr>
    </w:lvl>
    <w:lvl w:ilvl="8">
      <w:numFmt w:val="bullet"/>
      <w:lvlText w:val="•"/>
      <w:lvlJc w:val="left"/>
      <w:pPr>
        <w:ind w:left="8016" w:hanging="321"/>
      </w:pPr>
    </w:lvl>
  </w:abstractNum>
  <w:abstractNum w:abstractNumId="47" w15:restartNumberingAfterBreak="0">
    <w:nsid w:val="0BF85370"/>
    <w:multiLevelType w:val="multilevel"/>
    <w:tmpl w:val="53CE68DE"/>
    <w:lvl w:ilvl="0">
      <w:start w:val="1"/>
      <w:numFmt w:val="lowerLetter"/>
      <w:lvlText w:val="%1)"/>
      <w:lvlJc w:val="left"/>
      <w:pPr>
        <w:ind w:left="470" w:hanging="336"/>
      </w:pPr>
      <w:rPr>
        <w:rFonts w:ascii="Bookman Old Style" w:eastAsia="Bookman Old Style" w:hAnsi="Bookman Old Style" w:cs="Bookman Old Style"/>
        <w:sz w:val="22"/>
        <w:szCs w:val="22"/>
      </w:rPr>
    </w:lvl>
    <w:lvl w:ilvl="1">
      <w:numFmt w:val="bullet"/>
      <w:lvlText w:val="•"/>
      <w:lvlJc w:val="left"/>
      <w:pPr>
        <w:ind w:left="766" w:hanging="336"/>
      </w:pPr>
    </w:lvl>
    <w:lvl w:ilvl="2">
      <w:numFmt w:val="bullet"/>
      <w:lvlText w:val="•"/>
      <w:lvlJc w:val="left"/>
      <w:pPr>
        <w:ind w:left="1072" w:hanging="336"/>
      </w:pPr>
    </w:lvl>
    <w:lvl w:ilvl="3">
      <w:numFmt w:val="bullet"/>
      <w:lvlText w:val="•"/>
      <w:lvlJc w:val="left"/>
      <w:pPr>
        <w:ind w:left="1378" w:hanging="335"/>
      </w:pPr>
    </w:lvl>
    <w:lvl w:ilvl="4">
      <w:numFmt w:val="bullet"/>
      <w:lvlText w:val="•"/>
      <w:lvlJc w:val="left"/>
      <w:pPr>
        <w:ind w:left="1684" w:hanging="336"/>
      </w:pPr>
    </w:lvl>
    <w:lvl w:ilvl="5">
      <w:numFmt w:val="bullet"/>
      <w:lvlText w:val="•"/>
      <w:lvlJc w:val="left"/>
      <w:pPr>
        <w:ind w:left="1990" w:hanging="336"/>
      </w:pPr>
    </w:lvl>
    <w:lvl w:ilvl="6">
      <w:numFmt w:val="bullet"/>
      <w:lvlText w:val="•"/>
      <w:lvlJc w:val="left"/>
      <w:pPr>
        <w:ind w:left="2296" w:hanging="336"/>
      </w:pPr>
    </w:lvl>
    <w:lvl w:ilvl="7">
      <w:numFmt w:val="bullet"/>
      <w:lvlText w:val="•"/>
      <w:lvlJc w:val="left"/>
      <w:pPr>
        <w:ind w:left="2602" w:hanging="336"/>
      </w:pPr>
    </w:lvl>
    <w:lvl w:ilvl="8">
      <w:numFmt w:val="bullet"/>
      <w:lvlText w:val="•"/>
      <w:lvlJc w:val="left"/>
      <w:pPr>
        <w:ind w:left="2908" w:hanging="336"/>
      </w:pPr>
    </w:lvl>
  </w:abstractNum>
  <w:abstractNum w:abstractNumId="48" w15:restartNumberingAfterBreak="0">
    <w:nsid w:val="0C0E1E32"/>
    <w:multiLevelType w:val="hybridMultilevel"/>
    <w:tmpl w:val="A24830E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0C1B21B2"/>
    <w:multiLevelType w:val="multilevel"/>
    <w:tmpl w:val="3118F25A"/>
    <w:lvl w:ilvl="0">
      <w:start w:val="1"/>
      <w:numFmt w:val="lowerLetter"/>
      <w:lvlText w:val="%1)"/>
      <w:lvlJc w:val="left"/>
      <w:pPr>
        <w:ind w:left="117" w:hanging="368"/>
      </w:pPr>
      <w:rPr>
        <w:rFonts w:ascii="Bookman Old Style" w:eastAsia="Bookman Old Style" w:hAnsi="Bookman Old Style" w:cs="Bookman Old Style"/>
        <w:color w:val="EE0000"/>
        <w:sz w:val="22"/>
        <w:szCs w:val="22"/>
      </w:rPr>
    </w:lvl>
    <w:lvl w:ilvl="1">
      <w:numFmt w:val="bullet"/>
      <w:lvlText w:val="•"/>
      <w:lvlJc w:val="left"/>
      <w:pPr>
        <w:ind w:left="448" w:hanging="368"/>
      </w:pPr>
    </w:lvl>
    <w:lvl w:ilvl="2">
      <w:numFmt w:val="bullet"/>
      <w:lvlText w:val="•"/>
      <w:lvlJc w:val="left"/>
      <w:pPr>
        <w:ind w:left="777" w:hanging="367"/>
      </w:pPr>
    </w:lvl>
    <w:lvl w:ilvl="3">
      <w:numFmt w:val="bullet"/>
      <w:lvlText w:val="•"/>
      <w:lvlJc w:val="left"/>
      <w:pPr>
        <w:ind w:left="1106" w:hanging="368"/>
      </w:pPr>
    </w:lvl>
    <w:lvl w:ilvl="4">
      <w:numFmt w:val="bullet"/>
      <w:lvlText w:val="•"/>
      <w:lvlJc w:val="left"/>
      <w:pPr>
        <w:ind w:left="1435" w:hanging="368"/>
      </w:pPr>
    </w:lvl>
    <w:lvl w:ilvl="5">
      <w:numFmt w:val="bullet"/>
      <w:lvlText w:val="•"/>
      <w:lvlJc w:val="left"/>
      <w:pPr>
        <w:ind w:left="1764" w:hanging="367"/>
      </w:pPr>
    </w:lvl>
    <w:lvl w:ilvl="6">
      <w:numFmt w:val="bullet"/>
      <w:lvlText w:val="•"/>
      <w:lvlJc w:val="left"/>
      <w:pPr>
        <w:ind w:left="2092" w:hanging="368"/>
      </w:pPr>
    </w:lvl>
    <w:lvl w:ilvl="7">
      <w:numFmt w:val="bullet"/>
      <w:lvlText w:val="•"/>
      <w:lvlJc w:val="left"/>
      <w:pPr>
        <w:ind w:left="2421" w:hanging="368"/>
      </w:pPr>
    </w:lvl>
    <w:lvl w:ilvl="8">
      <w:numFmt w:val="bullet"/>
      <w:lvlText w:val="•"/>
      <w:lvlJc w:val="left"/>
      <w:pPr>
        <w:ind w:left="2750" w:hanging="368"/>
      </w:pPr>
    </w:lvl>
  </w:abstractNum>
  <w:abstractNum w:abstractNumId="50" w15:restartNumberingAfterBreak="0">
    <w:nsid w:val="0C2E6CB3"/>
    <w:multiLevelType w:val="hybridMultilevel"/>
    <w:tmpl w:val="B9545B76"/>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51" w15:restartNumberingAfterBreak="0">
    <w:nsid w:val="0C584832"/>
    <w:multiLevelType w:val="hybridMultilevel"/>
    <w:tmpl w:val="DB70EC52"/>
    <w:lvl w:ilvl="0" w:tplc="38090001">
      <w:start w:val="1"/>
      <w:numFmt w:val="bullet"/>
      <w:lvlText w:val=""/>
      <w:lvlJc w:val="left"/>
      <w:pPr>
        <w:ind w:left="1854" w:hanging="360"/>
      </w:pPr>
      <w:rPr>
        <w:rFonts w:ascii="Symbol" w:hAnsi="Symbol" w:hint="default"/>
      </w:rPr>
    </w:lvl>
    <w:lvl w:ilvl="1" w:tplc="38090003" w:tentative="1">
      <w:start w:val="1"/>
      <w:numFmt w:val="bullet"/>
      <w:lvlText w:val="o"/>
      <w:lvlJc w:val="left"/>
      <w:pPr>
        <w:ind w:left="2574" w:hanging="360"/>
      </w:pPr>
      <w:rPr>
        <w:rFonts w:ascii="Courier New" w:hAnsi="Courier New" w:cs="Courier New" w:hint="default"/>
      </w:rPr>
    </w:lvl>
    <w:lvl w:ilvl="2" w:tplc="38090005" w:tentative="1">
      <w:start w:val="1"/>
      <w:numFmt w:val="bullet"/>
      <w:lvlText w:val=""/>
      <w:lvlJc w:val="left"/>
      <w:pPr>
        <w:ind w:left="3294" w:hanging="360"/>
      </w:pPr>
      <w:rPr>
        <w:rFonts w:ascii="Wingdings" w:hAnsi="Wingdings" w:hint="default"/>
      </w:rPr>
    </w:lvl>
    <w:lvl w:ilvl="3" w:tplc="38090001" w:tentative="1">
      <w:start w:val="1"/>
      <w:numFmt w:val="bullet"/>
      <w:lvlText w:val=""/>
      <w:lvlJc w:val="left"/>
      <w:pPr>
        <w:ind w:left="4014" w:hanging="360"/>
      </w:pPr>
      <w:rPr>
        <w:rFonts w:ascii="Symbol" w:hAnsi="Symbol" w:hint="default"/>
      </w:rPr>
    </w:lvl>
    <w:lvl w:ilvl="4" w:tplc="38090003" w:tentative="1">
      <w:start w:val="1"/>
      <w:numFmt w:val="bullet"/>
      <w:lvlText w:val="o"/>
      <w:lvlJc w:val="left"/>
      <w:pPr>
        <w:ind w:left="4734" w:hanging="360"/>
      </w:pPr>
      <w:rPr>
        <w:rFonts w:ascii="Courier New" w:hAnsi="Courier New" w:cs="Courier New" w:hint="default"/>
      </w:rPr>
    </w:lvl>
    <w:lvl w:ilvl="5" w:tplc="38090005" w:tentative="1">
      <w:start w:val="1"/>
      <w:numFmt w:val="bullet"/>
      <w:lvlText w:val=""/>
      <w:lvlJc w:val="left"/>
      <w:pPr>
        <w:ind w:left="5454" w:hanging="360"/>
      </w:pPr>
      <w:rPr>
        <w:rFonts w:ascii="Wingdings" w:hAnsi="Wingdings" w:hint="default"/>
      </w:rPr>
    </w:lvl>
    <w:lvl w:ilvl="6" w:tplc="38090001" w:tentative="1">
      <w:start w:val="1"/>
      <w:numFmt w:val="bullet"/>
      <w:lvlText w:val=""/>
      <w:lvlJc w:val="left"/>
      <w:pPr>
        <w:ind w:left="6174" w:hanging="360"/>
      </w:pPr>
      <w:rPr>
        <w:rFonts w:ascii="Symbol" w:hAnsi="Symbol" w:hint="default"/>
      </w:rPr>
    </w:lvl>
    <w:lvl w:ilvl="7" w:tplc="38090003" w:tentative="1">
      <w:start w:val="1"/>
      <w:numFmt w:val="bullet"/>
      <w:lvlText w:val="o"/>
      <w:lvlJc w:val="left"/>
      <w:pPr>
        <w:ind w:left="6894" w:hanging="360"/>
      </w:pPr>
      <w:rPr>
        <w:rFonts w:ascii="Courier New" w:hAnsi="Courier New" w:cs="Courier New" w:hint="default"/>
      </w:rPr>
    </w:lvl>
    <w:lvl w:ilvl="8" w:tplc="38090005" w:tentative="1">
      <w:start w:val="1"/>
      <w:numFmt w:val="bullet"/>
      <w:lvlText w:val=""/>
      <w:lvlJc w:val="left"/>
      <w:pPr>
        <w:ind w:left="7614" w:hanging="360"/>
      </w:pPr>
      <w:rPr>
        <w:rFonts w:ascii="Wingdings" w:hAnsi="Wingdings" w:hint="default"/>
      </w:rPr>
    </w:lvl>
  </w:abstractNum>
  <w:abstractNum w:abstractNumId="52" w15:restartNumberingAfterBreak="0">
    <w:nsid w:val="0C6C4FC8"/>
    <w:multiLevelType w:val="hybridMultilevel"/>
    <w:tmpl w:val="EA4ABA68"/>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53" w15:restartNumberingAfterBreak="0">
    <w:nsid w:val="0D1929A3"/>
    <w:multiLevelType w:val="hybridMultilevel"/>
    <w:tmpl w:val="9B30ED2C"/>
    <w:lvl w:ilvl="0" w:tplc="FFFFFFFF">
      <w:start w:val="1"/>
      <w:numFmt w:val="lowerLetter"/>
      <w:lvlText w:val="%1."/>
      <w:lvlJc w:val="left"/>
      <w:pPr>
        <w:ind w:left="1854" w:hanging="360"/>
      </w:pPr>
      <w:rPr>
        <w:rFonts w:hint="default"/>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54" w15:restartNumberingAfterBreak="0">
    <w:nsid w:val="0D582302"/>
    <w:multiLevelType w:val="hybridMultilevel"/>
    <w:tmpl w:val="0CFA2694"/>
    <w:lvl w:ilvl="0" w:tplc="F106F35E">
      <w:start w:val="1"/>
      <w:numFmt w:val="decimal"/>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55" w15:restartNumberingAfterBreak="0">
    <w:nsid w:val="0D680E1E"/>
    <w:multiLevelType w:val="hybridMultilevel"/>
    <w:tmpl w:val="A256315E"/>
    <w:lvl w:ilvl="0" w:tplc="737CEAD6">
      <w:start w:val="1"/>
      <w:numFmt w:val="decimal"/>
      <w:lvlText w:val="%1)"/>
      <w:lvlJc w:val="left"/>
      <w:pPr>
        <w:ind w:left="720" w:hanging="360"/>
      </w:pPr>
      <w:rPr>
        <w:rFonts w:hint="default"/>
        <w:i w:val="0"/>
        <w:i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6" w15:restartNumberingAfterBreak="0">
    <w:nsid w:val="0D936455"/>
    <w:multiLevelType w:val="hybridMultilevel"/>
    <w:tmpl w:val="4A60C21C"/>
    <w:lvl w:ilvl="0" w:tplc="6D7A5CB6">
      <w:start w:val="1"/>
      <w:numFmt w:val="decimal"/>
      <w:lvlText w:val="%1)"/>
      <w:lvlJc w:val="left"/>
      <w:pPr>
        <w:ind w:left="2628" w:hanging="360"/>
      </w:pPr>
      <w:rPr>
        <w:rFonts w:hint="default"/>
      </w:rPr>
    </w:lvl>
    <w:lvl w:ilvl="1" w:tplc="38090019" w:tentative="1">
      <w:start w:val="1"/>
      <w:numFmt w:val="lowerLetter"/>
      <w:lvlText w:val="%2."/>
      <w:lvlJc w:val="left"/>
      <w:pPr>
        <w:ind w:left="3348" w:hanging="360"/>
      </w:pPr>
    </w:lvl>
    <w:lvl w:ilvl="2" w:tplc="3809001B" w:tentative="1">
      <w:start w:val="1"/>
      <w:numFmt w:val="lowerRoman"/>
      <w:lvlText w:val="%3."/>
      <w:lvlJc w:val="right"/>
      <w:pPr>
        <w:ind w:left="4068" w:hanging="180"/>
      </w:pPr>
    </w:lvl>
    <w:lvl w:ilvl="3" w:tplc="3809000F" w:tentative="1">
      <w:start w:val="1"/>
      <w:numFmt w:val="decimal"/>
      <w:lvlText w:val="%4."/>
      <w:lvlJc w:val="left"/>
      <w:pPr>
        <w:ind w:left="4788" w:hanging="360"/>
      </w:pPr>
    </w:lvl>
    <w:lvl w:ilvl="4" w:tplc="38090019" w:tentative="1">
      <w:start w:val="1"/>
      <w:numFmt w:val="lowerLetter"/>
      <w:lvlText w:val="%5."/>
      <w:lvlJc w:val="left"/>
      <w:pPr>
        <w:ind w:left="5508" w:hanging="360"/>
      </w:pPr>
    </w:lvl>
    <w:lvl w:ilvl="5" w:tplc="3809001B" w:tentative="1">
      <w:start w:val="1"/>
      <w:numFmt w:val="lowerRoman"/>
      <w:lvlText w:val="%6."/>
      <w:lvlJc w:val="right"/>
      <w:pPr>
        <w:ind w:left="6228" w:hanging="180"/>
      </w:pPr>
    </w:lvl>
    <w:lvl w:ilvl="6" w:tplc="3809000F" w:tentative="1">
      <w:start w:val="1"/>
      <w:numFmt w:val="decimal"/>
      <w:lvlText w:val="%7."/>
      <w:lvlJc w:val="left"/>
      <w:pPr>
        <w:ind w:left="6948" w:hanging="360"/>
      </w:pPr>
    </w:lvl>
    <w:lvl w:ilvl="7" w:tplc="38090019" w:tentative="1">
      <w:start w:val="1"/>
      <w:numFmt w:val="lowerLetter"/>
      <w:lvlText w:val="%8."/>
      <w:lvlJc w:val="left"/>
      <w:pPr>
        <w:ind w:left="7668" w:hanging="360"/>
      </w:pPr>
    </w:lvl>
    <w:lvl w:ilvl="8" w:tplc="3809001B" w:tentative="1">
      <w:start w:val="1"/>
      <w:numFmt w:val="lowerRoman"/>
      <w:lvlText w:val="%9."/>
      <w:lvlJc w:val="right"/>
      <w:pPr>
        <w:ind w:left="8388" w:hanging="180"/>
      </w:pPr>
    </w:lvl>
  </w:abstractNum>
  <w:abstractNum w:abstractNumId="57" w15:restartNumberingAfterBreak="0">
    <w:nsid w:val="0DD4321E"/>
    <w:multiLevelType w:val="hybridMultilevel"/>
    <w:tmpl w:val="309E6A4C"/>
    <w:lvl w:ilvl="0" w:tplc="5F56047A">
      <w:start w:val="1"/>
      <w:numFmt w:val="lowerLetter"/>
      <w:lvlText w:val="%1)"/>
      <w:lvlJc w:val="left"/>
      <w:pPr>
        <w:ind w:left="3195" w:hanging="360"/>
      </w:pPr>
      <w:rPr>
        <w:rFonts w:hint="default"/>
      </w:rPr>
    </w:lvl>
    <w:lvl w:ilvl="1" w:tplc="38090019" w:tentative="1">
      <w:start w:val="1"/>
      <w:numFmt w:val="lowerLetter"/>
      <w:lvlText w:val="%2."/>
      <w:lvlJc w:val="left"/>
      <w:pPr>
        <w:ind w:left="3915" w:hanging="360"/>
      </w:pPr>
    </w:lvl>
    <w:lvl w:ilvl="2" w:tplc="3809001B" w:tentative="1">
      <w:start w:val="1"/>
      <w:numFmt w:val="lowerRoman"/>
      <w:lvlText w:val="%3."/>
      <w:lvlJc w:val="right"/>
      <w:pPr>
        <w:ind w:left="4635" w:hanging="180"/>
      </w:pPr>
    </w:lvl>
    <w:lvl w:ilvl="3" w:tplc="3809000F" w:tentative="1">
      <w:start w:val="1"/>
      <w:numFmt w:val="decimal"/>
      <w:lvlText w:val="%4."/>
      <w:lvlJc w:val="left"/>
      <w:pPr>
        <w:ind w:left="5355" w:hanging="360"/>
      </w:pPr>
    </w:lvl>
    <w:lvl w:ilvl="4" w:tplc="38090019" w:tentative="1">
      <w:start w:val="1"/>
      <w:numFmt w:val="lowerLetter"/>
      <w:lvlText w:val="%5."/>
      <w:lvlJc w:val="left"/>
      <w:pPr>
        <w:ind w:left="6075" w:hanging="360"/>
      </w:pPr>
    </w:lvl>
    <w:lvl w:ilvl="5" w:tplc="3809001B" w:tentative="1">
      <w:start w:val="1"/>
      <w:numFmt w:val="lowerRoman"/>
      <w:lvlText w:val="%6."/>
      <w:lvlJc w:val="right"/>
      <w:pPr>
        <w:ind w:left="6795" w:hanging="180"/>
      </w:pPr>
    </w:lvl>
    <w:lvl w:ilvl="6" w:tplc="3809000F" w:tentative="1">
      <w:start w:val="1"/>
      <w:numFmt w:val="decimal"/>
      <w:lvlText w:val="%7."/>
      <w:lvlJc w:val="left"/>
      <w:pPr>
        <w:ind w:left="7515" w:hanging="360"/>
      </w:pPr>
    </w:lvl>
    <w:lvl w:ilvl="7" w:tplc="38090019" w:tentative="1">
      <w:start w:val="1"/>
      <w:numFmt w:val="lowerLetter"/>
      <w:lvlText w:val="%8."/>
      <w:lvlJc w:val="left"/>
      <w:pPr>
        <w:ind w:left="8235" w:hanging="360"/>
      </w:pPr>
    </w:lvl>
    <w:lvl w:ilvl="8" w:tplc="3809001B" w:tentative="1">
      <w:start w:val="1"/>
      <w:numFmt w:val="lowerRoman"/>
      <w:lvlText w:val="%9."/>
      <w:lvlJc w:val="right"/>
      <w:pPr>
        <w:ind w:left="8955" w:hanging="180"/>
      </w:pPr>
    </w:lvl>
  </w:abstractNum>
  <w:abstractNum w:abstractNumId="58" w15:restartNumberingAfterBreak="0">
    <w:nsid w:val="0DD71532"/>
    <w:multiLevelType w:val="hybridMultilevel"/>
    <w:tmpl w:val="E464582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9" w15:restartNumberingAfterBreak="0">
    <w:nsid w:val="0DF34C0C"/>
    <w:multiLevelType w:val="hybridMultilevel"/>
    <w:tmpl w:val="5F48E86A"/>
    <w:lvl w:ilvl="0" w:tplc="EFF89DDA">
      <w:start w:val="1"/>
      <w:numFmt w:val="upp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60" w15:restartNumberingAfterBreak="0">
    <w:nsid w:val="0E66066A"/>
    <w:multiLevelType w:val="hybridMultilevel"/>
    <w:tmpl w:val="345E6B22"/>
    <w:lvl w:ilvl="0" w:tplc="9312A29E">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61" w15:restartNumberingAfterBreak="0">
    <w:nsid w:val="0EE479D0"/>
    <w:multiLevelType w:val="hybridMultilevel"/>
    <w:tmpl w:val="0FC2C076"/>
    <w:lvl w:ilvl="0" w:tplc="E00A90D6">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62" w15:restartNumberingAfterBreak="0">
    <w:nsid w:val="0EF215B6"/>
    <w:multiLevelType w:val="hybridMultilevel"/>
    <w:tmpl w:val="30020B1A"/>
    <w:lvl w:ilvl="0" w:tplc="38090011">
      <w:start w:val="1"/>
      <w:numFmt w:val="decimal"/>
      <w:lvlText w:val="%1)"/>
      <w:lvlJc w:val="left"/>
      <w:pPr>
        <w:ind w:left="1080" w:hanging="360"/>
      </w:pPr>
      <w:rPr>
        <w:b w:val="0"/>
        <w:bCs w:val="0"/>
        <w:color w:val="auto"/>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3" w15:restartNumberingAfterBreak="0">
    <w:nsid w:val="0F277482"/>
    <w:multiLevelType w:val="hybridMultilevel"/>
    <w:tmpl w:val="E6F84C1A"/>
    <w:lvl w:ilvl="0" w:tplc="1214E4C4">
      <w:start w:val="1"/>
      <w:numFmt w:val="decimal"/>
      <w:lvlText w:val="%1)"/>
      <w:lvlJc w:val="left"/>
      <w:pPr>
        <w:ind w:left="2628" w:hanging="360"/>
      </w:pPr>
      <w:rPr>
        <w:rFonts w:hint="default"/>
        <w:color w:val="000000" w:themeColor="text1"/>
      </w:rPr>
    </w:lvl>
    <w:lvl w:ilvl="1" w:tplc="38090019" w:tentative="1">
      <w:start w:val="1"/>
      <w:numFmt w:val="lowerLetter"/>
      <w:lvlText w:val="%2."/>
      <w:lvlJc w:val="left"/>
      <w:pPr>
        <w:ind w:left="3348" w:hanging="360"/>
      </w:pPr>
    </w:lvl>
    <w:lvl w:ilvl="2" w:tplc="3809001B" w:tentative="1">
      <w:start w:val="1"/>
      <w:numFmt w:val="lowerRoman"/>
      <w:lvlText w:val="%3."/>
      <w:lvlJc w:val="right"/>
      <w:pPr>
        <w:ind w:left="4068" w:hanging="180"/>
      </w:pPr>
    </w:lvl>
    <w:lvl w:ilvl="3" w:tplc="3809000F" w:tentative="1">
      <w:start w:val="1"/>
      <w:numFmt w:val="decimal"/>
      <w:lvlText w:val="%4."/>
      <w:lvlJc w:val="left"/>
      <w:pPr>
        <w:ind w:left="4788" w:hanging="360"/>
      </w:pPr>
    </w:lvl>
    <w:lvl w:ilvl="4" w:tplc="38090019" w:tentative="1">
      <w:start w:val="1"/>
      <w:numFmt w:val="lowerLetter"/>
      <w:lvlText w:val="%5."/>
      <w:lvlJc w:val="left"/>
      <w:pPr>
        <w:ind w:left="5508" w:hanging="360"/>
      </w:pPr>
    </w:lvl>
    <w:lvl w:ilvl="5" w:tplc="3809001B" w:tentative="1">
      <w:start w:val="1"/>
      <w:numFmt w:val="lowerRoman"/>
      <w:lvlText w:val="%6."/>
      <w:lvlJc w:val="right"/>
      <w:pPr>
        <w:ind w:left="6228" w:hanging="180"/>
      </w:pPr>
    </w:lvl>
    <w:lvl w:ilvl="6" w:tplc="3809000F" w:tentative="1">
      <w:start w:val="1"/>
      <w:numFmt w:val="decimal"/>
      <w:lvlText w:val="%7."/>
      <w:lvlJc w:val="left"/>
      <w:pPr>
        <w:ind w:left="6948" w:hanging="360"/>
      </w:pPr>
    </w:lvl>
    <w:lvl w:ilvl="7" w:tplc="38090019" w:tentative="1">
      <w:start w:val="1"/>
      <w:numFmt w:val="lowerLetter"/>
      <w:lvlText w:val="%8."/>
      <w:lvlJc w:val="left"/>
      <w:pPr>
        <w:ind w:left="7668" w:hanging="360"/>
      </w:pPr>
    </w:lvl>
    <w:lvl w:ilvl="8" w:tplc="3809001B" w:tentative="1">
      <w:start w:val="1"/>
      <w:numFmt w:val="lowerRoman"/>
      <w:lvlText w:val="%9."/>
      <w:lvlJc w:val="right"/>
      <w:pPr>
        <w:ind w:left="8388" w:hanging="180"/>
      </w:pPr>
    </w:lvl>
  </w:abstractNum>
  <w:abstractNum w:abstractNumId="64" w15:restartNumberingAfterBreak="0">
    <w:nsid w:val="0F5E3D76"/>
    <w:multiLevelType w:val="multilevel"/>
    <w:tmpl w:val="15E073FA"/>
    <w:lvl w:ilvl="0">
      <w:start w:val="1"/>
      <w:numFmt w:val="decimal"/>
      <w:lvlText w:val="%1)"/>
      <w:lvlJc w:val="left"/>
      <w:pPr>
        <w:ind w:left="837" w:hanging="360"/>
      </w:pPr>
    </w:lvl>
    <w:lvl w:ilvl="1">
      <w:start w:val="1"/>
      <w:numFmt w:val="bullet"/>
      <w:lvlText w:val="o"/>
      <w:lvlJc w:val="left"/>
      <w:pPr>
        <w:ind w:left="1557" w:hanging="360"/>
      </w:pPr>
      <w:rPr>
        <w:rFonts w:ascii="Courier New" w:eastAsia="Courier New" w:hAnsi="Courier New" w:cs="Courier New"/>
      </w:rPr>
    </w:lvl>
    <w:lvl w:ilvl="2">
      <w:start w:val="1"/>
      <w:numFmt w:val="bullet"/>
      <w:lvlText w:val="▪"/>
      <w:lvlJc w:val="left"/>
      <w:pPr>
        <w:ind w:left="2277" w:hanging="360"/>
      </w:pPr>
      <w:rPr>
        <w:rFonts w:ascii="Noto Sans Symbols" w:eastAsia="Noto Sans Symbols" w:hAnsi="Noto Sans Symbols" w:cs="Noto Sans Symbols"/>
      </w:rPr>
    </w:lvl>
    <w:lvl w:ilvl="3">
      <w:start w:val="1"/>
      <w:numFmt w:val="bullet"/>
      <w:lvlText w:val="●"/>
      <w:lvlJc w:val="left"/>
      <w:pPr>
        <w:ind w:left="2997" w:hanging="360"/>
      </w:pPr>
      <w:rPr>
        <w:rFonts w:ascii="Noto Sans Symbols" w:eastAsia="Noto Sans Symbols" w:hAnsi="Noto Sans Symbols" w:cs="Noto Sans Symbols"/>
      </w:rPr>
    </w:lvl>
    <w:lvl w:ilvl="4">
      <w:start w:val="1"/>
      <w:numFmt w:val="bullet"/>
      <w:lvlText w:val="o"/>
      <w:lvlJc w:val="left"/>
      <w:pPr>
        <w:ind w:left="3717" w:hanging="360"/>
      </w:pPr>
      <w:rPr>
        <w:rFonts w:ascii="Courier New" w:eastAsia="Courier New" w:hAnsi="Courier New" w:cs="Courier New"/>
      </w:rPr>
    </w:lvl>
    <w:lvl w:ilvl="5">
      <w:start w:val="1"/>
      <w:numFmt w:val="bullet"/>
      <w:lvlText w:val="▪"/>
      <w:lvlJc w:val="left"/>
      <w:pPr>
        <w:ind w:left="4437" w:hanging="360"/>
      </w:pPr>
      <w:rPr>
        <w:rFonts w:ascii="Noto Sans Symbols" w:eastAsia="Noto Sans Symbols" w:hAnsi="Noto Sans Symbols" w:cs="Noto Sans Symbols"/>
      </w:rPr>
    </w:lvl>
    <w:lvl w:ilvl="6">
      <w:start w:val="1"/>
      <w:numFmt w:val="bullet"/>
      <w:lvlText w:val="●"/>
      <w:lvlJc w:val="left"/>
      <w:pPr>
        <w:ind w:left="5157" w:hanging="360"/>
      </w:pPr>
      <w:rPr>
        <w:rFonts w:ascii="Noto Sans Symbols" w:eastAsia="Noto Sans Symbols" w:hAnsi="Noto Sans Symbols" w:cs="Noto Sans Symbols"/>
      </w:rPr>
    </w:lvl>
    <w:lvl w:ilvl="7">
      <w:start w:val="1"/>
      <w:numFmt w:val="bullet"/>
      <w:lvlText w:val="o"/>
      <w:lvlJc w:val="left"/>
      <w:pPr>
        <w:ind w:left="5877" w:hanging="360"/>
      </w:pPr>
      <w:rPr>
        <w:rFonts w:ascii="Courier New" w:eastAsia="Courier New" w:hAnsi="Courier New" w:cs="Courier New"/>
      </w:rPr>
    </w:lvl>
    <w:lvl w:ilvl="8">
      <w:start w:val="1"/>
      <w:numFmt w:val="bullet"/>
      <w:lvlText w:val="▪"/>
      <w:lvlJc w:val="left"/>
      <w:pPr>
        <w:ind w:left="6597" w:hanging="360"/>
      </w:pPr>
      <w:rPr>
        <w:rFonts w:ascii="Noto Sans Symbols" w:eastAsia="Noto Sans Symbols" w:hAnsi="Noto Sans Symbols" w:cs="Noto Sans Symbols"/>
      </w:rPr>
    </w:lvl>
  </w:abstractNum>
  <w:abstractNum w:abstractNumId="65" w15:restartNumberingAfterBreak="0">
    <w:nsid w:val="0FC407F3"/>
    <w:multiLevelType w:val="hybridMultilevel"/>
    <w:tmpl w:val="5C60418A"/>
    <w:lvl w:ilvl="0" w:tplc="EE305E12">
      <w:start w:val="1"/>
      <w:numFmt w:val="lowerLetter"/>
      <w:lvlText w:val="%1)"/>
      <w:lvlJc w:val="left"/>
      <w:pPr>
        <w:ind w:left="3195" w:hanging="360"/>
      </w:pPr>
      <w:rPr>
        <w:rFonts w:hint="default"/>
      </w:rPr>
    </w:lvl>
    <w:lvl w:ilvl="1" w:tplc="38090019" w:tentative="1">
      <w:start w:val="1"/>
      <w:numFmt w:val="lowerLetter"/>
      <w:lvlText w:val="%2."/>
      <w:lvlJc w:val="left"/>
      <w:pPr>
        <w:ind w:left="3915" w:hanging="360"/>
      </w:pPr>
    </w:lvl>
    <w:lvl w:ilvl="2" w:tplc="3809001B" w:tentative="1">
      <w:start w:val="1"/>
      <w:numFmt w:val="lowerRoman"/>
      <w:lvlText w:val="%3."/>
      <w:lvlJc w:val="right"/>
      <w:pPr>
        <w:ind w:left="4635" w:hanging="180"/>
      </w:pPr>
    </w:lvl>
    <w:lvl w:ilvl="3" w:tplc="3809000F" w:tentative="1">
      <w:start w:val="1"/>
      <w:numFmt w:val="decimal"/>
      <w:lvlText w:val="%4."/>
      <w:lvlJc w:val="left"/>
      <w:pPr>
        <w:ind w:left="5355" w:hanging="360"/>
      </w:pPr>
    </w:lvl>
    <w:lvl w:ilvl="4" w:tplc="38090019" w:tentative="1">
      <w:start w:val="1"/>
      <w:numFmt w:val="lowerLetter"/>
      <w:lvlText w:val="%5."/>
      <w:lvlJc w:val="left"/>
      <w:pPr>
        <w:ind w:left="6075" w:hanging="360"/>
      </w:pPr>
    </w:lvl>
    <w:lvl w:ilvl="5" w:tplc="3809001B" w:tentative="1">
      <w:start w:val="1"/>
      <w:numFmt w:val="lowerRoman"/>
      <w:lvlText w:val="%6."/>
      <w:lvlJc w:val="right"/>
      <w:pPr>
        <w:ind w:left="6795" w:hanging="180"/>
      </w:pPr>
    </w:lvl>
    <w:lvl w:ilvl="6" w:tplc="3809000F" w:tentative="1">
      <w:start w:val="1"/>
      <w:numFmt w:val="decimal"/>
      <w:lvlText w:val="%7."/>
      <w:lvlJc w:val="left"/>
      <w:pPr>
        <w:ind w:left="7515" w:hanging="360"/>
      </w:pPr>
    </w:lvl>
    <w:lvl w:ilvl="7" w:tplc="38090019" w:tentative="1">
      <w:start w:val="1"/>
      <w:numFmt w:val="lowerLetter"/>
      <w:lvlText w:val="%8."/>
      <w:lvlJc w:val="left"/>
      <w:pPr>
        <w:ind w:left="8235" w:hanging="360"/>
      </w:pPr>
    </w:lvl>
    <w:lvl w:ilvl="8" w:tplc="3809001B" w:tentative="1">
      <w:start w:val="1"/>
      <w:numFmt w:val="lowerRoman"/>
      <w:lvlText w:val="%9."/>
      <w:lvlJc w:val="right"/>
      <w:pPr>
        <w:ind w:left="8955" w:hanging="180"/>
      </w:pPr>
    </w:lvl>
  </w:abstractNum>
  <w:abstractNum w:abstractNumId="66" w15:restartNumberingAfterBreak="0">
    <w:nsid w:val="0FE73979"/>
    <w:multiLevelType w:val="hybridMultilevel"/>
    <w:tmpl w:val="DE088A90"/>
    <w:lvl w:ilvl="0" w:tplc="2366685A">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67" w15:restartNumberingAfterBreak="0">
    <w:nsid w:val="102E6DCD"/>
    <w:multiLevelType w:val="multilevel"/>
    <w:tmpl w:val="32B84216"/>
    <w:lvl w:ilvl="0">
      <w:start w:val="1"/>
      <w:numFmt w:val="lowerLetter"/>
      <w:lvlText w:val="%1."/>
      <w:lvlJc w:val="left"/>
      <w:pPr>
        <w:ind w:left="2912" w:hanging="360"/>
      </w:pPr>
    </w:lvl>
    <w:lvl w:ilvl="1">
      <w:start w:val="1"/>
      <w:numFmt w:val="lowerLetter"/>
      <w:lvlText w:val="%2."/>
      <w:lvlJc w:val="left"/>
      <w:pPr>
        <w:ind w:left="3632" w:hanging="360"/>
      </w:pPr>
    </w:lvl>
    <w:lvl w:ilvl="2">
      <w:start w:val="1"/>
      <w:numFmt w:val="lowerRoman"/>
      <w:lvlText w:val="%3."/>
      <w:lvlJc w:val="right"/>
      <w:pPr>
        <w:ind w:left="4352" w:hanging="180"/>
      </w:pPr>
    </w:lvl>
    <w:lvl w:ilvl="3">
      <w:start w:val="1"/>
      <w:numFmt w:val="decimal"/>
      <w:lvlText w:val="%4)"/>
      <w:lvlJc w:val="left"/>
      <w:pPr>
        <w:ind w:left="927" w:hanging="360"/>
      </w:pPr>
      <w:rPr>
        <w:strike w:val="0"/>
      </w:rPr>
    </w:lvl>
    <w:lvl w:ilvl="4">
      <w:start w:val="1"/>
      <w:numFmt w:val="lowerLetter"/>
      <w:lvlText w:val="%5."/>
      <w:lvlJc w:val="left"/>
      <w:pPr>
        <w:ind w:left="5792" w:hanging="360"/>
      </w:pPr>
    </w:lvl>
    <w:lvl w:ilvl="5">
      <w:start w:val="1"/>
      <w:numFmt w:val="lowerRoman"/>
      <w:lvlText w:val="%6."/>
      <w:lvlJc w:val="right"/>
      <w:pPr>
        <w:ind w:left="6512" w:hanging="180"/>
      </w:pPr>
    </w:lvl>
    <w:lvl w:ilvl="6">
      <w:start w:val="1"/>
      <w:numFmt w:val="decimal"/>
      <w:lvlText w:val="%7."/>
      <w:lvlJc w:val="left"/>
      <w:pPr>
        <w:ind w:left="7232" w:hanging="360"/>
      </w:pPr>
    </w:lvl>
    <w:lvl w:ilvl="7">
      <w:start w:val="1"/>
      <w:numFmt w:val="lowerLetter"/>
      <w:lvlText w:val="%8."/>
      <w:lvlJc w:val="left"/>
      <w:pPr>
        <w:ind w:left="7952" w:hanging="360"/>
      </w:pPr>
    </w:lvl>
    <w:lvl w:ilvl="8">
      <w:start w:val="1"/>
      <w:numFmt w:val="lowerRoman"/>
      <w:lvlText w:val="%9."/>
      <w:lvlJc w:val="right"/>
      <w:pPr>
        <w:ind w:left="8672" w:hanging="180"/>
      </w:pPr>
    </w:lvl>
  </w:abstractNum>
  <w:abstractNum w:abstractNumId="68" w15:restartNumberingAfterBreak="0">
    <w:nsid w:val="104B2E26"/>
    <w:multiLevelType w:val="multilevel"/>
    <w:tmpl w:val="5EC2CC24"/>
    <w:lvl w:ilvl="0">
      <w:start w:val="1"/>
      <w:numFmt w:val="upperRoman"/>
      <w:lvlText w:val="%1"/>
      <w:lvlJc w:val="left"/>
      <w:pPr>
        <w:ind w:left="834" w:hanging="577"/>
      </w:pPr>
    </w:lvl>
    <w:lvl w:ilvl="1">
      <w:start w:val="1"/>
      <w:numFmt w:val="upperLetter"/>
      <w:lvlText w:val="%1.%2"/>
      <w:lvlJc w:val="left"/>
      <w:pPr>
        <w:ind w:left="834" w:hanging="577"/>
      </w:pPr>
      <w:rPr>
        <w:rFonts w:ascii="Cambria" w:eastAsia="Cambria" w:hAnsi="Cambria" w:cs="Cambria"/>
        <w:b/>
        <w:bCs/>
        <w:sz w:val="22"/>
        <w:szCs w:val="22"/>
      </w:rPr>
    </w:lvl>
    <w:lvl w:ilvl="2">
      <w:start w:val="1"/>
      <w:numFmt w:val="decimal"/>
      <w:lvlText w:val="%3."/>
      <w:lvlJc w:val="left"/>
      <w:pPr>
        <w:ind w:left="919" w:hanging="352"/>
      </w:pPr>
      <w:rPr>
        <w:rFonts w:ascii="Bookman Old Style" w:eastAsia="Cambria" w:hAnsi="Bookman Old Style" w:cs="Cambria" w:hint="default"/>
        <w:b w:val="0"/>
        <w:bCs w:val="0"/>
        <w:sz w:val="24"/>
        <w:szCs w:val="24"/>
      </w:rPr>
    </w:lvl>
    <w:lvl w:ilvl="3">
      <w:numFmt w:val="bullet"/>
      <w:lvlText w:val="•"/>
      <w:lvlJc w:val="left"/>
      <w:pPr>
        <w:ind w:left="4372" w:hanging="352"/>
      </w:pPr>
    </w:lvl>
    <w:lvl w:ilvl="4">
      <w:numFmt w:val="bullet"/>
      <w:lvlText w:val="•"/>
      <w:lvlJc w:val="left"/>
      <w:pPr>
        <w:ind w:left="5929" w:hanging="352"/>
      </w:pPr>
    </w:lvl>
    <w:lvl w:ilvl="5">
      <w:numFmt w:val="bullet"/>
      <w:lvlText w:val="•"/>
      <w:lvlJc w:val="left"/>
      <w:pPr>
        <w:ind w:left="7485" w:hanging="352"/>
      </w:pPr>
    </w:lvl>
    <w:lvl w:ilvl="6">
      <w:numFmt w:val="bullet"/>
      <w:lvlText w:val="•"/>
      <w:lvlJc w:val="left"/>
      <w:pPr>
        <w:ind w:left="9042" w:hanging="352"/>
      </w:pPr>
    </w:lvl>
    <w:lvl w:ilvl="7">
      <w:numFmt w:val="bullet"/>
      <w:lvlText w:val="•"/>
      <w:lvlJc w:val="left"/>
      <w:pPr>
        <w:ind w:left="10598" w:hanging="352"/>
      </w:pPr>
    </w:lvl>
    <w:lvl w:ilvl="8">
      <w:numFmt w:val="bullet"/>
      <w:lvlText w:val="•"/>
      <w:lvlJc w:val="left"/>
      <w:pPr>
        <w:ind w:left="12155" w:hanging="352"/>
      </w:pPr>
    </w:lvl>
  </w:abstractNum>
  <w:abstractNum w:abstractNumId="69" w15:restartNumberingAfterBreak="0">
    <w:nsid w:val="105003C2"/>
    <w:multiLevelType w:val="multilevel"/>
    <w:tmpl w:val="AAA2B050"/>
    <w:lvl w:ilvl="0">
      <w:start w:val="1"/>
      <w:numFmt w:val="decimal"/>
      <w:lvlText w:val="%1)"/>
      <w:lvlJc w:val="left"/>
      <w:pPr>
        <w:ind w:left="485" w:hanging="433"/>
      </w:pPr>
      <w:rPr>
        <w:rFonts w:ascii="Bookman Old Style" w:eastAsia="Bookman Old Style" w:hAnsi="Bookman Old Style" w:cs="Bookman Old Style"/>
        <w:b w:val="0"/>
        <w:bCs w:val="0"/>
        <w:i w:val="0"/>
        <w:iCs w:val="0"/>
        <w:color w:val="auto"/>
        <w:sz w:val="24"/>
        <w:szCs w:val="24"/>
      </w:rPr>
    </w:lvl>
    <w:lvl w:ilvl="1">
      <w:numFmt w:val="bullet"/>
      <w:lvlText w:val="•"/>
      <w:lvlJc w:val="left"/>
      <w:pPr>
        <w:ind w:left="1089" w:hanging="432"/>
      </w:pPr>
    </w:lvl>
    <w:lvl w:ilvl="2">
      <w:numFmt w:val="bullet"/>
      <w:lvlText w:val="•"/>
      <w:lvlJc w:val="left"/>
      <w:pPr>
        <w:ind w:left="1699" w:hanging="433"/>
      </w:pPr>
    </w:lvl>
    <w:lvl w:ilvl="3">
      <w:numFmt w:val="bullet"/>
      <w:lvlText w:val="•"/>
      <w:lvlJc w:val="left"/>
      <w:pPr>
        <w:ind w:left="2309" w:hanging="432"/>
      </w:pPr>
    </w:lvl>
    <w:lvl w:ilvl="4">
      <w:numFmt w:val="bullet"/>
      <w:lvlText w:val="•"/>
      <w:lvlJc w:val="left"/>
      <w:pPr>
        <w:ind w:left="2919" w:hanging="433"/>
      </w:pPr>
    </w:lvl>
    <w:lvl w:ilvl="5">
      <w:numFmt w:val="bullet"/>
      <w:lvlText w:val="•"/>
      <w:lvlJc w:val="left"/>
      <w:pPr>
        <w:ind w:left="3529" w:hanging="433"/>
      </w:pPr>
    </w:lvl>
    <w:lvl w:ilvl="6">
      <w:numFmt w:val="bullet"/>
      <w:lvlText w:val="•"/>
      <w:lvlJc w:val="left"/>
      <w:pPr>
        <w:ind w:left="4139" w:hanging="433"/>
      </w:pPr>
    </w:lvl>
    <w:lvl w:ilvl="7">
      <w:numFmt w:val="bullet"/>
      <w:lvlText w:val="•"/>
      <w:lvlJc w:val="left"/>
      <w:pPr>
        <w:ind w:left="4749" w:hanging="433"/>
      </w:pPr>
    </w:lvl>
    <w:lvl w:ilvl="8">
      <w:numFmt w:val="bullet"/>
      <w:lvlText w:val="•"/>
      <w:lvlJc w:val="left"/>
      <w:pPr>
        <w:ind w:left="5359" w:hanging="433"/>
      </w:pPr>
    </w:lvl>
  </w:abstractNum>
  <w:abstractNum w:abstractNumId="70" w15:restartNumberingAfterBreak="0">
    <w:nsid w:val="10D976FA"/>
    <w:multiLevelType w:val="hybridMultilevel"/>
    <w:tmpl w:val="654C8A12"/>
    <w:lvl w:ilvl="0" w:tplc="38090001">
      <w:start w:val="1"/>
      <w:numFmt w:val="bullet"/>
      <w:lvlText w:val=""/>
      <w:lvlJc w:val="left"/>
      <w:pPr>
        <w:ind w:left="1158" w:hanging="360"/>
      </w:pPr>
      <w:rPr>
        <w:rFonts w:ascii="Symbol" w:hAnsi="Symbol" w:hint="default"/>
      </w:rPr>
    </w:lvl>
    <w:lvl w:ilvl="1" w:tplc="38090003" w:tentative="1">
      <w:start w:val="1"/>
      <w:numFmt w:val="bullet"/>
      <w:lvlText w:val="o"/>
      <w:lvlJc w:val="left"/>
      <w:pPr>
        <w:ind w:left="1878" w:hanging="360"/>
      </w:pPr>
      <w:rPr>
        <w:rFonts w:ascii="Courier New" w:hAnsi="Courier New" w:cs="Courier New" w:hint="default"/>
      </w:rPr>
    </w:lvl>
    <w:lvl w:ilvl="2" w:tplc="38090005" w:tentative="1">
      <w:start w:val="1"/>
      <w:numFmt w:val="bullet"/>
      <w:lvlText w:val=""/>
      <w:lvlJc w:val="left"/>
      <w:pPr>
        <w:ind w:left="2598" w:hanging="360"/>
      </w:pPr>
      <w:rPr>
        <w:rFonts w:ascii="Wingdings" w:hAnsi="Wingdings" w:hint="default"/>
      </w:rPr>
    </w:lvl>
    <w:lvl w:ilvl="3" w:tplc="38090001" w:tentative="1">
      <w:start w:val="1"/>
      <w:numFmt w:val="bullet"/>
      <w:lvlText w:val=""/>
      <w:lvlJc w:val="left"/>
      <w:pPr>
        <w:ind w:left="3318" w:hanging="360"/>
      </w:pPr>
      <w:rPr>
        <w:rFonts w:ascii="Symbol" w:hAnsi="Symbol" w:hint="default"/>
      </w:rPr>
    </w:lvl>
    <w:lvl w:ilvl="4" w:tplc="38090003" w:tentative="1">
      <w:start w:val="1"/>
      <w:numFmt w:val="bullet"/>
      <w:lvlText w:val="o"/>
      <w:lvlJc w:val="left"/>
      <w:pPr>
        <w:ind w:left="4038" w:hanging="360"/>
      </w:pPr>
      <w:rPr>
        <w:rFonts w:ascii="Courier New" w:hAnsi="Courier New" w:cs="Courier New" w:hint="default"/>
      </w:rPr>
    </w:lvl>
    <w:lvl w:ilvl="5" w:tplc="38090005" w:tentative="1">
      <w:start w:val="1"/>
      <w:numFmt w:val="bullet"/>
      <w:lvlText w:val=""/>
      <w:lvlJc w:val="left"/>
      <w:pPr>
        <w:ind w:left="4758" w:hanging="360"/>
      </w:pPr>
      <w:rPr>
        <w:rFonts w:ascii="Wingdings" w:hAnsi="Wingdings" w:hint="default"/>
      </w:rPr>
    </w:lvl>
    <w:lvl w:ilvl="6" w:tplc="38090001" w:tentative="1">
      <w:start w:val="1"/>
      <w:numFmt w:val="bullet"/>
      <w:lvlText w:val=""/>
      <w:lvlJc w:val="left"/>
      <w:pPr>
        <w:ind w:left="5478" w:hanging="360"/>
      </w:pPr>
      <w:rPr>
        <w:rFonts w:ascii="Symbol" w:hAnsi="Symbol" w:hint="default"/>
      </w:rPr>
    </w:lvl>
    <w:lvl w:ilvl="7" w:tplc="38090003" w:tentative="1">
      <w:start w:val="1"/>
      <w:numFmt w:val="bullet"/>
      <w:lvlText w:val="o"/>
      <w:lvlJc w:val="left"/>
      <w:pPr>
        <w:ind w:left="6198" w:hanging="360"/>
      </w:pPr>
      <w:rPr>
        <w:rFonts w:ascii="Courier New" w:hAnsi="Courier New" w:cs="Courier New" w:hint="default"/>
      </w:rPr>
    </w:lvl>
    <w:lvl w:ilvl="8" w:tplc="38090005" w:tentative="1">
      <w:start w:val="1"/>
      <w:numFmt w:val="bullet"/>
      <w:lvlText w:val=""/>
      <w:lvlJc w:val="left"/>
      <w:pPr>
        <w:ind w:left="6918" w:hanging="360"/>
      </w:pPr>
      <w:rPr>
        <w:rFonts w:ascii="Wingdings" w:hAnsi="Wingdings" w:hint="default"/>
      </w:rPr>
    </w:lvl>
  </w:abstractNum>
  <w:abstractNum w:abstractNumId="71" w15:restartNumberingAfterBreak="0">
    <w:nsid w:val="119D6466"/>
    <w:multiLevelType w:val="hybridMultilevel"/>
    <w:tmpl w:val="15942C9C"/>
    <w:lvl w:ilvl="0" w:tplc="0456AA4E">
      <w:start w:val="1"/>
      <w:numFmt w:val="lowerLetter"/>
      <w:lvlText w:val="%1)"/>
      <w:lvlJc w:val="left"/>
      <w:pPr>
        <w:ind w:left="3195" w:hanging="360"/>
      </w:pPr>
      <w:rPr>
        <w:rFonts w:hint="default"/>
      </w:rPr>
    </w:lvl>
    <w:lvl w:ilvl="1" w:tplc="38090019" w:tentative="1">
      <w:start w:val="1"/>
      <w:numFmt w:val="lowerLetter"/>
      <w:lvlText w:val="%2."/>
      <w:lvlJc w:val="left"/>
      <w:pPr>
        <w:ind w:left="3915" w:hanging="360"/>
      </w:pPr>
    </w:lvl>
    <w:lvl w:ilvl="2" w:tplc="3809001B" w:tentative="1">
      <w:start w:val="1"/>
      <w:numFmt w:val="lowerRoman"/>
      <w:lvlText w:val="%3."/>
      <w:lvlJc w:val="right"/>
      <w:pPr>
        <w:ind w:left="4635" w:hanging="180"/>
      </w:pPr>
    </w:lvl>
    <w:lvl w:ilvl="3" w:tplc="3809000F" w:tentative="1">
      <w:start w:val="1"/>
      <w:numFmt w:val="decimal"/>
      <w:lvlText w:val="%4."/>
      <w:lvlJc w:val="left"/>
      <w:pPr>
        <w:ind w:left="5355" w:hanging="360"/>
      </w:pPr>
    </w:lvl>
    <w:lvl w:ilvl="4" w:tplc="38090019" w:tentative="1">
      <w:start w:val="1"/>
      <w:numFmt w:val="lowerLetter"/>
      <w:lvlText w:val="%5."/>
      <w:lvlJc w:val="left"/>
      <w:pPr>
        <w:ind w:left="6075" w:hanging="360"/>
      </w:pPr>
    </w:lvl>
    <w:lvl w:ilvl="5" w:tplc="3809001B" w:tentative="1">
      <w:start w:val="1"/>
      <w:numFmt w:val="lowerRoman"/>
      <w:lvlText w:val="%6."/>
      <w:lvlJc w:val="right"/>
      <w:pPr>
        <w:ind w:left="6795" w:hanging="180"/>
      </w:pPr>
    </w:lvl>
    <w:lvl w:ilvl="6" w:tplc="3809000F" w:tentative="1">
      <w:start w:val="1"/>
      <w:numFmt w:val="decimal"/>
      <w:lvlText w:val="%7."/>
      <w:lvlJc w:val="left"/>
      <w:pPr>
        <w:ind w:left="7515" w:hanging="360"/>
      </w:pPr>
    </w:lvl>
    <w:lvl w:ilvl="7" w:tplc="38090019" w:tentative="1">
      <w:start w:val="1"/>
      <w:numFmt w:val="lowerLetter"/>
      <w:lvlText w:val="%8."/>
      <w:lvlJc w:val="left"/>
      <w:pPr>
        <w:ind w:left="8235" w:hanging="360"/>
      </w:pPr>
    </w:lvl>
    <w:lvl w:ilvl="8" w:tplc="3809001B" w:tentative="1">
      <w:start w:val="1"/>
      <w:numFmt w:val="lowerRoman"/>
      <w:lvlText w:val="%9."/>
      <w:lvlJc w:val="right"/>
      <w:pPr>
        <w:ind w:left="8955" w:hanging="180"/>
      </w:pPr>
    </w:lvl>
  </w:abstractNum>
  <w:abstractNum w:abstractNumId="72" w15:restartNumberingAfterBreak="0">
    <w:nsid w:val="12296C04"/>
    <w:multiLevelType w:val="hybridMultilevel"/>
    <w:tmpl w:val="17E4039C"/>
    <w:lvl w:ilvl="0" w:tplc="70561410">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73" w15:restartNumberingAfterBreak="0">
    <w:nsid w:val="127A7EAD"/>
    <w:multiLevelType w:val="multilevel"/>
    <w:tmpl w:val="23EEBF28"/>
    <w:lvl w:ilvl="0">
      <w:start w:val="1"/>
      <w:numFmt w:val="bullet"/>
      <w:lvlText w:val="●"/>
      <w:lvlJc w:val="left"/>
      <w:pPr>
        <w:ind w:left="1294" w:hanging="360"/>
      </w:pPr>
      <w:rPr>
        <w:rFonts w:ascii="Noto Sans Symbols" w:eastAsia="Noto Sans Symbols" w:hAnsi="Noto Sans Symbols" w:cs="Noto Sans Symbols"/>
      </w:rPr>
    </w:lvl>
    <w:lvl w:ilvl="1">
      <w:start w:val="1"/>
      <w:numFmt w:val="bullet"/>
      <w:lvlText w:val="o"/>
      <w:lvlJc w:val="left"/>
      <w:pPr>
        <w:ind w:left="2014" w:hanging="360"/>
      </w:pPr>
      <w:rPr>
        <w:rFonts w:ascii="Courier New" w:eastAsia="Courier New" w:hAnsi="Courier New" w:cs="Courier New"/>
      </w:rPr>
    </w:lvl>
    <w:lvl w:ilvl="2">
      <w:start w:val="1"/>
      <w:numFmt w:val="bullet"/>
      <w:lvlText w:val="▪"/>
      <w:lvlJc w:val="left"/>
      <w:pPr>
        <w:ind w:left="2734" w:hanging="360"/>
      </w:pPr>
      <w:rPr>
        <w:rFonts w:ascii="Noto Sans Symbols" w:eastAsia="Noto Sans Symbols" w:hAnsi="Noto Sans Symbols" w:cs="Noto Sans Symbols"/>
      </w:rPr>
    </w:lvl>
    <w:lvl w:ilvl="3">
      <w:start w:val="1"/>
      <w:numFmt w:val="bullet"/>
      <w:lvlText w:val="●"/>
      <w:lvlJc w:val="left"/>
      <w:pPr>
        <w:ind w:left="3454" w:hanging="360"/>
      </w:pPr>
      <w:rPr>
        <w:rFonts w:ascii="Noto Sans Symbols" w:eastAsia="Noto Sans Symbols" w:hAnsi="Noto Sans Symbols" w:cs="Noto Sans Symbols"/>
      </w:rPr>
    </w:lvl>
    <w:lvl w:ilvl="4">
      <w:start w:val="1"/>
      <w:numFmt w:val="bullet"/>
      <w:lvlText w:val="o"/>
      <w:lvlJc w:val="left"/>
      <w:pPr>
        <w:ind w:left="4174" w:hanging="360"/>
      </w:pPr>
      <w:rPr>
        <w:rFonts w:ascii="Courier New" w:eastAsia="Courier New" w:hAnsi="Courier New" w:cs="Courier New"/>
      </w:rPr>
    </w:lvl>
    <w:lvl w:ilvl="5">
      <w:start w:val="1"/>
      <w:numFmt w:val="bullet"/>
      <w:lvlText w:val="▪"/>
      <w:lvlJc w:val="left"/>
      <w:pPr>
        <w:ind w:left="4894" w:hanging="360"/>
      </w:pPr>
      <w:rPr>
        <w:rFonts w:ascii="Noto Sans Symbols" w:eastAsia="Noto Sans Symbols" w:hAnsi="Noto Sans Symbols" w:cs="Noto Sans Symbols"/>
      </w:rPr>
    </w:lvl>
    <w:lvl w:ilvl="6">
      <w:start w:val="1"/>
      <w:numFmt w:val="bullet"/>
      <w:lvlText w:val="●"/>
      <w:lvlJc w:val="left"/>
      <w:pPr>
        <w:ind w:left="5614" w:hanging="360"/>
      </w:pPr>
      <w:rPr>
        <w:rFonts w:ascii="Noto Sans Symbols" w:eastAsia="Noto Sans Symbols" w:hAnsi="Noto Sans Symbols" w:cs="Noto Sans Symbols"/>
      </w:rPr>
    </w:lvl>
    <w:lvl w:ilvl="7">
      <w:start w:val="1"/>
      <w:numFmt w:val="bullet"/>
      <w:lvlText w:val="o"/>
      <w:lvlJc w:val="left"/>
      <w:pPr>
        <w:ind w:left="6334" w:hanging="360"/>
      </w:pPr>
      <w:rPr>
        <w:rFonts w:ascii="Courier New" w:eastAsia="Courier New" w:hAnsi="Courier New" w:cs="Courier New"/>
      </w:rPr>
    </w:lvl>
    <w:lvl w:ilvl="8">
      <w:start w:val="1"/>
      <w:numFmt w:val="bullet"/>
      <w:lvlText w:val="▪"/>
      <w:lvlJc w:val="left"/>
      <w:pPr>
        <w:ind w:left="7054" w:hanging="360"/>
      </w:pPr>
      <w:rPr>
        <w:rFonts w:ascii="Noto Sans Symbols" w:eastAsia="Noto Sans Symbols" w:hAnsi="Noto Sans Symbols" w:cs="Noto Sans Symbols"/>
      </w:rPr>
    </w:lvl>
  </w:abstractNum>
  <w:abstractNum w:abstractNumId="74" w15:restartNumberingAfterBreak="0">
    <w:nsid w:val="13501011"/>
    <w:multiLevelType w:val="hybridMultilevel"/>
    <w:tmpl w:val="79F4FC66"/>
    <w:lvl w:ilvl="0" w:tplc="BD248B96">
      <w:start w:val="1"/>
      <w:numFmt w:val="lowerLetter"/>
      <w:lvlText w:val="(%1)"/>
      <w:lvlJc w:val="left"/>
      <w:pPr>
        <w:ind w:left="4329" w:hanging="360"/>
      </w:pPr>
      <w:rPr>
        <w:rFonts w:hint="default"/>
      </w:rPr>
    </w:lvl>
    <w:lvl w:ilvl="1" w:tplc="38090019" w:tentative="1">
      <w:start w:val="1"/>
      <w:numFmt w:val="lowerLetter"/>
      <w:lvlText w:val="%2."/>
      <w:lvlJc w:val="left"/>
      <w:pPr>
        <w:ind w:left="5049" w:hanging="360"/>
      </w:pPr>
    </w:lvl>
    <w:lvl w:ilvl="2" w:tplc="3809001B" w:tentative="1">
      <w:start w:val="1"/>
      <w:numFmt w:val="lowerRoman"/>
      <w:lvlText w:val="%3."/>
      <w:lvlJc w:val="right"/>
      <w:pPr>
        <w:ind w:left="5769" w:hanging="180"/>
      </w:pPr>
    </w:lvl>
    <w:lvl w:ilvl="3" w:tplc="3809000F" w:tentative="1">
      <w:start w:val="1"/>
      <w:numFmt w:val="decimal"/>
      <w:lvlText w:val="%4."/>
      <w:lvlJc w:val="left"/>
      <w:pPr>
        <w:ind w:left="6489" w:hanging="360"/>
      </w:pPr>
    </w:lvl>
    <w:lvl w:ilvl="4" w:tplc="38090019" w:tentative="1">
      <w:start w:val="1"/>
      <w:numFmt w:val="lowerLetter"/>
      <w:lvlText w:val="%5."/>
      <w:lvlJc w:val="left"/>
      <w:pPr>
        <w:ind w:left="7209" w:hanging="360"/>
      </w:pPr>
    </w:lvl>
    <w:lvl w:ilvl="5" w:tplc="3809001B" w:tentative="1">
      <w:start w:val="1"/>
      <w:numFmt w:val="lowerRoman"/>
      <w:lvlText w:val="%6."/>
      <w:lvlJc w:val="right"/>
      <w:pPr>
        <w:ind w:left="7929" w:hanging="180"/>
      </w:pPr>
    </w:lvl>
    <w:lvl w:ilvl="6" w:tplc="3809000F" w:tentative="1">
      <w:start w:val="1"/>
      <w:numFmt w:val="decimal"/>
      <w:lvlText w:val="%7."/>
      <w:lvlJc w:val="left"/>
      <w:pPr>
        <w:ind w:left="8649" w:hanging="360"/>
      </w:pPr>
    </w:lvl>
    <w:lvl w:ilvl="7" w:tplc="38090019" w:tentative="1">
      <w:start w:val="1"/>
      <w:numFmt w:val="lowerLetter"/>
      <w:lvlText w:val="%8."/>
      <w:lvlJc w:val="left"/>
      <w:pPr>
        <w:ind w:left="9369" w:hanging="360"/>
      </w:pPr>
    </w:lvl>
    <w:lvl w:ilvl="8" w:tplc="3809001B" w:tentative="1">
      <w:start w:val="1"/>
      <w:numFmt w:val="lowerRoman"/>
      <w:lvlText w:val="%9."/>
      <w:lvlJc w:val="right"/>
      <w:pPr>
        <w:ind w:left="10089" w:hanging="180"/>
      </w:pPr>
    </w:lvl>
  </w:abstractNum>
  <w:abstractNum w:abstractNumId="75" w15:restartNumberingAfterBreak="0">
    <w:nsid w:val="135974C4"/>
    <w:multiLevelType w:val="hybridMultilevel"/>
    <w:tmpl w:val="2866558C"/>
    <w:lvl w:ilvl="0" w:tplc="270A258E">
      <w:start w:val="1"/>
      <w:numFmt w:val="lowerLetter"/>
      <w:lvlText w:val="(%1)"/>
      <w:lvlJc w:val="left"/>
      <w:pPr>
        <w:ind w:left="4329" w:hanging="360"/>
      </w:pPr>
      <w:rPr>
        <w:rFonts w:hint="default"/>
      </w:rPr>
    </w:lvl>
    <w:lvl w:ilvl="1" w:tplc="38090019" w:tentative="1">
      <w:start w:val="1"/>
      <w:numFmt w:val="lowerLetter"/>
      <w:lvlText w:val="%2."/>
      <w:lvlJc w:val="left"/>
      <w:pPr>
        <w:ind w:left="5049" w:hanging="360"/>
      </w:pPr>
    </w:lvl>
    <w:lvl w:ilvl="2" w:tplc="3809001B" w:tentative="1">
      <w:start w:val="1"/>
      <w:numFmt w:val="lowerRoman"/>
      <w:lvlText w:val="%3."/>
      <w:lvlJc w:val="right"/>
      <w:pPr>
        <w:ind w:left="5769" w:hanging="180"/>
      </w:pPr>
    </w:lvl>
    <w:lvl w:ilvl="3" w:tplc="3809000F" w:tentative="1">
      <w:start w:val="1"/>
      <w:numFmt w:val="decimal"/>
      <w:lvlText w:val="%4."/>
      <w:lvlJc w:val="left"/>
      <w:pPr>
        <w:ind w:left="6489" w:hanging="360"/>
      </w:pPr>
    </w:lvl>
    <w:lvl w:ilvl="4" w:tplc="38090019" w:tentative="1">
      <w:start w:val="1"/>
      <w:numFmt w:val="lowerLetter"/>
      <w:lvlText w:val="%5."/>
      <w:lvlJc w:val="left"/>
      <w:pPr>
        <w:ind w:left="7209" w:hanging="360"/>
      </w:pPr>
    </w:lvl>
    <w:lvl w:ilvl="5" w:tplc="3809001B" w:tentative="1">
      <w:start w:val="1"/>
      <w:numFmt w:val="lowerRoman"/>
      <w:lvlText w:val="%6."/>
      <w:lvlJc w:val="right"/>
      <w:pPr>
        <w:ind w:left="7929" w:hanging="180"/>
      </w:pPr>
    </w:lvl>
    <w:lvl w:ilvl="6" w:tplc="3809000F" w:tentative="1">
      <w:start w:val="1"/>
      <w:numFmt w:val="decimal"/>
      <w:lvlText w:val="%7."/>
      <w:lvlJc w:val="left"/>
      <w:pPr>
        <w:ind w:left="8649" w:hanging="360"/>
      </w:pPr>
    </w:lvl>
    <w:lvl w:ilvl="7" w:tplc="38090019" w:tentative="1">
      <w:start w:val="1"/>
      <w:numFmt w:val="lowerLetter"/>
      <w:lvlText w:val="%8."/>
      <w:lvlJc w:val="left"/>
      <w:pPr>
        <w:ind w:left="9369" w:hanging="360"/>
      </w:pPr>
    </w:lvl>
    <w:lvl w:ilvl="8" w:tplc="3809001B" w:tentative="1">
      <w:start w:val="1"/>
      <w:numFmt w:val="lowerRoman"/>
      <w:lvlText w:val="%9."/>
      <w:lvlJc w:val="right"/>
      <w:pPr>
        <w:ind w:left="10089" w:hanging="180"/>
      </w:pPr>
    </w:lvl>
  </w:abstractNum>
  <w:abstractNum w:abstractNumId="76" w15:restartNumberingAfterBreak="0">
    <w:nsid w:val="13815F64"/>
    <w:multiLevelType w:val="hybridMultilevel"/>
    <w:tmpl w:val="C3B207AE"/>
    <w:lvl w:ilvl="0" w:tplc="38090011">
      <w:start w:val="1"/>
      <w:numFmt w:val="decimal"/>
      <w:lvlText w:val="%1)"/>
      <w:lvlJc w:val="left"/>
      <w:pPr>
        <w:ind w:left="720" w:hanging="360"/>
      </w:pPr>
      <w:rPr>
        <w:b w:val="0"/>
        <w:bCs w:val="0"/>
        <w:i w:val="0"/>
        <w:iCs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7" w15:restartNumberingAfterBreak="0">
    <w:nsid w:val="148E2EEE"/>
    <w:multiLevelType w:val="hybridMultilevel"/>
    <w:tmpl w:val="24681402"/>
    <w:lvl w:ilvl="0" w:tplc="294A7216">
      <w:start w:val="1"/>
      <w:numFmt w:val="lowerLetter"/>
      <w:lvlText w:val="%1)"/>
      <w:lvlJc w:val="left"/>
      <w:pPr>
        <w:ind w:left="3195" w:hanging="360"/>
      </w:pPr>
      <w:rPr>
        <w:rFonts w:hint="default"/>
      </w:rPr>
    </w:lvl>
    <w:lvl w:ilvl="1" w:tplc="38090019" w:tentative="1">
      <w:start w:val="1"/>
      <w:numFmt w:val="lowerLetter"/>
      <w:lvlText w:val="%2."/>
      <w:lvlJc w:val="left"/>
      <w:pPr>
        <w:ind w:left="3915" w:hanging="360"/>
      </w:pPr>
    </w:lvl>
    <w:lvl w:ilvl="2" w:tplc="3809001B" w:tentative="1">
      <w:start w:val="1"/>
      <w:numFmt w:val="lowerRoman"/>
      <w:lvlText w:val="%3."/>
      <w:lvlJc w:val="right"/>
      <w:pPr>
        <w:ind w:left="4635" w:hanging="180"/>
      </w:pPr>
    </w:lvl>
    <w:lvl w:ilvl="3" w:tplc="3809000F" w:tentative="1">
      <w:start w:val="1"/>
      <w:numFmt w:val="decimal"/>
      <w:lvlText w:val="%4."/>
      <w:lvlJc w:val="left"/>
      <w:pPr>
        <w:ind w:left="5355" w:hanging="360"/>
      </w:pPr>
    </w:lvl>
    <w:lvl w:ilvl="4" w:tplc="38090019" w:tentative="1">
      <w:start w:val="1"/>
      <w:numFmt w:val="lowerLetter"/>
      <w:lvlText w:val="%5."/>
      <w:lvlJc w:val="left"/>
      <w:pPr>
        <w:ind w:left="6075" w:hanging="360"/>
      </w:pPr>
    </w:lvl>
    <w:lvl w:ilvl="5" w:tplc="3809001B" w:tentative="1">
      <w:start w:val="1"/>
      <w:numFmt w:val="lowerRoman"/>
      <w:lvlText w:val="%6."/>
      <w:lvlJc w:val="right"/>
      <w:pPr>
        <w:ind w:left="6795" w:hanging="180"/>
      </w:pPr>
    </w:lvl>
    <w:lvl w:ilvl="6" w:tplc="3809000F" w:tentative="1">
      <w:start w:val="1"/>
      <w:numFmt w:val="decimal"/>
      <w:lvlText w:val="%7."/>
      <w:lvlJc w:val="left"/>
      <w:pPr>
        <w:ind w:left="7515" w:hanging="360"/>
      </w:pPr>
    </w:lvl>
    <w:lvl w:ilvl="7" w:tplc="38090019" w:tentative="1">
      <w:start w:val="1"/>
      <w:numFmt w:val="lowerLetter"/>
      <w:lvlText w:val="%8."/>
      <w:lvlJc w:val="left"/>
      <w:pPr>
        <w:ind w:left="8235" w:hanging="360"/>
      </w:pPr>
    </w:lvl>
    <w:lvl w:ilvl="8" w:tplc="3809001B" w:tentative="1">
      <w:start w:val="1"/>
      <w:numFmt w:val="lowerRoman"/>
      <w:lvlText w:val="%9."/>
      <w:lvlJc w:val="right"/>
      <w:pPr>
        <w:ind w:left="8955" w:hanging="180"/>
      </w:pPr>
    </w:lvl>
  </w:abstractNum>
  <w:abstractNum w:abstractNumId="78" w15:restartNumberingAfterBreak="0">
    <w:nsid w:val="15260FF4"/>
    <w:multiLevelType w:val="hybridMultilevel"/>
    <w:tmpl w:val="F9860F5A"/>
    <w:lvl w:ilvl="0" w:tplc="F8A2F418">
      <w:start w:val="1"/>
      <w:numFmt w:val="decimal"/>
      <w:lvlText w:val="%1)"/>
      <w:lvlJc w:val="left"/>
      <w:pPr>
        <w:ind w:left="1494" w:hanging="360"/>
      </w:pPr>
      <w:rPr>
        <w:rFonts w:eastAsia="Bookman Old Style" w:cs="Bookman Old Style"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79" w15:restartNumberingAfterBreak="0">
    <w:nsid w:val="158D64DE"/>
    <w:multiLevelType w:val="hybridMultilevel"/>
    <w:tmpl w:val="57364514"/>
    <w:lvl w:ilvl="0" w:tplc="38090011">
      <w:start w:val="1"/>
      <w:numFmt w:val="decimal"/>
      <w:lvlText w:val="%1)"/>
      <w:lvlJc w:val="left"/>
      <w:pPr>
        <w:ind w:left="720" w:hanging="360"/>
      </w:pPr>
      <w:rPr>
        <w:i w:val="0"/>
        <w:iCs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0" w15:restartNumberingAfterBreak="0">
    <w:nsid w:val="159A79A0"/>
    <w:multiLevelType w:val="hybridMultilevel"/>
    <w:tmpl w:val="CC92955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1" w15:restartNumberingAfterBreak="0">
    <w:nsid w:val="15BF6499"/>
    <w:multiLevelType w:val="multilevel"/>
    <w:tmpl w:val="45D443D8"/>
    <w:lvl w:ilvl="0">
      <w:start w:val="1"/>
      <w:numFmt w:val="upperRoman"/>
      <w:lvlText w:val="%1"/>
      <w:lvlJc w:val="left"/>
      <w:pPr>
        <w:ind w:left="834" w:hanging="577"/>
      </w:pPr>
    </w:lvl>
    <w:lvl w:ilvl="1">
      <w:start w:val="1"/>
      <w:numFmt w:val="upperLetter"/>
      <w:lvlText w:val="%1.%2"/>
      <w:lvlJc w:val="left"/>
      <w:pPr>
        <w:ind w:left="834" w:hanging="577"/>
      </w:pPr>
      <w:rPr>
        <w:rFonts w:ascii="Cambria" w:eastAsia="Cambria" w:hAnsi="Cambria" w:cs="Cambria"/>
        <w:b/>
        <w:bCs/>
        <w:sz w:val="22"/>
        <w:szCs w:val="22"/>
      </w:rPr>
    </w:lvl>
    <w:lvl w:ilvl="2">
      <w:start w:val="1"/>
      <w:numFmt w:val="decimal"/>
      <w:lvlText w:val="%3."/>
      <w:lvlJc w:val="left"/>
      <w:pPr>
        <w:ind w:left="919" w:hanging="352"/>
      </w:pPr>
      <w:rPr>
        <w:rFonts w:ascii="Bookman Old Style" w:eastAsia="Cambria" w:hAnsi="Bookman Old Style" w:cs="Cambria" w:hint="default"/>
        <w:b w:val="0"/>
        <w:bCs w:val="0"/>
        <w:sz w:val="24"/>
        <w:szCs w:val="24"/>
      </w:rPr>
    </w:lvl>
    <w:lvl w:ilvl="3">
      <w:numFmt w:val="bullet"/>
      <w:lvlText w:val="•"/>
      <w:lvlJc w:val="left"/>
      <w:pPr>
        <w:ind w:left="4372" w:hanging="352"/>
      </w:pPr>
    </w:lvl>
    <w:lvl w:ilvl="4">
      <w:numFmt w:val="bullet"/>
      <w:lvlText w:val="•"/>
      <w:lvlJc w:val="left"/>
      <w:pPr>
        <w:ind w:left="5929" w:hanging="352"/>
      </w:pPr>
    </w:lvl>
    <w:lvl w:ilvl="5">
      <w:numFmt w:val="bullet"/>
      <w:lvlText w:val="•"/>
      <w:lvlJc w:val="left"/>
      <w:pPr>
        <w:ind w:left="7485" w:hanging="352"/>
      </w:pPr>
    </w:lvl>
    <w:lvl w:ilvl="6">
      <w:numFmt w:val="bullet"/>
      <w:lvlText w:val="•"/>
      <w:lvlJc w:val="left"/>
      <w:pPr>
        <w:ind w:left="9042" w:hanging="352"/>
      </w:pPr>
    </w:lvl>
    <w:lvl w:ilvl="7">
      <w:numFmt w:val="bullet"/>
      <w:lvlText w:val="•"/>
      <w:lvlJc w:val="left"/>
      <w:pPr>
        <w:ind w:left="10598" w:hanging="352"/>
      </w:pPr>
    </w:lvl>
    <w:lvl w:ilvl="8">
      <w:numFmt w:val="bullet"/>
      <w:lvlText w:val="•"/>
      <w:lvlJc w:val="left"/>
      <w:pPr>
        <w:ind w:left="12155" w:hanging="352"/>
      </w:pPr>
    </w:lvl>
  </w:abstractNum>
  <w:abstractNum w:abstractNumId="82" w15:restartNumberingAfterBreak="0">
    <w:nsid w:val="15CF6845"/>
    <w:multiLevelType w:val="hybridMultilevel"/>
    <w:tmpl w:val="96D25B2C"/>
    <w:lvl w:ilvl="0" w:tplc="38090017">
      <w:start w:val="1"/>
      <w:numFmt w:val="lowerLetter"/>
      <w:lvlText w:val="%1)"/>
      <w:lvlJc w:val="left"/>
      <w:pPr>
        <w:ind w:left="3195" w:hanging="360"/>
      </w:pPr>
      <w:rPr>
        <w:rFonts w:hint="default"/>
        <w:color w:val="000000" w:themeColor="text1"/>
      </w:rPr>
    </w:lvl>
    <w:lvl w:ilvl="1" w:tplc="38090019" w:tentative="1">
      <w:start w:val="1"/>
      <w:numFmt w:val="lowerLetter"/>
      <w:lvlText w:val="%2."/>
      <w:lvlJc w:val="left"/>
      <w:pPr>
        <w:ind w:left="3915" w:hanging="360"/>
      </w:pPr>
    </w:lvl>
    <w:lvl w:ilvl="2" w:tplc="3809001B" w:tentative="1">
      <w:start w:val="1"/>
      <w:numFmt w:val="lowerRoman"/>
      <w:lvlText w:val="%3."/>
      <w:lvlJc w:val="right"/>
      <w:pPr>
        <w:ind w:left="4635" w:hanging="180"/>
      </w:pPr>
    </w:lvl>
    <w:lvl w:ilvl="3" w:tplc="3809000F" w:tentative="1">
      <w:start w:val="1"/>
      <w:numFmt w:val="decimal"/>
      <w:lvlText w:val="%4."/>
      <w:lvlJc w:val="left"/>
      <w:pPr>
        <w:ind w:left="5355" w:hanging="360"/>
      </w:pPr>
    </w:lvl>
    <w:lvl w:ilvl="4" w:tplc="38090019" w:tentative="1">
      <w:start w:val="1"/>
      <w:numFmt w:val="lowerLetter"/>
      <w:lvlText w:val="%5."/>
      <w:lvlJc w:val="left"/>
      <w:pPr>
        <w:ind w:left="6075" w:hanging="360"/>
      </w:pPr>
    </w:lvl>
    <w:lvl w:ilvl="5" w:tplc="3809001B" w:tentative="1">
      <w:start w:val="1"/>
      <w:numFmt w:val="lowerRoman"/>
      <w:lvlText w:val="%6."/>
      <w:lvlJc w:val="right"/>
      <w:pPr>
        <w:ind w:left="6795" w:hanging="180"/>
      </w:pPr>
    </w:lvl>
    <w:lvl w:ilvl="6" w:tplc="3809000F" w:tentative="1">
      <w:start w:val="1"/>
      <w:numFmt w:val="decimal"/>
      <w:lvlText w:val="%7."/>
      <w:lvlJc w:val="left"/>
      <w:pPr>
        <w:ind w:left="7515" w:hanging="360"/>
      </w:pPr>
    </w:lvl>
    <w:lvl w:ilvl="7" w:tplc="38090019" w:tentative="1">
      <w:start w:val="1"/>
      <w:numFmt w:val="lowerLetter"/>
      <w:lvlText w:val="%8."/>
      <w:lvlJc w:val="left"/>
      <w:pPr>
        <w:ind w:left="8235" w:hanging="360"/>
      </w:pPr>
    </w:lvl>
    <w:lvl w:ilvl="8" w:tplc="3809001B" w:tentative="1">
      <w:start w:val="1"/>
      <w:numFmt w:val="lowerRoman"/>
      <w:lvlText w:val="%9."/>
      <w:lvlJc w:val="right"/>
      <w:pPr>
        <w:ind w:left="8955" w:hanging="180"/>
      </w:pPr>
    </w:lvl>
  </w:abstractNum>
  <w:abstractNum w:abstractNumId="83" w15:restartNumberingAfterBreak="0">
    <w:nsid w:val="15ED615A"/>
    <w:multiLevelType w:val="hybridMultilevel"/>
    <w:tmpl w:val="70502408"/>
    <w:lvl w:ilvl="0" w:tplc="BADC24A6">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84" w15:restartNumberingAfterBreak="0">
    <w:nsid w:val="1659188E"/>
    <w:multiLevelType w:val="hybridMultilevel"/>
    <w:tmpl w:val="98A6A14E"/>
    <w:lvl w:ilvl="0" w:tplc="38090011">
      <w:start w:val="1"/>
      <w:numFmt w:val="decimal"/>
      <w:lvlText w:val="%1)"/>
      <w:lvlJc w:val="left"/>
      <w:pPr>
        <w:ind w:left="144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17037D6B"/>
    <w:multiLevelType w:val="hybridMultilevel"/>
    <w:tmpl w:val="0CF6ADF4"/>
    <w:lvl w:ilvl="0" w:tplc="F6DE39FA">
      <w:start w:val="1"/>
      <w:numFmt w:val="decimal"/>
      <w:lvlText w:val="%1)"/>
      <w:lvlJc w:val="left"/>
      <w:pPr>
        <w:ind w:left="1494" w:hanging="360"/>
      </w:pPr>
      <w:rPr>
        <w:rFonts w:eastAsia="Bookman Old Style" w:cs="Bookman Old Style" w:hint="default"/>
        <w:color w:val="000000" w:themeColor="text1"/>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86" w15:restartNumberingAfterBreak="0">
    <w:nsid w:val="17124979"/>
    <w:multiLevelType w:val="hybridMultilevel"/>
    <w:tmpl w:val="E4B46DAE"/>
    <w:lvl w:ilvl="0" w:tplc="3809001B">
      <w:start w:val="1"/>
      <w:numFmt w:val="lowerRoman"/>
      <w:lvlText w:val="%1."/>
      <w:lvlJc w:val="right"/>
      <w:pPr>
        <w:ind w:left="5256" w:hanging="360"/>
      </w:pPr>
    </w:lvl>
    <w:lvl w:ilvl="1" w:tplc="38090019" w:tentative="1">
      <w:start w:val="1"/>
      <w:numFmt w:val="lowerLetter"/>
      <w:lvlText w:val="%2."/>
      <w:lvlJc w:val="left"/>
      <w:pPr>
        <w:ind w:left="5976" w:hanging="360"/>
      </w:pPr>
    </w:lvl>
    <w:lvl w:ilvl="2" w:tplc="3809001B" w:tentative="1">
      <w:start w:val="1"/>
      <w:numFmt w:val="lowerRoman"/>
      <w:lvlText w:val="%3."/>
      <w:lvlJc w:val="right"/>
      <w:pPr>
        <w:ind w:left="6696" w:hanging="180"/>
      </w:pPr>
    </w:lvl>
    <w:lvl w:ilvl="3" w:tplc="3809000F" w:tentative="1">
      <w:start w:val="1"/>
      <w:numFmt w:val="decimal"/>
      <w:lvlText w:val="%4."/>
      <w:lvlJc w:val="left"/>
      <w:pPr>
        <w:ind w:left="7416" w:hanging="360"/>
      </w:pPr>
    </w:lvl>
    <w:lvl w:ilvl="4" w:tplc="38090019" w:tentative="1">
      <w:start w:val="1"/>
      <w:numFmt w:val="lowerLetter"/>
      <w:lvlText w:val="%5."/>
      <w:lvlJc w:val="left"/>
      <w:pPr>
        <w:ind w:left="8136" w:hanging="360"/>
      </w:pPr>
    </w:lvl>
    <w:lvl w:ilvl="5" w:tplc="3809001B" w:tentative="1">
      <w:start w:val="1"/>
      <w:numFmt w:val="lowerRoman"/>
      <w:lvlText w:val="%6."/>
      <w:lvlJc w:val="right"/>
      <w:pPr>
        <w:ind w:left="8856" w:hanging="180"/>
      </w:pPr>
    </w:lvl>
    <w:lvl w:ilvl="6" w:tplc="3809000F" w:tentative="1">
      <w:start w:val="1"/>
      <w:numFmt w:val="decimal"/>
      <w:lvlText w:val="%7."/>
      <w:lvlJc w:val="left"/>
      <w:pPr>
        <w:ind w:left="9576" w:hanging="360"/>
      </w:pPr>
    </w:lvl>
    <w:lvl w:ilvl="7" w:tplc="38090019" w:tentative="1">
      <w:start w:val="1"/>
      <w:numFmt w:val="lowerLetter"/>
      <w:lvlText w:val="%8."/>
      <w:lvlJc w:val="left"/>
      <w:pPr>
        <w:ind w:left="10296" w:hanging="360"/>
      </w:pPr>
    </w:lvl>
    <w:lvl w:ilvl="8" w:tplc="3809001B" w:tentative="1">
      <w:start w:val="1"/>
      <w:numFmt w:val="lowerRoman"/>
      <w:lvlText w:val="%9."/>
      <w:lvlJc w:val="right"/>
      <w:pPr>
        <w:ind w:left="11016" w:hanging="180"/>
      </w:pPr>
    </w:lvl>
  </w:abstractNum>
  <w:abstractNum w:abstractNumId="87" w15:restartNumberingAfterBreak="0">
    <w:nsid w:val="17233DEC"/>
    <w:multiLevelType w:val="hybridMultilevel"/>
    <w:tmpl w:val="CFEE6D04"/>
    <w:lvl w:ilvl="0" w:tplc="80D01ACE">
      <w:start w:val="1"/>
      <w:numFmt w:val="lowerLetter"/>
      <w:lvlText w:val="(%1)"/>
      <w:lvlJc w:val="left"/>
      <w:pPr>
        <w:ind w:left="4329" w:hanging="360"/>
      </w:pPr>
      <w:rPr>
        <w:rFonts w:hint="default"/>
      </w:rPr>
    </w:lvl>
    <w:lvl w:ilvl="1" w:tplc="38090019" w:tentative="1">
      <w:start w:val="1"/>
      <w:numFmt w:val="lowerLetter"/>
      <w:lvlText w:val="%2."/>
      <w:lvlJc w:val="left"/>
      <w:pPr>
        <w:ind w:left="5049" w:hanging="360"/>
      </w:pPr>
    </w:lvl>
    <w:lvl w:ilvl="2" w:tplc="3809001B" w:tentative="1">
      <w:start w:val="1"/>
      <w:numFmt w:val="lowerRoman"/>
      <w:lvlText w:val="%3."/>
      <w:lvlJc w:val="right"/>
      <w:pPr>
        <w:ind w:left="5769" w:hanging="180"/>
      </w:pPr>
    </w:lvl>
    <w:lvl w:ilvl="3" w:tplc="3809000F" w:tentative="1">
      <w:start w:val="1"/>
      <w:numFmt w:val="decimal"/>
      <w:lvlText w:val="%4."/>
      <w:lvlJc w:val="left"/>
      <w:pPr>
        <w:ind w:left="6489" w:hanging="360"/>
      </w:pPr>
    </w:lvl>
    <w:lvl w:ilvl="4" w:tplc="38090019" w:tentative="1">
      <w:start w:val="1"/>
      <w:numFmt w:val="lowerLetter"/>
      <w:lvlText w:val="%5."/>
      <w:lvlJc w:val="left"/>
      <w:pPr>
        <w:ind w:left="7209" w:hanging="360"/>
      </w:pPr>
    </w:lvl>
    <w:lvl w:ilvl="5" w:tplc="3809001B" w:tentative="1">
      <w:start w:val="1"/>
      <w:numFmt w:val="lowerRoman"/>
      <w:lvlText w:val="%6."/>
      <w:lvlJc w:val="right"/>
      <w:pPr>
        <w:ind w:left="7929" w:hanging="180"/>
      </w:pPr>
    </w:lvl>
    <w:lvl w:ilvl="6" w:tplc="3809000F" w:tentative="1">
      <w:start w:val="1"/>
      <w:numFmt w:val="decimal"/>
      <w:lvlText w:val="%7."/>
      <w:lvlJc w:val="left"/>
      <w:pPr>
        <w:ind w:left="8649" w:hanging="360"/>
      </w:pPr>
    </w:lvl>
    <w:lvl w:ilvl="7" w:tplc="38090019" w:tentative="1">
      <w:start w:val="1"/>
      <w:numFmt w:val="lowerLetter"/>
      <w:lvlText w:val="%8."/>
      <w:lvlJc w:val="left"/>
      <w:pPr>
        <w:ind w:left="9369" w:hanging="360"/>
      </w:pPr>
    </w:lvl>
    <w:lvl w:ilvl="8" w:tplc="3809001B" w:tentative="1">
      <w:start w:val="1"/>
      <w:numFmt w:val="lowerRoman"/>
      <w:lvlText w:val="%9."/>
      <w:lvlJc w:val="right"/>
      <w:pPr>
        <w:ind w:left="10089" w:hanging="180"/>
      </w:pPr>
    </w:lvl>
  </w:abstractNum>
  <w:abstractNum w:abstractNumId="88" w15:restartNumberingAfterBreak="0">
    <w:nsid w:val="17281CDF"/>
    <w:multiLevelType w:val="hybridMultilevel"/>
    <w:tmpl w:val="9B30ED2C"/>
    <w:lvl w:ilvl="0" w:tplc="FFFFFFFF">
      <w:start w:val="1"/>
      <w:numFmt w:val="lowerLetter"/>
      <w:lvlText w:val="%1."/>
      <w:lvlJc w:val="left"/>
      <w:pPr>
        <w:ind w:left="1854" w:hanging="360"/>
      </w:pPr>
      <w:rPr>
        <w:rFonts w:hint="default"/>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89" w15:restartNumberingAfterBreak="0">
    <w:nsid w:val="17560042"/>
    <w:multiLevelType w:val="hybridMultilevel"/>
    <w:tmpl w:val="372C0496"/>
    <w:lvl w:ilvl="0" w:tplc="38090011">
      <w:start w:val="1"/>
      <w:numFmt w:val="decimal"/>
      <w:lvlText w:val="%1)"/>
      <w:lvlJc w:val="left"/>
      <w:pPr>
        <w:ind w:left="720" w:hanging="360"/>
      </w:pPr>
      <w:rPr>
        <w:b w:val="0"/>
        <w:bCs w:val="0"/>
        <w:i w:val="0"/>
        <w:iCs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0" w15:restartNumberingAfterBreak="0">
    <w:nsid w:val="17683525"/>
    <w:multiLevelType w:val="hybridMultilevel"/>
    <w:tmpl w:val="0898F3EC"/>
    <w:lvl w:ilvl="0" w:tplc="DD5838AC">
      <w:start w:val="1"/>
      <w:numFmt w:val="upperLetter"/>
      <w:pStyle w:val="BodyText"/>
      <w:lvlText w:val="%1."/>
      <w:lvlJc w:val="left"/>
      <w:pPr>
        <w:ind w:left="5449" w:hanging="360"/>
      </w:pPr>
    </w:lvl>
    <w:lvl w:ilvl="1" w:tplc="38090019" w:tentative="1">
      <w:start w:val="1"/>
      <w:numFmt w:val="lowerLetter"/>
      <w:lvlText w:val="%2."/>
      <w:lvlJc w:val="left"/>
      <w:pPr>
        <w:ind w:left="6169" w:hanging="360"/>
      </w:pPr>
    </w:lvl>
    <w:lvl w:ilvl="2" w:tplc="3809001B" w:tentative="1">
      <w:start w:val="1"/>
      <w:numFmt w:val="lowerRoman"/>
      <w:lvlText w:val="%3."/>
      <w:lvlJc w:val="right"/>
      <w:pPr>
        <w:ind w:left="6889" w:hanging="180"/>
      </w:pPr>
    </w:lvl>
    <w:lvl w:ilvl="3" w:tplc="3809000F" w:tentative="1">
      <w:start w:val="1"/>
      <w:numFmt w:val="decimal"/>
      <w:lvlText w:val="%4."/>
      <w:lvlJc w:val="left"/>
      <w:pPr>
        <w:ind w:left="7609" w:hanging="360"/>
      </w:pPr>
    </w:lvl>
    <w:lvl w:ilvl="4" w:tplc="38090019" w:tentative="1">
      <w:start w:val="1"/>
      <w:numFmt w:val="lowerLetter"/>
      <w:lvlText w:val="%5."/>
      <w:lvlJc w:val="left"/>
      <w:pPr>
        <w:ind w:left="8329" w:hanging="360"/>
      </w:pPr>
    </w:lvl>
    <w:lvl w:ilvl="5" w:tplc="3809001B" w:tentative="1">
      <w:start w:val="1"/>
      <w:numFmt w:val="lowerRoman"/>
      <w:lvlText w:val="%6."/>
      <w:lvlJc w:val="right"/>
      <w:pPr>
        <w:ind w:left="9049" w:hanging="180"/>
      </w:pPr>
    </w:lvl>
    <w:lvl w:ilvl="6" w:tplc="3809000F" w:tentative="1">
      <w:start w:val="1"/>
      <w:numFmt w:val="decimal"/>
      <w:lvlText w:val="%7."/>
      <w:lvlJc w:val="left"/>
      <w:pPr>
        <w:ind w:left="9769" w:hanging="360"/>
      </w:pPr>
    </w:lvl>
    <w:lvl w:ilvl="7" w:tplc="38090019" w:tentative="1">
      <w:start w:val="1"/>
      <w:numFmt w:val="lowerLetter"/>
      <w:lvlText w:val="%8."/>
      <w:lvlJc w:val="left"/>
      <w:pPr>
        <w:ind w:left="10489" w:hanging="360"/>
      </w:pPr>
    </w:lvl>
    <w:lvl w:ilvl="8" w:tplc="3809001B" w:tentative="1">
      <w:start w:val="1"/>
      <w:numFmt w:val="lowerRoman"/>
      <w:lvlText w:val="%9."/>
      <w:lvlJc w:val="right"/>
      <w:pPr>
        <w:ind w:left="11209" w:hanging="180"/>
      </w:pPr>
    </w:lvl>
  </w:abstractNum>
  <w:abstractNum w:abstractNumId="91" w15:restartNumberingAfterBreak="0">
    <w:nsid w:val="179E2B94"/>
    <w:multiLevelType w:val="hybridMultilevel"/>
    <w:tmpl w:val="827EAE64"/>
    <w:lvl w:ilvl="0" w:tplc="38090011">
      <w:start w:val="1"/>
      <w:numFmt w:val="decimal"/>
      <w:lvlText w:val="%1)"/>
      <w:lvlJc w:val="left"/>
      <w:pPr>
        <w:ind w:left="2746"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17A831A3"/>
    <w:multiLevelType w:val="hybridMultilevel"/>
    <w:tmpl w:val="8B98BD8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3" w15:restartNumberingAfterBreak="0">
    <w:nsid w:val="17D87EC5"/>
    <w:multiLevelType w:val="hybridMultilevel"/>
    <w:tmpl w:val="F9C0C196"/>
    <w:lvl w:ilvl="0" w:tplc="38090011">
      <w:start w:val="1"/>
      <w:numFmt w:val="decimal"/>
      <w:lvlText w:val="%1)"/>
      <w:lvlJc w:val="left"/>
      <w:pPr>
        <w:ind w:left="720" w:hanging="360"/>
      </w:pPr>
      <w:rPr>
        <w:b w:val="0"/>
        <w:bCs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4" w15:restartNumberingAfterBreak="0">
    <w:nsid w:val="17E43563"/>
    <w:multiLevelType w:val="hybridMultilevel"/>
    <w:tmpl w:val="AD400580"/>
    <w:lvl w:ilvl="0" w:tplc="38090001">
      <w:start w:val="1"/>
      <w:numFmt w:val="bullet"/>
      <w:lvlText w:val=""/>
      <w:lvlJc w:val="left"/>
      <w:pPr>
        <w:ind w:left="2345" w:hanging="360"/>
      </w:pPr>
      <w:rPr>
        <w:rFonts w:ascii="Symbol" w:hAnsi="Symbol" w:hint="default"/>
      </w:rPr>
    </w:lvl>
    <w:lvl w:ilvl="1" w:tplc="38090003" w:tentative="1">
      <w:start w:val="1"/>
      <w:numFmt w:val="bullet"/>
      <w:lvlText w:val="o"/>
      <w:lvlJc w:val="left"/>
      <w:pPr>
        <w:ind w:left="3065" w:hanging="360"/>
      </w:pPr>
      <w:rPr>
        <w:rFonts w:ascii="Courier New" w:hAnsi="Courier New" w:cs="Courier New" w:hint="default"/>
      </w:rPr>
    </w:lvl>
    <w:lvl w:ilvl="2" w:tplc="38090005" w:tentative="1">
      <w:start w:val="1"/>
      <w:numFmt w:val="bullet"/>
      <w:lvlText w:val=""/>
      <w:lvlJc w:val="left"/>
      <w:pPr>
        <w:ind w:left="3785" w:hanging="360"/>
      </w:pPr>
      <w:rPr>
        <w:rFonts w:ascii="Wingdings" w:hAnsi="Wingdings" w:hint="default"/>
      </w:rPr>
    </w:lvl>
    <w:lvl w:ilvl="3" w:tplc="38090001" w:tentative="1">
      <w:start w:val="1"/>
      <w:numFmt w:val="bullet"/>
      <w:lvlText w:val=""/>
      <w:lvlJc w:val="left"/>
      <w:pPr>
        <w:ind w:left="4505" w:hanging="360"/>
      </w:pPr>
      <w:rPr>
        <w:rFonts w:ascii="Symbol" w:hAnsi="Symbol" w:hint="default"/>
      </w:rPr>
    </w:lvl>
    <w:lvl w:ilvl="4" w:tplc="38090003" w:tentative="1">
      <w:start w:val="1"/>
      <w:numFmt w:val="bullet"/>
      <w:lvlText w:val="o"/>
      <w:lvlJc w:val="left"/>
      <w:pPr>
        <w:ind w:left="5225" w:hanging="360"/>
      </w:pPr>
      <w:rPr>
        <w:rFonts w:ascii="Courier New" w:hAnsi="Courier New" w:cs="Courier New" w:hint="default"/>
      </w:rPr>
    </w:lvl>
    <w:lvl w:ilvl="5" w:tplc="38090005" w:tentative="1">
      <w:start w:val="1"/>
      <w:numFmt w:val="bullet"/>
      <w:lvlText w:val=""/>
      <w:lvlJc w:val="left"/>
      <w:pPr>
        <w:ind w:left="5945" w:hanging="360"/>
      </w:pPr>
      <w:rPr>
        <w:rFonts w:ascii="Wingdings" w:hAnsi="Wingdings" w:hint="default"/>
      </w:rPr>
    </w:lvl>
    <w:lvl w:ilvl="6" w:tplc="38090001" w:tentative="1">
      <w:start w:val="1"/>
      <w:numFmt w:val="bullet"/>
      <w:lvlText w:val=""/>
      <w:lvlJc w:val="left"/>
      <w:pPr>
        <w:ind w:left="6665" w:hanging="360"/>
      </w:pPr>
      <w:rPr>
        <w:rFonts w:ascii="Symbol" w:hAnsi="Symbol" w:hint="default"/>
      </w:rPr>
    </w:lvl>
    <w:lvl w:ilvl="7" w:tplc="38090003" w:tentative="1">
      <w:start w:val="1"/>
      <w:numFmt w:val="bullet"/>
      <w:lvlText w:val="o"/>
      <w:lvlJc w:val="left"/>
      <w:pPr>
        <w:ind w:left="7385" w:hanging="360"/>
      </w:pPr>
      <w:rPr>
        <w:rFonts w:ascii="Courier New" w:hAnsi="Courier New" w:cs="Courier New" w:hint="default"/>
      </w:rPr>
    </w:lvl>
    <w:lvl w:ilvl="8" w:tplc="38090005" w:tentative="1">
      <w:start w:val="1"/>
      <w:numFmt w:val="bullet"/>
      <w:lvlText w:val=""/>
      <w:lvlJc w:val="left"/>
      <w:pPr>
        <w:ind w:left="8105" w:hanging="360"/>
      </w:pPr>
      <w:rPr>
        <w:rFonts w:ascii="Wingdings" w:hAnsi="Wingdings" w:hint="default"/>
      </w:rPr>
    </w:lvl>
  </w:abstractNum>
  <w:abstractNum w:abstractNumId="95" w15:restartNumberingAfterBreak="0">
    <w:nsid w:val="180E0C18"/>
    <w:multiLevelType w:val="hybridMultilevel"/>
    <w:tmpl w:val="F5902982"/>
    <w:lvl w:ilvl="0" w:tplc="B7F6EBF8">
      <w:start w:val="1"/>
      <w:numFmt w:val="decimal"/>
      <w:lvlText w:val="%1)"/>
      <w:lvlJc w:val="left"/>
      <w:pPr>
        <w:ind w:left="2061" w:hanging="360"/>
      </w:pPr>
      <w:rPr>
        <w:rFonts w:hint="default"/>
        <w:color w:val="000000" w:themeColor="text1"/>
        <w:sz w:val="24"/>
        <w:szCs w:val="32"/>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96" w15:restartNumberingAfterBreak="0">
    <w:nsid w:val="181770A2"/>
    <w:multiLevelType w:val="hybridMultilevel"/>
    <w:tmpl w:val="1A849DE8"/>
    <w:lvl w:ilvl="0" w:tplc="38090011">
      <w:start w:val="1"/>
      <w:numFmt w:val="decimal"/>
      <w:lvlText w:val="%1)"/>
      <w:lvlJc w:val="left"/>
      <w:pPr>
        <w:ind w:left="720" w:hanging="360"/>
      </w:pPr>
      <w:rPr>
        <w:b w:val="0"/>
        <w:bCs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7" w15:restartNumberingAfterBreak="0">
    <w:nsid w:val="186172C0"/>
    <w:multiLevelType w:val="hybridMultilevel"/>
    <w:tmpl w:val="A420E37C"/>
    <w:lvl w:ilvl="0" w:tplc="ED6ABE5E">
      <w:start w:val="1"/>
      <w:numFmt w:val="lowerLetter"/>
      <w:lvlText w:val="(%1)"/>
      <w:lvlJc w:val="left"/>
      <w:pPr>
        <w:ind w:left="4329" w:hanging="360"/>
      </w:pPr>
      <w:rPr>
        <w:rFonts w:hint="default"/>
      </w:rPr>
    </w:lvl>
    <w:lvl w:ilvl="1" w:tplc="38090019" w:tentative="1">
      <w:start w:val="1"/>
      <w:numFmt w:val="lowerLetter"/>
      <w:lvlText w:val="%2."/>
      <w:lvlJc w:val="left"/>
      <w:pPr>
        <w:ind w:left="5049" w:hanging="360"/>
      </w:pPr>
    </w:lvl>
    <w:lvl w:ilvl="2" w:tplc="3809001B" w:tentative="1">
      <w:start w:val="1"/>
      <w:numFmt w:val="lowerRoman"/>
      <w:lvlText w:val="%3."/>
      <w:lvlJc w:val="right"/>
      <w:pPr>
        <w:ind w:left="5769" w:hanging="180"/>
      </w:pPr>
    </w:lvl>
    <w:lvl w:ilvl="3" w:tplc="3809000F" w:tentative="1">
      <w:start w:val="1"/>
      <w:numFmt w:val="decimal"/>
      <w:lvlText w:val="%4."/>
      <w:lvlJc w:val="left"/>
      <w:pPr>
        <w:ind w:left="6489" w:hanging="360"/>
      </w:pPr>
    </w:lvl>
    <w:lvl w:ilvl="4" w:tplc="38090019" w:tentative="1">
      <w:start w:val="1"/>
      <w:numFmt w:val="lowerLetter"/>
      <w:lvlText w:val="%5."/>
      <w:lvlJc w:val="left"/>
      <w:pPr>
        <w:ind w:left="7209" w:hanging="360"/>
      </w:pPr>
    </w:lvl>
    <w:lvl w:ilvl="5" w:tplc="3809001B" w:tentative="1">
      <w:start w:val="1"/>
      <w:numFmt w:val="lowerRoman"/>
      <w:lvlText w:val="%6."/>
      <w:lvlJc w:val="right"/>
      <w:pPr>
        <w:ind w:left="7929" w:hanging="180"/>
      </w:pPr>
    </w:lvl>
    <w:lvl w:ilvl="6" w:tplc="3809000F" w:tentative="1">
      <w:start w:val="1"/>
      <w:numFmt w:val="decimal"/>
      <w:lvlText w:val="%7."/>
      <w:lvlJc w:val="left"/>
      <w:pPr>
        <w:ind w:left="8649" w:hanging="360"/>
      </w:pPr>
    </w:lvl>
    <w:lvl w:ilvl="7" w:tplc="38090019" w:tentative="1">
      <w:start w:val="1"/>
      <w:numFmt w:val="lowerLetter"/>
      <w:lvlText w:val="%8."/>
      <w:lvlJc w:val="left"/>
      <w:pPr>
        <w:ind w:left="9369" w:hanging="360"/>
      </w:pPr>
    </w:lvl>
    <w:lvl w:ilvl="8" w:tplc="3809001B" w:tentative="1">
      <w:start w:val="1"/>
      <w:numFmt w:val="lowerRoman"/>
      <w:lvlText w:val="%9."/>
      <w:lvlJc w:val="right"/>
      <w:pPr>
        <w:ind w:left="10089" w:hanging="180"/>
      </w:pPr>
    </w:lvl>
  </w:abstractNum>
  <w:abstractNum w:abstractNumId="98" w15:restartNumberingAfterBreak="0">
    <w:nsid w:val="186214A5"/>
    <w:multiLevelType w:val="hybridMultilevel"/>
    <w:tmpl w:val="CC601FD0"/>
    <w:lvl w:ilvl="0" w:tplc="91C25CA6">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99" w15:restartNumberingAfterBreak="0">
    <w:nsid w:val="18D313C2"/>
    <w:multiLevelType w:val="hybridMultilevel"/>
    <w:tmpl w:val="3DAE9A04"/>
    <w:lvl w:ilvl="0" w:tplc="CCDCCBC0">
      <w:start w:val="1"/>
      <w:numFmt w:val="lowerLetter"/>
      <w:lvlText w:val="(%1)"/>
      <w:lvlJc w:val="left"/>
      <w:pPr>
        <w:ind w:left="4329" w:hanging="360"/>
      </w:pPr>
      <w:rPr>
        <w:rFonts w:hint="default"/>
      </w:rPr>
    </w:lvl>
    <w:lvl w:ilvl="1" w:tplc="38090019" w:tentative="1">
      <w:start w:val="1"/>
      <w:numFmt w:val="lowerLetter"/>
      <w:lvlText w:val="%2."/>
      <w:lvlJc w:val="left"/>
      <w:pPr>
        <w:ind w:left="5049" w:hanging="360"/>
      </w:pPr>
    </w:lvl>
    <w:lvl w:ilvl="2" w:tplc="3809001B" w:tentative="1">
      <w:start w:val="1"/>
      <w:numFmt w:val="lowerRoman"/>
      <w:lvlText w:val="%3."/>
      <w:lvlJc w:val="right"/>
      <w:pPr>
        <w:ind w:left="5769" w:hanging="180"/>
      </w:pPr>
    </w:lvl>
    <w:lvl w:ilvl="3" w:tplc="3809000F" w:tentative="1">
      <w:start w:val="1"/>
      <w:numFmt w:val="decimal"/>
      <w:lvlText w:val="%4."/>
      <w:lvlJc w:val="left"/>
      <w:pPr>
        <w:ind w:left="6489" w:hanging="360"/>
      </w:pPr>
    </w:lvl>
    <w:lvl w:ilvl="4" w:tplc="38090019" w:tentative="1">
      <w:start w:val="1"/>
      <w:numFmt w:val="lowerLetter"/>
      <w:lvlText w:val="%5."/>
      <w:lvlJc w:val="left"/>
      <w:pPr>
        <w:ind w:left="7209" w:hanging="360"/>
      </w:pPr>
    </w:lvl>
    <w:lvl w:ilvl="5" w:tplc="3809001B" w:tentative="1">
      <w:start w:val="1"/>
      <w:numFmt w:val="lowerRoman"/>
      <w:lvlText w:val="%6."/>
      <w:lvlJc w:val="right"/>
      <w:pPr>
        <w:ind w:left="7929" w:hanging="180"/>
      </w:pPr>
    </w:lvl>
    <w:lvl w:ilvl="6" w:tplc="3809000F" w:tentative="1">
      <w:start w:val="1"/>
      <w:numFmt w:val="decimal"/>
      <w:lvlText w:val="%7."/>
      <w:lvlJc w:val="left"/>
      <w:pPr>
        <w:ind w:left="8649" w:hanging="360"/>
      </w:pPr>
    </w:lvl>
    <w:lvl w:ilvl="7" w:tplc="38090019" w:tentative="1">
      <w:start w:val="1"/>
      <w:numFmt w:val="lowerLetter"/>
      <w:lvlText w:val="%8."/>
      <w:lvlJc w:val="left"/>
      <w:pPr>
        <w:ind w:left="9369" w:hanging="360"/>
      </w:pPr>
    </w:lvl>
    <w:lvl w:ilvl="8" w:tplc="3809001B" w:tentative="1">
      <w:start w:val="1"/>
      <w:numFmt w:val="lowerRoman"/>
      <w:lvlText w:val="%9."/>
      <w:lvlJc w:val="right"/>
      <w:pPr>
        <w:ind w:left="10089" w:hanging="180"/>
      </w:pPr>
    </w:lvl>
  </w:abstractNum>
  <w:abstractNum w:abstractNumId="100" w15:restartNumberingAfterBreak="0">
    <w:nsid w:val="18E131A5"/>
    <w:multiLevelType w:val="hybridMultilevel"/>
    <w:tmpl w:val="9B6854F2"/>
    <w:lvl w:ilvl="0" w:tplc="3F0AF316">
      <w:start w:val="1"/>
      <w:numFmt w:val="decimal"/>
      <w:lvlText w:val="%1)"/>
      <w:lvlJc w:val="left"/>
      <w:pPr>
        <w:ind w:left="480" w:hanging="360"/>
      </w:pPr>
      <w:rPr>
        <w:rFonts w:hint="default"/>
        <w:b w:val="0"/>
        <w:bCs w:val="0"/>
        <w:strike w:val="0"/>
        <w:color w:val="auto"/>
      </w:rPr>
    </w:lvl>
    <w:lvl w:ilvl="1" w:tplc="FFFFFFFF" w:tentative="1">
      <w:start w:val="1"/>
      <w:numFmt w:val="lowerLetter"/>
      <w:lvlText w:val="%2."/>
      <w:lvlJc w:val="left"/>
      <w:pPr>
        <w:ind w:left="1200" w:hanging="360"/>
      </w:pPr>
    </w:lvl>
    <w:lvl w:ilvl="2" w:tplc="FFFFFFFF" w:tentative="1">
      <w:start w:val="1"/>
      <w:numFmt w:val="lowerRoman"/>
      <w:lvlText w:val="%3."/>
      <w:lvlJc w:val="right"/>
      <w:pPr>
        <w:ind w:left="1920" w:hanging="180"/>
      </w:pPr>
    </w:lvl>
    <w:lvl w:ilvl="3" w:tplc="FFFFFFFF" w:tentative="1">
      <w:start w:val="1"/>
      <w:numFmt w:val="decimal"/>
      <w:lvlText w:val="%4."/>
      <w:lvlJc w:val="left"/>
      <w:pPr>
        <w:ind w:left="2640" w:hanging="360"/>
      </w:pPr>
    </w:lvl>
    <w:lvl w:ilvl="4" w:tplc="FFFFFFFF" w:tentative="1">
      <w:start w:val="1"/>
      <w:numFmt w:val="lowerLetter"/>
      <w:lvlText w:val="%5."/>
      <w:lvlJc w:val="left"/>
      <w:pPr>
        <w:ind w:left="3360" w:hanging="360"/>
      </w:pPr>
    </w:lvl>
    <w:lvl w:ilvl="5" w:tplc="FFFFFFFF" w:tentative="1">
      <w:start w:val="1"/>
      <w:numFmt w:val="lowerRoman"/>
      <w:lvlText w:val="%6."/>
      <w:lvlJc w:val="right"/>
      <w:pPr>
        <w:ind w:left="4080" w:hanging="180"/>
      </w:pPr>
    </w:lvl>
    <w:lvl w:ilvl="6" w:tplc="FFFFFFFF" w:tentative="1">
      <w:start w:val="1"/>
      <w:numFmt w:val="decimal"/>
      <w:lvlText w:val="%7."/>
      <w:lvlJc w:val="left"/>
      <w:pPr>
        <w:ind w:left="4800" w:hanging="360"/>
      </w:pPr>
    </w:lvl>
    <w:lvl w:ilvl="7" w:tplc="FFFFFFFF" w:tentative="1">
      <w:start w:val="1"/>
      <w:numFmt w:val="lowerLetter"/>
      <w:lvlText w:val="%8."/>
      <w:lvlJc w:val="left"/>
      <w:pPr>
        <w:ind w:left="5520" w:hanging="360"/>
      </w:pPr>
    </w:lvl>
    <w:lvl w:ilvl="8" w:tplc="FFFFFFFF" w:tentative="1">
      <w:start w:val="1"/>
      <w:numFmt w:val="lowerRoman"/>
      <w:lvlText w:val="%9."/>
      <w:lvlJc w:val="right"/>
      <w:pPr>
        <w:ind w:left="6240" w:hanging="180"/>
      </w:pPr>
    </w:lvl>
  </w:abstractNum>
  <w:abstractNum w:abstractNumId="101" w15:restartNumberingAfterBreak="0">
    <w:nsid w:val="18F7619F"/>
    <w:multiLevelType w:val="multilevel"/>
    <w:tmpl w:val="05DE7030"/>
    <w:lvl w:ilvl="0">
      <w:start w:val="1"/>
      <w:numFmt w:val="decimal"/>
      <w:lvlText w:val="%1)"/>
      <w:lvlJc w:val="left"/>
      <w:pPr>
        <w:ind w:left="870" w:hanging="360"/>
      </w:pPr>
    </w:lvl>
    <w:lvl w:ilvl="1">
      <w:start w:val="1"/>
      <w:numFmt w:val="bullet"/>
      <w:lvlText w:val="o"/>
      <w:lvlJc w:val="left"/>
      <w:pPr>
        <w:ind w:left="1590" w:hanging="360"/>
      </w:pPr>
      <w:rPr>
        <w:rFonts w:ascii="Courier New" w:eastAsia="Courier New" w:hAnsi="Courier New" w:cs="Courier New"/>
      </w:rPr>
    </w:lvl>
    <w:lvl w:ilvl="2">
      <w:start w:val="1"/>
      <w:numFmt w:val="bullet"/>
      <w:lvlText w:val="▪"/>
      <w:lvlJc w:val="left"/>
      <w:pPr>
        <w:ind w:left="2310" w:hanging="360"/>
      </w:pPr>
      <w:rPr>
        <w:rFonts w:ascii="Noto Sans Symbols" w:eastAsia="Noto Sans Symbols" w:hAnsi="Noto Sans Symbols" w:cs="Noto Sans Symbols"/>
      </w:rPr>
    </w:lvl>
    <w:lvl w:ilvl="3">
      <w:start w:val="1"/>
      <w:numFmt w:val="bullet"/>
      <w:lvlText w:val="●"/>
      <w:lvlJc w:val="left"/>
      <w:pPr>
        <w:ind w:left="3030" w:hanging="360"/>
      </w:pPr>
      <w:rPr>
        <w:rFonts w:ascii="Noto Sans Symbols" w:eastAsia="Noto Sans Symbols" w:hAnsi="Noto Sans Symbols" w:cs="Noto Sans Symbols"/>
      </w:rPr>
    </w:lvl>
    <w:lvl w:ilvl="4">
      <w:start w:val="1"/>
      <w:numFmt w:val="bullet"/>
      <w:lvlText w:val="o"/>
      <w:lvlJc w:val="left"/>
      <w:pPr>
        <w:ind w:left="3750" w:hanging="360"/>
      </w:pPr>
      <w:rPr>
        <w:rFonts w:ascii="Courier New" w:eastAsia="Courier New" w:hAnsi="Courier New" w:cs="Courier New"/>
      </w:rPr>
    </w:lvl>
    <w:lvl w:ilvl="5">
      <w:start w:val="1"/>
      <w:numFmt w:val="bullet"/>
      <w:lvlText w:val="▪"/>
      <w:lvlJc w:val="left"/>
      <w:pPr>
        <w:ind w:left="4470" w:hanging="360"/>
      </w:pPr>
      <w:rPr>
        <w:rFonts w:ascii="Noto Sans Symbols" w:eastAsia="Noto Sans Symbols" w:hAnsi="Noto Sans Symbols" w:cs="Noto Sans Symbols"/>
      </w:rPr>
    </w:lvl>
    <w:lvl w:ilvl="6">
      <w:start w:val="1"/>
      <w:numFmt w:val="bullet"/>
      <w:lvlText w:val="●"/>
      <w:lvlJc w:val="left"/>
      <w:pPr>
        <w:ind w:left="5190" w:hanging="360"/>
      </w:pPr>
      <w:rPr>
        <w:rFonts w:ascii="Noto Sans Symbols" w:eastAsia="Noto Sans Symbols" w:hAnsi="Noto Sans Symbols" w:cs="Noto Sans Symbols"/>
      </w:rPr>
    </w:lvl>
    <w:lvl w:ilvl="7">
      <w:start w:val="1"/>
      <w:numFmt w:val="bullet"/>
      <w:lvlText w:val="o"/>
      <w:lvlJc w:val="left"/>
      <w:pPr>
        <w:ind w:left="5910" w:hanging="360"/>
      </w:pPr>
      <w:rPr>
        <w:rFonts w:ascii="Courier New" w:eastAsia="Courier New" w:hAnsi="Courier New" w:cs="Courier New"/>
      </w:rPr>
    </w:lvl>
    <w:lvl w:ilvl="8">
      <w:start w:val="1"/>
      <w:numFmt w:val="bullet"/>
      <w:lvlText w:val="▪"/>
      <w:lvlJc w:val="left"/>
      <w:pPr>
        <w:ind w:left="6630" w:hanging="360"/>
      </w:pPr>
      <w:rPr>
        <w:rFonts w:ascii="Noto Sans Symbols" w:eastAsia="Noto Sans Symbols" w:hAnsi="Noto Sans Symbols" w:cs="Noto Sans Symbols"/>
      </w:rPr>
    </w:lvl>
  </w:abstractNum>
  <w:abstractNum w:abstractNumId="102" w15:restartNumberingAfterBreak="0">
    <w:nsid w:val="190920D2"/>
    <w:multiLevelType w:val="hybridMultilevel"/>
    <w:tmpl w:val="61C2B59A"/>
    <w:lvl w:ilvl="0" w:tplc="990041D8">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103" w15:restartNumberingAfterBreak="0">
    <w:nsid w:val="194E0B41"/>
    <w:multiLevelType w:val="hybridMultilevel"/>
    <w:tmpl w:val="590EC3E4"/>
    <w:lvl w:ilvl="0" w:tplc="18D2902C">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104" w15:restartNumberingAfterBreak="0">
    <w:nsid w:val="196F7870"/>
    <w:multiLevelType w:val="hybridMultilevel"/>
    <w:tmpl w:val="557E34C8"/>
    <w:lvl w:ilvl="0" w:tplc="493C0BC6">
      <w:start w:val="1"/>
      <w:numFmt w:val="decimal"/>
      <w:lvlText w:val="%1)"/>
      <w:lvlJc w:val="left"/>
      <w:pPr>
        <w:ind w:left="2061" w:hanging="360"/>
      </w:pPr>
      <w:rPr>
        <w:rFonts w:hint="default"/>
        <w:color w:val="000000" w:themeColor="text1"/>
        <w:sz w:val="24"/>
        <w:szCs w:val="24"/>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105" w15:restartNumberingAfterBreak="0">
    <w:nsid w:val="19B3221C"/>
    <w:multiLevelType w:val="hybridMultilevel"/>
    <w:tmpl w:val="8EF6E6E8"/>
    <w:lvl w:ilvl="0" w:tplc="AB127726">
      <w:start w:val="1"/>
      <w:numFmt w:val="lowerLetter"/>
      <w:lvlText w:val="%1)"/>
      <w:lvlJc w:val="left"/>
      <w:pPr>
        <w:ind w:left="3195" w:hanging="360"/>
      </w:pPr>
      <w:rPr>
        <w:rFonts w:hint="default"/>
      </w:rPr>
    </w:lvl>
    <w:lvl w:ilvl="1" w:tplc="38090019" w:tentative="1">
      <w:start w:val="1"/>
      <w:numFmt w:val="lowerLetter"/>
      <w:lvlText w:val="%2."/>
      <w:lvlJc w:val="left"/>
      <w:pPr>
        <w:ind w:left="3915" w:hanging="360"/>
      </w:pPr>
    </w:lvl>
    <w:lvl w:ilvl="2" w:tplc="3809001B" w:tentative="1">
      <w:start w:val="1"/>
      <w:numFmt w:val="lowerRoman"/>
      <w:lvlText w:val="%3."/>
      <w:lvlJc w:val="right"/>
      <w:pPr>
        <w:ind w:left="4635" w:hanging="180"/>
      </w:pPr>
    </w:lvl>
    <w:lvl w:ilvl="3" w:tplc="3809000F" w:tentative="1">
      <w:start w:val="1"/>
      <w:numFmt w:val="decimal"/>
      <w:lvlText w:val="%4."/>
      <w:lvlJc w:val="left"/>
      <w:pPr>
        <w:ind w:left="5355" w:hanging="360"/>
      </w:pPr>
    </w:lvl>
    <w:lvl w:ilvl="4" w:tplc="38090019" w:tentative="1">
      <w:start w:val="1"/>
      <w:numFmt w:val="lowerLetter"/>
      <w:lvlText w:val="%5."/>
      <w:lvlJc w:val="left"/>
      <w:pPr>
        <w:ind w:left="6075" w:hanging="360"/>
      </w:pPr>
    </w:lvl>
    <w:lvl w:ilvl="5" w:tplc="3809001B" w:tentative="1">
      <w:start w:val="1"/>
      <w:numFmt w:val="lowerRoman"/>
      <w:lvlText w:val="%6."/>
      <w:lvlJc w:val="right"/>
      <w:pPr>
        <w:ind w:left="6795" w:hanging="180"/>
      </w:pPr>
    </w:lvl>
    <w:lvl w:ilvl="6" w:tplc="3809000F" w:tentative="1">
      <w:start w:val="1"/>
      <w:numFmt w:val="decimal"/>
      <w:lvlText w:val="%7."/>
      <w:lvlJc w:val="left"/>
      <w:pPr>
        <w:ind w:left="7515" w:hanging="360"/>
      </w:pPr>
    </w:lvl>
    <w:lvl w:ilvl="7" w:tplc="38090019" w:tentative="1">
      <w:start w:val="1"/>
      <w:numFmt w:val="lowerLetter"/>
      <w:lvlText w:val="%8."/>
      <w:lvlJc w:val="left"/>
      <w:pPr>
        <w:ind w:left="8235" w:hanging="360"/>
      </w:pPr>
    </w:lvl>
    <w:lvl w:ilvl="8" w:tplc="3809001B" w:tentative="1">
      <w:start w:val="1"/>
      <w:numFmt w:val="lowerRoman"/>
      <w:lvlText w:val="%9."/>
      <w:lvlJc w:val="right"/>
      <w:pPr>
        <w:ind w:left="8955" w:hanging="180"/>
      </w:pPr>
    </w:lvl>
  </w:abstractNum>
  <w:abstractNum w:abstractNumId="106" w15:restartNumberingAfterBreak="0">
    <w:nsid w:val="19B56953"/>
    <w:multiLevelType w:val="hybridMultilevel"/>
    <w:tmpl w:val="1B980F9E"/>
    <w:lvl w:ilvl="0" w:tplc="8E3AB14A">
      <w:start w:val="1"/>
      <w:numFmt w:val="decimal"/>
      <w:lvlText w:val="(%1)"/>
      <w:lvlJc w:val="left"/>
      <w:pPr>
        <w:ind w:left="3195" w:hanging="360"/>
      </w:pPr>
      <w:rPr>
        <w:rFonts w:hint="default"/>
      </w:rPr>
    </w:lvl>
    <w:lvl w:ilvl="1" w:tplc="38090019" w:tentative="1">
      <w:start w:val="1"/>
      <w:numFmt w:val="lowerLetter"/>
      <w:lvlText w:val="%2."/>
      <w:lvlJc w:val="left"/>
      <w:pPr>
        <w:ind w:left="3915" w:hanging="360"/>
      </w:pPr>
    </w:lvl>
    <w:lvl w:ilvl="2" w:tplc="3809001B" w:tentative="1">
      <w:start w:val="1"/>
      <w:numFmt w:val="lowerRoman"/>
      <w:lvlText w:val="%3."/>
      <w:lvlJc w:val="right"/>
      <w:pPr>
        <w:ind w:left="4635" w:hanging="180"/>
      </w:pPr>
    </w:lvl>
    <w:lvl w:ilvl="3" w:tplc="3809000F" w:tentative="1">
      <w:start w:val="1"/>
      <w:numFmt w:val="decimal"/>
      <w:lvlText w:val="%4."/>
      <w:lvlJc w:val="left"/>
      <w:pPr>
        <w:ind w:left="5355" w:hanging="360"/>
      </w:pPr>
    </w:lvl>
    <w:lvl w:ilvl="4" w:tplc="38090019" w:tentative="1">
      <w:start w:val="1"/>
      <w:numFmt w:val="lowerLetter"/>
      <w:lvlText w:val="%5."/>
      <w:lvlJc w:val="left"/>
      <w:pPr>
        <w:ind w:left="6075" w:hanging="360"/>
      </w:pPr>
    </w:lvl>
    <w:lvl w:ilvl="5" w:tplc="3809001B" w:tentative="1">
      <w:start w:val="1"/>
      <w:numFmt w:val="lowerRoman"/>
      <w:lvlText w:val="%6."/>
      <w:lvlJc w:val="right"/>
      <w:pPr>
        <w:ind w:left="6795" w:hanging="180"/>
      </w:pPr>
    </w:lvl>
    <w:lvl w:ilvl="6" w:tplc="3809000F" w:tentative="1">
      <w:start w:val="1"/>
      <w:numFmt w:val="decimal"/>
      <w:lvlText w:val="%7."/>
      <w:lvlJc w:val="left"/>
      <w:pPr>
        <w:ind w:left="7515" w:hanging="360"/>
      </w:pPr>
    </w:lvl>
    <w:lvl w:ilvl="7" w:tplc="38090019" w:tentative="1">
      <w:start w:val="1"/>
      <w:numFmt w:val="lowerLetter"/>
      <w:lvlText w:val="%8."/>
      <w:lvlJc w:val="left"/>
      <w:pPr>
        <w:ind w:left="8235" w:hanging="360"/>
      </w:pPr>
    </w:lvl>
    <w:lvl w:ilvl="8" w:tplc="3809001B" w:tentative="1">
      <w:start w:val="1"/>
      <w:numFmt w:val="lowerRoman"/>
      <w:lvlText w:val="%9."/>
      <w:lvlJc w:val="right"/>
      <w:pPr>
        <w:ind w:left="8955" w:hanging="180"/>
      </w:pPr>
    </w:lvl>
  </w:abstractNum>
  <w:abstractNum w:abstractNumId="107" w15:restartNumberingAfterBreak="0">
    <w:nsid w:val="19CE216C"/>
    <w:multiLevelType w:val="hybridMultilevel"/>
    <w:tmpl w:val="37C024F2"/>
    <w:lvl w:ilvl="0" w:tplc="38090011">
      <w:start w:val="1"/>
      <w:numFmt w:val="decimal"/>
      <w:lvlText w:val="%1)"/>
      <w:lvlJc w:val="left"/>
      <w:pPr>
        <w:ind w:left="720" w:hanging="360"/>
      </w:pPr>
      <w:rPr>
        <w:b w:val="0"/>
        <w:bCs w:val="0"/>
        <w:i w:val="0"/>
        <w:iCs w:val="0"/>
        <w:strike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8" w15:restartNumberingAfterBreak="0">
    <w:nsid w:val="1A200663"/>
    <w:multiLevelType w:val="hybridMultilevel"/>
    <w:tmpl w:val="717876C6"/>
    <w:lvl w:ilvl="0" w:tplc="65DAF194">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109" w15:restartNumberingAfterBreak="0">
    <w:nsid w:val="1A3E75C7"/>
    <w:multiLevelType w:val="hybridMultilevel"/>
    <w:tmpl w:val="DF0EBF2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0" w15:restartNumberingAfterBreak="0">
    <w:nsid w:val="1A4870E0"/>
    <w:multiLevelType w:val="hybridMultilevel"/>
    <w:tmpl w:val="F97CD520"/>
    <w:lvl w:ilvl="0" w:tplc="29F85396">
      <w:start w:val="1"/>
      <w:numFmt w:val="lowerLetter"/>
      <w:lvlText w:val="%1."/>
      <w:lvlJc w:val="left"/>
      <w:pPr>
        <w:ind w:left="2061" w:hanging="360"/>
      </w:pPr>
      <w:rPr>
        <w:rFonts w:hint="default"/>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111" w15:restartNumberingAfterBreak="0">
    <w:nsid w:val="1A9455EB"/>
    <w:multiLevelType w:val="hybridMultilevel"/>
    <w:tmpl w:val="C14C33C2"/>
    <w:lvl w:ilvl="0" w:tplc="C0061A28">
      <w:start w:val="1"/>
      <w:numFmt w:val="lowerLetter"/>
      <w:lvlText w:val="%1)"/>
      <w:lvlJc w:val="left"/>
      <w:pPr>
        <w:ind w:left="3195" w:hanging="360"/>
      </w:pPr>
      <w:rPr>
        <w:rFonts w:hint="default"/>
      </w:rPr>
    </w:lvl>
    <w:lvl w:ilvl="1" w:tplc="38090019" w:tentative="1">
      <w:start w:val="1"/>
      <w:numFmt w:val="lowerLetter"/>
      <w:lvlText w:val="%2."/>
      <w:lvlJc w:val="left"/>
      <w:pPr>
        <w:ind w:left="3915" w:hanging="360"/>
      </w:pPr>
    </w:lvl>
    <w:lvl w:ilvl="2" w:tplc="3809001B" w:tentative="1">
      <w:start w:val="1"/>
      <w:numFmt w:val="lowerRoman"/>
      <w:lvlText w:val="%3."/>
      <w:lvlJc w:val="right"/>
      <w:pPr>
        <w:ind w:left="4635" w:hanging="180"/>
      </w:pPr>
    </w:lvl>
    <w:lvl w:ilvl="3" w:tplc="3809000F" w:tentative="1">
      <w:start w:val="1"/>
      <w:numFmt w:val="decimal"/>
      <w:lvlText w:val="%4."/>
      <w:lvlJc w:val="left"/>
      <w:pPr>
        <w:ind w:left="5355" w:hanging="360"/>
      </w:pPr>
    </w:lvl>
    <w:lvl w:ilvl="4" w:tplc="38090019" w:tentative="1">
      <w:start w:val="1"/>
      <w:numFmt w:val="lowerLetter"/>
      <w:lvlText w:val="%5."/>
      <w:lvlJc w:val="left"/>
      <w:pPr>
        <w:ind w:left="6075" w:hanging="360"/>
      </w:pPr>
    </w:lvl>
    <w:lvl w:ilvl="5" w:tplc="3809001B" w:tentative="1">
      <w:start w:val="1"/>
      <w:numFmt w:val="lowerRoman"/>
      <w:lvlText w:val="%6."/>
      <w:lvlJc w:val="right"/>
      <w:pPr>
        <w:ind w:left="6795" w:hanging="180"/>
      </w:pPr>
    </w:lvl>
    <w:lvl w:ilvl="6" w:tplc="3809000F" w:tentative="1">
      <w:start w:val="1"/>
      <w:numFmt w:val="decimal"/>
      <w:lvlText w:val="%7."/>
      <w:lvlJc w:val="left"/>
      <w:pPr>
        <w:ind w:left="7515" w:hanging="360"/>
      </w:pPr>
    </w:lvl>
    <w:lvl w:ilvl="7" w:tplc="38090019" w:tentative="1">
      <w:start w:val="1"/>
      <w:numFmt w:val="lowerLetter"/>
      <w:lvlText w:val="%8."/>
      <w:lvlJc w:val="left"/>
      <w:pPr>
        <w:ind w:left="8235" w:hanging="360"/>
      </w:pPr>
    </w:lvl>
    <w:lvl w:ilvl="8" w:tplc="3809001B" w:tentative="1">
      <w:start w:val="1"/>
      <w:numFmt w:val="lowerRoman"/>
      <w:lvlText w:val="%9."/>
      <w:lvlJc w:val="right"/>
      <w:pPr>
        <w:ind w:left="8955" w:hanging="180"/>
      </w:pPr>
    </w:lvl>
  </w:abstractNum>
  <w:abstractNum w:abstractNumId="112" w15:restartNumberingAfterBreak="0">
    <w:nsid w:val="1B397EBA"/>
    <w:multiLevelType w:val="hybridMultilevel"/>
    <w:tmpl w:val="6B423458"/>
    <w:lvl w:ilvl="0" w:tplc="7FA8C032">
      <w:start w:val="1"/>
      <w:numFmt w:val="decimal"/>
      <w:lvlText w:val="%1)"/>
      <w:lvlJc w:val="left"/>
      <w:pPr>
        <w:ind w:left="2061" w:hanging="360"/>
      </w:pPr>
      <w:rPr>
        <w:rFonts w:hint="default"/>
        <w:color w:val="000000" w:themeColor="text1"/>
        <w:sz w:val="24"/>
        <w:szCs w:val="24"/>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113" w15:restartNumberingAfterBreak="0">
    <w:nsid w:val="1BEA2839"/>
    <w:multiLevelType w:val="hybridMultilevel"/>
    <w:tmpl w:val="B2D051D6"/>
    <w:lvl w:ilvl="0" w:tplc="D85854EC">
      <w:start w:val="1"/>
      <w:numFmt w:val="decimal"/>
      <w:lvlText w:val="%1)"/>
      <w:lvlJc w:val="left"/>
      <w:pPr>
        <w:ind w:left="888" w:hanging="360"/>
      </w:pPr>
      <w:rPr>
        <w:rFonts w:ascii="Bookman Old Style" w:eastAsia="Bookman Old Style" w:hAnsi="Bookman Old Style" w:cs="Bookman Old Style"/>
        <w:b w:val="0"/>
        <w:bCs w:val="0"/>
        <w:color w:val="auto"/>
        <w:sz w:val="24"/>
        <w:szCs w:val="24"/>
      </w:rPr>
    </w:lvl>
    <w:lvl w:ilvl="1" w:tplc="38090003" w:tentative="1">
      <w:start w:val="1"/>
      <w:numFmt w:val="bullet"/>
      <w:lvlText w:val="o"/>
      <w:lvlJc w:val="left"/>
      <w:pPr>
        <w:ind w:left="1608" w:hanging="360"/>
      </w:pPr>
      <w:rPr>
        <w:rFonts w:ascii="Courier New" w:hAnsi="Courier New" w:cs="Courier New" w:hint="default"/>
      </w:rPr>
    </w:lvl>
    <w:lvl w:ilvl="2" w:tplc="38090005" w:tentative="1">
      <w:start w:val="1"/>
      <w:numFmt w:val="bullet"/>
      <w:lvlText w:val=""/>
      <w:lvlJc w:val="left"/>
      <w:pPr>
        <w:ind w:left="2328" w:hanging="360"/>
      </w:pPr>
      <w:rPr>
        <w:rFonts w:ascii="Wingdings" w:hAnsi="Wingdings" w:hint="default"/>
      </w:rPr>
    </w:lvl>
    <w:lvl w:ilvl="3" w:tplc="38090001" w:tentative="1">
      <w:start w:val="1"/>
      <w:numFmt w:val="bullet"/>
      <w:lvlText w:val=""/>
      <w:lvlJc w:val="left"/>
      <w:pPr>
        <w:ind w:left="3048" w:hanging="360"/>
      </w:pPr>
      <w:rPr>
        <w:rFonts w:ascii="Symbol" w:hAnsi="Symbol" w:hint="default"/>
      </w:rPr>
    </w:lvl>
    <w:lvl w:ilvl="4" w:tplc="38090003" w:tentative="1">
      <w:start w:val="1"/>
      <w:numFmt w:val="bullet"/>
      <w:lvlText w:val="o"/>
      <w:lvlJc w:val="left"/>
      <w:pPr>
        <w:ind w:left="3768" w:hanging="360"/>
      </w:pPr>
      <w:rPr>
        <w:rFonts w:ascii="Courier New" w:hAnsi="Courier New" w:cs="Courier New" w:hint="default"/>
      </w:rPr>
    </w:lvl>
    <w:lvl w:ilvl="5" w:tplc="38090005" w:tentative="1">
      <w:start w:val="1"/>
      <w:numFmt w:val="bullet"/>
      <w:lvlText w:val=""/>
      <w:lvlJc w:val="left"/>
      <w:pPr>
        <w:ind w:left="4488" w:hanging="360"/>
      </w:pPr>
      <w:rPr>
        <w:rFonts w:ascii="Wingdings" w:hAnsi="Wingdings" w:hint="default"/>
      </w:rPr>
    </w:lvl>
    <w:lvl w:ilvl="6" w:tplc="38090001" w:tentative="1">
      <w:start w:val="1"/>
      <w:numFmt w:val="bullet"/>
      <w:lvlText w:val=""/>
      <w:lvlJc w:val="left"/>
      <w:pPr>
        <w:ind w:left="5208" w:hanging="360"/>
      </w:pPr>
      <w:rPr>
        <w:rFonts w:ascii="Symbol" w:hAnsi="Symbol" w:hint="default"/>
      </w:rPr>
    </w:lvl>
    <w:lvl w:ilvl="7" w:tplc="38090003" w:tentative="1">
      <w:start w:val="1"/>
      <w:numFmt w:val="bullet"/>
      <w:lvlText w:val="o"/>
      <w:lvlJc w:val="left"/>
      <w:pPr>
        <w:ind w:left="5928" w:hanging="360"/>
      </w:pPr>
      <w:rPr>
        <w:rFonts w:ascii="Courier New" w:hAnsi="Courier New" w:cs="Courier New" w:hint="default"/>
      </w:rPr>
    </w:lvl>
    <w:lvl w:ilvl="8" w:tplc="38090005" w:tentative="1">
      <w:start w:val="1"/>
      <w:numFmt w:val="bullet"/>
      <w:lvlText w:val=""/>
      <w:lvlJc w:val="left"/>
      <w:pPr>
        <w:ind w:left="6648" w:hanging="360"/>
      </w:pPr>
      <w:rPr>
        <w:rFonts w:ascii="Wingdings" w:hAnsi="Wingdings" w:hint="default"/>
      </w:rPr>
    </w:lvl>
  </w:abstractNum>
  <w:abstractNum w:abstractNumId="114" w15:restartNumberingAfterBreak="0">
    <w:nsid w:val="1C1625FF"/>
    <w:multiLevelType w:val="hybridMultilevel"/>
    <w:tmpl w:val="0AC46BD2"/>
    <w:lvl w:ilvl="0" w:tplc="E5429044">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115" w15:restartNumberingAfterBreak="0">
    <w:nsid w:val="1C1D464E"/>
    <w:multiLevelType w:val="hybridMultilevel"/>
    <w:tmpl w:val="E970F9AA"/>
    <w:lvl w:ilvl="0" w:tplc="B56C64F0">
      <w:start w:val="1"/>
      <w:numFmt w:val="decimal"/>
      <w:lvlText w:val="(%1)"/>
      <w:lvlJc w:val="left"/>
      <w:pPr>
        <w:ind w:left="3762" w:hanging="360"/>
      </w:pPr>
      <w:rPr>
        <w:rFonts w:hint="default"/>
        <w:color w:val="auto"/>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116" w15:restartNumberingAfterBreak="0">
    <w:nsid w:val="1C3D7C68"/>
    <w:multiLevelType w:val="hybridMultilevel"/>
    <w:tmpl w:val="689815D2"/>
    <w:lvl w:ilvl="0" w:tplc="5D307554">
      <w:start w:val="1"/>
      <w:numFmt w:val="lowerLetter"/>
      <w:lvlText w:val="%1."/>
      <w:lvlJc w:val="left"/>
      <w:pPr>
        <w:ind w:left="566" w:hanging="425"/>
      </w:pPr>
      <w:rPr>
        <w:rFonts w:hint="default"/>
        <w:b w:val="0"/>
        <w:bCs w:val="0"/>
        <w:i w:val="0"/>
        <w:iCs w:val="0"/>
        <w:spacing w:val="0"/>
        <w:w w:val="100"/>
        <w:sz w:val="24"/>
        <w:szCs w:val="28"/>
        <w:lang w:val="id" w:eastAsia="en-US" w:bidi="ar-SA"/>
      </w:rPr>
    </w:lvl>
    <w:lvl w:ilvl="1" w:tplc="B06CACBE">
      <w:numFmt w:val="bullet"/>
      <w:lvlText w:val="•"/>
      <w:lvlJc w:val="left"/>
      <w:pPr>
        <w:ind w:left="1294" w:hanging="425"/>
      </w:pPr>
      <w:rPr>
        <w:rFonts w:hint="default"/>
        <w:lang w:val="id" w:eastAsia="en-US" w:bidi="ar-SA"/>
      </w:rPr>
    </w:lvl>
    <w:lvl w:ilvl="2" w:tplc="6DFE395C">
      <w:numFmt w:val="bullet"/>
      <w:lvlText w:val="•"/>
      <w:lvlJc w:val="left"/>
      <w:pPr>
        <w:ind w:left="2028" w:hanging="425"/>
      </w:pPr>
      <w:rPr>
        <w:rFonts w:hint="default"/>
        <w:lang w:val="id" w:eastAsia="en-US" w:bidi="ar-SA"/>
      </w:rPr>
    </w:lvl>
    <w:lvl w:ilvl="3" w:tplc="FB127870">
      <w:numFmt w:val="bullet"/>
      <w:lvlText w:val="•"/>
      <w:lvlJc w:val="left"/>
      <w:pPr>
        <w:ind w:left="2762" w:hanging="425"/>
      </w:pPr>
      <w:rPr>
        <w:rFonts w:hint="default"/>
        <w:lang w:val="id" w:eastAsia="en-US" w:bidi="ar-SA"/>
      </w:rPr>
    </w:lvl>
    <w:lvl w:ilvl="4" w:tplc="C2B66C98">
      <w:numFmt w:val="bullet"/>
      <w:lvlText w:val="•"/>
      <w:lvlJc w:val="left"/>
      <w:pPr>
        <w:ind w:left="3496" w:hanging="425"/>
      </w:pPr>
      <w:rPr>
        <w:rFonts w:hint="default"/>
        <w:lang w:val="id" w:eastAsia="en-US" w:bidi="ar-SA"/>
      </w:rPr>
    </w:lvl>
    <w:lvl w:ilvl="5" w:tplc="7EB0A0CC">
      <w:numFmt w:val="bullet"/>
      <w:lvlText w:val="•"/>
      <w:lvlJc w:val="left"/>
      <w:pPr>
        <w:ind w:left="4230" w:hanging="425"/>
      </w:pPr>
      <w:rPr>
        <w:rFonts w:hint="default"/>
        <w:lang w:val="id" w:eastAsia="en-US" w:bidi="ar-SA"/>
      </w:rPr>
    </w:lvl>
    <w:lvl w:ilvl="6" w:tplc="448C2BFE">
      <w:numFmt w:val="bullet"/>
      <w:lvlText w:val="•"/>
      <w:lvlJc w:val="left"/>
      <w:pPr>
        <w:ind w:left="4964" w:hanging="425"/>
      </w:pPr>
      <w:rPr>
        <w:rFonts w:hint="default"/>
        <w:lang w:val="id" w:eastAsia="en-US" w:bidi="ar-SA"/>
      </w:rPr>
    </w:lvl>
    <w:lvl w:ilvl="7" w:tplc="09EABF3A">
      <w:numFmt w:val="bullet"/>
      <w:lvlText w:val="•"/>
      <w:lvlJc w:val="left"/>
      <w:pPr>
        <w:ind w:left="5698" w:hanging="425"/>
      </w:pPr>
      <w:rPr>
        <w:rFonts w:hint="default"/>
        <w:lang w:val="id" w:eastAsia="en-US" w:bidi="ar-SA"/>
      </w:rPr>
    </w:lvl>
    <w:lvl w:ilvl="8" w:tplc="CF1A8CB2">
      <w:numFmt w:val="bullet"/>
      <w:lvlText w:val="•"/>
      <w:lvlJc w:val="left"/>
      <w:pPr>
        <w:ind w:left="6432" w:hanging="425"/>
      </w:pPr>
      <w:rPr>
        <w:rFonts w:hint="default"/>
        <w:lang w:val="id" w:eastAsia="en-US" w:bidi="ar-SA"/>
      </w:rPr>
    </w:lvl>
  </w:abstractNum>
  <w:abstractNum w:abstractNumId="117" w15:restartNumberingAfterBreak="0">
    <w:nsid w:val="1C6B75E1"/>
    <w:multiLevelType w:val="multilevel"/>
    <w:tmpl w:val="FD5C352A"/>
    <w:lvl w:ilvl="0">
      <w:start w:val="2"/>
      <w:numFmt w:val="upperLetter"/>
      <w:lvlText w:val="%1."/>
      <w:lvlJc w:val="left"/>
      <w:pPr>
        <w:ind w:left="3474" w:hanging="360"/>
      </w:pPr>
    </w:lvl>
    <w:lvl w:ilvl="1">
      <w:start w:val="1"/>
      <w:numFmt w:val="lowerLetter"/>
      <w:lvlText w:val="%2)"/>
      <w:lvlJc w:val="left"/>
      <w:pPr>
        <w:ind w:left="3195"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 w15:restartNumberingAfterBreak="0">
    <w:nsid w:val="1D0B54F5"/>
    <w:multiLevelType w:val="hybridMultilevel"/>
    <w:tmpl w:val="FE6C22B8"/>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119" w15:restartNumberingAfterBreak="0">
    <w:nsid w:val="1D1E3D7C"/>
    <w:multiLevelType w:val="hybridMultilevel"/>
    <w:tmpl w:val="70BAEB38"/>
    <w:lvl w:ilvl="0" w:tplc="CAAE104C">
      <w:start w:val="1"/>
      <w:numFmt w:val="decimal"/>
      <w:lvlText w:val="%1)"/>
      <w:lvlJc w:val="left"/>
      <w:pPr>
        <w:ind w:left="2628" w:hanging="360"/>
      </w:pPr>
      <w:rPr>
        <w:rFonts w:hint="default"/>
      </w:rPr>
    </w:lvl>
    <w:lvl w:ilvl="1" w:tplc="38090019" w:tentative="1">
      <w:start w:val="1"/>
      <w:numFmt w:val="lowerLetter"/>
      <w:lvlText w:val="%2."/>
      <w:lvlJc w:val="left"/>
      <w:pPr>
        <w:ind w:left="3348" w:hanging="360"/>
      </w:pPr>
    </w:lvl>
    <w:lvl w:ilvl="2" w:tplc="3809001B" w:tentative="1">
      <w:start w:val="1"/>
      <w:numFmt w:val="lowerRoman"/>
      <w:lvlText w:val="%3."/>
      <w:lvlJc w:val="right"/>
      <w:pPr>
        <w:ind w:left="4068" w:hanging="180"/>
      </w:pPr>
    </w:lvl>
    <w:lvl w:ilvl="3" w:tplc="3809000F" w:tentative="1">
      <w:start w:val="1"/>
      <w:numFmt w:val="decimal"/>
      <w:lvlText w:val="%4."/>
      <w:lvlJc w:val="left"/>
      <w:pPr>
        <w:ind w:left="4788" w:hanging="360"/>
      </w:pPr>
    </w:lvl>
    <w:lvl w:ilvl="4" w:tplc="38090019" w:tentative="1">
      <w:start w:val="1"/>
      <w:numFmt w:val="lowerLetter"/>
      <w:lvlText w:val="%5."/>
      <w:lvlJc w:val="left"/>
      <w:pPr>
        <w:ind w:left="5508" w:hanging="360"/>
      </w:pPr>
    </w:lvl>
    <w:lvl w:ilvl="5" w:tplc="3809001B" w:tentative="1">
      <w:start w:val="1"/>
      <w:numFmt w:val="lowerRoman"/>
      <w:lvlText w:val="%6."/>
      <w:lvlJc w:val="right"/>
      <w:pPr>
        <w:ind w:left="6228" w:hanging="180"/>
      </w:pPr>
    </w:lvl>
    <w:lvl w:ilvl="6" w:tplc="3809000F" w:tentative="1">
      <w:start w:val="1"/>
      <w:numFmt w:val="decimal"/>
      <w:lvlText w:val="%7."/>
      <w:lvlJc w:val="left"/>
      <w:pPr>
        <w:ind w:left="6948" w:hanging="360"/>
      </w:pPr>
    </w:lvl>
    <w:lvl w:ilvl="7" w:tplc="38090019" w:tentative="1">
      <w:start w:val="1"/>
      <w:numFmt w:val="lowerLetter"/>
      <w:lvlText w:val="%8."/>
      <w:lvlJc w:val="left"/>
      <w:pPr>
        <w:ind w:left="7668" w:hanging="360"/>
      </w:pPr>
    </w:lvl>
    <w:lvl w:ilvl="8" w:tplc="3809001B" w:tentative="1">
      <w:start w:val="1"/>
      <w:numFmt w:val="lowerRoman"/>
      <w:lvlText w:val="%9."/>
      <w:lvlJc w:val="right"/>
      <w:pPr>
        <w:ind w:left="8388" w:hanging="180"/>
      </w:pPr>
    </w:lvl>
  </w:abstractNum>
  <w:abstractNum w:abstractNumId="120" w15:restartNumberingAfterBreak="0">
    <w:nsid w:val="1D8941A3"/>
    <w:multiLevelType w:val="hybridMultilevel"/>
    <w:tmpl w:val="2D8E00C2"/>
    <w:lvl w:ilvl="0" w:tplc="84E48D32">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121" w15:restartNumberingAfterBreak="0">
    <w:nsid w:val="1DB6755D"/>
    <w:multiLevelType w:val="hybridMultilevel"/>
    <w:tmpl w:val="97AC137C"/>
    <w:lvl w:ilvl="0" w:tplc="3809001B">
      <w:start w:val="1"/>
      <w:numFmt w:val="lowerRoman"/>
      <w:lvlText w:val="%1."/>
      <w:lvlJc w:val="right"/>
      <w:pPr>
        <w:ind w:left="5256" w:hanging="360"/>
      </w:pPr>
    </w:lvl>
    <w:lvl w:ilvl="1" w:tplc="38090019" w:tentative="1">
      <w:start w:val="1"/>
      <w:numFmt w:val="lowerLetter"/>
      <w:lvlText w:val="%2."/>
      <w:lvlJc w:val="left"/>
      <w:pPr>
        <w:ind w:left="5976" w:hanging="360"/>
      </w:pPr>
    </w:lvl>
    <w:lvl w:ilvl="2" w:tplc="3809001B" w:tentative="1">
      <w:start w:val="1"/>
      <w:numFmt w:val="lowerRoman"/>
      <w:lvlText w:val="%3."/>
      <w:lvlJc w:val="right"/>
      <w:pPr>
        <w:ind w:left="6696" w:hanging="180"/>
      </w:pPr>
    </w:lvl>
    <w:lvl w:ilvl="3" w:tplc="3809000F" w:tentative="1">
      <w:start w:val="1"/>
      <w:numFmt w:val="decimal"/>
      <w:lvlText w:val="%4."/>
      <w:lvlJc w:val="left"/>
      <w:pPr>
        <w:ind w:left="7416" w:hanging="360"/>
      </w:pPr>
    </w:lvl>
    <w:lvl w:ilvl="4" w:tplc="38090019" w:tentative="1">
      <w:start w:val="1"/>
      <w:numFmt w:val="lowerLetter"/>
      <w:lvlText w:val="%5."/>
      <w:lvlJc w:val="left"/>
      <w:pPr>
        <w:ind w:left="8136" w:hanging="360"/>
      </w:pPr>
    </w:lvl>
    <w:lvl w:ilvl="5" w:tplc="3809001B" w:tentative="1">
      <w:start w:val="1"/>
      <w:numFmt w:val="lowerRoman"/>
      <w:lvlText w:val="%6."/>
      <w:lvlJc w:val="right"/>
      <w:pPr>
        <w:ind w:left="8856" w:hanging="180"/>
      </w:pPr>
    </w:lvl>
    <w:lvl w:ilvl="6" w:tplc="3809000F" w:tentative="1">
      <w:start w:val="1"/>
      <w:numFmt w:val="decimal"/>
      <w:lvlText w:val="%7."/>
      <w:lvlJc w:val="left"/>
      <w:pPr>
        <w:ind w:left="9576" w:hanging="360"/>
      </w:pPr>
    </w:lvl>
    <w:lvl w:ilvl="7" w:tplc="38090019" w:tentative="1">
      <w:start w:val="1"/>
      <w:numFmt w:val="lowerLetter"/>
      <w:lvlText w:val="%8."/>
      <w:lvlJc w:val="left"/>
      <w:pPr>
        <w:ind w:left="10296" w:hanging="360"/>
      </w:pPr>
    </w:lvl>
    <w:lvl w:ilvl="8" w:tplc="3809001B" w:tentative="1">
      <w:start w:val="1"/>
      <w:numFmt w:val="lowerRoman"/>
      <w:lvlText w:val="%9."/>
      <w:lvlJc w:val="right"/>
      <w:pPr>
        <w:ind w:left="11016" w:hanging="180"/>
      </w:pPr>
    </w:lvl>
  </w:abstractNum>
  <w:abstractNum w:abstractNumId="122" w15:restartNumberingAfterBreak="0">
    <w:nsid w:val="1E037D29"/>
    <w:multiLevelType w:val="multilevel"/>
    <w:tmpl w:val="AB4031BC"/>
    <w:lvl w:ilvl="0">
      <w:numFmt w:val="bullet"/>
      <w:lvlText w:val="●"/>
      <w:lvlJc w:val="left"/>
      <w:pPr>
        <w:ind w:left="566" w:hanging="369"/>
      </w:pPr>
      <w:rPr>
        <w:rFonts w:ascii="Noto Sans Symbols" w:eastAsia="Noto Sans Symbols" w:hAnsi="Noto Sans Symbols" w:cs="Noto Sans Symbols"/>
        <w:sz w:val="22"/>
        <w:szCs w:val="22"/>
      </w:rPr>
    </w:lvl>
    <w:lvl w:ilvl="1">
      <w:numFmt w:val="bullet"/>
      <w:lvlText w:val="•"/>
      <w:lvlJc w:val="left"/>
      <w:pPr>
        <w:ind w:left="1565" w:hanging="369"/>
      </w:pPr>
    </w:lvl>
    <w:lvl w:ilvl="2">
      <w:numFmt w:val="bullet"/>
      <w:lvlText w:val="•"/>
      <w:lvlJc w:val="left"/>
      <w:pPr>
        <w:ind w:left="2571" w:hanging="369"/>
      </w:pPr>
    </w:lvl>
    <w:lvl w:ilvl="3">
      <w:numFmt w:val="bullet"/>
      <w:lvlText w:val="•"/>
      <w:lvlJc w:val="left"/>
      <w:pPr>
        <w:ind w:left="3576" w:hanging="368"/>
      </w:pPr>
    </w:lvl>
    <w:lvl w:ilvl="4">
      <w:numFmt w:val="bullet"/>
      <w:lvlText w:val="•"/>
      <w:lvlJc w:val="left"/>
      <w:pPr>
        <w:ind w:left="4582" w:hanging="369"/>
      </w:pPr>
    </w:lvl>
    <w:lvl w:ilvl="5">
      <w:numFmt w:val="bullet"/>
      <w:lvlText w:val="•"/>
      <w:lvlJc w:val="left"/>
      <w:pPr>
        <w:ind w:left="5587" w:hanging="368"/>
      </w:pPr>
    </w:lvl>
    <w:lvl w:ilvl="6">
      <w:numFmt w:val="bullet"/>
      <w:lvlText w:val="•"/>
      <w:lvlJc w:val="left"/>
      <w:pPr>
        <w:ind w:left="6593" w:hanging="369"/>
      </w:pPr>
    </w:lvl>
    <w:lvl w:ilvl="7">
      <w:numFmt w:val="bullet"/>
      <w:lvlText w:val="•"/>
      <w:lvlJc w:val="left"/>
      <w:pPr>
        <w:ind w:left="7598" w:hanging="369"/>
      </w:pPr>
    </w:lvl>
    <w:lvl w:ilvl="8">
      <w:numFmt w:val="bullet"/>
      <w:lvlText w:val="•"/>
      <w:lvlJc w:val="left"/>
      <w:pPr>
        <w:ind w:left="8604" w:hanging="369"/>
      </w:pPr>
    </w:lvl>
  </w:abstractNum>
  <w:abstractNum w:abstractNumId="123" w15:restartNumberingAfterBreak="0">
    <w:nsid w:val="1EAA1C76"/>
    <w:multiLevelType w:val="hybridMultilevel"/>
    <w:tmpl w:val="02688E76"/>
    <w:lvl w:ilvl="0" w:tplc="38F8CD86">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124" w15:restartNumberingAfterBreak="0">
    <w:nsid w:val="1EFC58F3"/>
    <w:multiLevelType w:val="hybridMultilevel"/>
    <w:tmpl w:val="A9AE0BB8"/>
    <w:lvl w:ilvl="0" w:tplc="F65A5C20">
      <w:start w:val="1"/>
      <w:numFmt w:val="lowerLetter"/>
      <w:lvlText w:val="%1."/>
      <w:lvlJc w:val="left"/>
      <w:pPr>
        <w:ind w:left="2061" w:hanging="360"/>
      </w:pPr>
      <w:rPr>
        <w:rFonts w:hint="default"/>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125" w15:restartNumberingAfterBreak="0">
    <w:nsid w:val="200A4EFF"/>
    <w:multiLevelType w:val="hybridMultilevel"/>
    <w:tmpl w:val="AFF602AC"/>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126" w15:restartNumberingAfterBreak="0">
    <w:nsid w:val="208E1B5E"/>
    <w:multiLevelType w:val="hybridMultilevel"/>
    <w:tmpl w:val="7A78B00E"/>
    <w:lvl w:ilvl="0" w:tplc="FFFFFFFF">
      <w:start w:val="1"/>
      <w:numFmt w:val="upperRoman"/>
      <w:lvlText w:val="%1."/>
      <w:lvlJc w:val="righ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27" w15:restartNumberingAfterBreak="0">
    <w:nsid w:val="20AC2CBF"/>
    <w:multiLevelType w:val="hybridMultilevel"/>
    <w:tmpl w:val="E47609A0"/>
    <w:lvl w:ilvl="0" w:tplc="170A3AA2">
      <w:start w:val="1"/>
      <w:numFmt w:val="decimal"/>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128" w15:restartNumberingAfterBreak="0">
    <w:nsid w:val="20C72E1E"/>
    <w:multiLevelType w:val="multilevel"/>
    <w:tmpl w:val="507AEA94"/>
    <w:lvl w:ilvl="0">
      <w:start w:val="1"/>
      <w:numFmt w:val="upperRoman"/>
      <w:lvlText w:val="%1"/>
      <w:lvlJc w:val="left"/>
      <w:pPr>
        <w:ind w:left="834" w:hanging="577"/>
      </w:pPr>
    </w:lvl>
    <w:lvl w:ilvl="1">
      <w:start w:val="1"/>
      <w:numFmt w:val="upperLetter"/>
      <w:lvlText w:val="%1.%2"/>
      <w:lvlJc w:val="left"/>
      <w:pPr>
        <w:ind w:left="834" w:hanging="577"/>
      </w:pPr>
      <w:rPr>
        <w:rFonts w:ascii="Cambria" w:eastAsia="Cambria" w:hAnsi="Cambria" w:cs="Cambria"/>
        <w:b/>
        <w:bCs/>
        <w:sz w:val="22"/>
        <w:szCs w:val="22"/>
      </w:rPr>
    </w:lvl>
    <w:lvl w:ilvl="2">
      <w:start w:val="1"/>
      <w:numFmt w:val="decimal"/>
      <w:lvlText w:val="%3."/>
      <w:lvlJc w:val="left"/>
      <w:pPr>
        <w:ind w:left="919" w:hanging="352"/>
      </w:pPr>
      <w:rPr>
        <w:rFonts w:ascii="Bookman Old Style" w:eastAsia="Cambria" w:hAnsi="Bookman Old Style" w:cs="Cambria" w:hint="default"/>
        <w:b w:val="0"/>
        <w:bCs w:val="0"/>
        <w:sz w:val="24"/>
        <w:szCs w:val="24"/>
      </w:rPr>
    </w:lvl>
    <w:lvl w:ilvl="3">
      <w:numFmt w:val="bullet"/>
      <w:lvlText w:val="•"/>
      <w:lvlJc w:val="left"/>
      <w:pPr>
        <w:ind w:left="4372" w:hanging="352"/>
      </w:pPr>
    </w:lvl>
    <w:lvl w:ilvl="4">
      <w:numFmt w:val="bullet"/>
      <w:lvlText w:val="•"/>
      <w:lvlJc w:val="left"/>
      <w:pPr>
        <w:ind w:left="5929" w:hanging="352"/>
      </w:pPr>
    </w:lvl>
    <w:lvl w:ilvl="5">
      <w:numFmt w:val="bullet"/>
      <w:lvlText w:val="•"/>
      <w:lvlJc w:val="left"/>
      <w:pPr>
        <w:ind w:left="7485" w:hanging="352"/>
      </w:pPr>
    </w:lvl>
    <w:lvl w:ilvl="6">
      <w:numFmt w:val="bullet"/>
      <w:lvlText w:val="•"/>
      <w:lvlJc w:val="left"/>
      <w:pPr>
        <w:ind w:left="9042" w:hanging="352"/>
      </w:pPr>
    </w:lvl>
    <w:lvl w:ilvl="7">
      <w:numFmt w:val="bullet"/>
      <w:lvlText w:val="•"/>
      <w:lvlJc w:val="left"/>
      <w:pPr>
        <w:ind w:left="10598" w:hanging="352"/>
      </w:pPr>
    </w:lvl>
    <w:lvl w:ilvl="8">
      <w:numFmt w:val="bullet"/>
      <w:lvlText w:val="•"/>
      <w:lvlJc w:val="left"/>
      <w:pPr>
        <w:ind w:left="12155" w:hanging="352"/>
      </w:pPr>
    </w:lvl>
  </w:abstractNum>
  <w:abstractNum w:abstractNumId="129" w15:restartNumberingAfterBreak="0">
    <w:nsid w:val="21586A59"/>
    <w:multiLevelType w:val="hybridMultilevel"/>
    <w:tmpl w:val="F6FCE3D0"/>
    <w:lvl w:ilvl="0" w:tplc="22AC7CE6">
      <w:start w:val="1"/>
      <w:numFmt w:val="upp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30" w15:restartNumberingAfterBreak="0">
    <w:nsid w:val="217D6437"/>
    <w:multiLevelType w:val="hybridMultilevel"/>
    <w:tmpl w:val="0FF808F0"/>
    <w:lvl w:ilvl="0" w:tplc="35E4BF48">
      <w:start w:val="1"/>
      <w:numFmt w:val="decimal"/>
      <w:lvlText w:val="%1."/>
      <w:lvlJc w:val="left"/>
      <w:pPr>
        <w:ind w:left="720" w:hanging="360"/>
      </w:pPr>
      <w:rPr>
        <w:rFonts w:hint="default"/>
        <w:b w:val="0"/>
        <w:bCs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1" w15:restartNumberingAfterBreak="0">
    <w:nsid w:val="219450B2"/>
    <w:multiLevelType w:val="hybridMultilevel"/>
    <w:tmpl w:val="07CA17FE"/>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132" w15:restartNumberingAfterBreak="0">
    <w:nsid w:val="21A020F0"/>
    <w:multiLevelType w:val="hybridMultilevel"/>
    <w:tmpl w:val="2FF2D7DE"/>
    <w:lvl w:ilvl="0" w:tplc="E1B69100">
      <w:start w:val="1"/>
      <w:numFmt w:val="lowerLetter"/>
      <w:lvlText w:val="%1."/>
      <w:lvlJc w:val="left"/>
      <w:pPr>
        <w:ind w:left="2061" w:hanging="360"/>
      </w:pPr>
      <w:rPr>
        <w:rFonts w:hint="default"/>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133" w15:restartNumberingAfterBreak="0">
    <w:nsid w:val="2221088A"/>
    <w:multiLevelType w:val="hybridMultilevel"/>
    <w:tmpl w:val="C23AA246"/>
    <w:lvl w:ilvl="0" w:tplc="DAEE8DA6">
      <w:start w:val="1"/>
      <w:numFmt w:val="decimal"/>
      <w:lvlText w:val="(%1)"/>
      <w:lvlJc w:val="left"/>
      <w:pPr>
        <w:ind w:left="3807" w:hanging="360"/>
      </w:pPr>
      <w:rPr>
        <w:rFonts w:hint="default"/>
      </w:rPr>
    </w:lvl>
    <w:lvl w:ilvl="1" w:tplc="38090019" w:tentative="1">
      <w:start w:val="1"/>
      <w:numFmt w:val="lowerLetter"/>
      <w:lvlText w:val="%2."/>
      <w:lvlJc w:val="left"/>
      <w:pPr>
        <w:ind w:left="4527" w:hanging="360"/>
      </w:pPr>
    </w:lvl>
    <w:lvl w:ilvl="2" w:tplc="3809001B" w:tentative="1">
      <w:start w:val="1"/>
      <w:numFmt w:val="lowerRoman"/>
      <w:lvlText w:val="%3."/>
      <w:lvlJc w:val="right"/>
      <w:pPr>
        <w:ind w:left="5247" w:hanging="180"/>
      </w:pPr>
    </w:lvl>
    <w:lvl w:ilvl="3" w:tplc="3809000F" w:tentative="1">
      <w:start w:val="1"/>
      <w:numFmt w:val="decimal"/>
      <w:lvlText w:val="%4."/>
      <w:lvlJc w:val="left"/>
      <w:pPr>
        <w:ind w:left="5967" w:hanging="360"/>
      </w:pPr>
    </w:lvl>
    <w:lvl w:ilvl="4" w:tplc="38090019" w:tentative="1">
      <w:start w:val="1"/>
      <w:numFmt w:val="lowerLetter"/>
      <w:lvlText w:val="%5."/>
      <w:lvlJc w:val="left"/>
      <w:pPr>
        <w:ind w:left="6687" w:hanging="360"/>
      </w:pPr>
    </w:lvl>
    <w:lvl w:ilvl="5" w:tplc="3809001B" w:tentative="1">
      <w:start w:val="1"/>
      <w:numFmt w:val="lowerRoman"/>
      <w:lvlText w:val="%6."/>
      <w:lvlJc w:val="right"/>
      <w:pPr>
        <w:ind w:left="7407" w:hanging="180"/>
      </w:pPr>
    </w:lvl>
    <w:lvl w:ilvl="6" w:tplc="3809000F" w:tentative="1">
      <w:start w:val="1"/>
      <w:numFmt w:val="decimal"/>
      <w:lvlText w:val="%7."/>
      <w:lvlJc w:val="left"/>
      <w:pPr>
        <w:ind w:left="8127" w:hanging="360"/>
      </w:pPr>
    </w:lvl>
    <w:lvl w:ilvl="7" w:tplc="38090019" w:tentative="1">
      <w:start w:val="1"/>
      <w:numFmt w:val="lowerLetter"/>
      <w:lvlText w:val="%8."/>
      <w:lvlJc w:val="left"/>
      <w:pPr>
        <w:ind w:left="8847" w:hanging="360"/>
      </w:pPr>
    </w:lvl>
    <w:lvl w:ilvl="8" w:tplc="3809001B" w:tentative="1">
      <w:start w:val="1"/>
      <w:numFmt w:val="lowerRoman"/>
      <w:lvlText w:val="%9."/>
      <w:lvlJc w:val="right"/>
      <w:pPr>
        <w:ind w:left="9567" w:hanging="180"/>
      </w:pPr>
    </w:lvl>
  </w:abstractNum>
  <w:abstractNum w:abstractNumId="134" w15:restartNumberingAfterBreak="0">
    <w:nsid w:val="2247485F"/>
    <w:multiLevelType w:val="multilevel"/>
    <w:tmpl w:val="9A2034CC"/>
    <w:lvl w:ilvl="0">
      <w:start w:val="1"/>
      <w:numFmt w:val="lowerLetter"/>
      <w:lvlText w:val="%1)"/>
      <w:lvlJc w:val="left"/>
      <w:pPr>
        <w:ind w:left="117" w:hanging="368"/>
      </w:pPr>
      <w:rPr>
        <w:rFonts w:ascii="Bookman Old Style" w:eastAsia="Bookman Old Style" w:hAnsi="Bookman Old Style" w:cs="Bookman Old Style" w:hint="default"/>
        <w:strike w:val="0"/>
        <w:color w:val="auto"/>
        <w:sz w:val="24"/>
        <w:szCs w:val="24"/>
      </w:rPr>
    </w:lvl>
    <w:lvl w:ilvl="1">
      <w:numFmt w:val="bullet"/>
      <w:lvlText w:val="•"/>
      <w:lvlJc w:val="left"/>
      <w:pPr>
        <w:ind w:left="448" w:hanging="368"/>
      </w:pPr>
      <w:rPr>
        <w:rFonts w:hint="default"/>
      </w:rPr>
    </w:lvl>
    <w:lvl w:ilvl="2">
      <w:numFmt w:val="bullet"/>
      <w:lvlText w:val="•"/>
      <w:lvlJc w:val="left"/>
      <w:pPr>
        <w:ind w:left="777" w:hanging="367"/>
      </w:pPr>
      <w:rPr>
        <w:rFonts w:hint="default"/>
      </w:rPr>
    </w:lvl>
    <w:lvl w:ilvl="3">
      <w:numFmt w:val="bullet"/>
      <w:lvlText w:val="•"/>
      <w:lvlJc w:val="left"/>
      <w:pPr>
        <w:ind w:left="1106" w:hanging="368"/>
      </w:pPr>
      <w:rPr>
        <w:rFonts w:hint="default"/>
      </w:rPr>
    </w:lvl>
    <w:lvl w:ilvl="4">
      <w:numFmt w:val="bullet"/>
      <w:lvlText w:val="•"/>
      <w:lvlJc w:val="left"/>
      <w:pPr>
        <w:ind w:left="1435" w:hanging="368"/>
      </w:pPr>
      <w:rPr>
        <w:rFonts w:hint="default"/>
      </w:rPr>
    </w:lvl>
    <w:lvl w:ilvl="5">
      <w:numFmt w:val="bullet"/>
      <w:lvlText w:val="•"/>
      <w:lvlJc w:val="left"/>
      <w:pPr>
        <w:ind w:left="1764" w:hanging="367"/>
      </w:pPr>
      <w:rPr>
        <w:rFonts w:hint="default"/>
      </w:rPr>
    </w:lvl>
    <w:lvl w:ilvl="6">
      <w:numFmt w:val="bullet"/>
      <w:lvlText w:val="•"/>
      <w:lvlJc w:val="left"/>
      <w:pPr>
        <w:ind w:left="2092" w:hanging="368"/>
      </w:pPr>
      <w:rPr>
        <w:rFonts w:hint="default"/>
      </w:rPr>
    </w:lvl>
    <w:lvl w:ilvl="7">
      <w:numFmt w:val="bullet"/>
      <w:lvlText w:val="•"/>
      <w:lvlJc w:val="left"/>
      <w:pPr>
        <w:ind w:left="2421" w:hanging="368"/>
      </w:pPr>
      <w:rPr>
        <w:rFonts w:hint="default"/>
      </w:rPr>
    </w:lvl>
    <w:lvl w:ilvl="8">
      <w:numFmt w:val="bullet"/>
      <w:lvlText w:val="•"/>
      <w:lvlJc w:val="left"/>
      <w:pPr>
        <w:ind w:left="2750" w:hanging="368"/>
      </w:pPr>
      <w:rPr>
        <w:rFonts w:hint="default"/>
      </w:rPr>
    </w:lvl>
  </w:abstractNum>
  <w:abstractNum w:abstractNumId="135" w15:restartNumberingAfterBreak="0">
    <w:nsid w:val="22710803"/>
    <w:multiLevelType w:val="hybridMultilevel"/>
    <w:tmpl w:val="952663BE"/>
    <w:lvl w:ilvl="0" w:tplc="CA4E972C">
      <w:start w:val="1"/>
      <w:numFmt w:val="lowerLetter"/>
      <w:lvlText w:val="%1."/>
      <w:lvlJc w:val="left"/>
      <w:pPr>
        <w:ind w:left="2061" w:hanging="360"/>
      </w:pPr>
      <w:rPr>
        <w:rFonts w:hint="default"/>
        <w:color w:val="000000" w:themeColor="text1"/>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136" w15:restartNumberingAfterBreak="0">
    <w:nsid w:val="22C46B69"/>
    <w:multiLevelType w:val="hybridMultilevel"/>
    <w:tmpl w:val="7DFA46DA"/>
    <w:lvl w:ilvl="0" w:tplc="414688BE">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137" w15:restartNumberingAfterBreak="0">
    <w:nsid w:val="22CA5AF6"/>
    <w:multiLevelType w:val="hybridMultilevel"/>
    <w:tmpl w:val="A62441C6"/>
    <w:lvl w:ilvl="0" w:tplc="5316F23C">
      <w:start w:val="1"/>
      <w:numFmt w:val="lowerLetter"/>
      <w:lvlText w:val="%1."/>
      <w:lvlJc w:val="left"/>
      <w:pPr>
        <w:ind w:left="2061" w:hanging="360"/>
      </w:pPr>
      <w:rPr>
        <w:rFonts w:hint="default"/>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138" w15:restartNumberingAfterBreak="0">
    <w:nsid w:val="22E60B5E"/>
    <w:multiLevelType w:val="multilevel"/>
    <w:tmpl w:val="8C4A95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9" w15:restartNumberingAfterBreak="0">
    <w:nsid w:val="2342665A"/>
    <w:multiLevelType w:val="multilevel"/>
    <w:tmpl w:val="CEE6C64C"/>
    <w:lvl w:ilvl="0">
      <w:numFmt w:val="bullet"/>
      <w:pStyle w:val="ayatt"/>
      <w:lvlText w:val="•"/>
      <w:lvlJc w:val="left"/>
      <w:pPr>
        <w:ind w:left="294" w:hanging="176"/>
      </w:pPr>
      <w:rPr>
        <w:rFonts w:ascii="Cambria" w:eastAsia="Cambria" w:hAnsi="Cambria" w:cs="Cambria"/>
        <w:sz w:val="22"/>
        <w:szCs w:val="22"/>
      </w:rPr>
    </w:lvl>
    <w:lvl w:ilvl="1">
      <w:numFmt w:val="bullet"/>
      <w:lvlText w:val="•"/>
      <w:lvlJc w:val="left"/>
      <w:pPr>
        <w:ind w:left="1019" w:hanging="175"/>
      </w:pPr>
    </w:lvl>
    <w:lvl w:ilvl="2">
      <w:numFmt w:val="bullet"/>
      <w:lvlText w:val="•"/>
      <w:lvlJc w:val="left"/>
      <w:pPr>
        <w:ind w:left="1738" w:hanging="175"/>
      </w:pPr>
    </w:lvl>
    <w:lvl w:ilvl="3">
      <w:numFmt w:val="bullet"/>
      <w:lvlText w:val="•"/>
      <w:lvlJc w:val="left"/>
      <w:pPr>
        <w:ind w:left="2457" w:hanging="176"/>
      </w:pPr>
    </w:lvl>
    <w:lvl w:ilvl="4">
      <w:numFmt w:val="bullet"/>
      <w:lvlText w:val="•"/>
      <w:lvlJc w:val="left"/>
      <w:pPr>
        <w:ind w:left="3176" w:hanging="176"/>
      </w:pPr>
    </w:lvl>
    <w:lvl w:ilvl="5">
      <w:numFmt w:val="bullet"/>
      <w:lvlText w:val="•"/>
      <w:lvlJc w:val="left"/>
      <w:pPr>
        <w:ind w:left="3895" w:hanging="176"/>
      </w:pPr>
    </w:lvl>
    <w:lvl w:ilvl="6">
      <w:numFmt w:val="bullet"/>
      <w:lvlText w:val="•"/>
      <w:lvlJc w:val="left"/>
      <w:pPr>
        <w:ind w:left="4614" w:hanging="176"/>
      </w:pPr>
    </w:lvl>
    <w:lvl w:ilvl="7">
      <w:numFmt w:val="bullet"/>
      <w:lvlText w:val="•"/>
      <w:lvlJc w:val="left"/>
      <w:pPr>
        <w:ind w:left="5333" w:hanging="176"/>
      </w:pPr>
    </w:lvl>
    <w:lvl w:ilvl="8">
      <w:numFmt w:val="bullet"/>
      <w:lvlText w:val="•"/>
      <w:lvlJc w:val="left"/>
      <w:pPr>
        <w:ind w:left="6052" w:hanging="176"/>
      </w:pPr>
    </w:lvl>
  </w:abstractNum>
  <w:abstractNum w:abstractNumId="140" w15:restartNumberingAfterBreak="0">
    <w:nsid w:val="23483BF3"/>
    <w:multiLevelType w:val="hybridMultilevel"/>
    <w:tmpl w:val="4330F44E"/>
    <w:lvl w:ilvl="0" w:tplc="38090011">
      <w:start w:val="1"/>
      <w:numFmt w:val="decimal"/>
      <w:lvlText w:val="%1)"/>
      <w:lvlJc w:val="left"/>
      <w:pPr>
        <w:ind w:left="720" w:hanging="360"/>
      </w:pPr>
      <w:rPr>
        <w:b w:val="0"/>
        <w:bCs w:val="0"/>
        <w:i w:val="0"/>
        <w:iCs w:val="0"/>
        <w:strike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1" w15:restartNumberingAfterBreak="0">
    <w:nsid w:val="23983896"/>
    <w:multiLevelType w:val="hybridMultilevel"/>
    <w:tmpl w:val="6E504FAE"/>
    <w:lvl w:ilvl="0" w:tplc="3C3E7290">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142" w15:restartNumberingAfterBreak="0">
    <w:nsid w:val="23B45B0F"/>
    <w:multiLevelType w:val="hybridMultilevel"/>
    <w:tmpl w:val="4BA45E92"/>
    <w:lvl w:ilvl="0" w:tplc="A5CE488A">
      <w:start w:val="1"/>
      <w:numFmt w:val="upperLetter"/>
      <w:lvlText w:val="%1."/>
      <w:lvlJc w:val="left"/>
      <w:pPr>
        <w:ind w:left="5967"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3" w15:restartNumberingAfterBreak="0">
    <w:nsid w:val="23D32115"/>
    <w:multiLevelType w:val="hybridMultilevel"/>
    <w:tmpl w:val="137E28C6"/>
    <w:lvl w:ilvl="0" w:tplc="40E26996">
      <w:start w:val="1"/>
      <w:numFmt w:val="upp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44" w15:restartNumberingAfterBreak="0">
    <w:nsid w:val="23FC46BD"/>
    <w:multiLevelType w:val="hybridMultilevel"/>
    <w:tmpl w:val="90800990"/>
    <w:lvl w:ilvl="0" w:tplc="1D84A91E">
      <w:start w:val="1"/>
      <w:numFmt w:val="lowerLetter"/>
      <w:lvlText w:val="(%1)"/>
      <w:lvlJc w:val="left"/>
      <w:pPr>
        <w:ind w:left="4374" w:hanging="360"/>
      </w:pPr>
      <w:rPr>
        <w:rFonts w:hint="default"/>
      </w:rPr>
    </w:lvl>
    <w:lvl w:ilvl="1" w:tplc="38090019" w:tentative="1">
      <w:start w:val="1"/>
      <w:numFmt w:val="lowerLetter"/>
      <w:lvlText w:val="%2."/>
      <w:lvlJc w:val="left"/>
      <w:pPr>
        <w:ind w:left="5094" w:hanging="360"/>
      </w:pPr>
    </w:lvl>
    <w:lvl w:ilvl="2" w:tplc="3809001B" w:tentative="1">
      <w:start w:val="1"/>
      <w:numFmt w:val="lowerRoman"/>
      <w:lvlText w:val="%3."/>
      <w:lvlJc w:val="right"/>
      <w:pPr>
        <w:ind w:left="5814" w:hanging="180"/>
      </w:pPr>
    </w:lvl>
    <w:lvl w:ilvl="3" w:tplc="3809000F" w:tentative="1">
      <w:start w:val="1"/>
      <w:numFmt w:val="decimal"/>
      <w:lvlText w:val="%4."/>
      <w:lvlJc w:val="left"/>
      <w:pPr>
        <w:ind w:left="6534" w:hanging="360"/>
      </w:pPr>
    </w:lvl>
    <w:lvl w:ilvl="4" w:tplc="38090019" w:tentative="1">
      <w:start w:val="1"/>
      <w:numFmt w:val="lowerLetter"/>
      <w:lvlText w:val="%5."/>
      <w:lvlJc w:val="left"/>
      <w:pPr>
        <w:ind w:left="7254" w:hanging="360"/>
      </w:pPr>
    </w:lvl>
    <w:lvl w:ilvl="5" w:tplc="3809001B" w:tentative="1">
      <w:start w:val="1"/>
      <w:numFmt w:val="lowerRoman"/>
      <w:lvlText w:val="%6."/>
      <w:lvlJc w:val="right"/>
      <w:pPr>
        <w:ind w:left="7974" w:hanging="180"/>
      </w:pPr>
    </w:lvl>
    <w:lvl w:ilvl="6" w:tplc="3809000F" w:tentative="1">
      <w:start w:val="1"/>
      <w:numFmt w:val="decimal"/>
      <w:lvlText w:val="%7."/>
      <w:lvlJc w:val="left"/>
      <w:pPr>
        <w:ind w:left="8694" w:hanging="360"/>
      </w:pPr>
    </w:lvl>
    <w:lvl w:ilvl="7" w:tplc="38090019" w:tentative="1">
      <w:start w:val="1"/>
      <w:numFmt w:val="lowerLetter"/>
      <w:lvlText w:val="%8."/>
      <w:lvlJc w:val="left"/>
      <w:pPr>
        <w:ind w:left="9414" w:hanging="360"/>
      </w:pPr>
    </w:lvl>
    <w:lvl w:ilvl="8" w:tplc="3809001B" w:tentative="1">
      <w:start w:val="1"/>
      <w:numFmt w:val="lowerRoman"/>
      <w:lvlText w:val="%9."/>
      <w:lvlJc w:val="right"/>
      <w:pPr>
        <w:ind w:left="10134" w:hanging="180"/>
      </w:pPr>
    </w:lvl>
  </w:abstractNum>
  <w:abstractNum w:abstractNumId="145" w15:restartNumberingAfterBreak="0">
    <w:nsid w:val="24016EC3"/>
    <w:multiLevelType w:val="hybridMultilevel"/>
    <w:tmpl w:val="30220014"/>
    <w:lvl w:ilvl="0" w:tplc="FE20B60A">
      <w:start w:val="1"/>
      <w:numFmt w:val="lowerLetter"/>
      <w:lvlText w:val="%1."/>
      <w:lvlJc w:val="left"/>
      <w:pPr>
        <w:ind w:left="2061" w:hanging="360"/>
      </w:pPr>
      <w:rPr>
        <w:rFonts w:hint="default"/>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146" w15:restartNumberingAfterBreak="0">
    <w:nsid w:val="24312834"/>
    <w:multiLevelType w:val="hybridMultilevel"/>
    <w:tmpl w:val="558A218E"/>
    <w:lvl w:ilvl="0" w:tplc="38090011">
      <w:start w:val="1"/>
      <w:numFmt w:val="decimal"/>
      <w:lvlText w:val="%1)"/>
      <w:lvlJc w:val="left"/>
      <w:pPr>
        <w:ind w:left="480" w:hanging="360"/>
      </w:pPr>
      <w:rPr>
        <w:rFonts w:hint="default"/>
        <w:b w:val="0"/>
        <w:bCs w:val="0"/>
        <w:color w:val="auto"/>
      </w:rPr>
    </w:lvl>
    <w:lvl w:ilvl="1" w:tplc="FFFFFFFF" w:tentative="1">
      <w:start w:val="1"/>
      <w:numFmt w:val="lowerLetter"/>
      <w:lvlText w:val="%2."/>
      <w:lvlJc w:val="left"/>
      <w:pPr>
        <w:ind w:left="1200" w:hanging="360"/>
      </w:pPr>
    </w:lvl>
    <w:lvl w:ilvl="2" w:tplc="FFFFFFFF" w:tentative="1">
      <w:start w:val="1"/>
      <w:numFmt w:val="lowerRoman"/>
      <w:lvlText w:val="%3."/>
      <w:lvlJc w:val="right"/>
      <w:pPr>
        <w:ind w:left="1920" w:hanging="180"/>
      </w:pPr>
    </w:lvl>
    <w:lvl w:ilvl="3" w:tplc="FFFFFFFF" w:tentative="1">
      <w:start w:val="1"/>
      <w:numFmt w:val="decimal"/>
      <w:lvlText w:val="%4."/>
      <w:lvlJc w:val="left"/>
      <w:pPr>
        <w:ind w:left="2640" w:hanging="360"/>
      </w:pPr>
    </w:lvl>
    <w:lvl w:ilvl="4" w:tplc="FFFFFFFF" w:tentative="1">
      <w:start w:val="1"/>
      <w:numFmt w:val="lowerLetter"/>
      <w:lvlText w:val="%5."/>
      <w:lvlJc w:val="left"/>
      <w:pPr>
        <w:ind w:left="3360" w:hanging="360"/>
      </w:pPr>
    </w:lvl>
    <w:lvl w:ilvl="5" w:tplc="FFFFFFFF" w:tentative="1">
      <w:start w:val="1"/>
      <w:numFmt w:val="lowerRoman"/>
      <w:lvlText w:val="%6."/>
      <w:lvlJc w:val="right"/>
      <w:pPr>
        <w:ind w:left="4080" w:hanging="180"/>
      </w:pPr>
    </w:lvl>
    <w:lvl w:ilvl="6" w:tplc="FFFFFFFF" w:tentative="1">
      <w:start w:val="1"/>
      <w:numFmt w:val="decimal"/>
      <w:lvlText w:val="%7."/>
      <w:lvlJc w:val="left"/>
      <w:pPr>
        <w:ind w:left="4800" w:hanging="360"/>
      </w:pPr>
    </w:lvl>
    <w:lvl w:ilvl="7" w:tplc="FFFFFFFF" w:tentative="1">
      <w:start w:val="1"/>
      <w:numFmt w:val="lowerLetter"/>
      <w:lvlText w:val="%8."/>
      <w:lvlJc w:val="left"/>
      <w:pPr>
        <w:ind w:left="5520" w:hanging="360"/>
      </w:pPr>
    </w:lvl>
    <w:lvl w:ilvl="8" w:tplc="FFFFFFFF" w:tentative="1">
      <w:start w:val="1"/>
      <w:numFmt w:val="lowerRoman"/>
      <w:lvlText w:val="%9."/>
      <w:lvlJc w:val="right"/>
      <w:pPr>
        <w:ind w:left="6240" w:hanging="180"/>
      </w:pPr>
    </w:lvl>
  </w:abstractNum>
  <w:abstractNum w:abstractNumId="147" w15:restartNumberingAfterBreak="0">
    <w:nsid w:val="246615AD"/>
    <w:multiLevelType w:val="hybridMultilevel"/>
    <w:tmpl w:val="708AF456"/>
    <w:lvl w:ilvl="0" w:tplc="1CF43EF8">
      <w:start w:val="1"/>
      <w:numFmt w:val="decimal"/>
      <w:lvlText w:val="%1)"/>
      <w:lvlJc w:val="left"/>
      <w:pPr>
        <w:ind w:left="2628" w:hanging="360"/>
      </w:pPr>
      <w:rPr>
        <w:rFonts w:hint="default"/>
        <w:color w:val="auto"/>
      </w:rPr>
    </w:lvl>
    <w:lvl w:ilvl="1" w:tplc="38090019" w:tentative="1">
      <w:start w:val="1"/>
      <w:numFmt w:val="lowerLetter"/>
      <w:lvlText w:val="%2."/>
      <w:lvlJc w:val="left"/>
      <w:pPr>
        <w:ind w:left="3348" w:hanging="360"/>
      </w:pPr>
    </w:lvl>
    <w:lvl w:ilvl="2" w:tplc="3809001B" w:tentative="1">
      <w:start w:val="1"/>
      <w:numFmt w:val="lowerRoman"/>
      <w:lvlText w:val="%3."/>
      <w:lvlJc w:val="right"/>
      <w:pPr>
        <w:ind w:left="4068" w:hanging="180"/>
      </w:pPr>
    </w:lvl>
    <w:lvl w:ilvl="3" w:tplc="3809000F" w:tentative="1">
      <w:start w:val="1"/>
      <w:numFmt w:val="decimal"/>
      <w:lvlText w:val="%4."/>
      <w:lvlJc w:val="left"/>
      <w:pPr>
        <w:ind w:left="4788" w:hanging="360"/>
      </w:pPr>
    </w:lvl>
    <w:lvl w:ilvl="4" w:tplc="38090019" w:tentative="1">
      <w:start w:val="1"/>
      <w:numFmt w:val="lowerLetter"/>
      <w:lvlText w:val="%5."/>
      <w:lvlJc w:val="left"/>
      <w:pPr>
        <w:ind w:left="5508" w:hanging="360"/>
      </w:pPr>
    </w:lvl>
    <w:lvl w:ilvl="5" w:tplc="3809001B" w:tentative="1">
      <w:start w:val="1"/>
      <w:numFmt w:val="lowerRoman"/>
      <w:lvlText w:val="%6."/>
      <w:lvlJc w:val="right"/>
      <w:pPr>
        <w:ind w:left="6228" w:hanging="180"/>
      </w:pPr>
    </w:lvl>
    <w:lvl w:ilvl="6" w:tplc="3809000F" w:tentative="1">
      <w:start w:val="1"/>
      <w:numFmt w:val="decimal"/>
      <w:lvlText w:val="%7."/>
      <w:lvlJc w:val="left"/>
      <w:pPr>
        <w:ind w:left="6948" w:hanging="360"/>
      </w:pPr>
    </w:lvl>
    <w:lvl w:ilvl="7" w:tplc="38090019" w:tentative="1">
      <w:start w:val="1"/>
      <w:numFmt w:val="lowerLetter"/>
      <w:lvlText w:val="%8."/>
      <w:lvlJc w:val="left"/>
      <w:pPr>
        <w:ind w:left="7668" w:hanging="360"/>
      </w:pPr>
    </w:lvl>
    <w:lvl w:ilvl="8" w:tplc="3809001B" w:tentative="1">
      <w:start w:val="1"/>
      <w:numFmt w:val="lowerRoman"/>
      <w:lvlText w:val="%9."/>
      <w:lvlJc w:val="right"/>
      <w:pPr>
        <w:ind w:left="8388" w:hanging="180"/>
      </w:pPr>
    </w:lvl>
  </w:abstractNum>
  <w:abstractNum w:abstractNumId="148" w15:restartNumberingAfterBreak="0">
    <w:nsid w:val="24911287"/>
    <w:multiLevelType w:val="hybridMultilevel"/>
    <w:tmpl w:val="F77026F4"/>
    <w:lvl w:ilvl="0" w:tplc="9F667FFA">
      <w:start w:val="1"/>
      <w:numFmt w:val="lowerLetter"/>
      <w:lvlText w:val="(%1)"/>
      <w:lvlJc w:val="left"/>
      <w:pPr>
        <w:ind w:left="4329" w:hanging="360"/>
      </w:pPr>
      <w:rPr>
        <w:rFonts w:hint="default"/>
      </w:rPr>
    </w:lvl>
    <w:lvl w:ilvl="1" w:tplc="38090019" w:tentative="1">
      <w:start w:val="1"/>
      <w:numFmt w:val="lowerLetter"/>
      <w:lvlText w:val="%2."/>
      <w:lvlJc w:val="left"/>
      <w:pPr>
        <w:ind w:left="5049" w:hanging="360"/>
      </w:pPr>
    </w:lvl>
    <w:lvl w:ilvl="2" w:tplc="3809001B" w:tentative="1">
      <w:start w:val="1"/>
      <w:numFmt w:val="lowerRoman"/>
      <w:lvlText w:val="%3."/>
      <w:lvlJc w:val="right"/>
      <w:pPr>
        <w:ind w:left="5769" w:hanging="180"/>
      </w:pPr>
    </w:lvl>
    <w:lvl w:ilvl="3" w:tplc="3809000F" w:tentative="1">
      <w:start w:val="1"/>
      <w:numFmt w:val="decimal"/>
      <w:lvlText w:val="%4."/>
      <w:lvlJc w:val="left"/>
      <w:pPr>
        <w:ind w:left="6489" w:hanging="360"/>
      </w:pPr>
    </w:lvl>
    <w:lvl w:ilvl="4" w:tplc="38090019" w:tentative="1">
      <w:start w:val="1"/>
      <w:numFmt w:val="lowerLetter"/>
      <w:lvlText w:val="%5."/>
      <w:lvlJc w:val="left"/>
      <w:pPr>
        <w:ind w:left="7209" w:hanging="360"/>
      </w:pPr>
    </w:lvl>
    <w:lvl w:ilvl="5" w:tplc="3809001B" w:tentative="1">
      <w:start w:val="1"/>
      <w:numFmt w:val="lowerRoman"/>
      <w:lvlText w:val="%6."/>
      <w:lvlJc w:val="right"/>
      <w:pPr>
        <w:ind w:left="7929" w:hanging="180"/>
      </w:pPr>
    </w:lvl>
    <w:lvl w:ilvl="6" w:tplc="3809000F" w:tentative="1">
      <w:start w:val="1"/>
      <w:numFmt w:val="decimal"/>
      <w:lvlText w:val="%7."/>
      <w:lvlJc w:val="left"/>
      <w:pPr>
        <w:ind w:left="8649" w:hanging="360"/>
      </w:pPr>
    </w:lvl>
    <w:lvl w:ilvl="7" w:tplc="38090019" w:tentative="1">
      <w:start w:val="1"/>
      <w:numFmt w:val="lowerLetter"/>
      <w:lvlText w:val="%8."/>
      <w:lvlJc w:val="left"/>
      <w:pPr>
        <w:ind w:left="9369" w:hanging="360"/>
      </w:pPr>
    </w:lvl>
    <w:lvl w:ilvl="8" w:tplc="3809001B" w:tentative="1">
      <w:start w:val="1"/>
      <w:numFmt w:val="lowerRoman"/>
      <w:lvlText w:val="%9."/>
      <w:lvlJc w:val="right"/>
      <w:pPr>
        <w:ind w:left="10089" w:hanging="180"/>
      </w:pPr>
    </w:lvl>
  </w:abstractNum>
  <w:abstractNum w:abstractNumId="149" w15:restartNumberingAfterBreak="0">
    <w:nsid w:val="24E63EB2"/>
    <w:multiLevelType w:val="hybridMultilevel"/>
    <w:tmpl w:val="36445108"/>
    <w:lvl w:ilvl="0" w:tplc="BE041056">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150" w15:restartNumberingAfterBreak="0">
    <w:nsid w:val="258928F9"/>
    <w:multiLevelType w:val="hybridMultilevel"/>
    <w:tmpl w:val="7A8E28DC"/>
    <w:lvl w:ilvl="0" w:tplc="EA382868">
      <w:start w:val="1"/>
      <w:numFmt w:val="lowerLetter"/>
      <w:lvlText w:val="%1)"/>
      <w:lvlJc w:val="left"/>
      <w:pPr>
        <w:ind w:left="3195" w:hanging="360"/>
      </w:pPr>
      <w:rPr>
        <w:rFonts w:hint="default"/>
      </w:rPr>
    </w:lvl>
    <w:lvl w:ilvl="1" w:tplc="38090019" w:tentative="1">
      <w:start w:val="1"/>
      <w:numFmt w:val="lowerLetter"/>
      <w:lvlText w:val="%2."/>
      <w:lvlJc w:val="left"/>
      <w:pPr>
        <w:ind w:left="3915" w:hanging="360"/>
      </w:pPr>
    </w:lvl>
    <w:lvl w:ilvl="2" w:tplc="3809001B" w:tentative="1">
      <w:start w:val="1"/>
      <w:numFmt w:val="lowerRoman"/>
      <w:lvlText w:val="%3."/>
      <w:lvlJc w:val="right"/>
      <w:pPr>
        <w:ind w:left="4635" w:hanging="180"/>
      </w:pPr>
    </w:lvl>
    <w:lvl w:ilvl="3" w:tplc="3809000F" w:tentative="1">
      <w:start w:val="1"/>
      <w:numFmt w:val="decimal"/>
      <w:lvlText w:val="%4."/>
      <w:lvlJc w:val="left"/>
      <w:pPr>
        <w:ind w:left="5355" w:hanging="360"/>
      </w:pPr>
    </w:lvl>
    <w:lvl w:ilvl="4" w:tplc="38090019" w:tentative="1">
      <w:start w:val="1"/>
      <w:numFmt w:val="lowerLetter"/>
      <w:lvlText w:val="%5."/>
      <w:lvlJc w:val="left"/>
      <w:pPr>
        <w:ind w:left="6075" w:hanging="360"/>
      </w:pPr>
    </w:lvl>
    <w:lvl w:ilvl="5" w:tplc="3809001B" w:tentative="1">
      <w:start w:val="1"/>
      <w:numFmt w:val="lowerRoman"/>
      <w:lvlText w:val="%6."/>
      <w:lvlJc w:val="right"/>
      <w:pPr>
        <w:ind w:left="6795" w:hanging="180"/>
      </w:pPr>
    </w:lvl>
    <w:lvl w:ilvl="6" w:tplc="3809000F" w:tentative="1">
      <w:start w:val="1"/>
      <w:numFmt w:val="decimal"/>
      <w:lvlText w:val="%7."/>
      <w:lvlJc w:val="left"/>
      <w:pPr>
        <w:ind w:left="7515" w:hanging="360"/>
      </w:pPr>
    </w:lvl>
    <w:lvl w:ilvl="7" w:tplc="38090019" w:tentative="1">
      <w:start w:val="1"/>
      <w:numFmt w:val="lowerLetter"/>
      <w:lvlText w:val="%8."/>
      <w:lvlJc w:val="left"/>
      <w:pPr>
        <w:ind w:left="8235" w:hanging="360"/>
      </w:pPr>
    </w:lvl>
    <w:lvl w:ilvl="8" w:tplc="3809001B" w:tentative="1">
      <w:start w:val="1"/>
      <w:numFmt w:val="lowerRoman"/>
      <w:lvlText w:val="%9."/>
      <w:lvlJc w:val="right"/>
      <w:pPr>
        <w:ind w:left="8955" w:hanging="180"/>
      </w:pPr>
    </w:lvl>
  </w:abstractNum>
  <w:abstractNum w:abstractNumId="151" w15:restartNumberingAfterBreak="0">
    <w:nsid w:val="25A3222F"/>
    <w:multiLevelType w:val="hybridMultilevel"/>
    <w:tmpl w:val="43EE741E"/>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152" w15:restartNumberingAfterBreak="0">
    <w:nsid w:val="25AF74E9"/>
    <w:multiLevelType w:val="multilevel"/>
    <w:tmpl w:val="2B78E01C"/>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25E50B7F"/>
    <w:multiLevelType w:val="hybridMultilevel"/>
    <w:tmpl w:val="AA3AF072"/>
    <w:lvl w:ilvl="0" w:tplc="25F0C2DA">
      <w:start w:val="1"/>
      <w:numFmt w:val="low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154" w15:restartNumberingAfterBreak="0">
    <w:nsid w:val="267B63E0"/>
    <w:multiLevelType w:val="multilevel"/>
    <w:tmpl w:val="F5FEBFA6"/>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2753508E"/>
    <w:multiLevelType w:val="hybridMultilevel"/>
    <w:tmpl w:val="16C84E1C"/>
    <w:lvl w:ilvl="0" w:tplc="62469BBE">
      <w:start w:val="1"/>
      <w:numFmt w:val="lowerLetter"/>
      <w:lvlText w:val="%1."/>
      <w:lvlJc w:val="left"/>
      <w:pPr>
        <w:ind w:left="1080" w:hanging="360"/>
      </w:pPr>
      <w:rPr>
        <w:rFonts w:ascii="Bookman Old Style" w:hAnsi="Bookman Old Style" w:hint="default"/>
        <w:b w:val="0"/>
        <w:bCs w:val="0"/>
        <w:sz w:val="22"/>
        <w:szCs w:val="18"/>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6" w15:restartNumberingAfterBreak="0">
    <w:nsid w:val="27727A17"/>
    <w:multiLevelType w:val="hybridMultilevel"/>
    <w:tmpl w:val="96885A38"/>
    <w:lvl w:ilvl="0" w:tplc="294A7A7E">
      <w:start w:val="1"/>
      <w:numFmt w:val="lowerLetter"/>
      <w:lvlText w:val="(%1)"/>
      <w:lvlJc w:val="left"/>
      <w:pPr>
        <w:ind w:left="4329" w:hanging="360"/>
      </w:pPr>
      <w:rPr>
        <w:rFonts w:hint="default"/>
      </w:rPr>
    </w:lvl>
    <w:lvl w:ilvl="1" w:tplc="38090019" w:tentative="1">
      <w:start w:val="1"/>
      <w:numFmt w:val="lowerLetter"/>
      <w:lvlText w:val="%2."/>
      <w:lvlJc w:val="left"/>
      <w:pPr>
        <w:ind w:left="5049" w:hanging="360"/>
      </w:pPr>
    </w:lvl>
    <w:lvl w:ilvl="2" w:tplc="3809001B" w:tentative="1">
      <w:start w:val="1"/>
      <w:numFmt w:val="lowerRoman"/>
      <w:lvlText w:val="%3."/>
      <w:lvlJc w:val="right"/>
      <w:pPr>
        <w:ind w:left="5769" w:hanging="180"/>
      </w:pPr>
    </w:lvl>
    <w:lvl w:ilvl="3" w:tplc="3809000F" w:tentative="1">
      <w:start w:val="1"/>
      <w:numFmt w:val="decimal"/>
      <w:lvlText w:val="%4."/>
      <w:lvlJc w:val="left"/>
      <w:pPr>
        <w:ind w:left="6489" w:hanging="360"/>
      </w:pPr>
    </w:lvl>
    <w:lvl w:ilvl="4" w:tplc="38090019" w:tentative="1">
      <w:start w:val="1"/>
      <w:numFmt w:val="lowerLetter"/>
      <w:lvlText w:val="%5."/>
      <w:lvlJc w:val="left"/>
      <w:pPr>
        <w:ind w:left="7209" w:hanging="360"/>
      </w:pPr>
    </w:lvl>
    <w:lvl w:ilvl="5" w:tplc="3809001B" w:tentative="1">
      <w:start w:val="1"/>
      <w:numFmt w:val="lowerRoman"/>
      <w:lvlText w:val="%6."/>
      <w:lvlJc w:val="right"/>
      <w:pPr>
        <w:ind w:left="7929" w:hanging="180"/>
      </w:pPr>
    </w:lvl>
    <w:lvl w:ilvl="6" w:tplc="3809000F" w:tentative="1">
      <w:start w:val="1"/>
      <w:numFmt w:val="decimal"/>
      <w:lvlText w:val="%7."/>
      <w:lvlJc w:val="left"/>
      <w:pPr>
        <w:ind w:left="8649" w:hanging="360"/>
      </w:pPr>
    </w:lvl>
    <w:lvl w:ilvl="7" w:tplc="38090019" w:tentative="1">
      <w:start w:val="1"/>
      <w:numFmt w:val="lowerLetter"/>
      <w:lvlText w:val="%8."/>
      <w:lvlJc w:val="left"/>
      <w:pPr>
        <w:ind w:left="9369" w:hanging="360"/>
      </w:pPr>
    </w:lvl>
    <w:lvl w:ilvl="8" w:tplc="3809001B" w:tentative="1">
      <w:start w:val="1"/>
      <w:numFmt w:val="lowerRoman"/>
      <w:lvlText w:val="%9."/>
      <w:lvlJc w:val="right"/>
      <w:pPr>
        <w:ind w:left="10089" w:hanging="180"/>
      </w:pPr>
    </w:lvl>
  </w:abstractNum>
  <w:abstractNum w:abstractNumId="157" w15:restartNumberingAfterBreak="0">
    <w:nsid w:val="285D415F"/>
    <w:multiLevelType w:val="hybridMultilevel"/>
    <w:tmpl w:val="5B820408"/>
    <w:lvl w:ilvl="0" w:tplc="38090001">
      <w:start w:val="1"/>
      <w:numFmt w:val="bullet"/>
      <w:lvlText w:val=""/>
      <w:lvlJc w:val="left"/>
      <w:pPr>
        <w:ind w:left="1272" w:hanging="360"/>
      </w:pPr>
      <w:rPr>
        <w:rFonts w:ascii="Symbol" w:hAnsi="Symbol" w:hint="default"/>
      </w:rPr>
    </w:lvl>
    <w:lvl w:ilvl="1" w:tplc="38090003" w:tentative="1">
      <w:start w:val="1"/>
      <w:numFmt w:val="bullet"/>
      <w:lvlText w:val="o"/>
      <w:lvlJc w:val="left"/>
      <w:pPr>
        <w:ind w:left="1992" w:hanging="360"/>
      </w:pPr>
      <w:rPr>
        <w:rFonts w:ascii="Courier New" w:hAnsi="Courier New" w:cs="Courier New" w:hint="default"/>
      </w:rPr>
    </w:lvl>
    <w:lvl w:ilvl="2" w:tplc="38090005" w:tentative="1">
      <w:start w:val="1"/>
      <w:numFmt w:val="bullet"/>
      <w:lvlText w:val=""/>
      <w:lvlJc w:val="left"/>
      <w:pPr>
        <w:ind w:left="2712" w:hanging="360"/>
      </w:pPr>
      <w:rPr>
        <w:rFonts w:ascii="Wingdings" w:hAnsi="Wingdings" w:hint="default"/>
      </w:rPr>
    </w:lvl>
    <w:lvl w:ilvl="3" w:tplc="38090001" w:tentative="1">
      <w:start w:val="1"/>
      <w:numFmt w:val="bullet"/>
      <w:lvlText w:val=""/>
      <w:lvlJc w:val="left"/>
      <w:pPr>
        <w:ind w:left="3432" w:hanging="360"/>
      </w:pPr>
      <w:rPr>
        <w:rFonts w:ascii="Symbol" w:hAnsi="Symbol" w:hint="default"/>
      </w:rPr>
    </w:lvl>
    <w:lvl w:ilvl="4" w:tplc="38090003" w:tentative="1">
      <w:start w:val="1"/>
      <w:numFmt w:val="bullet"/>
      <w:lvlText w:val="o"/>
      <w:lvlJc w:val="left"/>
      <w:pPr>
        <w:ind w:left="4152" w:hanging="360"/>
      </w:pPr>
      <w:rPr>
        <w:rFonts w:ascii="Courier New" w:hAnsi="Courier New" w:cs="Courier New" w:hint="default"/>
      </w:rPr>
    </w:lvl>
    <w:lvl w:ilvl="5" w:tplc="38090005" w:tentative="1">
      <w:start w:val="1"/>
      <w:numFmt w:val="bullet"/>
      <w:lvlText w:val=""/>
      <w:lvlJc w:val="left"/>
      <w:pPr>
        <w:ind w:left="4872" w:hanging="360"/>
      </w:pPr>
      <w:rPr>
        <w:rFonts w:ascii="Wingdings" w:hAnsi="Wingdings" w:hint="default"/>
      </w:rPr>
    </w:lvl>
    <w:lvl w:ilvl="6" w:tplc="38090001" w:tentative="1">
      <w:start w:val="1"/>
      <w:numFmt w:val="bullet"/>
      <w:lvlText w:val=""/>
      <w:lvlJc w:val="left"/>
      <w:pPr>
        <w:ind w:left="5592" w:hanging="360"/>
      </w:pPr>
      <w:rPr>
        <w:rFonts w:ascii="Symbol" w:hAnsi="Symbol" w:hint="default"/>
      </w:rPr>
    </w:lvl>
    <w:lvl w:ilvl="7" w:tplc="38090003" w:tentative="1">
      <w:start w:val="1"/>
      <w:numFmt w:val="bullet"/>
      <w:lvlText w:val="o"/>
      <w:lvlJc w:val="left"/>
      <w:pPr>
        <w:ind w:left="6312" w:hanging="360"/>
      </w:pPr>
      <w:rPr>
        <w:rFonts w:ascii="Courier New" w:hAnsi="Courier New" w:cs="Courier New" w:hint="default"/>
      </w:rPr>
    </w:lvl>
    <w:lvl w:ilvl="8" w:tplc="38090005" w:tentative="1">
      <w:start w:val="1"/>
      <w:numFmt w:val="bullet"/>
      <w:lvlText w:val=""/>
      <w:lvlJc w:val="left"/>
      <w:pPr>
        <w:ind w:left="7032" w:hanging="360"/>
      </w:pPr>
      <w:rPr>
        <w:rFonts w:ascii="Wingdings" w:hAnsi="Wingdings" w:hint="default"/>
      </w:rPr>
    </w:lvl>
  </w:abstractNum>
  <w:abstractNum w:abstractNumId="158" w15:restartNumberingAfterBreak="0">
    <w:nsid w:val="28672B86"/>
    <w:multiLevelType w:val="hybridMultilevel"/>
    <w:tmpl w:val="05ECAB8A"/>
    <w:lvl w:ilvl="0" w:tplc="567A1760">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159" w15:restartNumberingAfterBreak="0">
    <w:nsid w:val="28A74892"/>
    <w:multiLevelType w:val="hybridMultilevel"/>
    <w:tmpl w:val="42E494B0"/>
    <w:lvl w:ilvl="0" w:tplc="38090011">
      <w:start w:val="1"/>
      <w:numFmt w:val="decimal"/>
      <w:lvlText w:val="%1)"/>
      <w:lvlJc w:val="left"/>
      <w:pPr>
        <w:ind w:left="720" w:hanging="360"/>
      </w:pPr>
      <w:rPr>
        <w:b w:val="0"/>
        <w:bCs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0" w15:restartNumberingAfterBreak="0">
    <w:nsid w:val="28F04B13"/>
    <w:multiLevelType w:val="hybridMultilevel"/>
    <w:tmpl w:val="73C83168"/>
    <w:lvl w:ilvl="0" w:tplc="3D38E9DE">
      <w:start w:val="1"/>
      <w:numFmt w:val="lowerLetter"/>
      <w:lvlText w:val="%1."/>
      <w:lvlJc w:val="left"/>
      <w:pPr>
        <w:ind w:left="2061" w:hanging="360"/>
      </w:pPr>
      <w:rPr>
        <w:rFonts w:hint="default"/>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161" w15:restartNumberingAfterBreak="0">
    <w:nsid w:val="29875DD9"/>
    <w:multiLevelType w:val="hybridMultilevel"/>
    <w:tmpl w:val="8D1E255A"/>
    <w:lvl w:ilvl="0" w:tplc="38090019">
      <w:start w:val="1"/>
      <w:numFmt w:val="lowerLetter"/>
      <w:lvlText w:val="%1."/>
      <w:lvlJc w:val="left"/>
      <w:pPr>
        <w:ind w:left="1854" w:hanging="360"/>
      </w:pPr>
      <w:rPr>
        <w:rFonts w:hint="default"/>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62" w15:restartNumberingAfterBreak="0">
    <w:nsid w:val="29FD118F"/>
    <w:multiLevelType w:val="hybridMultilevel"/>
    <w:tmpl w:val="940E59F0"/>
    <w:lvl w:ilvl="0" w:tplc="08090001">
      <w:start w:val="1"/>
      <w:numFmt w:val="bullet"/>
      <w:lvlText w:val=""/>
      <w:lvlJc w:val="left"/>
      <w:pPr>
        <w:ind w:left="1502" w:hanging="360"/>
      </w:pPr>
      <w:rPr>
        <w:rFonts w:ascii="Symbol" w:hAnsi="Symbol" w:hint="default"/>
      </w:rPr>
    </w:lvl>
    <w:lvl w:ilvl="1" w:tplc="08090003">
      <w:start w:val="1"/>
      <w:numFmt w:val="bullet"/>
      <w:lvlText w:val="o"/>
      <w:lvlJc w:val="left"/>
      <w:pPr>
        <w:ind w:left="2222" w:hanging="360"/>
      </w:pPr>
      <w:rPr>
        <w:rFonts w:ascii="Courier New" w:hAnsi="Courier New" w:cs="Courier New" w:hint="default"/>
      </w:rPr>
    </w:lvl>
    <w:lvl w:ilvl="2" w:tplc="08090005">
      <w:start w:val="1"/>
      <w:numFmt w:val="bullet"/>
      <w:lvlText w:val=""/>
      <w:lvlJc w:val="left"/>
      <w:pPr>
        <w:ind w:left="2942" w:hanging="360"/>
      </w:pPr>
      <w:rPr>
        <w:rFonts w:ascii="Wingdings" w:hAnsi="Wingdings" w:hint="default"/>
      </w:rPr>
    </w:lvl>
    <w:lvl w:ilvl="3" w:tplc="08090001">
      <w:start w:val="1"/>
      <w:numFmt w:val="bullet"/>
      <w:lvlText w:val=""/>
      <w:lvlJc w:val="left"/>
      <w:pPr>
        <w:ind w:left="3662" w:hanging="360"/>
      </w:pPr>
      <w:rPr>
        <w:rFonts w:ascii="Symbol" w:hAnsi="Symbol" w:hint="default"/>
      </w:rPr>
    </w:lvl>
    <w:lvl w:ilvl="4" w:tplc="08090003">
      <w:start w:val="1"/>
      <w:numFmt w:val="bullet"/>
      <w:lvlText w:val="o"/>
      <w:lvlJc w:val="left"/>
      <w:pPr>
        <w:ind w:left="4382" w:hanging="360"/>
      </w:pPr>
      <w:rPr>
        <w:rFonts w:ascii="Courier New" w:hAnsi="Courier New" w:cs="Courier New" w:hint="default"/>
      </w:rPr>
    </w:lvl>
    <w:lvl w:ilvl="5" w:tplc="08090005">
      <w:start w:val="1"/>
      <w:numFmt w:val="bullet"/>
      <w:lvlText w:val=""/>
      <w:lvlJc w:val="left"/>
      <w:pPr>
        <w:ind w:left="5102" w:hanging="360"/>
      </w:pPr>
      <w:rPr>
        <w:rFonts w:ascii="Wingdings" w:hAnsi="Wingdings" w:hint="default"/>
      </w:rPr>
    </w:lvl>
    <w:lvl w:ilvl="6" w:tplc="08090001">
      <w:start w:val="1"/>
      <w:numFmt w:val="bullet"/>
      <w:lvlText w:val=""/>
      <w:lvlJc w:val="left"/>
      <w:pPr>
        <w:ind w:left="5822" w:hanging="360"/>
      </w:pPr>
      <w:rPr>
        <w:rFonts w:ascii="Symbol" w:hAnsi="Symbol" w:hint="default"/>
      </w:rPr>
    </w:lvl>
    <w:lvl w:ilvl="7" w:tplc="08090003">
      <w:start w:val="1"/>
      <w:numFmt w:val="bullet"/>
      <w:lvlText w:val="o"/>
      <w:lvlJc w:val="left"/>
      <w:pPr>
        <w:ind w:left="6542" w:hanging="360"/>
      </w:pPr>
      <w:rPr>
        <w:rFonts w:ascii="Courier New" w:hAnsi="Courier New" w:cs="Courier New" w:hint="default"/>
      </w:rPr>
    </w:lvl>
    <w:lvl w:ilvl="8" w:tplc="08090005">
      <w:start w:val="1"/>
      <w:numFmt w:val="bullet"/>
      <w:lvlText w:val=""/>
      <w:lvlJc w:val="left"/>
      <w:pPr>
        <w:ind w:left="7262" w:hanging="360"/>
      </w:pPr>
      <w:rPr>
        <w:rFonts w:ascii="Wingdings" w:hAnsi="Wingdings" w:hint="default"/>
      </w:rPr>
    </w:lvl>
  </w:abstractNum>
  <w:abstractNum w:abstractNumId="163" w15:restartNumberingAfterBreak="0">
    <w:nsid w:val="2A2C152F"/>
    <w:multiLevelType w:val="hybridMultilevel"/>
    <w:tmpl w:val="368AA800"/>
    <w:lvl w:ilvl="0" w:tplc="38090011">
      <w:start w:val="1"/>
      <w:numFmt w:val="decimal"/>
      <w:lvlText w:val="%1)"/>
      <w:lvlJc w:val="left"/>
      <w:pPr>
        <w:ind w:left="720" w:hanging="360"/>
      </w:pPr>
      <w:rPr>
        <w:b w:val="0"/>
        <w:bCs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4" w15:restartNumberingAfterBreak="0">
    <w:nsid w:val="2A2D4B39"/>
    <w:multiLevelType w:val="hybridMultilevel"/>
    <w:tmpl w:val="4E00BF2E"/>
    <w:lvl w:ilvl="0" w:tplc="E5A21EB8">
      <w:start w:val="1"/>
      <w:numFmt w:val="decimal"/>
      <w:lvlText w:val="%1)"/>
      <w:lvlJc w:val="left"/>
      <w:pPr>
        <w:ind w:left="467" w:hanging="360"/>
      </w:pPr>
      <w:rPr>
        <w:rFonts w:hint="default"/>
        <w:b w:val="0"/>
        <w:bCs w:val="0"/>
        <w:i w:val="0"/>
        <w:iCs w:val="0"/>
        <w:spacing w:val="0"/>
        <w:w w:val="100"/>
        <w:sz w:val="24"/>
        <w:szCs w:val="24"/>
        <w:lang w:val="id" w:eastAsia="en-US" w:bidi="ar-SA"/>
      </w:rPr>
    </w:lvl>
    <w:lvl w:ilvl="1" w:tplc="FFFFFFFF">
      <w:numFmt w:val="bullet"/>
      <w:lvlText w:val="•"/>
      <w:lvlJc w:val="left"/>
      <w:pPr>
        <w:ind w:left="1215" w:hanging="360"/>
      </w:pPr>
      <w:rPr>
        <w:rFonts w:hint="default"/>
        <w:lang w:val="id" w:eastAsia="en-US" w:bidi="ar-SA"/>
      </w:rPr>
    </w:lvl>
    <w:lvl w:ilvl="2" w:tplc="FFFFFFFF">
      <w:numFmt w:val="bullet"/>
      <w:lvlText w:val="•"/>
      <w:lvlJc w:val="left"/>
      <w:pPr>
        <w:ind w:left="1971" w:hanging="360"/>
      </w:pPr>
      <w:rPr>
        <w:rFonts w:hint="default"/>
        <w:lang w:val="id" w:eastAsia="en-US" w:bidi="ar-SA"/>
      </w:rPr>
    </w:lvl>
    <w:lvl w:ilvl="3" w:tplc="FFFFFFFF">
      <w:numFmt w:val="bullet"/>
      <w:lvlText w:val="•"/>
      <w:lvlJc w:val="left"/>
      <w:pPr>
        <w:ind w:left="2726" w:hanging="360"/>
      </w:pPr>
      <w:rPr>
        <w:rFonts w:hint="default"/>
        <w:lang w:val="id" w:eastAsia="en-US" w:bidi="ar-SA"/>
      </w:rPr>
    </w:lvl>
    <w:lvl w:ilvl="4" w:tplc="FFFFFFFF">
      <w:numFmt w:val="bullet"/>
      <w:lvlText w:val="•"/>
      <w:lvlJc w:val="left"/>
      <w:pPr>
        <w:ind w:left="3482" w:hanging="360"/>
      </w:pPr>
      <w:rPr>
        <w:rFonts w:hint="default"/>
        <w:lang w:val="id" w:eastAsia="en-US" w:bidi="ar-SA"/>
      </w:rPr>
    </w:lvl>
    <w:lvl w:ilvl="5" w:tplc="FFFFFFFF">
      <w:numFmt w:val="bullet"/>
      <w:lvlText w:val="•"/>
      <w:lvlJc w:val="left"/>
      <w:pPr>
        <w:ind w:left="4237" w:hanging="360"/>
      </w:pPr>
      <w:rPr>
        <w:rFonts w:hint="default"/>
        <w:lang w:val="id" w:eastAsia="en-US" w:bidi="ar-SA"/>
      </w:rPr>
    </w:lvl>
    <w:lvl w:ilvl="6" w:tplc="FFFFFFFF">
      <w:numFmt w:val="bullet"/>
      <w:lvlText w:val="•"/>
      <w:lvlJc w:val="left"/>
      <w:pPr>
        <w:ind w:left="4993" w:hanging="360"/>
      </w:pPr>
      <w:rPr>
        <w:rFonts w:hint="default"/>
        <w:lang w:val="id" w:eastAsia="en-US" w:bidi="ar-SA"/>
      </w:rPr>
    </w:lvl>
    <w:lvl w:ilvl="7" w:tplc="FFFFFFFF">
      <w:numFmt w:val="bullet"/>
      <w:lvlText w:val="•"/>
      <w:lvlJc w:val="left"/>
      <w:pPr>
        <w:ind w:left="5748" w:hanging="360"/>
      </w:pPr>
      <w:rPr>
        <w:rFonts w:hint="default"/>
        <w:lang w:val="id" w:eastAsia="en-US" w:bidi="ar-SA"/>
      </w:rPr>
    </w:lvl>
    <w:lvl w:ilvl="8" w:tplc="FFFFFFFF">
      <w:numFmt w:val="bullet"/>
      <w:lvlText w:val="•"/>
      <w:lvlJc w:val="left"/>
      <w:pPr>
        <w:ind w:left="6504" w:hanging="360"/>
      </w:pPr>
      <w:rPr>
        <w:rFonts w:hint="default"/>
        <w:lang w:val="id" w:eastAsia="en-US" w:bidi="ar-SA"/>
      </w:rPr>
    </w:lvl>
  </w:abstractNum>
  <w:abstractNum w:abstractNumId="165" w15:restartNumberingAfterBreak="0">
    <w:nsid w:val="2A890E98"/>
    <w:multiLevelType w:val="hybridMultilevel"/>
    <w:tmpl w:val="FB6AB680"/>
    <w:lvl w:ilvl="0" w:tplc="8714A372">
      <w:start w:val="1"/>
      <w:numFmt w:val="lowerLetter"/>
      <w:lvlText w:val="(%1)"/>
      <w:lvlJc w:val="left"/>
      <w:pPr>
        <w:ind w:left="4329" w:hanging="360"/>
      </w:pPr>
      <w:rPr>
        <w:rFonts w:hint="default"/>
      </w:rPr>
    </w:lvl>
    <w:lvl w:ilvl="1" w:tplc="38090019" w:tentative="1">
      <w:start w:val="1"/>
      <w:numFmt w:val="lowerLetter"/>
      <w:lvlText w:val="%2."/>
      <w:lvlJc w:val="left"/>
      <w:pPr>
        <w:ind w:left="5049" w:hanging="360"/>
      </w:pPr>
    </w:lvl>
    <w:lvl w:ilvl="2" w:tplc="3809001B" w:tentative="1">
      <w:start w:val="1"/>
      <w:numFmt w:val="lowerRoman"/>
      <w:lvlText w:val="%3."/>
      <w:lvlJc w:val="right"/>
      <w:pPr>
        <w:ind w:left="5769" w:hanging="180"/>
      </w:pPr>
    </w:lvl>
    <w:lvl w:ilvl="3" w:tplc="3809000F" w:tentative="1">
      <w:start w:val="1"/>
      <w:numFmt w:val="decimal"/>
      <w:lvlText w:val="%4."/>
      <w:lvlJc w:val="left"/>
      <w:pPr>
        <w:ind w:left="6489" w:hanging="360"/>
      </w:pPr>
    </w:lvl>
    <w:lvl w:ilvl="4" w:tplc="38090019" w:tentative="1">
      <w:start w:val="1"/>
      <w:numFmt w:val="lowerLetter"/>
      <w:lvlText w:val="%5."/>
      <w:lvlJc w:val="left"/>
      <w:pPr>
        <w:ind w:left="7209" w:hanging="360"/>
      </w:pPr>
    </w:lvl>
    <w:lvl w:ilvl="5" w:tplc="3809001B" w:tentative="1">
      <w:start w:val="1"/>
      <w:numFmt w:val="lowerRoman"/>
      <w:lvlText w:val="%6."/>
      <w:lvlJc w:val="right"/>
      <w:pPr>
        <w:ind w:left="7929" w:hanging="180"/>
      </w:pPr>
    </w:lvl>
    <w:lvl w:ilvl="6" w:tplc="3809000F" w:tentative="1">
      <w:start w:val="1"/>
      <w:numFmt w:val="decimal"/>
      <w:lvlText w:val="%7."/>
      <w:lvlJc w:val="left"/>
      <w:pPr>
        <w:ind w:left="8649" w:hanging="360"/>
      </w:pPr>
    </w:lvl>
    <w:lvl w:ilvl="7" w:tplc="38090019" w:tentative="1">
      <w:start w:val="1"/>
      <w:numFmt w:val="lowerLetter"/>
      <w:lvlText w:val="%8."/>
      <w:lvlJc w:val="left"/>
      <w:pPr>
        <w:ind w:left="9369" w:hanging="360"/>
      </w:pPr>
    </w:lvl>
    <w:lvl w:ilvl="8" w:tplc="3809001B" w:tentative="1">
      <w:start w:val="1"/>
      <w:numFmt w:val="lowerRoman"/>
      <w:lvlText w:val="%9."/>
      <w:lvlJc w:val="right"/>
      <w:pPr>
        <w:ind w:left="10089" w:hanging="180"/>
      </w:pPr>
    </w:lvl>
  </w:abstractNum>
  <w:abstractNum w:abstractNumId="166" w15:restartNumberingAfterBreak="0">
    <w:nsid w:val="2AA07BDC"/>
    <w:multiLevelType w:val="hybridMultilevel"/>
    <w:tmpl w:val="803AC50A"/>
    <w:lvl w:ilvl="0" w:tplc="C95EBEF8">
      <w:start w:val="1"/>
      <w:numFmt w:val="decimal"/>
      <w:lvlText w:val="%1)"/>
      <w:lvlJc w:val="left"/>
      <w:pPr>
        <w:ind w:left="2061" w:hanging="360"/>
      </w:pPr>
      <w:rPr>
        <w:rFonts w:hint="default"/>
        <w:color w:val="000000" w:themeColor="text1"/>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167" w15:restartNumberingAfterBreak="0">
    <w:nsid w:val="2AB0507B"/>
    <w:multiLevelType w:val="hybridMultilevel"/>
    <w:tmpl w:val="45B224D2"/>
    <w:lvl w:ilvl="0" w:tplc="38090011">
      <w:start w:val="1"/>
      <w:numFmt w:val="decimal"/>
      <w:lvlText w:val="%1)"/>
      <w:lvlJc w:val="left"/>
      <w:pPr>
        <w:ind w:left="720" w:hanging="360"/>
      </w:pPr>
      <w:rPr>
        <w:strike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8" w15:restartNumberingAfterBreak="0">
    <w:nsid w:val="2AB056DA"/>
    <w:multiLevelType w:val="hybridMultilevel"/>
    <w:tmpl w:val="A16EA6D8"/>
    <w:lvl w:ilvl="0" w:tplc="FFFFFFFF">
      <w:start w:val="1"/>
      <w:numFmt w:val="lowerLetter"/>
      <w:lvlText w:val="%1)"/>
      <w:lvlJc w:val="left"/>
      <w:pPr>
        <w:ind w:left="2628" w:hanging="360"/>
      </w:pPr>
      <w:rPr>
        <w:rFonts w:hint="default"/>
      </w:rPr>
    </w:lvl>
    <w:lvl w:ilvl="1" w:tplc="FFFFFFFF" w:tentative="1">
      <w:start w:val="1"/>
      <w:numFmt w:val="lowerLetter"/>
      <w:lvlText w:val="%2."/>
      <w:lvlJc w:val="left"/>
      <w:pPr>
        <w:ind w:left="3348" w:hanging="360"/>
      </w:pPr>
    </w:lvl>
    <w:lvl w:ilvl="2" w:tplc="FFFFFFFF" w:tentative="1">
      <w:start w:val="1"/>
      <w:numFmt w:val="lowerRoman"/>
      <w:lvlText w:val="%3."/>
      <w:lvlJc w:val="right"/>
      <w:pPr>
        <w:ind w:left="4068" w:hanging="180"/>
      </w:pPr>
    </w:lvl>
    <w:lvl w:ilvl="3" w:tplc="FFFFFFFF" w:tentative="1">
      <w:start w:val="1"/>
      <w:numFmt w:val="decimal"/>
      <w:lvlText w:val="%4."/>
      <w:lvlJc w:val="left"/>
      <w:pPr>
        <w:ind w:left="4788" w:hanging="360"/>
      </w:pPr>
    </w:lvl>
    <w:lvl w:ilvl="4" w:tplc="FFFFFFFF" w:tentative="1">
      <w:start w:val="1"/>
      <w:numFmt w:val="lowerLetter"/>
      <w:lvlText w:val="%5."/>
      <w:lvlJc w:val="left"/>
      <w:pPr>
        <w:ind w:left="5508" w:hanging="360"/>
      </w:pPr>
    </w:lvl>
    <w:lvl w:ilvl="5" w:tplc="FFFFFFFF" w:tentative="1">
      <w:start w:val="1"/>
      <w:numFmt w:val="lowerRoman"/>
      <w:lvlText w:val="%6."/>
      <w:lvlJc w:val="right"/>
      <w:pPr>
        <w:ind w:left="6228" w:hanging="180"/>
      </w:pPr>
    </w:lvl>
    <w:lvl w:ilvl="6" w:tplc="FFFFFFFF" w:tentative="1">
      <w:start w:val="1"/>
      <w:numFmt w:val="decimal"/>
      <w:lvlText w:val="%7."/>
      <w:lvlJc w:val="left"/>
      <w:pPr>
        <w:ind w:left="6948" w:hanging="360"/>
      </w:pPr>
    </w:lvl>
    <w:lvl w:ilvl="7" w:tplc="FFFFFFFF" w:tentative="1">
      <w:start w:val="1"/>
      <w:numFmt w:val="lowerLetter"/>
      <w:lvlText w:val="%8."/>
      <w:lvlJc w:val="left"/>
      <w:pPr>
        <w:ind w:left="7668" w:hanging="360"/>
      </w:pPr>
    </w:lvl>
    <w:lvl w:ilvl="8" w:tplc="FFFFFFFF" w:tentative="1">
      <w:start w:val="1"/>
      <w:numFmt w:val="lowerRoman"/>
      <w:lvlText w:val="%9."/>
      <w:lvlJc w:val="right"/>
      <w:pPr>
        <w:ind w:left="8388" w:hanging="180"/>
      </w:pPr>
    </w:lvl>
  </w:abstractNum>
  <w:abstractNum w:abstractNumId="169" w15:restartNumberingAfterBreak="0">
    <w:nsid w:val="2AE54727"/>
    <w:multiLevelType w:val="hybridMultilevel"/>
    <w:tmpl w:val="DE144D82"/>
    <w:lvl w:ilvl="0" w:tplc="5E960D84">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170" w15:restartNumberingAfterBreak="0">
    <w:nsid w:val="2B5644E0"/>
    <w:multiLevelType w:val="hybridMultilevel"/>
    <w:tmpl w:val="3B56CA84"/>
    <w:lvl w:ilvl="0" w:tplc="031EDD02">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171" w15:restartNumberingAfterBreak="0">
    <w:nsid w:val="2C42119F"/>
    <w:multiLevelType w:val="hybridMultilevel"/>
    <w:tmpl w:val="2356EE4A"/>
    <w:lvl w:ilvl="0" w:tplc="6D945206">
      <w:start w:val="1"/>
      <w:numFmt w:val="decimal"/>
      <w:lvlText w:val="%1)"/>
      <w:lvlJc w:val="left"/>
      <w:pPr>
        <w:ind w:left="2628" w:hanging="360"/>
      </w:pPr>
      <w:rPr>
        <w:rFonts w:hint="default"/>
      </w:rPr>
    </w:lvl>
    <w:lvl w:ilvl="1" w:tplc="38090019" w:tentative="1">
      <w:start w:val="1"/>
      <w:numFmt w:val="lowerLetter"/>
      <w:lvlText w:val="%2."/>
      <w:lvlJc w:val="left"/>
      <w:pPr>
        <w:ind w:left="3348" w:hanging="360"/>
      </w:pPr>
    </w:lvl>
    <w:lvl w:ilvl="2" w:tplc="3809001B" w:tentative="1">
      <w:start w:val="1"/>
      <w:numFmt w:val="lowerRoman"/>
      <w:lvlText w:val="%3."/>
      <w:lvlJc w:val="right"/>
      <w:pPr>
        <w:ind w:left="4068" w:hanging="180"/>
      </w:pPr>
    </w:lvl>
    <w:lvl w:ilvl="3" w:tplc="3809000F" w:tentative="1">
      <w:start w:val="1"/>
      <w:numFmt w:val="decimal"/>
      <w:lvlText w:val="%4."/>
      <w:lvlJc w:val="left"/>
      <w:pPr>
        <w:ind w:left="4788" w:hanging="360"/>
      </w:pPr>
    </w:lvl>
    <w:lvl w:ilvl="4" w:tplc="38090019" w:tentative="1">
      <w:start w:val="1"/>
      <w:numFmt w:val="lowerLetter"/>
      <w:lvlText w:val="%5."/>
      <w:lvlJc w:val="left"/>
      <w:pPr>
        <w:ind w:left="5508" w:hanging="360"/>
      </w:pPr>
    </w:lvl>
    <w:lvl w:ilvl="5" w:tplc="3809001B" w:tentative="1">
      <w:start w:val="1"/>
      <w:numFmt w:val="lowerRoman"/>
      <w:lvlText w:val="%6."/>
      <w:lvlJc w:val="right"/>
      <w:pPr>
        <w:ind w:left="6228" w:hanging="180"/>
      </w:pPr>
    </w:lvl>
    <w:lvl w:ilvl="6" w:tplc="3809000F" w:tentative="1">
      <w:start w:val="1"/>
      <w:numFmt w:val="decimal"/>
      <w:lvlText w:val="%7."/>
      <w:lvlJc w:val="left"/>
      <w:pPr>
        <w:ind w:left="6948" w:hanging="360"/>
      </w:pPr>
    </w:lvl>
    <w:lvl w:ilvl="7" w:tplc="38090019" w:tentative="1">
      <w:start w:val="1"/>
      <w:numFmt w:val="lowerLetter"/>
      <w:lvlText w:val="%8."/>
      <w:lvlJc w:val="left"/>
      <w:pPr>
        <w:ind w:left="7668" w:hanging="360"/>
      </w:pPr>
    </w:lvl>
    <w:lvl w:ilvl="8" w:tplc="3809001B" w:tentative="1">
      <w:start w:val="1"/>
      <w:numFmt w:val="lowerRoman"/>
      <w:lvlText w:val="%9."/>
      <w:lvlJc w:val="right"/>
      <w:pPr>
        <w:ind w:left="8388" w:hanging="180"/>
      </w:pPr>
    </w:lvl>
  </w:abstractNum>
  <w:abstractNum w:abstractNumId="172" w15:restartNumberingAfterBreak="0">
    <w:nsid w:val="2CEF015C"/>
    <w:multiLevelType w:val="hybridMultilevel"/>
    <w:tmpl w:val="A2CC12BE"/>
    <w:lvl w:ilvl="0" w:tplc="EA52EC9C">
      <w:start w:val="1"/>
      <w:numFmt w:val="lowerLetter"/>
      <w:lvlText w:val="%1)"/>
      <w:lvlJc w:val="left"/>
      <w:pPr>
        <w:ind w:left="3195" w:hanging="360"/>
      </w:pPr>
      <w:rPr>
        <w:rFonts w:hint="default"/>
      </w:rPr>
    </w:lvl>
    <w:lvl w:ilvl="1" w:tplc="38090019" w:tentative="1">
      <w:start w:val="1"/>
      <w:numFmt w:val="lowerLetter"/>
      <w:lvlText w:val="%2."/>
      <w:lvlJc w:val="left"/>
      <w:pPr>
        <w:ind w:left="3915" w:hanging="360"/>
      </w:pPr>
    </w:lvl>
    <w:lvl w:ilvl="2" w:tplc="3809001B" w:tentative="1">
      <w:start w:val="1"/>
      <w:numFmt w:val="lowerRoman"/>
      <w:lvlText w:val="%3."/>
      <w:lvlJc w:val="right"/>
      <w:pPr>
        <w:ind w:left="4635" w:hanging="180"/>
      </w:pPr>
    </w:lvl>
    <w:lvl w:ilvl="3" w:tplc="3809000F" w:tentative="1">
      <w:start w:val="1"/>
      <w:numFmt w:val="decimal"/>
      <w:lvlText w:val="%4."/>
      <w:lvlJc w:val="left"/>
      <w:pPr>
        <w:ind w:left="5355" w:hanging="360"/>
      </w:pPr>
    </w:lvl>
    <w:lvl w:ilvl="4" w:tplc="38090019" w:tentative="1">
      <w:start w:val="1"/>
      <w:numFmt w:val="lowerLetter"/>
      <w:lvlText w:val="%5."/>
      <w:lvlJc w:val="left"/>
      <w:pPr>
        <w:ind w:left="6075" w:hanging="360"/>
      </w:pPr>
    </w:lvl>
    <w:lvl w:ilvl="5" w:tplc="3809001B" w:tentative="1">
      <w:start w:val="1"/>
      <w:numFmt w:val="lowerRoman"/>
      <w:lvlText w:val="%6."/>
      <w:lvlJc w:val="right"/>
      <w:pPr>
        <w:ind w:left="6795" w:hanging="180"/>
      </w:pPr>
    </w:lvl>
    <w:lvl w:ilvl="6" w:tplc="3809000F" w:tentative="1">
      <w:start w:val="1"/>
      <w:numFmt w:val="decimal"/>
      <w:lvlText w:val="%7."/>
      <w:lvlJc w:val="left"/>
      <w:pPr>
        <w:ind w:left="7515" w:hanging="360"/>
      </w:pPr>
    </w:lvl>
    <w:lvl w:ilvl="7" w:tplc="38090019" w:tentative="1">
      <w:start w:val="1"/>
      <w:numFmt w:val="lowerLetter"/>
      <w:lvlText w:val="%8."/>
      <w:lvlJc w:val="left"/>
      <w:pPr>
        <w:ind w:left="8235" w:hanging="360"/>
      </w:pPr>
    </w:lvl>
    <w:lvl w:ilvl="8" w:tplc="3809001B" w:tentative="1">
      <w:start w:val="1"/>
      <w:numFmt w:val="lowerRoman"/>
      <w:lvlText w:val="%9."/>
      <w:lvlJc w:val="right"/>
      <w:pPr>
        <w:ind w:left="8955" w:hanging="180"/>
      </w:pPr>
    </w:lvl>
  </w:abstractNum>
  <w:abstractNum w:abstractNumId="173" w15:restartNumberingAfterBreak="0">
    <w:nsid w:val="2CFA208E"/>
    <w:multiLevelType w:val="hybridMultilevel"/>
    <w:tmpl w:val="787824C4"/>
    <w:lvl w:ilvl="0" w:tplc="DA64A8AC">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174" w15:restartNumberingAfterBreak="0">
    <w:nsid w:val="2D7E6DD7"/>
    <w:multiLevelType w:val="hybridMultilevel"/>
    <w:tmpl w:val="86E0E7BE"/>
    <w:lvl w:ilvl="0" w:tplc="29481616">
      <w:start w:val="1"/>
      <w:numFmt w:val="lowerLetter"/>
      <w:lvlText w:val="%1)"/>
      <w:lvlJc w:val="left"/>
      <w:pPr>
        <w:ind w:left="3195" w:hanging="360"/>
      </w:pPr>
      <w:rPr>
        <w:rFonts w:hint="default"/>
      </w:rPr>
    </w:lvl>
    <w:lvl w:ilvl="1" w:tplc="38090019" w:tentative="1">
      <w:start w:val="1"/>
      <w:numFmt w:val="lowerLetter"/>
      <w:lvlText w:val="%2."/>
      <w:lvlJc w:val="left"/>
      <w:pPr>
        <w:ind w:left="3915" w:hanging="360"/>
      </w:pPr>
    </w:lvl>
    <w:lvl w:ilvl="2" w:tplc="3809001B" w:tentative="1">
      <w:start w:val="1"/>
      <w:numFmt w:val="lowerRoman"/>
      <w:lvlText w:val="%3."/>
      <w:lvlJc w:val="right"/>
      <w:pPr>
        <w:ind w:left="4635" w:hanging="180"/>
      </w:pPr>
    </w:lvl>
    <w:lvl w:ilvl="3" w:tplc="3809000F" w:tentative="1">
      <w:start w:val="1"/>
      <w:numFmt w:val="decimal"/>
      <w:lvlText w:val="%4."/>
      <w:lvlJc w:val="left"/>
      <w:pPr>
        <w:ind w:left="5355" w:hanging="360"/>
      </w:pPr>
    </w:lvl>
    <w:lvl w:ilvl="4" w:tplc="38090019" w:tentative="1">
      <w:start w:val="1"/>
      <w:numFmt w:val="lowerLetter"/>
      <w:lvlText w:val="%5."/>
      <w:lvlJc w:val="left"/>
      <w:pPr>
        <w:ind w:left="6075" w:hanging="360"/>
      </w:pPr>
    </w:lvl>
    <w:lvl w:ilvl="5" w:tplc="3809001B" w:tentative="1">
      <w:start w:val="1"/>
      <w:numFmt w:val="lowerRoman"/>
      <w:lvlText w:val="%6."/>
      <w:lvlJc w:val="right"/>
      <w:pPr>
        <w:ind w:left="6795" w:hanging="180"/>
      </w:pPr>
    </w:lvl>
    <w:lvl w:ilvl="6" w:tplc="3809000F" w:tentative="1">
      <w:start w:val="1"/>
      <w:numFmt w:val="decimal"/>
      <w:lvlText w:val="%7."/>
      <w:lvlJc w:val="left"/>
      <w:pPr>
        <w:ind w:left="7515" w:hanging="360"/>
      </w:pPr>
    </w:lvl>
    <w:lvl w:ilvl="7" w:tplc="38090019" w:tentative="1">
      <w:start w:val="1"/>
      <w:numFmt w:val="lowerLetter"/>
      <w:lvlText w:val="%8."/>
      <w:lvlJc w:val="left"/>
      <w:pPr>
        <w:ind w:left="8235" w:hanging="360"/>
      </w:pPr>
    </w:lvl>
    <w:lvl w:ilvl="8" w:tplc="3809001B" w:tentative="1">
      <w:start w:val="1"/>
      <w:numFmt w:val="lowerRoman"/>
      <w:lvlText w:val="%9."/>
      <w:lvlJc w:val="right"/>
      <w:pPr>
        <w:ind w:left="8955" w:hanging="180"/>
      </w:pPr>
    </w:lvl>
  </w:abstractNum>
  <w:abstractNum w:abstractNumId="175" w15:restartNumberingAfterBreak="0">
    <w:nsid w:val="2E29247A"/>
    <w:multiLevelType w:val="hybridMultilevel"/>
    <w:tmpl w:val="18CA753E"/>
    <w:lvl w:ilvl="0" w:tplc="38090011">
      <w:start w:val="1"/>
      <w:numFmt w:val="decimal"/>
      <w:lvlText w:val="%1)"/>
      <w:lvlJc w:val="left"/>
      <w:pPr>
        <w:ind w:left="720" w:hanging="360"/>
      </w:pPr>
      <w:rPr>
        <w:b w:val="0"/>
        <w:bCs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6" w15:restartNumberingAfterBreak="0">
    <w:nsid w:val="2E6D3CBB"/>
    <w:multiLevelType w:val="hybridMultilevel"/>
    <w:tmpl w:val="CABC0A2A"/>
    <w:lvl w:ilvl="0" w:tplc="4F909DB6">
      <w:start w:val="1"/>
      <w:numFmt w:val="decimal"/>
      <w:lvlText w:val="%1)"/>
      <w:lvlJc w:val="left"/>
      <w:pPr>
        <w:ind w:left="2628" w:hanging="360"/>
      </w:pPr>
      <w:rPr>
        <w:rFonts w:hint="default"/>
      </w:rPr>
    </w:lvl>
    <w:lvl w:ilvl="1" w:tplc="38090019" w:tentative="1">
      <w:start w:val="1"/>
      <w:numFmt w:val="lowerLetter"/>
      <w:lvlText w:val="%2."/>
      <w:lvlJc w:val="left"/>
      <w:pPr>
        <w:ind w:left="3348" w:hanging="360"/>
      </w:pPr>
    </w:lvl>
    <w:lvl w:ilvl="2" w:tplc="3809001B" w:tentative="1">
      <w:start w:val="1"/>
      <w:numFmt w:val="lowerRoman"/>
      <w:lvlText w:val="%3."/>
      <w:lvlJc w:val="right"/>
      <w:pPr>
        <w:ind w:left="4068" w:hanging="180"/>
      </w:pPr>
    </w:lvl>
    <w:lvl w:ilvl="3" w:tplc="3809000F" w:tentative="1">
      <w:start w:val="1"/>
      <w:numFmt w:val="decimal"/>
      <w:lvlText w:val="%4."/>
      <w:lvlJc w:val="left"/>
      <w:pPr>
        <w:ind w:left="4788" w:hanging="360"/>
      </w:pPr>
    </w:lvl>
    <w:lvl w:ilvl="4" w:tplc="38090019" w:tentative="1">
      <w:start w:val="1"/>
      <w:numFmt w:val="lowerLetter"/>
      <w:lvlText w:val="%5."/>
      <w:lvlJc w:val="left"/>
      <w:pPr>
        <w:ind w:left="5508" w:hanging="360"/>
      </w:pPr>
    </w:lvl>
    <w:lvl w:ilvl="5" w:tplc="3809001B" w:tentative="1">
      <w:start w:val="1"/>
      <w:numFmt w:val="lowerRoman"/>
      <w:lvlText w:val="%6."/>
      <w:lvlJc w:val="right"/>
      <w:pPr>
        <w:ind w:left="6228" w:hanging="180"/>
      </w:pPr>
    </w:lvl>
    <w:lvl w:ilvl="6" w:tplc="3809000F" w:tentative="1">
      <w:start w:val="1"/>
      <w:numFmt w:val="decimal"/>
      <w:lvlText w:val="%7."/>
      <w:lvlJc w:val="left"/>
      <w:pPr>
        <w:ind w:left="6948" w:hanging="360"/>
      </w:pPr>
    </w:lvl>
    <w:lvl w:ilvl="7" w:tplc="38090019" w:tentative="1">
      <w:start w:val="1"/>
      <w:numFmt w:val="lowerLetter"/>
      <w:lvlText w:val="%8."/>
      <w:lvlJc w:val="left"/>
      <w:pPr>
        <w:ind w:left="7668" w:hanging="360"/>
      </w:pPr>
    </w:lvl>
    <w:lvl w:ilvl="8" w:tplc="3809001B" w:tentative="1">
      <w:start w:val="1"/>
      <w:numFmt w:val="lowerRoman"/>
      <w:lvlText w:val="%9."/>
      <w:lvlJc w:val="right"/>
      <w:pPr>
        <w:ind w:left="8388" w:hanging="180"/>
      </w:pPr>
    </w:lvl>
  </w:abstractNum>
  <w:abstractNum w:abstractNumId="177" w15:restartNumberingAfterBreak="0">
    <w:nsid w:val="2F300826"/>
    <w:multiLevelType w:val="hybridMultilevel"/>
    <w:tmpl w:val="C52CAEA6"/>
    <w:lvl w:ilvl="0" w:tplc="561A99E0">
      <w:start w:val="1"/>
      <w:numFmt w:val="decimal"/>
      <w:lvlText w:val="%1)"/>
      <w:lvlJc w:val="left"/>
      <w:pPr>
        <w:ind w:left="2628" w:hanging="360"/>
      </w:pPr>
      <w:rPr>
        <w:rFonts w:hint="default"/>
      </w:rPr>
    </w:lvl>
    <w:lvl w:ilvl="1" w:tplc="38090019" w:tentative="1">
      <w:start w:val="1"/>
      <w:numFmt w:val="lowerLetter"/>
      <w:lvlText w:val="%2."/>
      <w:lvlJc w:val="left"/>
      <w:pPr>
        <w:ind w:left="3348" w:hanging="360"/>
      </w:pPr>
    </w:lvl>
    <w:lvl w:ilvl="2" w:tplc="3809001B" w:tentative="1">
      <w:start w:val="1"/>
      <w:numFmt w:val="lowerRoman"/>
      <w:lvlText w:val="%3."/>
      <w:lvlJc w:val="right"/>
      <w:pPr>
        <w:ind w:left="4068" w:hanging="180"/>
      </w:pPr>
    </w:lvl>
    <w:lvl w:ilvl="3" w:tplc="3809000F" w:tentative="1">
      <w:start w:val="1"/>
      <w:numFmt w:val="decimal"/>
      <w:lvlText w:val="%4."/>
      <w:lvlJc w:val="left"/>
      <w:pPr>
        <w:ind w:left="4788" w:hanging="360"/>
      </w:pPr>
    </w:lvl>
    <w:lvl w:ilvl="4" w:tplc="38090019" w:tentative="1">
      <w:start w:val="1"/>
      <w:numFmt w:val="lowerLetter"/>
      <w:lvlText w:val="%5."/>
      <w:lvlJc w:val="left"/>
      <w:pPr>
        <w:ind w:left="5508" w:hanging="360"/>
      </w:pPr>
    </w:lvl>
    <w:lvl w:ilvl="5" w:tplc="3809001B" w:tentative="1">
      <w:start w:val="1"/>
      <w:numFmt w:val="lowerRoman"/>
      <w:lvlText w:val="%6."/>
      <w:lvlJc w:val="right"/>
      <w:pPr>
        <w:ind w:left="6228" w:hanging="180"/>
      </w:pPr>
    </w:lvl>
    <w:lvl w:ilvl="6" w:tplc="3809000F" w:tentative="1">
      <w:start w:val="1"/>
      <w:numFmt w:val="decimal"/>
      <w:lvlText w:val="%7."/>
      <w:lvlJc w:val="left"/>
      <w:pPr>
        <w:ind w:left="6948" w:hanging="360"/>
      </w:pPr>
    </w:lvl>
    <w:lvl w:ilvl="7" w:tplc="38090019" w:tentative="1">
      <w:start w:val="1"/>
      <w:numFmt w:val="lowerLetter"/>
      <w:lvlText w:val="%8."/>
      <w:lvlJc w:val="left"/>
      <w:pPr>
        <w:ind w:left="7668" w:hanging="360"/>
      </w:pPr>
    </w:lvl>
    <w:lvl w:ilvl="8" w:tplc="3809001B" w:tentative="1">
      <w:start w:val="1"/>
      <w:numFmt w:val="lowerRoman"/>
      <w:lvlText w:val="%9."/>
      <w:lvlJc w:val="right"/>
      <w:pPr>
        <w:ind w:left="8388" w:hanging="180"/>
      </w:pPr>
    </w:lvl>
  </w:abstractNum>
  <w:abstractNum w:abstractNumId="178" w15:restartNumberingAfterBreak="0">
    <w:nsid w:val="2FC41D09"/>
    <w:multiLevelType w:val="hybridMultilevel"/>
    <w:tmpl w:val="2A3487CA"/>
    <w:lvl w:ilvl="0" w:tplc="62469BBE">
      <w:start w:val="1"/>
      <w:numFmt w:val="lowerLetter"/>
      <w:lvlText w:val="%1."/>
      <w:lvlJc w:val="left"/>
      <w:pPr>
        <w:ind w:left="2421" w:hanging="360"/>
      </w:pPr>
      <w:rPr>
        <w:rFonts w:ascii="Bookman Old Style" w:hAnsi="Bookman Old Style" w:hint="default"/>
        <w:b w:val="0"/>
        <w:bCs w:val="0"/>
        <w:sz w:val="22"/>
        <w:szCs w:val="18"/>
      </w:rPr>
    </w:lvl>
    <w:lvl w:ilvl="1" w:tplc="38090019" w:tentative="1">
      <w:start w:val="1"/>
      <w:numFmt w:val="lowerLetter"/>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abstractNum w:abstractNumId="179" w15:restartNumberingAfterBreak="0">
    <w:nsid w:val="2FC54F60"/>
    <w:multiLevelType w:val="hybridMultilevel"/>
    <w:tmpl w:val="85EC148A"/>
    <w:lvl w:ilvl="0" w:tplc="302EA20E">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180" w15:restartNumberingAfterBreak="0">
    <w:nsid w:val="2FE93416"/>
    <w:multiLevelType w:val="hybridMultilevel"/>
    <w:tmpl w:val="141A9BCE"/>
    <w:lvl w:ilvl="0" w:tplc="38090011">
      <w:start w:val="1"/>
      <w:numFmt w:val="decimal"/>
      <w:lvlText w:val="%1)"/>
      <w:lvlJc w:val="left"/>
      <w:pPr>
        <w:ind w:left="720" w:hanging="360"/>
      </w:pPr>
      <w:rPr>
        <w:b w:val="0"/>
        <w:bCs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1" w15:restartNumberingAfterBreak="0">
    <w:nsid w:val="2FEC3EF3"/>
    <w:multiLevelType w:val="hybridMultilevel"/>
    <w:tmpl w:val="501A4C18"/>
    <w:lvl w:ilvl="0" w:tplc="A07AE42C">
      <w:start w:val="1"/>
      <w:numFmt w:val="decimal"/>
      <w:lvlText w:val="%1)"/>
      <w:lvlJc w:val="left"/>
      <w:pPr>
        <w:ind w:left="720" w:hanging="360"/>
      </w:pPr>
      <w:rPr>
        <w:rFonts w:ascii="Bookman Old Style" w:eastAsia="Bookman Old Style" w:hAnsi="Bookman Old Style" w:cs="Bookman Old Style"/>
        <w:color w:val="auto"/>
        <w:sz w:val="24"/>
        <w:szCs w:val="24"/>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82" w15:restartNumberingAfterBreak="0">
    <w:nsid w:val="2FFD45AD"/>
    <w:multiLevelType w:val="hybridMultilevel"/>
    <w:tmpl w:val="25EC2D16"/>
    <w:lvl w:ilvl="0" w:tplc="AE6A9AD4">
      <w:start w:val="1"/>
      <w:numFmt w:val="lowerLetter"/>
      <w:lvlText w:val="%1)"/>
      <w:lvlJc w:val="left"/>
      <w:pPr>
        <w:ind w:left="3240" w:hanging="360"/>
      </w:pPr>
      <w:rPr>
        <w:rFonts w:hint="default"/>
      </w:rPr>
    </w:lvl>
    <w:lvl w:ilvl="1" w:tplc="38090019" w:tentative="1">
      <w:start w:val="1"/>
      <w:numFmt w:val="lowerLetter"/>
      <w:lvlText w:val="%2."/>
      <w:lvlJc w:val="left"/>
      <w:pPr>
        <w:ind w:left="3960" w:hanging="360"/>
      </w:pPr>
    </w:lvl>
    <w:lvl w:ilvl="2" w:tplc="3809001B" w:tentative="1">
      <w:start w:val="1"/>
      <w:numFmt w:val="lowerRoman"/>
      <w:lvlText w:val="%3."/>
      <w:lvlJc w:val="right"/>
      <w:pPr>
        <w:ind w:left="4680" w:hanging="180"/>
      </w:pPr>
    </w:lvl>
    <w:lvl w:ilvl="3" w:tplc="3809000F" w:tentative="1">
      <w:start w:val="1"/>
      <w:numFmt w:val="decimal"/>
      <w:lvlText w:val="%4."/>
      <w:lvlJc w:val="left"/>
      <w:pPr>
        <w:ind w:left="5400" w:hanging="360"/>
      </w:pPr>
    </w:lvl>
    <w:lvl w:ilvl="4" w:tplc="38090019" w:tentative="1">
      <w:start w:val="1"/>
      <w:numFmt w:val="lowerLetter"/>
      <w:lvlText w:val="%5."/>
      <w:lvlJc w:val="left"/>
      <w:pPr>
        <w:ind w:left="6120" w:hanging="360"/>
      </w:pPr>
    </w:lvl>
    <w:lvl w:ilvl="5" w:tplc="3809001B" w:tentative="1">
      <w:start w:val="1"/>
      <w:numFmt w:val="lowerRoman"/>
      <w:lvlText w:val="%6."/>
      <w:lvlJc w:val="right"/>
      <w:pPr>
        <w:ind w:left="6840" w:hanging="180"/>
      </w:pPr>
    </w:lvl>
    <w:lvl w:ilvl="6" w:tplc="3809000F" w:tentative="1">
      <w:start w:val="1"/>
      <w:numFmt w:val="decimal"/>
      <w:lvlText w:val="%7."/>
      <w:lvlJc w:val="left"/>
      <w:pPr>
        <w:ind w:left="7560" w:hanging="360"/>
      </w:pPr>
    </w:lvl>
    <w:lvl w:ilvl="7" w:tplc="38090019" w:tentative="1">
      <w:start w:val="1"/>
      <w:numFmt w:val="lowerLetter"/>
      <w:lvlText w:val="%8."/>
      <w:lvlJc w:val="left"/>
      <w:pPr>
        <w:ind w:left="8280" w:hanging="360"/>
      </w:pPr>
    </w:lvl>
    <w:lvl w:ilvl="8" w:tplc="3809001B" w:tentative="1">
      <w:start w:val="1"/>
      <w:numFmt w:val="lowerRoman"/>
      <w:lvlText w:val="%9."/>
      <w:lvlJc w:val="right"/>
      <w:pPr>
        <w:ind w:left="9000" w:hanging="180"/>
      </w:pPr>
    </w:lvl>
  </w:abstractNum>
  <w:abstractNum w:abstractNumId="183" w15:restartNumberingAfterBreak="0">
    <w:nsid w:val="305D1914"/>
    <w:multiLevelType w:val="hybridMultilevel"/>
    <w:tmpl w:val="898AD352"/>
    <w:lvl w:ilvl="0" w:tplc="38090011">
      <w:start w:val="1"/>
      <w:numFmt w:val="decimal"/>
      <w:lvlText w:val="%1)"/>
      <w:lvlJc w:val="left"/>
      <w:pPr>
        <w:ind w:left="720" w:hanging="360"/>
      </w:pPr>
      <w:rPr>
        <w:rFonts w:hint="default"/>
        <w:b w:val="0"/>
        <w:bCs w:val="0"/>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30625A01"/>
    <w:multiLevelType w:val="multilevel"/>
    <w:tmpl w:val="5F56C6D8"/>
    <w:lvl w:ilvl="0">
      <w:start w:val="1"/>
      <w:numFmt w:val="upperLetter"/>
      <w:lvlText w:val="%1."/>
      <w:lvlJc w:val="left"/>
      <w:pPr>
        <w:ind w:left="513" w:hanging="360"/>
      </w:pPr>
    </w:lvl>
    <w:lvl w:ilvl="1">
      <w:start w:val="1"/>
      <w:numFmt w:val="lowerLetter"/>
      <w:lvlText w:val="%2."/>
      <w:lvlJc w:val="left"/>
      <w:pPr>
        <w:ind w:left="1233" w:hanging="360"/>
      </w:pPr>
    </w:lvl>
    <w:lvl w:ilvl="2">
      <w:start w:val="1"/>
      <w:numFmt w:val="lowerRoman"/>
      <w:lvlText w:val="%3."/>
      <w:lvlJc w:val="right"/>
      <w:pPr>
        <w:ind w:left="1953" w:hanging="180"/>
      </w:pPr>
    </w:lvl>
    <w:lvl w:ilvl="3">
      <w:start w:val="1"/>
      <w:numFmt w:val="decimal"/>
      <w:lvlText w:val="%4."/>
      <w:lvlJc w:val="left"/>
      <w:pPr>
        <w:ind w:left="2673" w:hanging="360"/>
      </w:pPr>
      <w:rPr>
        <w:sz w:val="24"/>
        <w:szCs w:val="24"/>
      </w:rPr>
    </w:lvl>
    <w:lvl w:ilvl="4">
      <w:start w:val="1"/>
      <w:numFmt w:val="lowerLetter"/>
      <w:lvlText w:val="%5."/>
      <w:lvlJc w:val="left"/>
      <w:pPr>
        <w:ind w:left="3393" w:hanging="360"/>
      </w:pPr>
    </w:lvl>
    <w:lvl w:ilvl="5">
      <w:start w:val="1"/>
      <w:numFmt w:val="lowerRoman"/>
      <w:lvlText w:val="%6."/>
      <w:lvlJc w:val="right"/>
      <w:pPr>
        <w:ind w:left="4113" w:hanging="180"/>
      </w:pPr>
    </w:lvl>
    <w:lvl w:ilvl="6">
      <w:start w:val="1"/>
      <w:numFmt w:val="decimal"/>
      <w:lvlText w:val="%7."/>
      <w:lvlJc w:val="left"/>
      <w:pPr>
        <w:ind w:left="4833" w:hanging="360"/>
      </w:pPr>
      <w:rPr>
        <w:sz w:val="24"/>
        <w:szCs w:val="24"/>
      </w:rPr>
    </w:lvl>
    <w:lvl w:ilvl="7">
      <w:start w:val="1"/>
      <w:numFmt w:val="lowerLetter"/>
      <w:lvlText w:val="%8."/>
      <w:lvlJc w:val="left"/>
      <w:pPr>
        <w:ind w:left="5553" w:hanging="360"/>
      </w:pPr>
    </w:lvl>
    <w:lvl w:ilvl="8">
      <w:start w:val="1"/>
      <w:numFmt w:val="lowerRoman"/>
      <w:lvlText w:val="%9."/>
      <w:lvlJc w:val="right"/>
      <w:pPr>
        <w:ind w:left="6273" w:hanging="180"/>
      </w:pPr>
    </w:lvl>
  </w:abstractNum>
  <w:abstractNum w:abstractNumId="185" w15:restartNumberingAfterBreak="0">
    <w:nsid w:val="30F90D45"/>
    <w:multiLevelType w:val="multilevel"/>
    <w:tmpl w:val="92345E14"/>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313A37BC"/>
    <w:multiLevelType w:val="hybridMultilevel"/>
    <w:tmpl w:val="BBF8AEA2"/>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187" w15:restartNumberingAfterBreak="0">
    <w:nsid w:val="3182046F"/>
    <w:multiLevelType w:val="hybridMultilevel"/>
    <w:tmpl w:val="B2088C4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8" w15:restartNumberingAfterBreak="0">
    <w:nsid w:val="319853FE"/>
    <w:multiLevelType w:val="multilevel"/>
    <w:tmpl w:val="DA768F6E"/>
    <w:lvl w:ilvl="0">
      <w:numFmt w:val="bullet"/>
      <w:lvlText w:val="●"/>
      <w:lvlJc w:val="left"/>
      <w:pPr>
        <w:ind w:left="566" w:hanging="369"/>
      </w:pPr>
      <w:rPr>
        <w:rFonts w:ascii="Noto Sans Symbols" w:eastAsia="Noto Sans Symbols" w:hAnsi="Noto Sans Symbols" w:cs="Noto Sans Symbols"/>
        <w:sz w:val="22"/>
        <w:szCs w:val="22"/>
      </w:rPr>
    </w:lvl>
    <w:lvl w:ilvl="1">
      <w:numFmt w:val="bullet"/>
      <w:lvlText w:val="•"/>
      <w:lvlJc w:val="left"/>
      <w:pPr>
        <w:ind w:left="1565" w:hanging="369"/>
      </w:pPr>
    </w:lvl>
    <w:lvl w:ilvl="2">
      <w:numFmt w:val="bullet"/>
      <w:lvlText w:val="•"/>
      <w:lvlJc w:val="left"/>
      <w:pPr>
        <w:ind w:left="2571" w:hanging="369"/>
      </w:pPr>
    </w:lvl>
    <w:lvl w:ilvl="3">
      <w:numFmt w:val="bullet"/>
      <w:lvlText w:val="•"/>
      <w:lvlJc w:val="left"/>
      <w:pPr>
        <w:ind w:left="3576" w:hanging="368"/>
      </w:pPr>
    </w:lvl>
    <w:lvl w:ilvl="4">
      <w:numFmt w:val="bullet"/>
      <w:lvlText w:val="•"/>
      <w:lvlJc w:val="left"/>
      <w:pPr>
        <w:ind w:left="4582" w:hanging="369"/>
      </w:pPr>
    </w:lvl>
    <w:lvl w:ilvl="5">
      <w:numFmt w:val="bullet"/>
      <w:lvlText w:val="•"/>
      <w:lvlJc w:val="left"/>
      <w:pPr>
        <w:ind w:left="5587" w:hanging="368"/>
      </w:pPr>
    </w:lvl>
    <w:lvl w:ilvl="6">
      <w:numFmt w:val="bullet"/>
      <w:lvlText w:val="•"/>
      <w:lvlJc w:val="left"/>
      <w:pPr>
        <w:ind w:left="6593" w:hanging="369"/>
      </w:pPr>
    </w:lvl>
    <w:lvl w:ilvl="7">
      <w:numFmt w:val="bullet"/>
      <w:lvlText w:val="•"/>
      <w:lvlJc w:val="left"/>
      <w:pPr>
        <w:ind w:left="7598" w:hanging="369"/>
      </w:pPr>
    </w:lvl>
    <w:lvl w:ilvl="8">
      <w:numFmt w:val="bullet"/>
      <w:lvlText w:val="•"/>
      <w:lvlJc w:val="left"/>
      <w:pPr>
        <w:ind w:left="8604" w:hanging="369"/>
      </w:pPr>
    </w:lvl>
  </w:abstractNum>
  <w:abstractNum w:abstractNumId="189" w15:restartNumberingAfterBreak="0">
    <w:nsid w:val="31C17A57"/>
    <w:multiLevelType w:val="hybridMultilevel"/>
    <w:tmpl w:val="6712A21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0" w15:restartNumberingAfterBreak="0">
    <w:nsid w:val="31D03808"/>
    <w:multiLevelType w:val="multilevel"/>
    <w:tmpl w:val="6C1282B0"/>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31DC0200"/>
    <w:multiLevelType w:val="hybridMultilevel"/>
    <w:tmpl w:val="9B1AB0F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2" w15:restartNumberingAfterBreak="0">
    <w:nsid w:val="32047D8C"/>
    <w:multiLevelType w:val="hybridMultilevel"/>
    <w:tmpl w:val="9B30ED2C"/>
    <w:lvl w:ilvl="0" w:tplc="63F2D450">
      <w:start w:val="1"/>
      <w:numFmt w:val="lowerLetter"/>
      <w:lvlText w:val="%1."/>
      <w:lvlJc w:val="left"/>
      <w:pPr>
        <w:ind w:left="1854" w:hanging="360"/>
      </w:pPr>
      <w:rPr>
        <w:rFonts w:hint="default"/>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93" w15:restartNumberingAfterBreak="0">
    <w:nsid w:val="32065728"/>
    <w:multiLevelType w:val="hybridMultilevel"/>
    <w:tmpl w:val="DB62E504"/>
    <w:lvl w:ilvl="0" w:tplc="0421000F">
      <w:start w:val="1"/>
      <w:numFmt w:val="decimal"/>
      <w:lvlText w:val="%1."/>
      <w:lvlJc w:val="left"/>
      <w:pPr>
        <w:ind w:left="1287" w:hanging="360"/>
      </w:pPr>
    </w:lvl>
    <w:lvl w:ilvl="1" w:tplc="04090019">
      <w:start w:val="1"/>
      <w:numFmt w:val="lowerLetter"/>
      <w:lvlText w:val="%2."/>
      <w:lvlJc w:val="left"/>
      <w:pPr>
        <w:ind w:left="2214" w:hanging="360"/>
      </w:pPr>
    </w:lvl>
    <w:lvl w:ilvl="2" w:tplc="38090011">
      <w:start w:val="1"/>
      <w:numFmt w:val="decimal"/>
      <w:lvlText w:val="%3)"/>
      <w:lvlJc w:val="left"/>
      <w:pPr>
        <w:ind w:left="720" w:hanging="36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94" w15:restartNumberingAfterBreak="0">
    <w:nsid w:val="327735A5"/>
    <w:multiLevelType w:val="hybridMultilevel"/>
    <w:tmpl w:val="1576CD3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5" w15:restartNumberingAfterBreak="0">
    <w:nsid w:val="32C31D5F"/>
    <w:multiLevelType w:val="hybridMultilevel"/>
    <w:tmpl w:val="789674A4"/>
    <w:lvl w:ilvl="0" w:tplc="8A1E0F34">
      <w:start w:val="1"/>
      <w:numFmt w:val="lowerLetter"/>
      <w:lvlText w:val="(%1)"/>
      <w:lvlJc w:val="left"/>
      <w:pPr>
        <w:ind w:left="4374" w:hanging="360"/>
      </w:pPr>
      <w:rPr>
        <w:rFonts w:hint="default"/>
      </w:rPr>
    </w:lvl>
    <w:lvl w:ilvl="1" w:tplc="38090019" w:tentative="1">
      <w:start w:val="1"/>
      <w:numFmt w:val="lowerLetter"/>
      <w:lvlText w:val="%2."/>
      <w:lvlJc w:val="left"/>
      <w:pPr>
        <w:ind w:left="5094" w:hanging="360"/>
      </w:pPr>
    </w:lvl>
    <w:lvl w:ilvl="2" w:tplc="3809001B" w:tentative="1">
      <w:start w:val="1"/>
      <w:numFmt w:val="lowerRoman"/>
      <w:lvlText w:val="%3."/>
      <w:lvlJc w:val="right"/>
      <w:pPr>
        <w:ind w:left="5814" w:hanging="180"/>
      </w:pPr>
    </w:lvl>
    <w:lvl w:ilvl="3" w:tplc="3809000F" w:tentative="1">
      <w:start w:val="1"/>
      <w:numFmt w:val="decimal"/>
      <w:lvlText w:val="%4."/>
      <w:lvlJc w:val="left"/>
      <w:pPr>
        <w:ind w:left="6534" w:hanging="360"/>
      </w:pPr>
    </w:lvl>
    <w:lvl w:ilvl="4" w:tplc="38090019" w:tentative="1">
      <w:start w:val="1"/>
      <w:numFmt w:val="lowerLetter"/>
      <w:lvlText w:val="%5."/>
      <w:lvlJc w:val="left"/>
      <w:pPr>
        <w:ind w:left="7254" w:hanging="360"/>
      </w:pPr>
    </w:lvl>
    <w:lvl w:ilvl="5" w:tplc="3809001B" w:tentative="1">
      <w:start w:val="1"/>
      <w:numFmt w:val="lowerRoman"/>
      <w:lvlText w:val="%6."/>
      <w:lvlJc w:val="right"/>
      <w:pPr>
        <w:ind w:left="7974" w:hanging="180"/>
      </w:pPr>
    </w:lvl>
    <w:lvl w:ilvl="6" w:tplc="3809000F" w:tentative="1">
      <w:start w:val="1"/>
      <w:numFmt w:val="decimal"/>
      <w:lvlText w:val="%7."/>
      <w:lvlJc w:val="left"/>
      <w:pPr>
        <w:ind w:left="8694" w:hanging="360"/>
      </w:pPr>
    </w:lvl>
    <w:lvl w:ilvl="7" w:tplc="38090019" w:tentative="1">
      <w:start w:val="1"/>
      <w:numFmt w:val="lowerLetter"/>
      <w:lvlText w:val="%8."/>
      <w:lvlJc w:val="left"/>
      <w:pPr>
        <w:ind w:left="9414" w:hanging="360"/>
      </w:pPr>
    </w:lvl>
    <w:lvl w:ilvl="8" w:tplc="3809001B" w:tentative="1">
      <w:start w:val="1"/>
      <w:numFmt w:val="lowerRoman"/>
      <w:lvlText w:val="%9."/>
      <w:lvlJc w:val="right"/>
      <w:pPr>
        <w:ind w:left="10134" w:hanging="180"/>
      </w:pPr>
    </w:lvl>
  </w:abstractNum>
  <w:abstractNum w:abstractNumId="196" w15:restartNumberingAfterBreak="0">
    <w:nsid w:val="32D851F5"/>
    <w:multiLevelType w:val="hybridMultilevel"/>
    <w:tmpl w:val="A16EA6D8"/>
    <w:lvl w:ilvl="0" w:tplc="DA2AF54A">
      <w:start w:val="1"/>
      <w:numFmt w:val="lowerLetter"/>
      <w:lvlText w:val="%1)"/>
      <w:lvlJc w:val="left"/>
      <w:pPr>
        <w:ind w:left="2628" w:hanging="360"/>
      </w:pPr>
      <w:rPr>
        <w:rFonts w:hint="default"/>
      </w:rPr>
    </w:lvl>
    <w:lvl w:ilvl="1" w:tplc="38090019" w:tentative="1">
      <w:start w:val="1"/>
      <w:numFmt w:val="lowerLetter"/>
      <w:lvlText w:val="%2."/>
      <w:lvlJc w:val="left"/>
      <w:pPr>
        <w:ind w:left="3348" w:hanging="360"/>
      </w:pPr>
    </w:lvl>
    <w:lvl w:ilvl="2" w:tplc="3809001B" w:tentative="1">
      <w:start w:val="1"/>
      <w:numFmt w:val="lowerRoman"/>
      <w:lvlText w:val="%3."/>
      <w:lvlJc w:val="right"/>
      <w:pPr>
        <w:ind w:left="4068" w:hanging="180"/>
      </w:pPr>
    </w:lvl>
    <w:lvl w:ilvl="3" w:tplc="3809000F" w:tentative="1">
      <w:start w:val="1"/>
      <w:numFmt w:val="decimal"/>
      <w:lvlText w:val="%4."/>
      <w:lvlJc w:val="left"/>
      <w:pPr>
        <w:ind w:left="4788" w:hanging="360"/>
      </w:pPr>
    </w:lvl>
    <w:lvl w:ilvl="4" w:tplc="38090019" w:tentative="1">
      <w:start w:val="1"/>
      <w:numFmt w:val="lowerLetter"/>
      <w:lvlText w:val="%5."/>
      <w:lvlJc w:val="left"/>
      <w:pPr>
        <w:ind w:left="5508" w:hanging="360"/>
      </w:pPr>
    </w:lvl>
    <w:lvl w:ilvl="5" w:tplc="3809001B" w:tentative="1">
      <w:start w:val="1"/>
      <w:numFmt w:val="lowerRoman"/>
      <w:lvlText w:val="%6."/>
      <w:lvlJc w:val="right"/>
      <w:pPr>
        <w:ind w:left="6228" w:hanging="180"/>
      </w:pPr>
    </w:lvl>
    <w:lvl w:ilvl="6" w:tplc="3809000F" w:tentative="1">
      <w:start w:val="1"/>
      <w:numFmt w:val="decimal"/>
      <w:lvlText w:val="%7."/>
      <w:lvlJc w:val="left"/>
      <w:pPr>
        <w:ind w:left="6948" w:hanging="360"/>
      </w:pPr>
    </w:lvl>
    <w:lvl w:ilvl="7" w:tplc="38090019" w:tentative="1">
      <w:start w:val="1"/>
      <w:numFmt w:val="lowerLetter"/>
      <w:lvlText w:val="%8."/>
      <w:lvlJc w:val="left"/>
      <w:pPr>
        <w:ind w:left="7668" w:hanging="360"/>
      </w:pPr>
    </w:lvl>
    <w:lvl w:ilvl="8" w:tplc="3809001B" w:tentative="1">
      <w:start w:val="1"/>
      <w:numFmt w:val="lowerRoman"/>
      <w:lvlText w:val="%9."/>
      <w:lvlJc w:val="right"/>
      <w:pPr>
        <w:ind w:left="8388" w:hanging="180"/>
      </w:pPr>
    </w:lvl>
  </w:abstractNum>
  <w:abstractNum w:abstractNumId="197" w15:restartNumberingAfterBreak="0">
    <w:nsid w:val="333D765F"/>
    <w:multiLevelType w:val="hybridMultilevel"/>
    <w:tmpl w:val="D424FAAC"/>
    <w:lvl w:ilvl="0" w:tplc="A7945C7E">
      <w:start w:val="1"/>
      <w:numFmt w:val="lowerLetter"/>
      <w:lvlText w:val="%1)"/>
      <w:lvlJc w:val="left"/>
      <w:pPr>
        <w:ind w:left="3195" w:hanging="360"/>
      </w:pPr>
      <w:rPr>
        <w:rFonts w:hint="default"/>
      </w:rPr>
    </w:lvl>
    <w:lvl w:ilvl="1" w:tplc="38090019" w:tentative="1">
      <w:start w:val="1"/>
      <w:numFmt w:val="lowerLetter"/>
      <w:lvlText w:val="%2."/>
      <w:lvlJc w:val="left"/>
      <w:pPr>
        <w:ind w:left="3915" w:hanging="360"/>
      </w:pPr>
    </w:lvl>
    <w:lvl w:ilvl="2" w:tplc="3809001B" w:tentative="1">
      <w:start w:val="1"/>
      <w:numFmt w:val="lowerRoman"/>
      <w:lvlText w:val="%3."/>
      <w:lvlJc w:val="right"/>
      <w:pPr>
        <w:ind w:left="4635" w:hanging="180"/>
      </w:pPr>
    </w:lvl>
    <w:lvl w:ilvl="3" w:tplc="3809000F" w:tentative="1">
      <w:start w:val="1"/>
      <w:numFmt w:val="decimal"/>
      <w:lvlText w:val="%4."/>
      <w:lvlJc w:val="left"/>
      <w:pPr>
        <w:ind w:left="5355" w:hanging="360"/>
      </w:pPr>
    </w:lvl>
    <w:lvl w:ilvl="4" w:tplc="38090019" w:tentative="1">
      <w:start w:val="1"/>
      <w:numFmt w:val="lowerLetter"/>
      <w:lvlText w:val="%5."/>
      <w:lvlJc w:val="left"/>
      <w:pPr>
        <w:ind w:left="6075" w:hanging="360"/>
      </w:pPr>
    </w:lvl>
    <w:lvl w:ilvl="5" w:tplc="3809001B" w:tentative="1">
      <w:start w:val="1"/>
      <w:numFmt w:val="lowerRoman"/>
      <w:lvlText w:val="%6."/>
      <w:lvlJc w:val="right"/>
      <w:pPr>
        <w:ind w:left="6795" w:hanging="180"/>
      </w:pPr>
    </w:lvl>
    <w:lvl w:ilvl="6" w:tplc="3809000F" w:tentative="1">
      <w:start w:val="1"/>
      <w:numFmt w:val="decimal"/>
      <w:lvlText w:val="%7."/>
      <w:lvlJc w:val="left"/>
      <w:pPr>
        <w:ind w:left="7515" w:hanging="360"/>
      </w:pPr>
    </w:lvl>
    <w:lvl w:ilvl="7" w:tplc="38090019" w:tentative="1">
      <w:start w:val="1"/>
      <w:numFmt w:val="lowerLetter"/>
      <w:lvlText w:val="%8."/>
      <w:lvlJc w:val="left"/>
      <w:pPr>
        <w:ind w:left="8235" w:hanging="360"/>
      </w:pPr>
    </w:lvl>
    <w:lvl w:ilvl="8" w:tplc="3809001B" w:tentative="1">
      <w:start w:val="1"/>
      <w:numFmt w:val="lowerRoman"/>
      <w:lvlText w:val="%9."/>
      <w:lvlJc w:val="right"/>
      <w:pPr>
        <w:ind w:left="8955" w:hanging="180"/>
      </w:pPr>
    </w:lvl>
  </w:abstractNum>
  <w:abstractNum w:abstractNumId="198" w15:restartNumberingAfterBreak="0">
    <w:nsid w:val="337123A9"/>
    <w:multiLevelType w:val="hybridMultilevel"/>
    <w:tmpl w:val="D31ED9D6"/>
    <w:lvl w:ilvl="0" w:tplc="8764928A">
      <w:start w:val="1"/>
      <w:numFmt w:val="lowerLetter"/>
      <w:lvlText w:val="%1."/>
      <w:lvlJc w:val="left"/>
      <w:pPr>
        <w:ind w:left="1494" w:hanging="360"/>
      </w:pPr>
      <w:rPr>
        <w:rFonts w:hint="default"/>
        <w:sz w:val="24"/>
        <w:szCs w:val="24"/>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199" w15:restartNumberingAfterBreak="0">
    <w:nsid w:val="338943FE"/>
    <w:multiLevelType w:val="hybridMultilevel"/>
    <w:tmpl w:val="2EBE7AEA"/>
    <w:lvl w:ilvl="0" w:tplc="38090011">
      <w:start w:val="1"/>
      <w:numFmt w:val="decimal"/>
      <w:lvlText w:val="%1)"/>
      <w:lvlJc w:val="left"/>
      <w:pPr>
        <w:ind w:left="720" w:hanging="360"/>
      </w:pPr>
      <w:rPr>
        <w:strike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0" w15:restartNumberingAfterBreak="0">
    <w:nsid w:val="33963A32"/>
    <w:multiLevelType w:val="hybridMultilevel"/>
    <w:tmpl w:val="B11872A6"/>
    <w:lvl w:ilvl="0" w:tplc="DFAEA89A">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201" w15:restartNumberingAfterBreak="0">
    <w:nsid w:val="33ED4E30"/>
    <w:multiLevelType w:val="hybridMultilevel"/>
    <w:tmpl w:val="B31A8C6A"/>
    <w:lvl w:ilvl="0" w:tplc="38090011">
      <w:start w:val="1"/>
      <w:numFmt w:val="decimal"/>
      <w:lvlText w:val="%1)"/>
      <w:lvlJc w:val="left"/>
      <w:pPr>
        <w:ind w:left="720" w:hanging="360"/>
      </w:pPr>
      <w:rPr>
        <w:strike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2" w15:restartNumberingAfterBreak="0">
    <w:nsid w:val="347A59AD"/>
    <w:multiLevelType w:val="hybridMultilevel"/>
    <w:tmpl w:val="72443454"/>
    <w:lvl w:ilvl="0" w:tplc="F4C4A8C8">
      <w:start w:val="1"/>
      <w:numFmt w:val="lowerLetter"/>
      <w:lvlText w:val="(%1)"/>
      <w:lvlJc w:val="left"/>
      <w:pPr>
        <w:ind w:left="4329" w:hanging="360"/>
      </w:pPr>
      <w:rPr>
        <w:rFonts w:hint="default"/>
      </w:rPr>
    </w:lvl>
    <w:lvl w:ilvl="1" w:tplc="38090019" w:tentative="1">
      <w:start w:val="1"/>
      <w:numFmt w:val="lowerLetter"/>
      <w:lvlText w:val="%2."/>
      <w:lvlJc w:val="left"/>
      <w:pPr>
        <w:ind w:left="5049" w:hanging="360"/>
      </w:pPr>
    </w:lvl>
    <w:lvl w:ilvl="2" w:tplc="3809001B" w:tentative="1">
      <w:start w:val="1"/>
      <w:numFmt w:val="lowerRoman"/>
      <w:lvlText w:val="%3."/>
      <w:lvlJc w:val="right"/>
      <w:pPr>
        <w:ind w:left="5769" w:hanging="180"/>
      </w:pPr>
    </w:lvl>
    <w:lvl w:ilvl="3" w:tplc="3809000F" w:tentative="1">
      <w:start w:val="1"/>
      <w:numFmt w:val="decimal"/>
      <w:lvlText w:val="%4."/>
      <w:lvlJc w:val="left"/>
      <w:pPr>
        <w:ind w:left="6489" w:hanging="360"/>
      </w:pPr>
    </w:lvl>
    <w:lvl w:ilvl="4" w:tplc="38090019" w:tentative="1">
      <w:start w:val="1"/>
      <w:numFmt w:val="lowerLetter"/>
      <w:lvlText w:val="%5."/>
      <w:lvlJc w:val="left"/>
      <w:pPr>
        <w:ind w:left="7209" w:hanging="360"/>
      </w:pPr>
    </w:lvl>
    <w:lvl w:ilvl="5" w:tplc="3809001B" w:tentative="1">
      <w:start w:val="1"/>
      <w:numFmt w:val="lowerRoman"/>
      <w:lvlText w:val="%6."/>
      <w:lvlJc w:val="right"/>
      <w:pPr>
        <w:ind w:left="7929" w:hanging="180"/>
      </w:pPr>
    </w:lvl>
    <w:lvl w:ilvl="6" w:tplc="3809000F" w:tentative="1">
      <w:start w:val="1"/>
      <w:numFmt w:val="decimal"/>
      <w:lvlText w:val="%7."/>
      <w:lvlJc w:val="left"/>
      <w:pPr>
        <w:ind w:left="8649" w:hanging="360"/>
      </w:pPr>
    </w:lvl>
    <w:lvl w:ilvl="7" w:tplc="38090019" w:tentative="1">
      <w:start w:val="1"/>
      <w:numFmt w:val="lowerLetter"/>
      <w:lvlText w:val="%8."/>
      <w:lvlJc w:val="left"/>
      <w:pPr>
        <w:ind w:left="9369" w:hanging="360"/>
      </w:pPr>
    </w:lvl>
    <w:lvl w:ilvl="8" w:tplc="3809001B" w:tentative="1">
      <w:start w:val="1"/>
      <w:numFmt w:val="lowerRoman"/>
      <w:lvlText w:val="%9."/>
      <w:lvlJc w:val="right"/>
      <w:pPr>
        <w:ind w:left="10089" w:hanging="180"/>
      </w:pPr>
    </w:lvl>
  </w:abstractNum>
  <w:abstractNum w:abstractNumId="203" w15:restartNumberingAfterBreak="0">
    <w:nsid w:val="34887EED"/>
    <w:multiLevelType w:val="hybridMultilevel"/>
    <w:tmpl w:val="C4D601A8"/>
    <w:lvl w:ilvl="0" w:tplc="F072FC40">
      <w:start w:val="1"/>
      <w:numFmt w:val="decimal"/>
      <w:lvlText w:val="%1)"/>
      <w:lvlJc w:val="left"/>
      <w:pPr>
        <w:ind w:left="2061" w:hanging="360"/>
      </w:pPr>
      <w:rPr>
        <w:rFonts w:hint="default"/>
        <w:color w:val="000000" w:themeColor="text1"/>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204" w15:restartNumberingAfterBreak="0">
    <w:nsid w:val="34F43AAE"/>
    <w:multiLevelType w:val="hybridMultilevel"/>
    <w:tmpl w:val="BDE80F0E"/>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205" w15:restartNumberingAfterBreak="0">
    <w:nsid w:val="350F4F3F"/>
    <w:multiLevelType w:val="hybridMultilevel"/>
    <w:tmpl w:val="695ECD6E"/>
    <w:lvl w:ilvl="0" w:tplc="38090011">
      <w:start w:val="1"/>
      <w:numFmt w:val="decimal"/>
      <w:lvlText w:val="%1)"/>
      <w:lvlJc w:val="left"/>
      <w:pPr>
        <w:ind w:left="720" w:hanging="360"/>
      </w:pPr>
      <w:rPr>
        <w:rFonts w:hint="default"/>
        <w:b w:val="0"/>
        <w:bCs w:val="0"/>
        <w:strike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6" w15:restartNumberingAfterBreak="0">
    <w:nsid w:val="352F0F00"/>
    <w:multiLevelType w:val="hybridMultilevel"/>
    <w:tmpl w:val="3F805FA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7" w15:restartNumberingAfterBreak="0">
    <w:nsid w:val="3543178D"/>
    <w:multiLevelType w:val="hybridMultilevel"/>
    <w:tmpl w:val="7390C6D0"/>
    <w:lvl w:ilvl="0" w:tplc="0E5C23E6">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208" w15:restartNumberingAfterBreak="0">
    <w:nsid w:val="3544403D"/>
    <w:multiLevelType w:val="hybridMultilevel"/>
    <w:tmpl w:val="0658AD70"/>
    <w:lvl w:ilvl="0" w:tplc="55506070">
      <w:start w:val="1"/>
      <w:numFmt w:val="upp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09" w15:restartNumberingAfterBreak="0">
    <w:nsid w:val="35A94685"/>
    <w:multiLevelType w:val="multilevel"/>
    <w:tmpl w:val="2178581E"/>
    <w:lvl w:ilvl="0">
      <w:start w:val="1"/>
      <w:numFmt w:val="lowerLetter"/>
      <w:lvlText w:val="%1."/>
      <w:lvlJc w:val="left"/>
      <w:pPr>
        <w:ind w:left="2912" w:hanging="360"/>
      </w:pPr>
    </w:lvl>
    <w:lvl w:ilvl="1">
      <w:start w:val="1"/>
      <w:numFmt w:val="lowerLetter"/>
      <w:lvlText w:val="%2."/>
      <w:lvlJc w:val="left"/>
      <w:pPr>
        <w:ind w:left="3632" w:hanging="360"/>
      </w:pPr>
    </w:lvl>
    <w:lvl w:ilvl="2">
      <w:start w:val="1"/>
      <w:numFmt w:val="lowerRoman"/>
      <w:lvlText w:val="%3."/>
      <w:lvlJc w:val="right"/>
      <w:pPr>
        <w:ind w:left="4352" w:hanging="180"/>
      </w:pPr>
    </w:lvl>
    <w:lvl w:ilvl="3">
      <w:start w:val="1"/>
      <w:numFmt w:val="decimal"/>
      <w:lvlText w:val="%4)"/>
      <w:lvlJc w:val="left"/>
      <w:pPr>
        <w:ind w:left="927" w:hanging="360"/>
      </w:pPr>
      <w:rPr>
        <w:strike w:val="0"/>
      </w:rPr>
    </w:lvl>
    <w:lvl w:ilvl="4">
      <w:start w:val="1"/>
      <w:numFmt w:val="lowerLetter"/>
      <w:lvlText w:val="%5."/>
      <w:lvlJc w:val="left"/>
      <w:pPr>
        <w:ind w:left="5792" w:hanging="360"/>
      </w:pPr>
    </w:lvl>
    <w:lvl w:ilvl="5">
      <w:start w:val="1"/>
      <w:numFmt w:val="lowerRoman"/>
      <w:lvlText w:val="%6."/>
      <w:lvlJc w:val="right"/>
      <w:pPr>
        <w:ind w:left="6512" w:hanging="180"/>
      </w:pPr>
    </w:lvl>
    <w:lvl w:ilvl="6">
      <w:start w:val="1"/>
      <w:numFmt w:val="decimal"/>
      <w:lvlText w:val="%7."/>
      <w:lvlJc w:val="left"/>
      <w:pPr>
        <w:ind w:left="7232" w:hanging="360"/>
      </w:pPr>
    </w:lvl>
    <w:lvl w:ilvl="7">
      <w:start w:val="1"/>
      <w:numFmt w:val="lowerLetter"/>
      <w:lvlText w:val="%8."/>
      <w:lvlJc w:val="left"/>
      <w:pPr>
        <w:ind w:left="7952" w:hanging="360"/>
      </w:pPr>
    </w:lvl>
    <w:lvl w:ilvl="8">
      <w:start w:val="1"/>
      <w:numFmt w:val="lowerRoman"/>
      <w:lvlText w:val="%9."/>
      <w:lvlJc w:val="right"/>
      <w:pPr>
        <w:ind w:left="8672" w:hanging="180"/>
      </w:pPr>
    </w:lvl>
  </w:abstractNum>
  <w:abstractNum w:abstractNumId="210" w15:restartNumberingAfterBreak="0">
    <w:nsid w:val="35B405CF"/>
    <w:multiLevelType w:val="hybridMultilevel"/>
    <w:tmpl w:val="504616E4"/>
    <w:lvl w:ilvl="0" w:tplc="70029B0C">
      <w:start w:val="1"/>
      <w:numFmt w:val="decimal"/>
      <w:lvlText w:val="%1."/>
      <w:lvlJc w:val="center"/>
      <w:pPr>
        <w:ind w:left="1494" w:hanging="360"/>
      </w:pPr>
      <w:rPr>
        <w:rFonts w:hint="default"/>
        <w:sz w:val="24"/>
        <w:szCs w:val="24"/>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211" w15:restartNumberingAfterBreak="0">
    <w:nsid w:val="36354739"/>
    <w:multiLevelType w:val="hybridMultilevel"/>
    <w:tmpl w:val="75CC7C54"/>
    <w:lvl w:ilvl="0" w:tplc="38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363B35F8"/>
    <w:multiLevelType w:val="hybridMultilevel"/>
    <w:tmpl w:val="468E4620"/>
    <w:lvl w:ilvl="0" w:tplc="418AB82E">
      <w:start w:val="1"/>
      <w:numFmt w:val="lowerLetter"/>
      <w:lvlText w:val="%1)"/>
      <w:lvlJc w:val="left"/>
      <w:pPr>
        <w:ind w:left="2628" w:hanging="360"/>
      </w:pPr>
      <w:rPr>
        <w:rFonts w:hint="default"/>
      </w:rPr>
    </w:lvl>
    <w:lvl w:ilvl="1" w:tplc="38090019" w:tentative="1">
      <w:start w:val="1"/>
      <w:numFmt w:val="lowerLetter"/>
      <w:lvlText w:val="%2."/>
      <w:lvlJc w:val="left"/>
      <w:pPr>
        <w:ind w:left="3348" w:hanging="360"/>
      </w:pPr>
    </w:lvl>
    <w:lvl w:ilvl="2" w:tplc="3809001B" w:tentative="1">
      <w:start w:val="1"/>
      <w:numFmt w:val="lowerRoman"/>
      <w:lvlText w:val="%3."/>
      <w:lvlJc w:val="right"/>
      <w:pPr>
        <w:ind w:left="4068" w:hanging="180"/>
      </w:pPr>
    </w:lvl>
    <w:lvl w:ilvl="3" w:tplc="3809000F" w:tentative="1">
      <w:start w:val="1"/>
      <w:numFmt w:val="decimal"/>
      <w:lvlText w:val="%4."/>
      <w:lvlJc w:val="left"/>
      <w:pPr>
        <w:ind w:left="4788" w:hanging="360"/>
      </w:pPr>
    </w:lvl>
    <w:lvl w:ilvl="4" w:tplc="38090019" w:tentative="1">
      <w:start w:val="1"/>
      <w:numFmt w:val="lowerLetter"/>
      <w:lvlText w:val="%5."/>
      <w:lvlJc w:val="left"/>
      <w:pPr>
        <w:ind w:left="5508" w:hanging="360"/>
      </w:pPr>
    </w:lvl>
    <w:lvl w:ilvl="5" w:tplc="3809001B" w:tentative="1">
      <w:start w:val="1"/>
      <w:numFmt w:val="lowerRoman"/>
      <w:lvlText w:val="%6."/>
      <w:lvlJc w:val="right"/>
      <w:pPr>
        <w:ind w:left="6228" w:hanging="180"/>
      </w:pPr>
    </w:lvl>
    <w:lvl w:ilvl="6" w:tplc="3809000F" w:tentative="1">
      <w:start w:val="1"/>
      <w:numFmt w:val="decimal"/>
      <w:lvlText w:val="%7."/>
      <w:lvlJc w:val="left"/>
      <w:pPr>
        <w:ind w:left="6948" w:hanging="360"/>
      </w:pPr>
    </w:lvl>
    <w:lvl w:ilvl="7" w:tplc="38090019" w:tentative="1">
      <w:start w:val="1"/>
      <w:numFmt w:val="lowerLetter"/>
      <w:lvlText w:val="%8."/>
      <w:lvlJc w:val="left"/>
      <w:pPr>
        <w:ind w:left="7668" w:hanging="360"/>
      </w:pPr>
    </w:lvl>
    <w:lvl w:ilvl="8" w:tplc="3809001B" w:tentative="1">
      <w:start w:val="1"/>
      <w:numFmt w:val="lowerRoman"/>
      <w:lvlText w:val="%9."/>
      <w:lvlJc w:val="right"/>
      <w:pPr>
        <w:ind w:left="8388" w:hanging="180"/>
      </w:pPr>
    </w:lvl>
  </w:abstractNum>
  <w:abstractNum w:abstractNumId="213" w15:restartNumberingAfterBreak="0">
    <w:nsid w:val="365A51D0"/>
    <w:multiLevelType w:val="hybridMultilevel"/>
    <w:tmpl w:val="32F2FB36"/>
    <w:lvl w:ilvl="0" w:tplc="4B1863EE">
      <w:start w:val="1"/>
      <w:numFmt w:val="lowerLetter"/>
      <w:lvlText w:val="%1."/>
      <w:lvlJc w:val="left"/>
      <w:pPr>
        <w:ind w:left="2061" w:hanging="360"/>
      </w:pPr>
      <w:rPr>
        <w:rFonts w:hint="default"/>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214" w15:restartNumberingAfterBreak="0">
    <w:nsid w:val="36BB6F0E"/>
    <w:multiLevelType w:val="multilevel"/>
    <w:tmpl w:val="96B07560"/>
    <w:lvl w:ilvl="0">
      <w:start w:val="1"/>
      <w:numFmt w:val="decimal"/>
      <w:lvlText w:val="%1)"/>
      <w:lvlJc w:val="left"/>
      <w:pPr>
        <w:ind w:left="369" w:hanging="360"/>
      </w:pPr>
      <w:rPr>
        <w:b w:val="0"/>
        <w:bCs w:val="0"/>
        <w:i w:val="0"/>
        <w:iCs w:val="0"/>
        <w:sz w:val="24"/>
        <w:szCs w:val="24"/>
      </w:rPr>
    </w:lvl>
    <w:lvl w:ilvl="1">
      <w:numFmt w:val="bullet"/>
      <w:lvlText w:val="•"/>
      <w:lvlJc w:val="left"/>
      <w:pPr>
        <w:ind w:left="1229" w:hanging="360"/>
      </w:pPr>
    </w:lvl>
    <w:lvl w:ilvl="2">
      <w:numFmt w:val="bullet"/>
      <w:lvlText w:val="•"/>
      <w:lvlJc w:val="left"/>
      <w:pPr>
        <w:ind w:left="2098" w:hanging="360"/>
      </w:pPr>
    </w:lvl>
    <w:lvl w:ilvl="3">
      <w:numFmt w:val="bullet"/>
      <w:lvlText w:val="•"/>
      <w:lvlJc w:val="left"/>
      <w:pPr>
        <w:ind w:left="2967" w:hanging="360"/>
      </w:pPr>
    </w:lvl>
    <w:lvl w:ilvl="4">
      <w:numFmt w:val="bullet"/>
      <w:lvlText w:val="•"/>
      <w:lvlJc w:val="left"/>
      <w:pPr>
        <w:ind w:left="3836" w:hanging="360"/>
      </w:pPr>
    </w:lvl>
    <w:lvl w:ilvl="5">
      <w:numFmt w:val="bullet"/>
      <w:lvlText w:val="•"/>
      <w:lvlJc w:val="left"/>
      <w:pPr>
        <w:ind w:left="4705" w:hanging="360"/>
      </w:pPr>
    </w:lvl>
    <w:lvl w:ilvl="6">
      <w:numFmt w:val="bullet"/>
      <w:lvlText w:val="•"/>
      <w:lvlJc w:val="left"/>
      <w:pPr>
        <w:ind w:left="5574" w:hanging="360"/>
      </w:pPr>
    </w:lvl>
    <w:lvl w:ilvl="7">
      <w:numFmt w:val="bullet"/>
      <w:lvlText w:val="•"/>
      <w:lvlJc w:val="left"/>
      <w:pPr>
        <w:ind w:left="6443" w:hanging="360"/>
      </w:pPr>
    </w:lvl>
    <w:lvl w:ilvl="8">
      <w:numFmt w:val="bullet"/>
      <w:lvlText w:val="•"/>
      <w:lvlJc w:val="left"/>
      <w:pPr>
        <w:ind w:left="7312" w:hanging="360"/>
      </w:pPr>
    </w:lvl>
  </w:abstractNum>
  <w:abstractNum w:abstractNumId="215" w15:restartNumberingAfterBreak="0">
    <w:nsid w:val="37127A63"/>
    <w:multiLevelType w:val="hybridMultilevel"/>
    <w:tmpl w:val="F7DC6ECC"/>
    <w:lvl w:ilvl="0" w:tplc="CBF616A4">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216" w15:restartNumberingAfterBreak="0">
    <w:nsid w:val="37A97E0B"/>
    <w:multiLevelType w:val="hybridMultilevel"/>
    <w:tmpl w:val="94BC7DEA"/>
    <w:lvl w:ilvl="0" w:tplc="38090011">
      <w:start w:val="1"/>
      <w:numFmt w:val="decimal"/>
      <w:lvlText w:val="%1)"/>
      <w:lvlJc w:val="left"/>
      <w:pPr>
        <w:ind w:left="720" w:hanging="360"/>
      </w:pPr>
      <w:rPr>
        <w:strike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7" w15:restartNumberingAfterBreak="0">
    <w:nsid w:val="37E17E38"/>
    <w:multiLevelType w:val="hybridMultilevel"/>
    <w:tmpl w:val="7D4EB7FC"/>
    <w:lvl w:ilvl="0" w:tplc="4588D928">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218" w15:restartNumberingAfterBreak="0">
    <w:nsid w:val="37E634BE"/>
    <w:multiLevelType w:val="hybridMultilevel"/>
    <w:tmpl w:val="FED490A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9" w15:restartNumberingAfterBreak="0">
    <w:nsid w:val="37F73D34"/>
    <w:multiLevelType w:val="hybridMultilevel"/>
    <w:tmpl w:val="DC0C78F2"/>
    <w:lvl w:ilvl="0" w:tplc="1A34A336">
      <w:start w:val="1"/>
      <w:numFmt w:val="lowerLetter"/>
      <w:lvlText w:val="%1)"/>
      <w:lvlJc w:val="left"/>
      <w:pPr>
        <w:ind w:left="3195" w:hanging="360"/>
      </w:pPr>
      <w:rPr>
        <w:rFonts w:hint="default"/>
      </w:rPr>
    </w:lvl>
    <w:lvl w:ilvl="1" w:tplc="38090019" w:tentative="1">
      <w:start w:val="1"/>
      <w:numFmt w:val="lowerLetter"/>
      <w:lvlText w:val="%2."/>
      <w:lvlJc w:val="left"/>
      <w:pPr>
        <w:ind w:left="3915" w:hanging="360"/>
      </w:pPr>
    </w:lvl>
    <w:lvl w:ilvl="2" w:tplc="3809001B" w:tentative="1">
      <w:start w:val="1"/>
      <w:numFmt w:val="lowerRoman"/>
      <w:lvlText w:val="%3."/>
      <w:lvlJc w:val="right"/>
      <w:pPr>
        <w:ind w:left="4635" w:hanging="180"/>
      </w:pPr>
    </w:lvl>
    <w:lvl w:ilvl="3" w:tplc="3809000F" w:tentative="1">
      <w:start w:val="1"/>
      <w:numFmt w:val="decimal"/>
      <w:lvlText w:val="%4."/>
      <w:lvlJc w:val="left"/>
      <w:pPr>
        <w:ind w:left="5355" w:hanging="360"/>
      </w:pPr>
    </w:lvl>
    <w:lvl w:ilvl="4" w:tplc="38090019" w:tentative="1">
      <w:start w:val="1"/>
      <w:numFmt w:val="lowerLetter"/>
      <w:lvlText w:val="%5."/>
      <w:lvlJc w:val="left"/>
      <w:pPr>
        <w:ind w:left="6075" w:hanging="360"/>
      </w:pPr>
    </w:lvl>
    <w:lvl w:ilvl="5" w:tplc="3809001B" w:tentative="1">
      <w:start w:val="1"/>
      <w:numFmt w:val="lowerRoman"/>
      <w:lvlText w:val="%6."/>
      <w:lvlJc w:val="right"/>
      <w:pPr>
        <w:ind w:left="6795" w:hanging="180"/>
      </w:pPr>
    </w:lvl>
    <w:lvl w:ilvl="6" w:tplc="3809000F" w:tentative="1">
      <w:start w:val="1"/>
      <w:numFmt w:val="decimal"/>
      <w:lvlText w:val="%7."/>
      <w:lvlJc w:val="left"/>
      <w:pPr>
        <w:ind w:left="7515" w:hanging="360"/>
      </w:pPr>
    </w:lvl>
    <w:lvl w:ilvl="7" w:tplc="38090019" w:tentative="1">
      <w:start w:val="1"/>
      <w:numFmt w:val="lowerLetter"/>
      <w:lvlText w:val="%8."/>
      <w:lvlJc w:val="left"/>
      <w:pPr>
        <w:ind w:left="8235" w:hanging="360"/>
      </w:pPr>
    </w:lvl>
    <w:lvl w:ilvl="8" w:tplc="3809001B" w:tentative="1">
      <w:start w:val="1"/>
      <w:numFmt w:val="lowerRoman"/>
      <w:lvlText w:val="%9."/>
      <w:lvlJc w:val="right"/>
      <w:pPr>
        <w:ind w:left="8955" w:hanging="180"/>
      </w:pPr>
    </w:lvl>
  </w:abstractNum>
  <w:abstractNum w:abstractNumId="220" w15:restartNumberingAfterBreak="0">
    <w:nsid w:val="38541D80"/>
    <w:multiLevelType w:val="hybridMultilevel"/>
    <w:tmpl w:val="1750B986"/>
    <w:lvl w:ilvl="0" w:tplc="3662DB84">
      <w:start w:val="1"/>
      <w:numFmt w:val="lowerLetter"/>
      <w:lvlText w:val="(%1)"/>
      <w:lvlJc w:val="left"/>
      <w:pPr>
        <w:ind w:left="4329" w:hanging="360"/>
      </w:pPr>
      <w:rPr>
        <w:rFonts w:hint="default"/>
      </w:rPr>
    </w:lvl>
    <w:lvl w:ilvl="1" w:tplc="38090019" w:tentative="1">
      <w:start w:val="1"/>
      <w:numFmt w:val="lowerLetter"/>
      <w:lvlText w:val="%2."/>
      <w:lvlJc w:val="left"/>
      <w:pPr>
        <w:ind w:left="5049" w:hanging="360"/>
      </w:pPr>
    </w:lvl>
    <w:lvl w:ilvl="2" w:tplc="3809001B" w:tentative="1">
      <w:start w:val="1"/>
      <w:numFmt w:val="lowerRoman"/>
      <w:lvlText w:val="%3."/>
      <w:lvlJc w:val="right"/>
      <w:pPr>
        <w:ind w:left="5769" w:hanging="180"/>
      </w:pPr>
    </w:lvl>
    <w:lvl w:ilvl="3" w:tplc="3809000F" w:tentative="1">
      <w:start w:val="1"/>
      <w:numFmt w:val="decimal"/>
      <w:lvlText w:val="%4."/>
      <w:lvlJc w:val="left"/>
      <w:pPr>
        <w:ind w:left="6489" w:hanging="360"/>
      </w:pPr>
    </w:lvl>
    <w:lvl w:ilvl="4" w:tplc="38090019" w:tentative="1">
      <w:start w:val="1"/>
      <w:numFmt w:val="lowerLetter"/>
      <w:lvlText w:val="%5."/>
      <w:lvlJc w:val="left"/>
      <w:pPr>
        <w:ind w:left="7209" w:hanging="360"/>
      </w:pPr>
    </w:lvl>
    <w:lvl w:ilvl="5" w:tplc="3809001B" w:tentative="1">
      <w:start w:val="1"/>
      <w:numFmt w:val="lowerRoman"/>
      <w:lvlText w:val="%6."/>
      <w:lvlJc w:val="right"/>
      <w:pPr>
        <w:ind w:left="7929" w:hanging="180"/>
      </w:pPr>
    </w:lvl>
    <w:lvl w:ilvl="6" w:tplc="3809000F" w:tentative="1">
      <w:start w:val="1"/>
      <w:numFmt w:val="decimal"/>
      <w:lvlText w:val="%7."/>
      <w:lvlJc w:val="left"/>
      <w:pPr>
        <w:ind w:left="8649" w:hanging="360"/>
      </w:pPr>
    </w:lvl>
    <w:lvl w:ilvl="7" w:tplc="38090019" w:tentative="1">
      <w:start w:val="1"/>
      <w:numFmt w:val="lowerLetter"/>
      <w:lvlText w:val="%8."/>
      <w:lvlJc w:val="left"/>
      <w:pPr>
        <w:ind w:left="9369" w:hanging="360"/>
      </w:pPr>
    </w:lvl>
    <w:lvl w:ilvl="8" w:tplc="3809001B" w:tentative="1">
      <w:start w:val="1"/>
      <w:numFmt w:val="lowerRoman"/>
      <w:lvlText w:val="%9."/>
      <w:lvlJc w:val="right"/>
      <w:pPr>
        <w:ind w:left="10089" w:hanging="180"/>
      </w:pPr>
    </w:lvl>
  </w:abstractNum>
  <w:abstractNum w:abstractNumId="221" w15:restartNumberingAfterBreak="0">
    <w:nsid w:val="38653A48"/>
    <w:multiLevelType w:val="hybridMultilevel"/>
    <w:tmpl w:val="4CCE04C6"/>
    <w:lvl w:ilvl="0" w:tplc="38090011">
      <w:start w:val="1"/>
      <w:numFmt w:val="decimal"/>
      <w:lvlText w:val="%1)"/>
      <w:lvlJc w:val="left"/>
      <w:pPr>
        <w:ind w:left="720" w:hanging="360"/>
      </w:pPr>
      <w:rPr>
        <w:b w:val="0"/>
        <w:bCs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2" w15:restartNumberingAfterBreak="0">
    <w:nsid w:val="389733D0"/>
    <w:multiLevelType w:val="hybridMultilevel"/>
    <w:tmpl w:val="C1E4F212"/>
    <w:lvl w:ilvl="0" w:tplc="8BCC83E8">
      <w:start w:val="1"/>
      <w:numFmt w:val="lowerLetter"/>
      <w:lvlText w:val="(%1)"/>
      <w:lvlJc w:val="left"/>
      <w:pPr>
        <w:ind w:left="4329" w:hanging="360"/>
      </w:pPr>
      <w:rPr>
        <w:rFonts w:hint="default"/>
      </w:rPr>
    </w:lvl>
    <w:lvl w:ilvl="1" w:tplc="38090019" w:tentative="1">
      <w:start w:val="1"/>
      <w:numFmt w:val="lowerLetter"/>
      <w:lvlText w:val="%2."/>
      <w:lvlJc w:val="left"/>
      <w:pPr>
        <w:ind w:left="5049" w:hanging="360"/>
      </w:pPr>
    </w:lvl>
    <w:lvl w:ilvl="2" w:tplc="3809001B" w:tentative="1">
      <w:start w:val="1"/>
      <w:numFmt w:val="lowerRoman"/>
      <w:lvlText w:val="%3."/>
      <w:lvlJc w:val="right"/>
      <w:pPr>
        <w:ind w:left="5769" w:hanging="180"/>
      </w:pPr>
    </w:lvl>
    <w:lvl w:ilvl="3" w:tplc="3809000F" w:tentative="1">
      <w:start w:val="1"/>
      <w:numFmt w:val="decimal"/>
      <w:lvlText w:val="%4."/>
      <w:lvlJc w:val="left"/>
      <w:pPr>
        <w:ind w:left="6489" w:hanging="360"/>
      </w:pPr>
    </w:lvl>
    <w:lvl w:ilvl="4" w:tplc="38090019" w:tentative="1">
      <w:start w:val="1"/>
      <w:numFmt w:val="lowerLetter"/>
      <w:lvlText w:val="%5."/>
      <w:lvlJc w:val="left"/>
      <w:pPr>
        <w:ind w:left="7209" w:hanging="360"/>
      </w:pPr>
    </w:lvl>
    <w:lvl w:ilvl="5" w:tplc="3809001B" w:tentative="1">
      <w:start w:val="1"/>
      <w:numFmt w:val="lowerRoman"/>
      <w:lvlText w:val="%6."/>
      <w:lvlJc w:val="right"/>
      <w:pPr>
        <w:ind w:left="7929" w:hanging="180"/>
      </w:pPr>
    </w:lvl>
    <w:lvl w:ilvl="6" w:tplc="3809000F" w:tentative="1">
      <w:start w:val="1"/>
      <w:numFmt w:val="decimal"/>
      <w:lvlText w:val="%7."/>
      <w:lvlJc w:val="left"/>
      <w:pPr>
        <w:ind w:left="8649" w:hanging="360"/>
      </w:pPr>
    </w:lvl>
    <w:lvl w:ilvl="7" w:tplc="38090019" w:tentative="1">
      <w:start w:val="1"/>
      <w:numFmt w:val="lowerLetter"/>
      <w:lvlText w:val="%8."/>
      <w:lvlJc w:val="left"/>
      <w:pPr>
        <w:ind w:left="9369" w:hanging="360"/>
      </w:pPr>
    </w:lvl>
    <w:lvl w:ilvl="8" w:tplc="3809001B" w:tentative="1">
      <w:start w:val="1"/>
      <w:numFmt w:val="lowerRoman"/>
      <w:lvlText w:val="%9."/>
      <w:lvlJc w:val="right"/>
      <w:pPr>
        <w:ind w:left="10089" w:hanging="180"/>
      </w:pPr>
    </w:lvl>
  </w:abstractNum>
  <w:abstractNum w:abstractNumId="223" w15:restartNumberingAfterBreak="0">
    <w:nsid w:val="38B949CF"/>
    <w:multiLevelType w:val="multilevel"/>
    <w:tmpl w:val="CAC0AA16"/>
    <w:lvl w:ilvl="0">
      <w:start w:val="1"/>
      <w:numFmt w:val="bullet"/>
      <w:lvlText w:val="●"/>
      <w:lvlJc w:val="left"/>
      <w:pPr>
        <w:ind w:left="870" w:hanging="360"/>
      </w:pPr>
      <w:rPr>
        <w:rFonts w:ascii="Noto Sans Symbols" w:eastAsia="Noto Sans Symbols" w:hAnsi="Noto Sans Symbols" w:cs="Noto Sans Symbols"/>
      </w:rPr>
    </w:lvl>
    <w:lvl w:ilvl="1">
      <w:start w:val="1"/>
      <w:numFmt w:val="lowerLetter"/>
      <w:lvlText w:val="%2)"/>
      <w:lvlJc w:val="left"/>
      <w:pPr>
        <w:ind w:left="1590" w:hanging="360"/>
      </w:pPr>
      <w:rPr>
        <w:b w:val="0"/>
        <w:bCs w:val="0"/>
      </w:rPr>
    </w:lvl>
    <w:lvl w:ilvl="2">
      <w:start w:val="1"/>
      <w:numFmt w:val="bullet"/>
      <w:lvlText w:val="▪"/>
      <w:lvlJc w:val="left"/>
      <w:pPr>
        <w:ind w:left="2310" w:hanging="360"/>
      </w:pPr>
      <w:rPr>
        <w:rFonts w:ascii="Noto Sans Symbols" w:eastAsia="Noto Sans Symbols" w:hAnsi="Noto Sans Symbols" w:cs="Noto Sans Symbols"/>
      </w:rPr>
    </w:lvl>
    <w:lvl w:ilvl="3">
      <w:start w:val="1"/>
      <w:numFmt w:val="bullet"/>
      <w:lvlText w:val="●"/>
      <w:lvlJc w:val="left"/>
      <w:pPr>
        <w:ind w:left="3030" w:hanging="360"/>
      </w:pPr>
      <w:rPr>
        <w:rFonts w:ascii="Noto Sans Symbols" w:eastAsia="Noto Sans Symbols" w:hAnsi="Noto Sans Symbols" w:cs="Noto Sans Symbols"/>
      </w:rPr>
    </w:lvl>
    <w:lvl w:ilvl="4">
      <w:start w:val="1"/>
      <w:numFmt w:val="bullet"/>
      <w:lvlText w:val="o"/>
      <w:lvlJc w:val="left"/>
      <w:pPr>
        <w:ind w:left="3750" w:hanging="360"/>
      </w:pPr>
      <w:rPr>
        <w:rFonts w:ascii="Courier New" w:eastAsia="Courier New" w:hAnsi="Courier New" w:cs="Courier New"/>
      </w:rPr>
    </w:lvl>
    <w:lvl w:ilvl="5">
      <w:start w:val="1"/>
      <w:numFmt w:val="bullet"/>
      <w:lvlText w:val="▪"/>
      <w:lvlJc w:val="left"/>
      <w:pPr>
        <w:ind w:left="4470" w:hanging="360"/>
      </w:pPr>
      <w:rPr>
        <w:rFonts w:ascii="Noto Sans Symbols" w:eastAsia="Noto Sans Symbols" w:hAnsi="Noto Sans Symbols" w:cs="Noto Sans Symbols"/>
      </w:rPr>
    </w:lvl>
    <w:lvl w:ilvl="6">
      <w:start w:val="1"/>
      <w:numFmt w:val="bullet"/>
      <w:lvlText w:val="●"/>
      <w:lvlJc w:val="left"/>
      <w:pPr>
        <w:ind w:left="5190" w:hanging="360"/>
      </w:pPr>
      <w:rPr>
        <w:rFonts w:ascii="Noto Sans Symbols" w:eastAsia="Noto Sans Symbols" w:hAnsi="Noto Sans Symbols" w:cs="Noto Sans Symbols"/>
      </w:rPr>
    </w:lvl>
    <w:lvl w:ilvl="7">
      <w:start w:val="1"/>
      <w:numFmt w:val="bullet"/>
      <w:lvlText w:val="o"/>
      <w:lvlJc w:val="left"/>
      <w:pPr>
        <w:ind w:left="5910" w:hanging="360"/>
      </w:pPr>
      <w:rPr>
        <w:rFonts w:ascii="Courier New" w:eastAsia="Courier New" w:hAnsi="Courier New" w:cs="Courier New"/>
      </w:rPr>
    </w:lvl>
    <w:lvl w:ilvl="8">
      <w:start w:val="1"/>
      <w:numFmt w:val="bullet"/>
      <w:lvlText w:val="▪"/>
      <w:lvlJc w:val="left"/>
      <w:pPr>
        <w:ind w:left="6630" w:hanging="360"/>
      </w:pPr>
      <w:rPr>
        <w:rFonts w:ascii="Noto Sans Symbols" w:eastAsia="Noto Sans Symbols" w:hAnsi="Noto Sans Symbols" w:cs="Noto Sans Symbols"/>
      </w:rPr>
    </w:lvl>
  </w:abstractNum>
  <w:abstractNum w:abstractNumId="224" w15:restartNumberingAfterBreak="0">
    <w:nsid w:val="38FD7BAC"/>
    <w:multiLevelType w:val="multilevel"/>
    <w:tmpl w:val="7B223BB8"/>
    <w:lvl w:ilvl="0">
      <w:numFmt w:val="bullet"/>
      <w:lvlText w:val="●"/>
      <w:lvlJc w:val="left"/>
      <w:pPr>
        <w:ind w:left="566" w:hanging="369"/>
      </w:pPr>
      <w:rPr>
        <w:rFonts w:ascii="Noto Sans Symbols" w:eastAsia="Noto Sans Symbols" w:hAnsi="Noto Sans Symbols" w:cs="Noto Sans Symbols"/>
        <w:sz w:val="22"/>
        <w:szCs w:val="22"/>
      </w:rPr>
    </w:lvl>
    <w:lvl w:ilvl="1">
      <w:numFmt w:val="bullet"/>
      <w:lvlText w:val="•"/>
      <w:lvlJc w:val="left"/>
      <w:pPr>
        <w:ind w:left="1565" w:hanging="369"/>
      </w:pPr>
    </w:lvl>
    <w:lvl w:ilvl="2">
      <w:numFmt w:val="bullet"/>
      <w:lvlText w:val="•"/>
      <w:lvlJc w:val="left"/>
      <w:pPr>
        <w:ind w:left="2571" w:hanging="369"/>
      </w:pPr>
    </w:lvl>
    <w:lvl w:ilvl="3">
      <w:numFmt w:val="bullet"/>
      <w:lvlText w:val="•"/>
      <w:lvlJc w:val="left"/>
      <w:pPr>
        <w:ind w:left="3576" w:hanging="368"/>
      </w:pPr>
    </w:lvl>
    <w:lvl w:ilvl="4">
      <w:numFmt w:val="bullet"/>
      <w:lvlText w:val="•"/>
      <w:lvlJc w:val="left"/>
      <w:pPr>
        <w:ind w:left="4582" w:hanging="369"/>
      </w:pPr>
    </w:lvl>
    <w:lvl w:ilvl="5">
      <w:numFmt w:val="bullet"/>
      <w:lvlText w:val="•"/>
      <w:lvlJc w:val="left"/>
      <w:pPr>
        <w:ind w:left="5587" w:hanging="368"/>
      </w:pPr>
    </w:lvl>
    <w:lvl w:ilvl="6">
      <w:numFmt w:val="bullet"/>
      <w:lvlText w:val="•"/>
      <w:lvlJc w:val="left"/>
      <w:pPr>
        <w:ind w:left="6593" w:hanging="369"/>
      </w:pPr>
    </w:lvl>
    <w:lvl w:ilvl="7">
      <w:numFmt w:val="bullet"/>
      <w:lvlText w:val="•"/>
      <w:lvlJc w:val="left"/>
      <w:pPr>
        <w:ind w:left="7598" w:hanging="369"/>
      </w:pPr>
    </w:lvl>
    <w:lvl w:ilvl="8">
      <w:numFmt w:val="bullet"/>
      <w:lvlText w:val="•"/>
      <w:lvlJc w:val="left"/>
      <w:pPr>
        <w:ind w:left="8604" w:hanging="369"/>
      </w:pPr>
    </w:lvl>
  </w:abstractNum>
  <w:abstractNum w:abstractNumId="225" w15:restartNumberingAfterBreak="0">
    <w:nsid w:val="39065466"/>
    <w:multiLevelType w:val="hybridMultilevel"/>
    <w:tmpl w:val="6A5E2290"/>
    <w:lvl w:ilvl="0" w:tplc="707CC4CC">
      <w:start w:val="1"/>
      <w:numFmt w:val="decimal"/>
      <w:lvlText w:val="%1)"/>
      <w:lvlJc w:val="left"/>
      <w:pPr>
        <w:ind w:left="467" w:hanging="360"/>
      </w:pPr>
      <w:rPr>
        <w:rFonts w:hint="default"/>
        <w:b w:val="0"/>
        <w:bCs w:val="0"/>
        <w:i w:val="0"/>
        <w:iCs w:val="0"/>
        <w:spacing w:val="0"/>
        <w:w w:val="100"/>
        <w:sz w:val="24"/>
        <w:szCs w:val="24"/>
        <w:lang w:val="id" w:eastAsia="en-US" w:bidi="ar-SA"/>
      </w:rPr>
    </w:lvl>
    <w:lvl w:ilvl="1" w:tplc="FFFFFFFF">
      <w:numFmt w:val="bullet"/>
      <w:lvlText w:val="•"/>
      <w:lvlJc w:val="left"/>
      <w:pPr>
        <w:ind w:left="1215" w:hanging="360"/>
      </w:pPr>
      <w:rPr>
        <w:rFonts w:hint="default"/>
        <w:lang w:val="id" w:eastAsia="en-US" w:bidi="ar-SA"/>
      </w:rPr>
    </w:lvl>
    <w:lvl w:ilvl="2" w:tplc="FFFFFFFF">
      <w:numFmt w:val="bullet"/>
      <w:lvlText w:val="•"/>
      <w:lvlJc w:val="left"/>
      <w:pPr>
        <w:ind w:left="1971" w:hanging="360"/>
      </w:pPr>
      <w:rPr>
        <w:rFonts w:hint="default"/>
        <w:lang w:val="id" w:eastAsia="en-US" w:bidi="ar-SA"/>
      </w:rPr>
    </w:lvl>
    <w:lvl w:ilvl="3" w:tplc="FFFFFFFF">
      <w:numFmt w:val="bullet"/>
      <w:lvlText w:val="•"/>
      <w:lvlJc w:val="left"/>
      <w:pPr>
        <w:ind w:left="2726" w:hanging="360"/>
      </w:pPr>
      <w:rPr>
        <w:rFonts w:hint="default"/>
        <w:lang w:val="id" w:eastAsia="en-US" w:bidi="ar-SA"/>
      </w:rPr>
    </w:lvl>
    <w:lvl w:ilvl="4" w:tplc="FFFFFFFF">
      <w:numFmt w:val="bullet"/>
      <w:lvlText w:val="•"/>
      <w:lvlJc w:val="left"/>
      <w:pPr>
        <w:ind w:left="3482" w:hanging="360"/>
      </w:pPr>
      <w:rPr>
        <w:rFonts w:hint="default"/>
        <w:lang w:val="id" w:eastAsia="en-US" w:bidi="ar-SA"/>
      </w:rPr>
    </w:lvl>
    <w:lvl w:ilvl="5" w:tplc="FFFFFFFF">
      <w:numFmt w:val="bullet"/>
      <w:lvlText w:val="•"/>
      <w:lvlJc w:val="left"/>
      <w:pPr>
        <w:ind w:left="4237" w:hanging="360"/>
      </w:pPr>
      <w:rPr>
        <w:rFonts w:hint="default"/>
        <w:lang w:val="id" w:eastAsia="en-US" w:bidi="ar-SA"/>
      </w:rPr>
    </w:lvl>
    <w:lvl w:ilvl="6" w:tplc="FFFFFFFF">
      <w:numFmt w:val="bullet"/>
      <w:lvlText w:val="•"/>
      <w:lvlJc w:val="left"/>
      <w:pPr>
        <w:ind w:left="4993" w:hanging="360"/>
      </w:pPr>
      <w:rPr>
        <w:rFonts w:hint="default"/>
        <w:lang w:val="id" w:eastAsia="en-US" w:bidi="ar-SA"/>
      </w:rPr>
    </w:lvl>
    <w:lvl w:ilvl="7" w:tplc="FFFFFFFF">
      <w:numFmt w:val="bullet"/>
      <w:lvlText w:val="•"/>
      <w:lvlJc w:val="left"/>
      <w:pPr>
        <w:ind w:left="5748" w:hanging="360"/>
      </w:pPr>
      <w:rPr>
        <w:rFonts w:hint="default"/>
        <w:lang w:val="id" w:eastAsia="en-US" w:bidi="ar-SA"/>
      </w:rPr>
    </w:lvl>
    <w:lvl w:ilvl="8" w:tplc="FFFFFFFF">
      <w:numFmt w:val="bullet"/>
      <w:lvlText w:val="•"/>
      <w:lvlJc w:val="left"/>
      <w:pPr>
        <w:ind w:left="6504" w:hanging="360"/>
      </w:pPr>
      <w:rPr>
        <w:rFonts w:hint="default"/>
        <w:lang w:val="id" w:eastAsia="en-US" w:bidi="ar-SA"/>
      </w:rPr>
    </w:lvl>
  </w:abstractNum>
  <w:abstractNum w:abstractNumId="226" w15:restartNumberingAfterBreak="0">
    <w:nsid w:val="39245C0A"/>
    <w:multiLevelType w:val="multilevel"/>
    <w:tmpl w:val="DBFE4BD6"/>
    <w:lvl w:ilvl="0">
      <w:start w:val="1"/>
      <w:numFmt w:val="decimal"/>
      <w:lvlText w:val="%1)"/>
      <w:lvlJc w:val="left"/>
      <w:pPr>
        <w:ind w:left="438" w:hanging="321"/>
      </w:pPr>
      <w:rPr>
        <w:rFonts w:ascii="Bookman Old Style" w:eastAsia="Bookman Old Style" w:hAnsi="Bookman Old Style" w:cs="Bookman Old Style"/>
        <w:sz w:val="24"/>
        <w:szCs w:val="24"/>
      </w:rPr>
    </w:lvl>
    <w:lvl w:ilvl="1">
      <w:numFmt w:val="bullet"/>
      <w:lvlText w:val="•"/>
      <w:lvlJc w:val="left"/>
      <w:pPr>
        <w:ind w:left="1387" w:hanging="321"/>
      </w:pPr>
    </w:lvl>
    <w:lvl w:ilvl="2">
      <w:numFmt w:val="bullet"/>
      <w:lvlText w:val="•"/>
      <w:lvlJc w:val="left"/>
      <w:pPr>
        <w:ind w:left="2334" w:hanging="321"/>
      </w:pPr>
    </w:lvl>
    <w:lvl w:ilvl="3">
      <w:numFmt w:val="bullet"/>
      <w:lvlText w:val="•"/>
      <w:lvlJc w:val="left"/>
      <w:pPr>
        <w:ind w:left="3281" w:hanging="321"/>
      </w:pPr>
    </w:lvl>
    <w:lvl w:ilvl="4">
      <w:numFmt w:val="bullet"/>
      <w:lvlText w:val="•"/>
      <w:lvlJc w:val="left"/>
      <w:pPr>
        <w:ind w:left="4228" w:hanging="321"/>
      </w:pPr>
    </w:lvl>
    <w:lvl w:ilvl="5">
      <w:numFmt w:val="bullet"/>
      <w:lvlText w:val="•"/>
      <w:lvlJc w:val="left"/>
      <w:pPr>
        <w:ind w:left="5175" w:hanging="321"/>
      </w:pPr>
    </w:lvl>
    <w:lvl w:ilvl="6">
      <w:numFmt w:val="bullet"/>
      <w:lvlText w:val="•"/>
      <w:lvlJc w:val="left"/>
      <w:pPr>
        <w:ind w:left="6122" w:hanging="321"/>
      </w:pPr>
    </w:lvl>
    <w:lvl w:ilvl="7">
      <w:numFmt w:val="bullet"/>
      <w:lvlText w:val="•"/>
      <w:lvlJc w:val="left"/>
      <w:pPr>
        <w:ind w:left="7069" w:hanging="321"/>
      </w:pPr>
    </w:lvl>
    <w:lvl w:ilvl="8">
      <w:numFmt w:val="bullet"/>
      <w:lvlText w:val="•"/>
      <w:lvlJc w:val="left"/>
      <w:pPr>
        <w:ind w:left="8016" w:hanging="321"/>
      </w:pPr>
    </w:lvl>
  </w:abstractNum>
  <w:abstractNum w:abstractNumId="227" w15:restartNumberingAfterBreak="0">
    <w:nsid w:val="392E5C15"/>
    <w:multiLevelType w:val="hybridMultilevel"/>
    <w:tmpl w:val="F1C6E4CA"/>
    <w:lvl w:ilvl="0" w:tplc="08F29210">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228" w15:restartNumberingAfterBreak="0">
    <w:nsid w:val="395775F3"/>
    <w:multiLevelType w:val="hybridMultilevel"/>
    <w:tmpl w:val="10502FD4"/>
    <w:lvl w:ilvl="0" w:tplc="CF1E4A34">
      <w:start w:val="1"/>
      <w:numFmt w:val="decimal"/>
      <w:lvlText w:val="%1)"/>
      <w:lvlJc w:val="left"/>
      <w:pPr>
        <w:ind w:left="2628" w:hanging="360"/>
      </w:pPr>
      <w:rPr>
        <w:rFonts w:hint="default"/>
      </w:rPr>
    </w:lvl>
    <w:lvl w:ilvl="1" w:tplc="38090019" w:tentative="1">
      <w:start w:val="1"/>
      <w:numFmt w:val="lowerLetter"/>
      <w:lvlText w:val="%2."/>
      <w:lvlJc w:val="left"/>
      <w:pPr>
        <w:ind w:left="3348" w:hanging="360"/>
      </w:pPr>
    </w:lvl>
    <w:lvl w:ilvl="2" w:tplc="3809001B" w:tentative="1">
      <w:start w:val="1"/>
      <w:numFmt w:val="lowerRoman"/>
      <w:lvlText w:val="%3."/>
      <w:lvlJc w:val="right"/>
      <w:pPr>
        <w:ind w:left="4068" w:hanging="180"/>
      </w:pPr>
    </w:lvl>
    <w:lvl w:ilvl="3" w:tplc="3809000F" w:tentative="1">
      <w:start w:val="1"/>
      <w:numFmt w:val="decimal"/>
      <w:lvlText w:val="%4."/>
      <w:lvlJc w:val="left"/>
      <w:pPr>
        <w:ind w:left="4788" w:hanging="360"/>
      </w:pPr>
    </w:lvl>
    <w:lvl w:ilvl="4" w:tplc="38090019" w:tentative="1">
      <w:start w:val="1"/>
      <w:numFmt w:val="lowerLetter"/>
      <w:lvlText w:val="%5."/>
      <w:lvlJc w:val="left"/>
      <w:pPr>
        <w:ind w:left="5508" w:hanging="360"/>
      </w:pPr>
    </w:lvl>
    <w:lvl w:ilvl="5" w:tplc="3809001B" w:tentative="1">
      <w:start w:val="1"/>
      <w:numFmt w:val="lowerRoman"/>
      <w:lvlText w:val="%6."/>
      <w:lvlJc w:val="right"/>
      <w:pPr>
        <w:ind w:left="6228" w:hanging="180"/>
      </w:pPr>
    </w:lvl>
    <w:lvl w:ilvl="6" w:tplc="3809000F" w:tentative="1">
      <w:start w:val="1"/>
      <w:numFmt w:val="decimal"/>
      <w:lvlText w:val="%7."/>
      <w:lvlJc w:val="left"/>
      <w:pPr>
        <w:ind w:left="6948" w:hanging="360"/>
      </w:pPr>
    </w:lvl>
    <w:lvl w:ilvl="7" w:tplc="38090019" w:tentative="1">
      <w:start w:val="1"/>
      <w:numFmt w:val="lowerLetter"/>
      <w:lvlText w:val="%8."/>
      <w:lvlJc w:val="left"/>
      <w:pPr>
        <w:ind w:left="7668" w:hanging="360"/>
      </w:pPr>
    </w:lvl>
    <w:lvl w:ilvl="8" w:tplc="3809001B" w:tentative="1">
      <w:start w:val="1"/>
      <w:numFmt w:val="lowerRoman"/>
      <w:lvlText w:val="%9."/>
      <w:lvlJc w:val="right"/>
      <w:pPr>
        <w:ind w:left="8388" w:hanging="180"/>
      </w:pPr>
    </w:lvl>
  </w:abstractNum>
  <w:abstractNum w:abstractNumId="229" w15:restartNumberingAfterBreak="0">
    <w:nsid w:val="39727BC5"/>
    <w:multiLevelType w:val="multilevel"/>
    <w:tmpl w:val="FEB2A356"/>
    <w:styleLink w:val="CurrentList2"/>
    <w:lvl w:ilvl="0">
      <w:start w:val="1"/>
      <w:numFmt w:val="decimal"/>
      <w:lvlText w:val="%1."/>
      <w:lvlJc w:val="left"/>
      <w:pPr>
        <w:ind w:left="2421" w:hanging="360"/>
      </w:pPr>
    </w:lvl>
    <w:lvl w:ilvl="1">
      <w:start w:val="1"/>
      <w:numFmt w:val="lowerLetter"/>
      <w:lvlText w:val="%2."/>
      <w:lvlJc w:val="left"/>
      <w:pPr>
        <w:ind w:left="3141" w:hanging="360"/>
      </w:pPr>
    </w:lvl>
    <w:lvl w:ilvl="2">
      <w:start w:val="1"/>
      <w:numFmt w:val="lowerRoman"/>
      <w:lvlText w:val="%3."/>
      <w:lvlJc w:val="right"/>
      <w:pPr>
        <w:ind w:left="3861" w:hanging="180"/>
      </w:pPr>
    </w:lvl>
    <w:lvl w:ilvl="3">
      <w:start w:val="1"/>
      <w:numFmt w:val="decimal"/>
      <w:lvlText w:val="%4."/>
      <w:lvlJc w:val="left"/>
      <w:pPr>
        <w:ind w:left="4581" w:hanging="360"/>
      </w:pPr>
    </w:lvl>
    <w:lvl w:ilvl="4">
      <w:start w:val="1"/>
      <w:numFmt w:val="lowerLetter"/>
      <w:lvlText w:val="%5."/>
      <w:lvlJc w:val="left"/>
      <w:pPr>
        <w:ind w:left="5301" w:hanging="360"/>
      </w:pPr>
    </w:lvl>
    <w:lvl w:ilvl="5">
      <w:start w:val="1"/>
      <w:numFmt w:val="lowerRoman"/>
      <w:lvlText w:val="%6."/>
      <w:lvlJc w:val="right"/>
      <w:pPr>
        <w:ind w:left="6021" w:hanging="180"/>
      </w:pPr>
    </w:lvl>
    <w:lvl w:ilvl="6">
      <w:start w:val="1"/>
      <w:numFmt w:val="decimal"/>
      <w:lvlText w:val="%7."/>
      <w:lvlJc w:val="left"/>
      <w:pPr>
        <w:ind w:left="6741" w:hanging="360"/>
      </w:pPr>
    </w:lvl>
    <w:lvl w:ilvl="7">
      <w:start w:val="1"/>
      <w:numFmt w:val="lowerLetter"/>
      <w:lvlText w:val="%8."/>
      <w:lvlJc w:val="left"/>
      <w:pPr>
        <w:ind w:left="7461" w:hanging="360"/>
      </w:pPr>
    </w:lvl>
    <w:lvl w:ilvl="8">
      <w:start w:val="1"/>
      <w:numFmt w:val="lowerRoman"/>
      <w:lvlText w:val="%9."/>
      <w:lvlJc w:val="right"/>
      <w:pPr>
        <w:ind w:left="8181" w:hanging="180"/>
      </w:pPr>
    </w:lvl>
  </w:abstractNum>
  <w:abstractNum w:abstractNumId="230" w15:restartNumberingAfterBreak="0">
    <w:nsid w:val="39C45EBE"/>
    <w:multiLevelType w:val="hybridMultilevel"/>
    <w:tmpl w:val="639AAB12"/>
    <w:lvl w:ilvl="0" w:tplc="13B66926">
      <w:start w:val="1"/>
      <w:numFmt w:val="decimal"/>
      <w:lvlText w:val="(%1)"/>
      <w:lvlJc w:val="left"/>
      <w:pPr>
        <w:ind w:left="3762" w:hanging="360"/>
      </w:pPr>
      <w:rPr>
        <w:rFonts w:hint="default"/>
        <w:color w:val="auto"/>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231" w15:restartNumberingAfterBreak="0">
    <w:nsid w:val="39D6027E"/>
    <w:multiLevelType w:val="hybridMultilevel"/>
    <w:tmpl w:val="CBEEE774"/>
    <w:lvl w:ilvl="0" w:tplc="F9F869D6">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232" w15:restartNumberingAfterBreak="0">
    <w:nsid w:val="3A0631F4"/>
    <w:multiLevelType w:val="hybridMultilevel"/>
    <w:tmpl w:val="0F64C2AC"/>
    <w:lvl w:ilvl="0" w:tplc="BC242C0C">
      <w:start w:val="1"/>
      <w:numFmt w:val="lowerLetter"/>
      <w:lvlText w:val="%1)"/>
      <w:lvlJc w:val="left"/>
      <w:pPr>
        <w:ind w:left="927" w:hanging="360"/>
      </w:pPr>
      <w:rPr>
        <w:rFonts w:hint="default"/>
        <w:sz w:val="24"/>
        <w:szCs w:val="24"/>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33" w15:restartNumberingAfterBreak="0">
    <w:nsid w:val="3AAB0166"/>
    <w:multiLevelType w:val="multilevel"/>
    <w:tmpl w:val="966AEB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4" w15:restartNumberingAfterBreak="0">
    <w:nsid w:val="3BCB2B4F"/>
    <w:multiLevelType w:val="multilevel"/>
    <w:tmpl w:val="325C55CE"/>
    <w:lvl w:ilvl="0">
      <w:start w:val="1"/>
      <w:numFmt w:val="lowerLetter"/>
      <w:lvlText w:val="%1)"/>
      <w:lvlJc w:val="left"/>
      <w:pPr>
        <w:ind w:left="117" w:hanging="368"/>
      </w:pPr>
      <w:rPr>
        <w:rFonts w:ascii="Bookman Old Style" w:eastAsia="Bookman Old Style" w:hAnsi="Bookman Old Style" w:cs="Bookman Old Style"/>
        <w:color w:val="EE0000"/>
        <w:sz w:val="22"/>
        <w:szCs w:val="22"/>
      </w:rPr>
    </w:lvl>
    <w:lvl w:ilvl="1">
      <w:numFmt w:val="bullet"/>
      <w:lvlText w:val="•"/>
      <w:lvlJc w:val="left"/>
      <w:pPr>
        <w:ind w:left="448" w:hanging="368"/>
      </w:pPr>
    </w:lvl>
    <w:lvl w:ilvl="2">
      <w:numFmt w:val="bullet"/>
      <w:lvlText w:val="•"/>
      <w:lvlJc w:val="left"/>
      <w:pPr>
        <w:ind w:left="777" w:hanging="367"/>
      </w:pPr>
    </w:lvl>
    <w:lvl w:ilvl="3">
      <w:numFmt w:val="bullet"/>
      <w:lvlText w:val="•"/>
      <w:lvlJc w:val="left"/>
      <w:pPr>
        <w:ind w:left="1106" w:hanging="368"/>
      </w:pPr>
    </w:lvl>
    <w:lvl w:ilvl="4">
      <w:numFmt w:val="bullet"/>
      <w:lvlText w:val="•"/>
      <w:lvlJc w:val="left"/>
      <w:pPr>
        <w:ind w:left="1435" w:hanging="368"/>
      </w:pPr>
    </w:lvl>
    <w:lvl w:ilvl="5">
      <w:numFmt w:val="bullet"/>
      <w:lvlText w:val="•"/>
      <w:lvlJc w:val="left"/>
      <w:pPr>
        <w:ind w:left="1764" w:hanging="367"/>
      </w:pPr>
    </w:lvl>
    <w:lvl w:ilvl="6">
      <w:numFmt w:val="bullet"/>
      <w:lvlText w:val="•"/>
      <w:lvlJc w:val="left"/>
      <w:pPr>
        <w:ind w:left="2092" w:hanging="368"/>
      </w:pPr>
    </w:lvl>
    <w:lvl w:ilvl="7">
      <w:numFmt w:val="bullet"/>
      <w:lvlText w:val="•"/>
      <w:lvlJc w:val="left"/>
      <w:pPr>
        <w:ind w:left="2421" w:hanging="368"/>
      </w:pPr>
    </w:lvl>
    <w:lvl w:ilvl="8">
      <w:numFmt w:val="bullet"/>
      <w:lvlText w:val="•"/>
      <w:lvlJc w:val="left"/>
      <w:pPr>
        <w:ind w:left="2750" w:hanging="368"/>
      </w:pPr>
    </w:lvl>
  </w:abstractNum>
  <w:abstractNum w:abstractNumId="235" w15:restartNumberingAfterBreak="0">
    <w:nsid w:val="3BF745CE"/>
    <w:multiLevelType w:val="hybridMultilevel"/>
    <w:tmpl w:val="F998E390"/>
    <w:lvl w:ilvl="0" w:tplc="7C4867FE">
      <w:start w:val="1"/>
      <w:numFmt w:val="lowerLetter"/>
      <w:lvlText w:val="(%1)"/>
      <w:lvlJc w:val="left"/>
      <w:pPr>
        <w:ind w:left="4374" w:hanging="360"/>
      </w:pPr>
      <w:rPr>
        <w:rFonts w:hint="default"/>
      </w:rPr>
    </w:lvl>
    <w:lvl w:ilvl="1" w:tplc="38090019" w:tentative="1">
      <w:start w:val="1"/>
      <w:numFmt w:val="lowerLetter"/>
      <w:lvlText w:val="%2."/>
      <w:lvlJc w:val="left"/>
      <w:pPr>
        <w:ind w:left="5094" w:hanging="360"/>
      </w:pPr>
    </w:lvl>
    <w:lvl w:ilvl="2" w:tplc="3809001B" w:tentative="1">
      <w:start w:val="1"/>
      <w:numFmt w:val="lowerRoman"/>
      <w:lvlText w:val="%3."/>
      <w:lvlJc w:val="right"/>
      <w:pPr>
        <w:ind w:left="5814" w:hanging="180"/>
      </w:pPr>
    </w:lvl>
    <w:lvl w:ilvl="3" w:tplc="3809000F" w:tentative="1">
      <w:start w:val="1"/>
      <w:numFmt w:val="decimal"/>
      <w:lvlText w:val="%4."/>
      <w:lvlJc w:val="left"/>
      <w:pPr>
        <w:ind w:left="6534" w:hanging="360"/>
      </w:pPr>
    </w:lvl>
    <w:lvl w:ilvl="4" w:tplc="38090019" w:tentative="1">
      <w:start w:val="1"/>
      <w:numFmt w:val="lowerLetter"/>
      <w:lvlText w:val="%5."/>
      <w:lvlJc w:val="left"/>
      <w:pPr>
        <w:ind w:left="7254" w:hanging="360"/>
      </w:pPr>
    </w:lvl>
    <w:lvl w:ilvl="5" w:tplc="3809001B" w:tentative="1">
      <w:start w:val="1"/>
      <w:numFmt w:val="lowerRoman"/>
      <w:lvlText w:val="%6."/>
      <w:lvlJc w:val="right"/>
      <w:pPr>
        <w:ind w:left="7974" w:hanging="180"/>
      </w:pPr>
    </w:lvl>
    <w:lvl w:ilvl="6" w:tplc="3809000F" w:tentative="1">
      <w:start w:val="1"/>
      <w:numFmt w:val="decimal"/>
      <w:lvlText w:val="%7."/>
      <w:lvlJc w:val="left"/>
      <w:pPr>
        <w:ind w:left="8694" w:hanging="360"/>
      </w:pPr>
    </w:lvl>
    <w:lvl w:ilvl="7" w:tplc="38090019" w:tentative="1">
      <w:start w:val="1"/>
      <w:numFmt w:val="lowerLetter"/>
      <w:lvlText w:val="%8."/>
      <w:lvlJc w:val="left"/>
      <w:pPr>
        <w:ind w:left="9414" w:hanging="360"/>
      </w:pPr>
    </w:lvl>
    <w:lvl w:ilvl="8" w:tplc="3809001B" w:tentative="1">
      <w:start w:val="1"/>
      <w:numFmt w:val="lowerRoman"/>
      <w:lvlText w:val="%9."/>
      <w:lvlJc w:val="right"/>
      <w:pPr>
        <w:ind w:left="10134" w:hanging="180"/>
      </w:pPr>
    </w:lvl>
  </w:abstractNum>
  <w:abstractNum w:abstractNumId="236" w15:restartNumberingAfterBreak="0">
    <w:nsid w:val="3C5718A2"/>
    <w:multiLevelType w:val="hybridMultilevel"/>
    <w:tmpl w:val="AD645C50"/>
    <w:lvl w:ilvl="0" w:tplc="B6B4924A">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237" w15:restartNumberingAfterBreak="0">
    <w:nsid w:val="3D03500A"/>
    <w:multiLevelType w:val="hybridMultilevel"/>
    <w:tmpl w:val="862CD8A4"/>
    <w:lvl w:ilvl="0" w:tplc="38090011">
      <w:start w:val="1"/>
      <w:numFmt w:val="decimal"/>
      <w:lvlText w:val="%1)"/>
      <w:lvlJc w:val="left"/>
      <w:pPr>
        <w:ind w:left="480" w:hanging="360"/>
      </w:pPr>
      <w:rPr>
        <w:rFonts w:hint="default"/>
        <w:b w:val="0"/>
        <w:bCs w:val="0"/>
        <w:color w:val="auto"/>
      </w:rPr>
    </w:lvl>
    <w:lvl w:ilvl="1" w:tplc="FFFFFFFF" w:tentative="1">
      <w:start w:val="1"/>
      <w:numFmt w:val="lowerLetter"/>
      <w:lvlText w:val="%2."/>
      <w:lvlJc w:val="left"/>
      <w:pPr>
        <w:ind w:left="1200" w:hanging="360"/>
      </w:pPr>
    </w:lvl>
    <w:lvl w:ilvl="2" w:tplc="FFFFFFFF" w:tentative="1">
      <w:start w:val="1"/>
      <w:numFmt w:val="lowerRoman"/>
      <w:lvlText w:val="%3."/>
      <w:lvlJc w:val="right"/>
      <w:pPr>
        <w:ind w:left="1920" w:hanging="180"/>
      </w:pPr>
    </w:lvl>
    <w:lvl w:ilvl="3" w:tplc="FFFFFFFF" w:tentative="1">
      <w:start w:val="1"/>
      <w:numFmt w:val="decimal"/>
      <w:lvlText w:val="%4."/>
      <w:lvlJc w:val="left"/>
      <w:pPr>
        <w:ind w:left="2640" w:hanging="360"/>
      </w:pPr>
    </w:lvl>
    <w:lvl w:ilvl="4" w:tplc="FFFFFFFF" w:tentative="1">
      <w:start w:val="1"/>
      <w:numFmt w:val="lowerLetter"/>
      <w:lvlText w:val="%5."/>
      <w:lvlJc w:val="left"/>
      <w:pPr>
        <w:ind w:left="3360" w:hanging="360"/>
      </w:pPr>
    </w:lvl>
    <w:lvl w:ilvl="5" w:tplc="FFFFFFFF" w:tentative="1">
      <w:start w:val="1"/>
      <w:numFmt w:val="lowerRoman"/>
      <w:lvlText w:val="%6."/>
      <w:lvlJc w:val="right"/>
      <w:pPr>
        <w:ind w:left="4080" w:hanging="180"/>
      </w:pPr>
    </w:lvl>
    <w:lvl w:ilvl="6" w:tplc="FFFFFFFF" w:tentative="1">
      <w:start w:val="1"/>
      <w:numFmt w:val="decimal"/>
      <w:lvlText w:val="%7."/>
      <w:lvlJc w:val="left"/>
      <w:pPr>
        <w:ind w:left="4800" w:hanging="360"/>
      </w:pPr>
    </w:lvl>
    <w:lvl w:ilvl="7" w:tplc="FFFFFFFF" w:tentative="1">
      <w:start w:val="1"/>
      <w:numFmt w:val="lowerLetter"/>
      <w:lvlText w:val="%8."/>
      <w:lvlJc w:val="left"/>
      <w:pPr>
        <w:ind w:left="5520" w:hanging="360"/>
      </w:pPr>
    </w:lvl>
    <w:lvl w:ilvl="8" w:tplc="FFFFFFFF" w:tentative="1">
      <w:start w:val="1"/>
      <w:numFmt w:val="lowerRoman"/>
      <w:lvlText w:val="%9."/>
      <w:lvlJc w:val="right"/>
      <w:pPr>
        <w:ind w:left="6240" w:hanging="180"/>
      </w:pPr>
    </w:lvl>
  </w:abstractNum>
  <w:abstractNum w:abstractNumId="238" w15:restartNumberingAfterBreak="0">
    <w:nsid w:val="3D354BA2"/>
    <w:multiLevelType w:val="hybridMultilevel"/>
    <w:tmpl w:val="2FCC265E"/>
    <w:lvl w:ilvl="0" w:tplc="4CFA9338">
      <w:start w:val="1"/>
      <w:numFmt w:val="decimal"/>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239" w15:restartNumberingAfterBreak="0">
    <w:nsid w:val="3D966861"/>
    <w:multiLevelType w:val="hybridMultilevel"/>
    <w:tmpl w:val="237ED9D2"/>
    <w:lvl w:ilvl="0" w:tplc="38090001">
      <w:start w:val="1"/>
      <w:numFmt w:val="bullet"/>
      <w:lvlText w:val=""/>
      <w:lvlJc w:val="left"/>
      <w:pPr>
        <w:ind w:left="1158" w:hanging="360"/>
      </w:pPr>
      <w:rPr>
        <w:rFonts w:ascii="Symbol" w:hAnsi="Symbol" w:hint="default"/>
      </w:rPr>
    </w:lvl>
    <w:lvl w:ilvl="1" w:tplc="38090003" w:tentative="1">
      <w:start w:val="1"/>
      <w:numFmt w:val="bullet"/>
      <w:lvlText w:val="o"/>
      <w:lvlJc w:val="left"/>
      <w:pPr>
        <w:ind w:left="1878" w:hanging="360"/>
      </w:pPr>
      <w:rPr>
        <w:rFonts w:ascii="Courier New" w:hAnsi="Courier New" w:cs="Courier New" w:hint="default"/>
      </w:rPr>
    </w:lvl>
    <w:lvl w:ilvl="2" w:tplc="38090005" w:tentative="1">
      <w:start w:val="1"/>
      <w:numFmt w:val="bullet"/>
      <w:lvlText w:val=""/>
      <w:lvlJc w:val="left"/>
      <w:pPr>
        <w:ind w:left="2598" w:hanging="360"/>
      </w:pPr>
      <w:rPr>
        <w:rFonts w:ascii="Wingdings" w:hAnsi="Wingdings" w:hint="default"/>
      </w:rPr>
    </w:lvl>
    <w:lvl w:ilvl="3" w:tplc="38090001" w:tentative="1">
      <w:start w:val="1"/>
      <w:numFmt w:val="bullet"/>
      <w:lvlText w:val=""/>
      <w:lvlJc w:val="left"/>
      <w:pPr>
        <w:ind w:left="3318" w:hanging="360"/>
      </w:pPr>
      <w:rPr>
        <w:rFonts w:ascii="Symbol" w:hAnsi="Symbol" w:hint="default"/>
      </w:rPr>
    </w:lvl>
    <w:lvl w:ilvl="4" w:tplc="38090003" w:tentative="1">
      <w:start w:val="1"/>
      <w:numFmt w:val="bullet"/>
      <w:lvlText w:val="o"/>
      <w:lvlJc w:val="left"/>
      <w:pPr>
        <w:ind w:left="4038" w:hanging="360"/>
      </w:pPr>
      <w:rPr>
        <w:rFonts w:ascii="Courier New" w:hAnsi="Courier New" w:cs="Courier New" w:hint="default"/>
      </w:rPr>
    </w:lvl>
    <w:lvl w:ilvl="5" w:tplc="38090005" w:tentative="1">
      <w:start w:val="1"/>
      <w:numFmt w:val="bullet"/>
      <w:lvlText w:val=""/>
      <w:lvlJc w:val="left"/>
      <w:pPr>
        <w:ind w:left="4758" w:hanging="360"/>
      </w:pPr>
      <w:rPr>
        <w:rFonts w:ascii="Wingdings" w:hAnsi="Wingdings" w:hint="default"/>
      </w:rPr>
    </w:lvl>
    <w:lvl w:ilvl="6" w:tplc="38090001" w:tentative="1">
      <w:start w:val="1"/>
      <w:numFmt w:val="bullet"/>
      <w:lvlText w:val=""/>
      <w:lvlJc w:val="left"/>
      <w:pPr>
        <w:ind w:left="5478" w:hanging="360"/>
      </w:pPr>
      <w:rPr>
        <w:rFonts w:ascii="Symbol" w:hAnsi="Symbol" w:hint="default"/>
      </w:rPr>
    </w:lvl>
    <w:lvl w:ilvl="7" w:tplc="38090003" w:tentative="1">
      <w:start w:val="1"/>
      <w:numFmt w:val="bullet"/>
      <w:lvlText w:val="o"/>
      <w:lvlJc w:val="left"/>
      <w:pPr>
        <w:ind w:left="6198" w:hanging="360"/>
      </w:pPr>
      <w:rPr>
        <w:rFonts w:ascii="Courier New" w:hAnsi="Courier New" w:cs="Courier New" w:hint="default"/>
      </w:rPr>
    </w:lvl>
    <w:lvl w:ilvl="8" w:tplc="38090005" w:tentative="1">
      <w:start w:val="1"/>
      <w:numFmt w:val="bullet"/>
      <w:lvlText w:val=""/>
      <w:lvlJc w:val="left"/>
      <w:pPr>
        <w:ind w:left="6918" w:hanging="360"/>
      </w:pPr>
      <w:rPr>
        <w:rFonts w:ascii="Wingdings" w:hAnsi="Wingdings" w:hint="default"/>
      </w:rPr>
    </w:lvl>
  </w:abstractNum>
  <w:abstractNum w:abstractNumId="240" w15:restartNumberingAfterBreak="0">
    <w:nsid w:val="3DB05560"/>
    <w:multiLevelType w:val="hybridMultilevel"/>
    <w:tmpl w:val="2AFA1724"/>
    <w:lvl w:ilvl="0" w:tplc="38090001">
      <w:start w:val="1"/>
      <w:numFmt w:val="bullet"/>
      <w:lvlText w:val=""/>
      <w:lvlJc w:val="left"/>
      <w:pPr>
        <w:ind w:left="1158" w:hanging="360"/>
      </w:pPr>
      <w:rPr>
        <w:rFonts w:ascii="Symbol" w:hAnsi="Symbol" w:hint="default"/>
      </w:rPr>
    </w:lvl>
    <w:lvl w:ilvl="1" w:tplc="38090003" w:tentative="1">
      <w:start w:val="1"/>
      <w:numFmt w:val="bullet"/>
      <w:lvlText w:val="o"/>
      <w:lvlJc w:val="left"/>
      <w:pPr>
        <w:ind w:left="1878" w:hanging="360"/>
      </w:pPr>
      <w:rPr>
        <w:rFonts w:ascii="Courier New" w:hAnsi="Courier New" w:cs="Courier New" w:hint="default"/>
      </w:rPr>
    </w:lvl>
    <w:lvl w:ilvl="2" w:tplc="38090005" w:tentative="1">
      <w:start w:val="1"/>
      <w:numFmt w:val="bullet"/>
      <w:lvlText w:val=""/>
      <w:lvlJc w:val="left"/>
      <w:pPr>
        <w:ind w:left="2598" w:hanging="360"/>
      </w:pPr>
      <w:rPr>
        <w:rFonts w:ascii="Wingdings" w:hAnsi="Wingdings" w:hint="default"/>
      </w:rPr>
    </w:lvl>
    <w:lvl w:ilvl="3" w:tplc="38090001" w:tentative="1">
      <w:start w:val="1"/>
      <w:numFmt w:val="bullet"/>
      <w:lvlText w:val=""/>
      <w:lvlJc w:val="left"/>
      <w:pPr>
        <w:ind w:left="3318" w:hanging="360"/>
      </w:pPr>
      <w:rPr>
        <w:rFonts w:ascii="Symbol" w:hAnsi="Symbol" w:hint="default"/>
      </w:rPr>
    </w:lvl>
    <w:lvl w:ilvl="4" w:tplc="38090003" w:tentative="1">
      <w:start w:val="1"/>
      <w:numFmt w:val="bullet"/>
      <w:lvlText w:val="o"/>
      <w:lvlJc w:val="left"/>
      <w:pPr>
        <w:ind w:left="4038" w:hanging="360"/>
      </w:pPr>
      <w:rPr>
        <w:rFonts w:ascii="Courier New" w:hAnsi="Courier New" w:cs="Courier New" w:hint="default"/>
      </w:rPr>
    </w:lvl>
    <w:lvl w:ilvl="5" w:tplc="38090005" w:tentative="1">
      <w:start w:val="1"/>
      <w:numFmt w:val="bullet"/>
      <w:lvlText w:val=""/>
      <w:lvlJc w:val="left"/>
      <w:pPr>
        <w:ind w:left="4758" w:hanging="360"/>
      </w:pPr>
      <w:rPr>
        <w:rFonts w:ascii="Wingdings" w:hAnsi="Wingdings" w:hint="default"/>
      </w:rPr>
    </w:lvl>
    <w:lvl w:ilvl="6" w:tplc="38090001" w:tentative="1">
      <w:start w:val="1"/>
      <w:numFmt w:val="bullet"/>
      <w:lvlText w:val=""/>
      <w:lvlJc w:val="left"/>
      <w:pPr>
        <w:ind w:left="5478" w:hanging="360"/>
      </w:pPr>
      <w:rPr>
        <w:rFonts w:ascii="Symbol" w:hAnsi="Symbol" w:hint="default"/>
      </w:rPr>
    </w:lvl>
    <w:lvl w:ilvl="7" w:tplc="38090003" w:tentative="1">
      <w:start w:val="1"/>
      <w:numFmt w:val="bullet"/>
      <w:lvlText w:val="o"/>
      <w:lvlJc w:val="left"/>
      <w:pPr>
        <w:ind w:left="6198" w:hanging="360"/>
      </w:pPr>
      <w:rPr>
        <w:rFonts w:ascii="Courier New" w:hAnsi="Courier New" w:cs="Courier New" w:hint="default"/>
      </w:rPr>
    </w:lvl>
    <w:lvl w:ilvl="8" w:tplc="38090005" w:tentative="1">
      <w:start w:val="1"/>
      <w:numFmt w:val="bullet"/>
      <w:lvlText w:val=""/>
      <w:lvlJc w:val="left"/>
      <w:pPr>
        <w:ind w:left="6918" w:hanging="360"/>
      </w:pPr>
      <w:rPr>
        <w:rFonts w:ascii="Wingdings" w:hAnsi="Wingdings" w:hint="default"/>
      </w:rPr>
    </w:lvl>
  </w:abstractNum>
  <w:abstractNum w:abstractNumId="241" w15:restartNumberingAfterBreak="0">
    <w:nsid w:val="3DDE2BCA"/>
    <w:multiLevelType w:val="multilevel"/>
    <w:tmpl w:val="3F8A263C"/>
    <w:lvl w:ilvl="0">
      <w:start w:val="1"/>
      <w:numFmt w:val="lowerLetter"/>
      <w:lvlText w:val="%1."/>
      <w:lvlJc w:val="left"/>
      <w:pPr>
        <w:ind w:left="2912" w:hanging="360"/>
      </w:pPr>
    </w:lvl>
    <w:lvl w:ilvl="1">
      <w:start w:val="1"/>
      <w:numFmt w:val="lowerLetter"/>
      <w:lvlText w:val="%2."/>
      <w:lvlJc w:val="left"/>
      <w:pPr>
        <w:ind w:left="3632" w:hanging="360"/>
      </w:pPr>
    </w:lvl>
    <w:lvl w:ilvl="2">
      <w:start w:val="1"/>
      <w:numFmt w:val="lowerRoman"/>
      <w:lvlText w:val="%3."/>
      <w:lvlJc w:val="right"/>
      <w:pPr>
        <w:ind w:left="4352" w:hanging="180"/>
      </w:pPr>
    </w:lvl>
    <w:lvl w:ilvl="3">
      <w:start w:val="1"/>
      <w:numFmt w:val="decimal"/>
      <w:lvlText w:val="%4)"/>
      <w:lvlJc w:val="left"/>
      <w:pPr>
        <w:ind w:left="927" w:hanging="360"/>
      </w:pPr>
    </w:lvl>
    <w:lvl w:ilvl="4">
      <w:start w:val="1"/>
      <w:numFmt w:val="lowerLetter"/>
      <w:lvlText w:val="%5."/>
      <w:lvlJc w:val="left"/>
      <w:pPr>
        <w:ind w:left="5792" w:hanging="360"/>
      </w:pPr>
    </w:lvl>
    <w:lvl w:ilvl="5">
      <w:start w:val="1"/>
      <w:numFmt w:val="lowerRoman"/>
      <w:lvlText w:val="%6."/>
      <w:lvlJc w:val="right"/>
      <w:pPr>
        <w:ind w:left="6512" w:hanging="180"/>
      </w:pPr>
    </w:lvl>
    <w:lvl w:ilvl="6">
      <w:start w:val="1"/>
      <w:numFmt w:val="decimal"/>
      <w:lvlText w:val="%7."/>
      <w:lvlJc w:val="left"/>
      <w:pPr>
        <w:ind w:left="7232" w:hanging="360"/>
      </w:pPr>
    </w:lvl>
    <w:lvl w:ilvl="7">
      <w:start w:val="1"/>
      <w:numFmt w:val="lowerLetter"/>
      <w:lvlText w:val="%8."/>
      <w:lvlJc w:val="left"/>
      <w:pPr>
        <w:ind w:left="7952" w:hanging="360"/>
      </w:pPr>
    </w:lvl>
    <w:lvl w:ilvl="8">
      <w:start w:val="1"/>
      <w:numFmt w:val="lowerRoman"/>
      <w:lvlText w:val="%9."/>
      <w:lvlJc w:val="right"/>
      <w:pPr>
        <w:ind w:left="8672" w:hanging="180"/>
      </w:pPr>
    </w:lvl>
  </w:abstractNum>
  <w:abstractNum w:abstractNumId="242" w15:restartNumberingAfterBreak="0">
    <w:nsid w:val="3DF82267"/>
    <w:multiLevelType w:val="hybridMultilevel"/>
    <w:tmpl w:val="CFD0DBFC"/>
    <w:lvl w:ilvl="0" w:tplc="7C2413FA">
      <w:start w:val="1"/>
      <w:numFmt w:val="low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243" w15:restartNumberingAfterBreak="0">
    <w:nsid w:val="3E285570"/>
    <w:multiLevelType w:val="hybridMultilevel"/>
    <w:tmpl w:val="AE42B4A4"/>
    <w:lvl w:ilvl="0" w:tplc="38090011">
      <w:start w:val="1"/>
      <w:numFmt w:val="decimal"/>
      <w:lvlText w:val="%1)"/>
      <w:lvlJc w:val="left"/>
      <w:pPr>
        <w:ind w:left="480" w:hanging="360"/>
      </w:pPr>
      <w:rPr>
        <w:rFonts w:hint="default"/>
        <w:b w:val="0"/>
        <w:bCs w:val="0"/>
        <w:color w:val="auto"/>
      </w:rPr>
    </w:lvl>
    <w:lvl w:ilvl="1" w:tplc="FFFFFFFF" w:tentative="1">
      <w:start w:val="1"/>
      <w:numFmt w:val="lowerLetter"/>
      <w:lvlText w:val="%2."/>
      <w:lvlJc w:val="left"/>
      <w:pPr>
        <w:ind w:left="1200" w:hanging="360"/>
      </w:pPr>
    </w:lvl>
    <w:lvl w:ilvl="2" w:tplc="FFFFFFFF" w:tentative="1">
      <w:start w:val="1"/>
      <w:numFmt w:val="lowerRoman"/>
      <w:lvlText w:val="%3."/>
      <w:lvlJc w:val="right"/>
      <w:pPr>
        <w:ind w:left="1920" w:hanging="180"/>
      </w:pPr>
    </w:lvl>
    <w:lvl w:ilvl="3" w:tplc="FFFFFFFF" w:tentative="1">
      <w:start w:val="1"/>
      <w:numFmt w:val="decimal"/>
      <w:lvlText w:val="%4."/>
      <w:lvlJc w:val="left"/>
      <w:pPr>
        <w:ind w:left="2640" w:hanging="360"/>
      </w:pPr>
    </w:lvl>
    <w:lvl w:ilvl="4" w:tplc="FFFFFFFF" w:tentative="1">
      <w:start w:val="1"/>
      <w:numFmt w:val="lowerLetter"/>
      <w:lvlText w:val="%5."/>
      <w:lvlJc w:val="left"/>
      <w:pPr>
        <w:ind w:left="3360" w:hanging="360"/>
      </w:pPr>
    </w:lvl>
    <w:lvl w:ilvl="5" w:tplc="FFFFFFFF" w:tentative="1">
      <w:start w:val="1"/>
      <w:numFmt w:val="lowerRoman"/>
      <w:lvlText w:val="%6."/>
      <w:lvlJc w:val="right"/>
      <w:pPr>
        <w:ind w:left="4080" w:hanging="180"/>
      </w:pPr>
    </w:lvl>
    <w:lvl w:ilvl="6" w:tplc="FFFFFFFF" w:tentative="1">
      <w:start w:val="1"/>
      <w:numFmt w:val="decimal"/>
      <w:lvlText w:val="%7."/>
      <w:lvlJc w:val="left"/>
      <w:pPr>
        <w:ind w:left="4800" w:hanging="360"/>
      </w:pPr>
    </w:lvl>
    <w:lvl w:ilvl="7" w:tplc="FFFFFFFF" w:tentative="1">
      <w:start w:val="1"/>
      <w:numFmt w:val="lowerLetter"/>
      <w:lvlText w:val="%8."/>
      <w:lvlJc w:val="left"/>
      <w:pPr>
        <w:ind w:left="5520" w:hanging="360"/>
      </w:pPr>
    </w:lvl>
    <w:lvl w:ilvl="8" w:tplc="FFFFFFFF" w:tentative="1">
      <w:start w:val="1"/>
      <w:numFmt w:val="lowerRoman"/>
      <w:lvlText w:val="%9."/>
      <w:lvlJc w:val="right"/>
      <w:pPr>
        <w:ind w:left="6240" w:hanging="180"/>
      </w:pPr>
    </w:lvl>
  </w:abstractNum>
  <w:abstractNum w:abstractNumId="244" w15:restartNumberingAfterBreak="0">
    <w:nsid w:val="3E631F01"/>
    <w:multiLevelType w:val="multilevel"/>
    <w:tmpl w:val="995836E2"/>
    <w:lvl w:ilvl="0">
      <w:start w:val="1"/>
      <w:numFmt w:val="decimal"/>
      <w:lvlText w:val="%1."/>
      <w:lvlJc w:val="center"/>
      <w:pPr>
        <w:ind w:left="896" w:hanging="480"/>
      </w:pPr>
      <w:rPr>
        <w:rFonts w:hint="default"/>
        <w:b w:val="0"/>
        <w:bCs w:val="0"/>
      </w:rPr>
    </w:lvl>
    <w:lvl w:ilvl="1">
      <w:start w:val="1"/>
      <w:numFmt w:val="lowerLetter"/>
      <w:lvlText w:val="%2."/>
      <w:lvlJc w:val="left"/>
      <w:pPr>
        <w:ind w:left="1496" w:hanging="360"/>
      </w:pPr>
    </w:lvl>
    <w:lvl w:ilvl="2">
      <w:start w:val="1"/>
      <w:numFmt w:val="lowerRoman"/>
      <w:lvlText w:val="%3."/>
      <w:lvlJc w:val="right"/>
      <w:pPr>
        <w:ind w:left="2216" w:hanging="180"/>
      </w:pPr>
    </w:lvl>
    <w:lvl w:ilvl="3">
      <w:start w:val="1"/>
      <w:numFmt w:val="decimal"/>
      <w:lvlText w:val="%4."/>
      <w:lvlJc w:val="left"/>
      <w:pPr>
        <w:ind w:left="2936" w:hanging="360"/>
      </w:pPr>
    </w:lvl>
    <w:lvl w:ilvl="4">
      <w:start w:val="1"/>
      <w:numFmt w:val="lowerLetter"/>
      <w:lvlText w:val="%5."/>
      <w:lvlJc w:val="left"/>
      <w:pPr>
        <w:ind w:left="3656" w:hanging="360"/>
      </w:pPr>
    </w:lvl>
    <w:lvl w:ilvl="5">
      <w:start w:val="1"/>
      <w:numFmt w:val="lowerRoman"/>
      <w:lvlText w:val="%6."/>
      <w:lvlJc w:val="right"/>
      <w:pPr>
        <w:ind w:left="4376" w:hanging="180"/>
      </w:pPr>
    </w:lvl>
    <w:lvl w:ilvl="6">
      <w:start w:val="1"/>
      <w:numFmt w:val="decimal"/>
      <w:lvlText w:val="%7."/>
      <w:lvlJc w:val="left"/>
      <w:pPr>
        <w:ind w:left="5096" w:hanging="360"/>
      </w:pPr>
      <w:rPr>
        <w:sz w:val="24"/>
        <w:szCs w:val="24"/>
      </w:rPr>
    </w:lvl>
    <w:lvl w:ilvl="7">
      <w:start w:val="1"/>
      <w:numFmt w:val="lowerLetter"/>
      <w:lvlText w:val="%8."/>
      <w:lvlJc w:val="left"/>
      <w:pPr>
        <w:ind w:left="5816" w:hanging="360"/>
      </w:pPr>
    </w:lvl>
    <w:lvl w:ilvl="8">
      <w:start w:val="1"/>
      <w:numFmt w:val="lowerRoman"/>
      <w:lvlText w:val="%9."/>
      <w:lvlJc w:val="right"/>
      <w:pPr>
        <w:ind w:left="6536" w:hanging="180"/>
      </w:pPr>
    </w:lvl>
  </w:abstractNum>
  <w:abstractNum w:abstractNumId="245" w15:restartNumberingAfterBreak="0">
    <w:nsid w:val="3E6E3980"/>
    <w:multiLevelType w:val="hybridMultilevel"/>
    <w:tmpl w:val="7A78B00E"/>
    <w:lvl w:ilvl="0" w:tplc="38090013">
      <w:start w:val="1"/>
      <w:numFmt w:val="upperRoman"/>
      <w:lvlText w:val="%1."/>
      <w:lvlJc w:val="righ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46" w15:restartNumberingAfterBreak="0">
    <w:nsid w:val="3EC95EA6"/>
    <w:multiLevelType w:val="hybridMultilevel"/>
    <w:tmpl w:val="3E780EB6"/>
    <w:lvl w:ilvl="0" w:tplc="652A5F6C">
      <w:start w:val="1"/>
      <w:numFmt w:val="lowerLetter"/>
      <w:lvlText w:val="(%1)"/>
      <w:lvlJc w:val="left"/>
      <w:pPr>
        <w:ind w:left="4374" w:hanging="360"/>
      </w:pPr>
      <w:rPr>
        <w:rFonts w:hint="default"/>
      </w:rPr>
    </w:lvl>
    <w:lvl w:ilvl="1" w:tplc="38090019" w:tentative="1">
      <w:start w:val="1"/>
      <w:numFmt w:val="lowerLetter"/>
      <w:lvlText w:val="%2."/>
      <w:lvlJc w:val="left"/>
      <w:pPr>
        <w:ind w:left="5094" w:hanging="360"/>
      </w:pPr>
    </w:lvl>
    <w:lvl w:ilvl="2" w:tplc="3809001B" w:tentative="1">
      <w:start w:val="1"/>
      <w:numFmt w:val="lowerRoman"/>
      <w:lvlText w:val="%3."/>
      <w:lvlJc w:val="right"/>
      <w:pPr>
        <w:ind w:left="5814" w:hanging="180"/>
      </w:pPr>
    </w:lvl>
    <w:lvl w:ilvl="3" w:tplc="3809000F" w:tentative="1">
      <w:start w:val="1"/>
      <w:numFmt w:val="decimal"/>
      <w:lvlText w:val="%4."/>
      <w:lvlJc w:val="left"/>
      <w:pPr>
        <w:ind w:left="6534" w:hanging="360"/>
      </w:pPr>
    </w:lvl>
    <w:lvl w:ilvl="4" w:tplc="38090019" w:tentative="1">
      <w:start w:val="1"/>
      <w:numFmt w:val="lowerLetter"/>
      <w:lvlText w:val="%5."/>
      <w:lvlJc w:val="left"/>
      <w:pPr>
        <w:ind w:left="7254" w:hanging="360"/>
      </w:pPr>
    </w:lvl>
    <w:lvl w:ilvl="5" w:tplc="3809001B" w:tentative="1">
      <w:start w:val="1"/>
      <w:numFmt w:val="lowerRoman"/>
      <w:lvlText w:val="%6."/>
      <w:lvlJc w:val="right"/>
      <w:pPr>
        <w:ind w:left="7974" w:hanging="180"/>
      </w:pPr>
    </w:lvl>
    <w:lvl w:ilvl="6" w:tplc="3809000F" w:tentative="1">
      <w:start w:val="1"/>
      <w:numFmt w:val="decimal"/>
      <w:lvlText w:val="%7."/>
      <w:lvlJc w:val="left"/>
      <w:pPr>
        <w:ind w:left="8694" w:hanging="360"/>
      </w:pPr>
    </w:lvl>
    <w:lvl w:ilvl="7" w:tplc="38090019" w:tentative="1">
      <w:start w:val="1"/>
      <w:numFmt w:val="lowerLetter"/>
      <w:lvlText w:val="%8."/>
      <w:lvlJc w:val="left"/>
      <w:pPr>
        <w:ind w:left="9414" w:hanging="360"/>
      </w:pPr>
    </w:lvl>
    <w:lvl w:ilvl="8" w:tplc="3809001B" w:tentative="1">
      <w:start w:val="1"/>
      <w:numFmt w:val="lowerRoman"/>
      <w:lvlText w:val="%9."/>
      <w:lvlJc w:val="right"/>
      <w:pPr>
        <w:ind w:left="10134" w:hanging="180"/>
      </w:pPr>
    </w:lvl>
  </w:abstractNum>
  <w:abstractNum w:abstractNumId="247" w15:restartNumberingAfterBreak="0">
    <w:nsid w:val="3FA0191C"/>
    <w:multiLevelType w:val="hybridMultilevel"/>
    <w:tmpl w:val="82EC2C2E"/>
    <w:lvl w:ilvl="0" w:tplc="6A0EF486">
      <w:start w:val="1"/>
      <w:numFmt w:val="decimal"/>
      <w:lvlText w:val="%1)"/>
      <w:lvlJc w:val="left"/>
      <w:pPr>
        <w:ind w:left="2628" w:hanging="360"/>
      </w:pPr>
      <w:rPr>
        <w:rFonts w:hint="default"/>
        <w:color w:val="auto"/>
      </w:rPr>
    </w:lvl>
    <w:lvl w:ilvl="1" w:tplc="38090019" w:tentative="1">
      <w:start w:val="1"/>
      <w:numFmt w:val="lowerLetter"/>
      <w:lvlText w:val="%2."/>
      <w:lvlJc w:val="left"/>
      <w:pPr>
        <w:ind w:left="3348" w:hanging="360"/>
      </w:pPr>
    </w:lvl>
    <w:lvl w:ilvl="2" w:tplc="3809001B" w:tentative="1">
      <w:start w:val="1"/>
      <w:numFmt w:val="lowerRoman"/>
      <w:lvlText w:val="%3."/>
      <w:lvlJc w:val="right"/>
      <w:pPr>
        <w:ind w:left="4068" w:hanging="180"/>
      </w:pPr>
    </w:lvl>
    <w:lvl w:ilvl="3" w:tplc="3809000F" w:tentative="1">
      <w:start w:val="1"/>
      <w:numFmt w:val="decimal"/>
      <w:lvlText w:val="%4."/>
      <w:lvlJc w:val="left"/>
      <w:pPr>
        <w:ind w:left="4788" w:hanging="360"/>
      </w:pPr>
    </w:lvl>
    <w:lvl w:ilvl="4" w:tplc="38090019" w:tentative="1">
      <w:start w:val="1"/>
      <w:numFmt w:val="lowerLetter"/>
      <w:lvlText w:val="%5."/>
      <w:lvlJc w:val="left"/>
      <w:pPr>
        <w:ind w:left="5508" w:hanging="360"/>
      </w:pPr>
    </w:lvl>
    <w:lvl w:ilvl="5" w:tplc="3809001B" w:tentative="1">
      <w:start w:val="1"/>
      <w:numFmt w:val="lowerRoman"/>
      <w:lvlText w:val="%6."/>
      <w:lvlJc w:val="right"/>
      <w:pPr>
        <w:ind w:left="6228" w:hanging="180"/>
      </w:pPr>
    </w:lvl>
    <w:lvl w:ilvl="6" w:tplc="3809000F" w:tentative="1">
      <w:start w:val="1"/>
      <w:numFmt w:val="decimal"/>
      <w:lvlText w:val="%7."/>
      <w:lvlJc w:val="left"/>
      <w:pPr>
        <w:ind w:left="6948" w:hanging="360"/>
      </w:pPr>
    </w:lvl>
    <w:lvl w:ilvl="7" w:tplc="38090019" w:tentative="1">
      <w:start w:val="1"/>
      <w:numFmt w:val="lowerLetter"/>
      <w:lvlText w:val="%8."/>
      <w:lvlJc w:val="left"/>
      <w:pPr>
        <w:ind w:left="7668" w:hanging="360"/>
      </w:pPr>
    </w:lvl>
    <w:lvl w:ilvl="8" w:tplc="3809001B" w:tentative="1">
      <w:start w:val="1"/>
      <w:numFmt w:val="lowerRoman"/>
      <w:lvlText w:val="%9."/>
      <w:lvlJc w:val="right"/>
      <w:pPr>
        <w:ind w:left="8388" w:hanging="180"/>
      </w:pPr>
    </w:lvl>
  </w:abstractNum>
  <w:abstractNum w:abstractNumId="248" w15:restartNumberingAfterBreak="0">
    <w:nsid w:val="400A7C0D"/>
    <w:multiLevelType w:val="hybridMultilevel"/>
    <w:tmpl w:val="BC6C2118"/>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249" w15:restartNumberingAfterBreak="0">
    <w:nsid w:val="40291723"/>
    <w:multiLevelType w:val="hybridMultilevel"/>
    <w:tmpl w:val="A9386888"/>
    <w:lvl w:ilvl="0" w:tplc="C660F496">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250" w15:restartNumberingAfterBreak="0">
    <w:nsid w:val="405830B6"/>
    <w:multiLevelType w:val="hybridMultilevel"/>
    <w:tmpl w:val="77A68428"/>
    <w:lvl w:ilvl="0" w:tplc="E36AF39E">
      <w:start w:val="1"/>
      <w:numFmt w:val="decimal"/>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251" w15:restartNumberingAfterBreak="0">
    <w:nsid w:val="408E590C"/>
    <w:multiLevelType w:val="multilevel"/>
    <w:tmpl w:val="1FFEC0B8"/>
    <w:lvl w:ilvl="0">
      <w:start w:val="1"/>
      <w:numFmt w:val="upperRoman"/>
      <w:lvlText w:val="%1"/>
      <w:lvlJc w:val="left"/>
      <w:pPr>
        <w:ind w:left="834" w:hanging="577"/>
      </w:pPr>
    </w:lvl>
    <w:lvl w:ilvl="1">
      <w:start w:val="1"/>
      <w:numFmt w:val="upperLetter"/>
      <w:lvlText w:val="%1.%2"/>
      <w:lvlJc w:val="left"/>
      <w:pPr>
        <w:ind w:left="834" w:hanging="577"/>
      </w:pPr>
      <w:rPr>
        <w:rFonts w:ascii="Cambria" w:eastAsia="Cambria" w:hAnsi="Cambria" w:cs="Cambria"/>
        <w:b/>
        <w:bCs/>
        <w:sz w:val="22"/>
        <w:szCs w:val="22"/>
      </w:rPr>
    </w:lvl>
    <w:lvl w:ilvl="2">
      <w:start w:val="1"/>
      <w:numFmt w:val="decimal"/>
      <w:lvlText w:val="%3."/>
      <w:lvlJc w:val="left"/>
      <w:pPr>
        <w:ind w:left="919" w:hanging="352"/>
      </w:pPr>
      <w:rPr>
        <w:rFonts w:ascii="Bookman Old Style" w:eastAsia="Cambria" w:hAnsi="Bookman Old Style" w:cs="Cambria" w:hint="default"/>
        <w:b w:val="0"/>
        <w:bCs w:val="0"/>
        <w:sz w:val="24"/>
        <w:szCs w:val="24"/>
      </w:rPr>
    </w:lvl>
    <w:lvl w:ilvl="3">
      <w:numFmt w:val="bullet"/>
      <w:lvlText w:val="•"/>
      <w:lvlJc w:val="left"/>
      <w:pPr>
        <w:ind w:left="4372" w:hanging="352"/>
      </w:pPr>
    </w:lvl>
    <w:lvl w:ilvl="4">
      <w:numFmt w:val="bullet"/>
      <w:lvlText w:val="•"/>
      <w:lvlJc w:val="left"/>
      <w:pPr>
        <w:ind w:left="5929" w:hanging="352"/>
      </w:pPr>
    </w:lvl>
    <w:lvl w:ilvl="5">
      <w:numFmt w:val="bullet"/>
      <w:lvlText w:val="•"/>
      <w:lvlJc w:val="left"/>
      <w:pPr>
        <w:ind w:left="7485" w:hanging="352"/>
      </w:pPr>
    </w:lvl>
    <w:lvl w:ilvl="6">
      <w:numFmt w:val="bullet"/>
      <w:lvlText w:val="•"/>
      <w:lvlJc w:val="left"/>
      <w:pPr>
        <w:ind w:left="9042" w:hanging="352"/>
      </w:pPr>
    </w:lvl>
    <w:lvl w:ilvl="7">
      <w:numFmt w:val="bullet"/>
      <w:lvlText w:val="•"/>
      <w:lvlJc w:val="left"/>
      <w:pPr>
        <w:ind w:left="10598" w:hanging="352"/>
      </w:pPr>
    </w:lvl>
    <w:lvl w:ilvl="8">
      <w:numFmt w:val="bullet"/>
      <w:lvlText w:val="•"/>
      <w:lvlJc w:val="left"/>
      <w:pPr>
        <w:ind w:left="12155" w:hanging="352"/>
      </w:pPr>
    </w:lvl>
  </w:abstractNum>
  <w:abstractNum w:abstractNumId="252" w15:restartNumberingAfterBreak="0">
    <w:nsid w:val="40E83F99"/>
    <w:multiLevelType w:val="hybridMultilevel"/>
    <w:tmpl w:val="86364BCC"/>
    <w:lvl w:ilvl="0" w:tplc="C9E4D4E8">
      <w:start w:val="1"/>
      <w:numFmt w:val="lowerLetter"/>
      <w:lvlText w:val="%1."/>
      <w:lvlJc w:val="left"/>
      <w:pPr>
        <w:ind w:left="2061" w:hanging="360"/>
      </w:pPr>
      <w:rPr>
        <w:rFonts w:hint="default"/>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253" w15:restartNumberingAfterBreak="0">
    <w:nsid w:val="40E97B02"/>
    <w:multiLevelType w:val="hybridMultilevel"/>
    <w:tmpl w:val="CD14F9B8"/>
    <w:lvl w:ilvl="0" w:tplc="38090011">
      <w:start w:val="1"/>
      <w:numFmt w:val="decimal"/>
      <w:lvlText w:val="%1)"/>
      <w:lvlJc w:val="left"/>
      <w:pPr>
        <w:ind w:left="720" w:hanging="360"/>
      </w:pPr>
      <w:rPr>
        <w:b w:val="0"/>
        <w:bCs w:val="0"/>
        <w:i w:val="0"/>
        <w:iCs w:val="0"/>
        <w:strike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4" w15:restartNumberingAfterBreak="0">
    <w:nsid w:val="412F5777"/>
    <w:multiLevelType w:val="hybridMultilevel"/>
    <w:tmpl w:val="0324BF2E"/>
    <w:lvl w:ilvl="0" w:tplc="DEE6BCF4">
      <w:start w:val="1"/>
      <w:numFmt w:val="lowerLetter"/>
      <w:lvlText w:val="%1."/>
      <w:lvlJc w:val="left"/>
      <w:pPr>
        <w:ind w:left="1494" w:hanging="360"/>
      </w:pPr>
      <w:rPr>
        <w:rFonts w:hint="default"/>
        <w:sz w:val="24"/>
        <w:szCs w:val="32"/>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255" w15:restartNumberingAfterBreak="0">
    <w:nsid w:val="413B30EC"/>
    <w:multiLevelType w:val="hybridMultilevel"/>
    <w:tmpl w:val="A9C21E1C"/>
    <w:lvl w:ilvl="0" w:tplc="A1560A02">
      <w:start w:val="1"/>
      <w:numFmt w:val="lowerLetter"/>
      <w:lvlText w:val="(%1)"/>
      <w:lvlJc w:val="left"/>
      <w:pPr>
        <w:ind w:left="4329" w:hanging="360"/>
      </w:pPr>
      <w:rPr>
        <w:rFonts w:hint="default"/>
        <w:color w:val="000000" w:themeColor="text1"/>
      </w:rPr>
    </w:lvl>
    <w:lvl w:ilvl="1" w:tplc="38090019" w:tentative="1">
      <w:start w:val="1"/>
      <w:numFmt w:val="lowerLetter"/>
      <w:lvlText w:val="%2."/>
      <w:lvlJc w:val="left"/>
      <w:pPr>
        <w:ind w:left="5049" w:hanging="360"/>
      </w:pPr>
    </w:lvl>
    <w:lvl w:ilvl="2" w:tplc="3809001B" w:tentative="1">
      <w:start w:val="1"/>
      <w:numFmt w:val="lowerRoman"/>
      <w:lvlText w:val="%3."/>
      <w:lvlJc w:val="right"/>
      <w:pPr>
        <w:ind w:left="5769" w:hanging="180"/>
      </w:pPr>
    </w:lvl>
    <w:lvl w:ilvl="3" w:tplc="3809000F" w:tentative="1">
      <w:start w:val="1"/>
      <w:numFmt w:val="decimal"/>
      <w:lvlText w:val="%4."/>
      <w:lvlJc w:val="left"/>
      <w:pPr>
        <w:ind w:left="6489" w:hanging="360"/>
      </w:pPr>
    </w:lvl>
    <w:lvl w:ilvl="4" w:tplc="38090019" w:tentative="1">
      <w:start w:val="1"/>
      <w:numFmt w:val="lowerLetter"/>
      <w:lvlText w:val="%5."/>
      <w:lvlJc w:val="left"/>
      <w:pPr>
        <w:ind w:left="7209" w:hanging="360"/>
      </w:pPr>
    </w:lvl>
    <w:lvl w:ilvl="5" w:tplc="3809001B" w:tentative="1">
      <w:start w:val="1"/>
      <w:numFmt w:val="lowerRoman"/>
      <w:lvlText w:val="%6."/>
      <w:lvlJc w:val="right"/>
      <w:pPr>
        <w:ind w:left="7929" w:hanging="180"/>
      </w:pPr>
    </w:lvl>
    <w:lvl w:ilvl="6" w:tplc="3809000F" w:tentative="1">
      <w:start w:val="1"/>
      <w:numFmt w:val="decimal"/>
      <w:lvlText w:val="%7."/>
      <w:lvlJc w:val="left"/>
      <w:pPr>
        <w:ind w:left="8649" w:hanging="360"/>
      </w:pPr>
    </w:lvl>
    <w:lvl w:ilvl="7" w:tplc="38090019" w:tentative="1">
      <w:start w:val="1"/>
      <w:numFmt w:val="lowerLetter"/>
      <w:lvlText w:val="%8."/>
      <w:lvlJc w:val="left"/>
      <w:pPr>
        <w:ind w:left="9369" w:hanging="360"/>
      </w:pPr>
    </w:lvl>
    <w:lvl w:ilvl="8" w:tplc="3809001B" w:tentative="1">
      <w:start w:val="1"/>
      <w:numFmt w:val="lowerRoman"/>
      <w:lvlText w:val="%9."/>
      <w:lvlJc w:val="right"/>
      <w:pPr>
        <w:ind w:left="10089" w:hanging="180"/>
      </w:pPr>
    </w:lvl>
  </w:abstractNum>
  <w:abstractNum w:abstractNumId="256" w15:restartNumberingAfterBreak="0">
    <w:nsid w:val="414127C1"/>
    <w:multiLevelType w:val="multilevel"/>
    <w:tmpl w:val="66D44060"/>
    <w:lvl w:ilvl="0">
      <w:start w:val="1"/>
      <w:numFmt w:val="decimal"/>
      <w:lvlText w:val="%1)"/>
      <w:lvlJc w:val="left"/>
      <w:pPr>
        <w:ind w:left="438" w:hanging="321"/>
      </w:pPr>
      <w:rPr>
        <w:rFonts w:ascii="Bookman Old Style" w:eastAsia="Bookman Old Style" w:hAnsi="Bookman Old Style" w:cs="Bookman Old Style"/>
        <w:sz w:val="22"/>
        <w:szCs w:val="22"/>
      </w:rPr>
    </w:lvl>
    <w:lvl w:ilvl="1">
      <w:numFmt w:val="bullet"/>
      <w:lvlText w:val="•"/>
      <w:lvlJc w:val="left"/>
      <w:pPr>
        <w:ind w:left="1018" w:hanging="321"/>
      </w:pPr>
    </w:lvl>
    <w:lvl w:ilvl="2">
      <w:numFmt w:val="bullet"/>
      <w:lvlText w:val="•"/>
      <w:lvlJc w:val="left"/>
      <w:pPr>
        <w:ind w:left="1597" w:hanging="321"/>
      </w:pPr>
    </w:lvl>
    <w:lvl w:ilvl="3">
      <w:numFmt w:val="bullet"/>
      <w:lvlText w:val="•"/>
      <w:lvlJc w:val="left"/>
      <w:pPr>
        <w:ind w:left="2175" w:hanging="321"/>
      </w:pPr>
    </w:lvl>
    <w:lvl w:ilvl="4">
      <w:numFmt w:val="bullet"/>
      <w:lvlText w:val="•"/>
      <w:lvlJc w:val="left"/>
      <w:pPr>
        <w:ind w:left="2754" w:hanging="321"/>
      </w:pPr>
    </w:lvl>
    <w:lvl w:ilvl="5">
      <w:numFmt w:val="bullet"/>
      <w:lvlText w:val="•"/>
      <w:lvlJc w:val="left"/>
      <w:pPr>
        <w:ind w:left="3333" w:hanging="321"/>
      </w:pPr>
    </w:lvl>
    <w:lvl w:ilvl="6">
      <w:numFmt w:val="bullet"/>
      <w:lvlText w:val="•"/>
      <w:lvlJc w:val="left"/>
      <w:pPr>
        <w:ind w:left="3911" w:hanging="321"/>
      </w:pPr>
    </w:lvl>
    <w:lvl w:ilvl="7">
      <w:numFmt w:val="bullet"/>
      <w:lvlText w:val="•"/>
      <w:lvlJc w:val="left"/>
      <w:pPr>
        <w:ind w:left="4490" w:hanging="321"/>
      </w:pPr>
    </w:lvl>
    <w:lvl w:ilvl="8">
      <w:numFmt w:val="bullet"/>
      <w:lvlText w:val="•"/>
      <w:lvlJc w:val="left"/>
      <w:pPr>
        <w:ind w:left="5068" w:hanging="321"/>
      </w:pPr>
    </w:lvl>
  </w:abstractNum>
  <w:abstractNum w:abstractNumId="257" w15:restartNumberingAfterBreak="0">
    <w:nsid w:val="415636B0"/>
    <w:multiLevelType w:val="hybridMultilevel"/>
    <w:tmpl w:val="A0C2CDB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8" w15:restartNumberingAfterBreak="0">
    <w:nsid w:val="41C14036"/>
    <w:multiLevelType w:val="hybridMultilevel"/>
    <w:tmpl w:val="3A72AF60"/>
    <w:lvl w:ilvl="0" w:tplc="D852628E">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259" w15:restartNumberingAfterBreak="0">
    <w:nsid w:val="41D30D47"/>
    <w:multiLevelType w:val="hybridMultilevel"/>
    <w:tmpl w:val="5DA03A26"/>
    <w:lvl w:ilvl="0" w:tplc="FFFFFFFF">
      <w:start w:val="1"/>
      <w:numFmt w:val="decimal"/>
      <w:lvlText w:val="%1)"/>
      <w:lvlJc w:val="left"/>
      <w:pPr>
        <w:ind w:left="1854" w:hanging="360"/>
      </w:pPr>
      <w:rPr>
        <w:rFonts w:hint="default"/>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60" w15:restartNumberingAfterBreak="0">
    <w:nsid w:val="41D975AC"/>
    <w:multiLevelType w:val="hybridMultilevel"/>
    <w:tmpl w:val="D02CB290"/>
    <w:lvl w:ilvl="0" w:tplc="38090011">
      <w:start w:val="1"/>
      <w:numFmt w:val="decimal"/>
      <w:lvlText w:val="%1)"/>
      <w:lvlJc w:val="left"/>
      <w:pPr>
        <w:ind w:left="2746"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1" w15:restartNumberingAfterBreak="0">
    <w:nsid w:val="42685E0E"/>
    <w:multiLevelType w:val="hybridMultilevel"/>
    <w:tmpl w:val="9C90E050"/>
    <w:lvl w:ilvl="0" w:tplc="C39A7108">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262" w15:restartNumberingAfterBreak="0">
    <w:nsid w:val="42697B8B"/>
    <w:multiLevelType w:val="hybridMultilevel"/>
    <w:tmpl w:val="32D46552"/>
    <w:lvl w:ilvl="0" w:tplc="27D8D266">
      <w:start w:val="1"/>
      <w:numFmt w:val="lowerLetter"/>
      <w:lvlText w:val="%1)"/>
      <w:lvlJc w:val="left"/>
      <w:pPr>
        <w:ind w:left="3195" w:hanging="360"/>
      </w:pPr>
      <w:rPr>
        <w:rFonts w:hint="default"/>
      </w:rPr>
    </w:lvl>
    <w:lvl w:ilvl="1" w:tplc="38090019" w:tentative="1">
      <w:start w:val="1"/>
      <w:numFmt w:val="lowerLetter"/>
      <w:lvlText w:val="%2."/>
      <w:lvlJc w:val="left"/>
      <w:pPr>
        <w:ind w:left="3915" w:hanging="360"/>
      </w:pPr>
    </w:lvl>
    <w:lvl w:ilvl="2" w:tplc="3809001B" w:tentative="1">
      <w:start w:val="1"/>
      <w:numFmt w:val="lowerRoman"/>
      <w:lvlText w:val="%3."/>
      <w:lvlJc w:val="right"/>
      <w:pPr>
        <w:ind w:left="4635" w:hanging="180"/>
      </w:pPr>
    </w:lvl>
    <w:lvl w:ilvl="3" w:tplc="3809000F" w:tentative="1">
      <w:start w:val="1"/>
      <w:numFmt w:val="decimal"/>
      <w:lvlText w:val="%4."/>
      <w:lvlJc w:val="left"/>
      <w:pPr>
        <w:ind w:left="5355" w:hanging="360"/>
      </w:pPr>
    </w:lvl>
    <w:lvl w:ilvl="4" w:tplc="38090019" w:tentative="1">
      <w:start w:val="1"/>
      <w:numFmt w:val="lowerLetter"/>
      <w:lvlText w:val="%5."/>
      <w:lvlJc w:val="left"/>
      <w:pPr>
        <w:ind w:left="6075" w:hanging="360"/>
      </w:pPr>
    </w:lvl>
    <w:lvl w:ilvl="5" w:tplc="3809001B" w:tentative="1">
      <w:start w:val="1"/>
      <w:numFmt w:val="lowerRoman"/>
      <w:lvlText w:val="%6."/>
      <w:lvlJc w:val="right"/>
      <w:pPr>
        <w:ind w:left="6795" w:hanging="180"/>
      </w:pPr>
    </w:lvl>
    <w:lvl w:ilvl="6" w:tplc="3809000F" w:tentative="1">
      <w:start w:val="1"/>
      <w:numFmt w:val="decimal"/>
      <w:lvlText w:val="%7."/>
      <w:lvlJc w:val="left"/>
      <w:pPr>
        <w:ind w:left="7515" w:hanging="360"/>
      </w:pPr>
    </w:lvl>
    <w:lvl w:ilvl="7" w:tplc="38090019" w:tentative="1">
      <w:start w:val="1"/>
      <w:numFmt w:val="lowerLetter"/>
      <w:lvlText w:val="%8."/>
      <w:lvlJc w:val="left"/>
      <w:pPr>
        <w:ind w:left="8235" w:hanging="360"/>
      </w:pPr>
    </w:lvl>
    <w:lvl w:ilvl="8" w:tplc="3809001B" w:tentative="1">
      <w:start w:val="1"/>
      <w:numFmt w:val="lowerRoman"/>
      <w:lvlText w:val="%9."/>
      <w:lvlJc w:val="right"/>
      <w:pPr>
        <w:ind w:left="8955" w:hanging="180"/>
      </w:pPr>
    </w:lvl>
  </w:abstractNum>
  <w:abstractNum w:abstractNumId="263" w15:restartNumberingAfterBreak="0">
    <w:nsid w:val="42E639B0"/>
    <w:multiLevelType w:val="hybridMultilevel"/>
    <w:tmpl w:val="8A788214"/>
    <w:lvl w:ilvl="0" w:tplc="9AA2B2EC">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264" w15:restartNumberingAfterBreak="0">
    <w:nsid w:val="431E1EA9"/>
    <w:multiLevelType w:val="hybridMultilevel"/>
    <w:tmpl w:val="47FE5DA2"/>
    <w:lvl w:ilvl="0" w:tplc="242868FE">
      <w:start w:val="1"/>
      <w:numFmt w:val="low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265" w15:restartNumberingAfterBreak="0">
    <w:nsid w:val="435D0BF6"/>
    <w:multiLevelType w:val="hybridMultilevel"/>
    <w:tmpl w:val="FFD40DFC"/>
    <w:lvl w:ilvl="0" w:tplc="38090015">
      <w:start w:val="1"/>
      <w:numFmt w:val="upp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66" w15:restartNumberingAfterBreak="0">
    <w:nsid w:val="43BB182C"/>
    <w:multiLevelType w:val="hybridMultilevel"/>
    <w:tmpl w:val="0054DCC8"/>
    <w:lvl w:ilvl="0" w:tplc="3809001B">
      <w:start w:val="1"/>
      <w:numFmt w:val="lowerRoman"/>
      <w:lvlText w:val="%1."/>
      <w:lvlJc w:val="right"/>
      <w:pPr>
        <w:ind w:left="5256" w:hanging="360"/>
      </w:pPr>
    </w:lvl>
    <w:lvl w:ilvl="1" w:tplc="38090019" w:tentative="1">
      <w:start w:val="1"/>
      <w:numFmt w:val="lowerLetter"/>
      <w:lvlText w:val="%2."/>
      <w:lvlJc w:val="left"/>
      <w:pPr>
        <w:ind w:left="5976" w:hanging="360"/>
      </w:pPr>
    </w:lvl>
    <w:lvl w:ilvl="2" w:tplc="3809001B" w:tentative="1">
      <w:start w:val="1"/>
      <w:numFmt w:val="lowerRoman"/>
      <w:lvlText w:val="%3."/>
      <w:lvlJc w:val="right"/>
      <w:pPr>
        <w:ind w:left="6696" w:hanging="180"/>
      </w:pPr>
    </w:lvl>
    <w:lvl w:ilvl="3" w:tplc="3809000F" w:tentative="1">
      <w:start w:val="1"/>
      <w:numFmt w:val="decimal"/>
      <w:lvlText w:val="%4."/>
      <w:lvlJc w:val="left"/>
      <w:pPr>
        <w:ind w:left="7416" w:hanging="360"/>
      </w:pPr>
    </w:lvl>
    <w:lvl w:ilvl="4" w:tplc="38090019" w:tentative="1">
      <w:start w:val="1"/>
      <w:numFmt w:val="lowerLetter"/>
      <w:lvlText w:val="%5."/>
      <w:lvlJc w:val="left"/>
      <w:pPr>
        <w:ind w:left="8136" w:hanging="360"/>
      </w:pPr>
    </w:lvl>
    <w:lvl w:ilvl="5" w:tplc="3809001B" w:tentative="1">
      <w:start w:val="1"/>
      <w:numFmt w:val="lowerRoman"/>
      <w:lvlText w:val="%6."/>
      <w:lvlJc w:val="right"/>
      <w:pPr>
        <w:ind w:left="8856" w:hanging="180"/>
      </w:pPr>
    </w:lvl>
    <w:lvl w:ilvl="6" w:tplc="3809000F" w:tentative="1">
      <w:start w:val="1"/>
      <w:numFmt w:val="decimal"/>
      <w:lvlText w:val="%7."/>
      <w:lvlJc w:val="left"/>
      <w:pPr>
        <w:ind w:left="9576" w:hanging="360"/>
      </w:pPr>
    </w:lvl>
    <w:lvl w:ilvl="7" w:tplc="38090019" w:tentative="1">
      <w:start w:val="1"/>
      <w:numFmt w:val="lowerLetter"/>
      <w:lvlText w:val="%8."/>
      <w:lvlJc w:val="left"/>
      <w:pPr>
        <w:ind w:left="10296" w:hanging="360"/>
      </w:pPr>
    </w:lvl>
    <w:lvl w:ilvl="8" w:tplc="3809001B" w:tentative="1">
      <w:start w:val="1"/>
      <w:numFmt w:val="lowerRoman"/>
      <w:lvlText w:val="%9."/>
      <w:lvlJc w:val="right"/>
      <w:pPr>
        <w:ind w:left="11016" w:hanging="180"/>
      </w:pPr>
    </w:lvl>
  </w:abstractNum>
  <w:abstractNum w:abstractNumId="267" w15:restartNumberingAfterBreak="0">
    <w:nsid w:val="440D59F2"/>
    <w:multiLevelType w:val="hybridMultilevel"/>
    <w:tmpl w:val="9D0C4726"/>
    <w:lvl w:ilvl="0" w:tplc="8E32766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8" w15:restartNumberingAfterBreak="0">
    <w:nsid w:val="446F21AE"/>
    <w:multiLevelType w:val="hybridMultilevel"/>
    <w:tmpl w:val="58A66E64"/>
    <w:lvl w:ilvl="0" w:tplc="D230083C">
      <w:start w:val="1"/>
      <w:numFmt w:val="lowerLetter"/>
      <w:lvlText w:val="(%1)"/>
      <w:lvlJc w:val="left"/>
      <w:pPr>
        <w:ind w:left="4329" w:hanging="360"/>
      </w:pPr>
      <w:rPr>
        <w:rFonts w:hint="default"/>
      </w:rPr>
    </w:lvl>
    <w:lvl w:ilvl="1" w:tplc="38090019" w:tentative="1">
      <w:start w:val="1"/>
      <w:numFmt w:val="lowerLetter"/>
      <w:lvlText w:val="%2."/>
      <w:lvlJc w:val="left"/>
      <w:pPr>
        <w:ind w:left="5049" w:hanging="360"/>
      </w:pPr>
    </w:lvl>
    <w:lvl w:ilvl="2" w:tplc="3809001B" w:tentative="1">
      <w:start w:val="1"/>
      <w:numFmt w:val="lowerRoman"/>
      <w:lvlText w:val="%3."/>
      <w:lvlJc w:val="right"/>
      <w:pPr>
        <w:ind w:left="5769" w:hanging="180"/>
      </w:pPr>
    </w:lvl>
    <w:lvl w:ilvl="3" w:tplc="3809000F" w:tentative="1">
      <w:start w:val="1"/>
      <w:numFmt w:val="decimal"/>
      <w:lvlText w:val="%4."/>
      <w:lvlJc w:val="left"/>
      <w:pPr>
        <w:ind w:left="6489" w:hanging="360"/>
      </w:pPr>
    </w:lvl>
    <w:lvl w:ilvl="4" w:tplc="38090019" w:tentative="1">
      <w:start w:val="1"/>
      <w:numFmt w:val="lowerLetter"/>
      <w:lvlText w:val="%5."/>
      <w:lvlJc w:val="left"/>
      <w:pPr>
        <w:ind w:left="7209" w:hanging="360"/>
      </w:pPr>
    </w:lvl>
    <w:lvl w:ilvl="5" w:tplc="3809001B" w:tentative="1">
      <w:start w:val="1"/>
      <w:numFmt w:val="lowerRoman"/>
      <w:lvlText w:val="%6."/>
      <w:lvlJc w:val="right"/>
      <w:pPr>
        <w:ind w:left="7929" w:hanging="180"/>
      </w:pPr>
    </w:lvl>
    <w:lvl w:ilvl="6" w:tplc="3809000F" w:tentative="1">
      <w:start w:val="1"/>
      <w:numFmt w:val="decimal"/>
      <w:lvlText w:val="%7."/>
      <w:lvlJc w:val="left"/>
      <w:pPr>
        <w:ind w:left="8649" w:hanging="360"/>
      </w:pPr>
    </w:lvl>
    <w:lvl w:ilvl="7" w:tplc="38090019" w:tentative="1">
      <w:start w:val="1"/>
      <w:numFmt w:val="lowerLetter"/>
      <w:lvlText w:val="%8."/>
      <w:lvlJc w:val="left"/>
      <w:pPr>
        <w:ind w:left="9369" w:hanging="360"/>
      </w:pPr>
    </w:lvl>
    <w:lvl w:ilvl="8" w:tplc="3809001B" w:tentative="1">
      <w:start w:val="1"/>
      <w:numFmt w:val="lowerRoman"/>
      <w:lvlText w:val="%9."/>
      <w:lvlJc w:val="right"/>
      <w:pPr>
        <w:ind w:left="10089" w:hanging="180"/>
      </w:pPr>
    </w:lvl>
  </w:abstractNum>
  <w:abstractNum w:abstractNumId="269" w15:restartNumberingAfterBreak="0">
    <w:nsid w:val="44861173"/>
    <w:multiLevelType w:val="hybridMultilevel"/>
    <w:tmpl w:val="03FC4FF8"/>
    <w:lvl w:ilvl="0" w:tplc="23168D60">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270" w15:restartNumberingAfterBreak="0">
    <w:nsid w:val="44A66077"/>
    <w:multiLevelType w:val="hybridMultilevel"/>
    <w:tmpl w:val="96F6E14C"/>
    <w:lvl w:ilvl="0" w:tplc="A29238F6">
      <w:start w:val="1"/>
      <w:numFmt w:val="lowerLetter"/>
      <w:lvlText w:val="%1."/>
      <w:lvlJc w:val="left"/>
      <w:pPr>
        <w:ind w:left="1494" w:hanging="360"/>
      </w:pPr>
      <w:rPr>
        <w:rFonts w:ascii="Bookman Old Style" w:eastAsia="Calibri" w:hAnsi="Bookman Old Style" w:cs="Bookman Old Style"/>
      </w:rPr>
    </w:lvl>
    <w:lvl w:ilvl="1" w:tplc="38090019" w:tentative="1">
      <w:start w:val="1"/>
      <w:numFmt w:val="lowerLetter"/>
      <w:lvlText w:val="%2."/>
      <w:lvlJc w:val="left"/>
      <w:pPr>
        <w:ind w:left="2214" w:hanging="360"/>
      </w:pPr>
    </w:lvl>
    <w:lvl w:ilvl="2" w:tplc="3809001B">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271" w15:restartNumberingAfterBreak="0">
    <w:nsid w:val="44FF2F98"/>
    <w:multiLevelType w:val="multilevel"/>
    <w:tmpl w:val="DBFE4BD6"/>
    <w:lvl w:ilvl="0">
      <w:start w:val="1"/>
      <w:numFmt w:val="decimal"/>
      <w:lvlText w:val="%1)"/>
      <w:lvlJc w:val="left"/>
      <w:pPr>
        <w:ind w:left="438" w:hanging="321"/>
      </w:pPr>
      <w:rPr>
        <w:rFonts w:ascii="Bookman Old Style" w:eastAsia="Bookman Old Style" w:hAnsi="Bookman Old Style" w:cs="Bookman Old Style"/>
        <w:sz w:val="24"/>
        <w:szCs w:val="24"/>
      </w:rPr>
    </w:lvl>
    <w:lvl w:ilvl="1">
      <w:numFmt w:val="bullet"/>
      <w:lvlText w:val="•"/>
      <w:lvlJc w:val="left"/>
      <w:pPr>
        <w:ind w:left="1387" w:hanging="321"/>
      </w:pPr>
    </w:lvl>
    <w:lvl w:ilvl="2">
      <w:numFmt w:val="bullet"/>
      <w:lvlText w:val="•"/>
      <w:lvlJc w:val="left"/>
      <w:pPr>
        <w:ind w:left="2334" w:hanging="321"/>
      </w:pPr>
    </w:lvl>
    <w:lvl w:ilvl="3">
      <w:numFmt w:val="bullet"/>
      <w:lvlText w:val="•"/>
      <w:lvlJc w:val="left"/>
      <w:pPr>
        <w:ind w:left="3281" w:hanging="321"/>
      </w:pPr>
    </w:lvl>
    <w:lvl w:ilvl="4">
      <w:numFmt w:val="bullet"/>
      <w:lvlText w:val="•"/>
      <w:lvlJc w:val="left"/>
      <w:pPr>
        <w:ind w:left="4228" w:hanging="321"/>
      </w:pPr>
    </w:lvl>
    <w:lvl w:ilvl="5">
      <w:numFmt w:val="bullet"/>
      <w:lvlText w:val="•"/>
      <w:lvlJc w:val="left"/>
      <w:pPr>
        <w:ind w:left="5175" w:hanging="321"/>
      </w:pPr>
    </w:lvl>
    <w:lvl w:ilvl="6">
      <w:numFmt w:val="bullet"/>
      <w:lvlText w:val="•"/>
      <w:lvlJc w:val="left"/>
      <w:pPr>
        <w:ind w:left="6122" w:hanging="321"/>
      </w:pPr>
    </w:lvl>
    <w:lvl w:ilvl="7">
      <w:numFmt w:val="bullet"/>
      <w:lvlText w:val="•"/>
      <w:lvlJc w:val="left"/>
      <w:pPr>
        <w:ind w:left="7069" w:hanging="321"/>
      </w:pPr>
    </w:lvl>
    <w:lvl w:ilvl="8">
      <w:numFmt w:val="bullet"/>
      <w:lvlText w:val="•"/>
      <w:lvlJc w:val="left"/>
      <w:pPr>
        <w:ind w:left="8016" w:hanging="321"/>
      </w:pPr>
    </w:lvl>
  </w:abstractNum>
  <w:abstractNum w:abstractNumId="272" w15:restartNumberingAfterBreak="0">
    <w:nsid w:val="451A28FC"/>
    <w:multiLevelType w:val="hybridMultilevel"/>
    <w:tmpl w:val="DE4A7C5A"/>
    <w:lvl w:ilvl="0" w:tplc="87B47130">
      <w:start w:val="1"/>
      <w:numFmt w:val="decimal"/>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273" w15:restartNumberingAfterBreak="0">
    <w:nsid w:val="452558B4"/>
    <w:multiLevelType w:val="hybridMultilevel"/>
    <w:tmpl w:val="2D86E806"/>
    <w:lvl w:ilvl="0" w:tplc="0D143D32">
      <w:start w:val="1"/>
      <w:numFmt w:val="lowerLetter"/>
      <w:lvlText w:val="%1)"/>
      <w:lvlJc w:val="left"/>
      <w:pPr>
        <w:ind w:left="3195" w:hanging="360"/>
      </w:pPr>
      <w:rPr>
        <w:rFonts w:hint="default"/>
      </w:rPr>
    </w:lvl>
    <w:lvl w:ilvl="1" w:tplc="38090019" w:tentative="1">
      <w:start w:val="1"/>
      <w:numFmt w:val="lowerLetter"/>
      <w:lvlText w:val="%2."/>
      <w:lvlJc w:val="left"/>
      <w:pPr>
        <w:ind w:left="3915" w:hanging="360"/>
      </w:pPr>
    </w:lvl>
    <w:lvl w:ilvl="2" w:tplc="3809001B" w:tentative="1">
      <w:start w:val="1"/>
      <w:numFmt w:val="lowerRoman"/>
      <w:lvlText w:val="%3."/>
      <w:lvlJc w:val="right"/>
      <w:pPr>
        <w:ind w:left="4635" w:hanging="180"/>
      </w:pPr>
    </w:lvl>
    <w:lvl w:ilvl="3" w:tplc="3809000F" w:tentative="1">
      <w:start w:val="1"/>
      <w:numFmt w:val="decimal"/>
      <w:lvlText w:val="%4."/>
      <w:lvlJc w:val="left"/>
      <w:pPr>
        <w:ind w:left="5355" w:hanging="360"/>
      </w:pPr>
    </w:lvl>
    <w:lvl w:ilvl="4" w:tplc="38090019" w:tentative="1">
      <w:start w:val="1"/>
      <w:numFmt w:val="lowerLetter"/>
      <w:lvlText w:val="%5."/>
      <w:lvlJc w:val="left"/>
      <w:pPr>
        <w:ind w:left="6075" w:hanging="360"/>
      </w:pPr>
    </w:lvl>
    <w:lvl w:ilvl="5" w:tplc="3809001B" w:tentative="1">
      <w:start w:val="1"/>
      <w:numFmt w:val="lowerRoman"/>
      <w:lvlText w:val="%6."/>
      <w:lvlJc w:val="right"/>
      <w:pPr>
        <w:ind w:left="6795" w:hanging="180"/>
      </w:pPr>
    </w:lvl>
    <w:lvl w:ilvl="6" w:tplc="3809000F" w:tentative="1">
      <w:start w:val="1"/>
      <w:numFmt w:val="decimal"/>
      <w:lvlText w:val="%7."/>
      <w:lvlJc w:val="left"/>
      <w:pPr>
        <w:ind w:left="7515" w:hanging="360"/>
      </w:pPr>
    </w:lvl>
    <w:lvl w:ilvl="7" w:tplc="38090019" w:tentative="1">
      <w:start w:val="1"/>
      <w:numFmt w:val="lowerLetter"/>
      <w:lvlText w:val="%8."/>
      <w:lvlJc w:val="left"/>
      <w:pPr>
        <w:ind w:left="8235" w:hanging="360"/>
      </w:pPr>
    </w:lvl>
    <w:lvl w:ilvl="8" w:tplc="3809001B" w:tentative="1">
      <w:start w:val="1"/>
      <w:numFmt w:val="lowerRoman"/>
      <w:lvlText w:val="%9."/>
      <w:lvlJc w:val="right"/>
      <w:pPr>
        <w:ind w:left="8955" w:hanging="180"/>
      </w:pPr>
    </w:lvl>
  </w:abstractNum>
  <w:abstractNum w:abstractNumId="274" w15:restartNumberingAfterBreak="0">
    <w:nsid w:val="459822F0"/>
    <w:multiLevelType w:val="hybridMultilevel"/>
    <w:tmpl w:val="C04249CA"/>
    <w:lvl w:ilvl="0" w:tplc="CB38D9C4">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275" w15:restartNumberingAfterBreak="0">
    <w:nsid w:val="45A633E6"/>
    <w:multiLevelType w:val="hybridMultilevel"/>
    <w:tmpl w:val="7A4052FC"/>
    <w:lvl w:ilvl="0" w:tplc="38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15:restartNumberingAfterBreak="0">
    <w:nsid w:val="45FA38A2"/>
    <w:multiLevelType w:val="hybridMultilevel"/>
    <w:tmpl w:val="B816DB1C"/>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277" w15:restartNumberingAfterBreak="0">
    <w:nsid w:val="460573B2"/>
    <w:multiLevelType w:val="hybridMultilevel"/>
    <w:tmpl w:val="B358EBA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8" w15:restartNumberingAfterBreak="0">
    <w:nsid w:val="46917877"/>
    <w:multiLevelType w:val="hybridMultilevel"/>
    <w:tmpl w:val="3E4C3548"/>
    <w:lvl w:ilvl="0" w:tplc="866A0A4A">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279" w15:restartNumberingAfterBreak="0">
    <w:nsid w:val="46D946BE"/>
    <w:multiLevelType w:val="hybridMultilevel"/>
    <w:tmpl w:val="51EAD2D6"/>
    <w:lvl w:ilvl="0" w:tplc="38090001">
      <w:start w:val="1"/>
      <w:numFmt w:val="bullet"/>
      <w:lvlText w:val=""/>
      <w:lvlJc w:val="left"/>
      <w:pPr>
        <w:ind w:left="1571" w:hanging="360"/>
      </w:pPr>
      <w:rPr>
        <w:rFonts w:ascii="Symbol" w:hAnsi="Symbol" w:hint="default"/>
      </w:rPr>
    </w:lvl>
    <w:lvl w:ilvl="1" w:tplc="38090003" w:tentative="1">
      <w:start w:val="1"/>
      <w:numFmt w:val="bullet"/>
      <w:lvlText w:val="o"/>
      <w:lvlJc w:val="left"/>
      <w:pPr>
        <w:ind w:left="2291" w:hanging="360"/>
      </w:pPr>
      <w:rPr>
        <w:rFonts w:ascii="Courier New" w:hAnsi="Courier New" w:cs="Courier New" w:hint="default"/>
      </w:rPr>
    </w:lvl>
    <w:lvl w:ilvl="2" w:tplc="38090005" w:tentative="1">
      <w:start w:val="1"/>
      <w:numFmt w:val="bullet"/>
      <w:lvlText w:val=""/>
      <w:lvlJc w:val="left"/>
      <w:pPr>
        <w:ind w:left="3011" w:hanging="360"/>
      </w:pPr>
      <w:rPr>
        <w:rFonts w:ascii="Wingdings" w:hAnsi="Wingdings" w:hint="default"/>
      </w:rPr>
    </w:lvl>
    <w:lvl w:ilvl="3" w:tplc="38090001" w:tentative="1">
      <w:start w:val="1"/>
      <w:numFmt w:val="bullet"/>
      <w:lvlText w:val=""/>
      <w:lvlJc w:val="left"/>
      <w:pPr>
        <w:ind w:left="3731" w:hanging="360"/>
      </w:pPr>
      <w:rPr>
        <w:rFonts w:ascii="Symbol" w:hAnsi="Symbol" w:hint="default"/>
      </w:rPr>
    </w:lvl>
    <w:lvl w:ilvl="4" w:tplc="38090003" w:tentative="1">
      <w:start w:val="1"/>
      <w:numFmt w:val="bullet"/>
      <w:lvlText w:val="o"/>
      <w:lvlJc w:val="left"/>
      <w:pPr>
        <w:ind w:left="4451" w:hanging="360"/>
      </w:pPr>
      <w:rPr>
        <w:rFonts w:ascii="Courier New" w:hAnsi="Courier New" w:cs="Courier New" w:hint="default"/>
      </w:rPr>
    </w:lvl>
    <w:lvl w:ilvl="5" w:tplc="38090005" w:tentative="1">
      <w:start w:val="1"/>
      <w:numFmt w:val="bullet"/>
      <w:lvlText w:val=""/>
      <w:lvlJc w:val="left"/>
      <w:pPr>
        <w:ind w:left="5171" w:hanging="360"/>
      </w:pPr>
      <w:rPr>
        <w:rFonts w:ascii="Wingdings" w:hAnsi="Wingdings" w:hint="default"/>
      </w:rPr>
    </w:lvl>
    <w:lvl w:ilvl="6" w:tplc="38090001" w:tentative="1">
      <w:start w:val="1"/>
      <w:numFmt w:val="bullet"/>
      <w:lvlText w:val=""/>
      <w:lvlJc w:val="left"/>
      <w:pPr>
        <w:ind w:left="5891" w:hanging="360"/>
      </w:pPr>
      <w:rPr>
        <w:rFonts w:ascii="Symbol" w:hAnsi="Symbol" w:hint="default"/>
      </w:rPr>
    </w:lvl>
    <w:lvl w:ilvl="7" w:tplc="38090003" w:tentative="1">
      <w:start w:val="1"/>
      <w:numFmt w:val="bullet"/>
      <w:lvlText w:val="o"/>
      <w:lvlJc w:val="left"/>
      <w:pPr>
        <w:ind w:left="6611" w:hanging="360"/>
      </w:pPr>
      <w:rPr>
        <w:rFonts w:ascii="Courier New" w:hAnsi="Courier New" w:cs="Courier New" w:hint="default"/>
      </w:rPr>
    </w:lvl>
    <w:lvl w:ilvl="8" w:tplc="38090005" w:tentative="1">
      <w:start w:val="1"/>
      <w:numFmt w:val="bullet"/>
      <w:lvlText w:val=""/>
      <w:lvlJc w:val="left"/>
      <w:pPr>
        <w:ind w:left="7331" w:hanging="360"/>
      </w:pPr>
      <w:rPr>
        <w:rFonts w:ascii="Wingdings" w:hAnsi="Wingdings" w:hint="default"/>
      </w:rPr>
    </w:lvl>
  </w:abstractNum>
  <w:abstractNum w:abstractNumId="280" w15:restartNumberingAfterBreak="0">
    <w:nsid w:val="46E50CD7"/>
    <w:multiLevelType w:val="hybridMultilevel"/>
    <w:tmpl w:val="4B4AA966"/>
    <w:lvl w:ilvl="0" w:tplc="41920042">
      <w:start w:val="1"/>
      <w:numFmt w:val="lowerLetter"/>
      <w:lvlText w:val="%1)"/>
      <w:lvlJc w:val="left"/>
      <w:pPr>
        <w:ind w:left="3195" w:hanging="360"/>
      </w:pPr>
      <w:rPr>
        <w:rFonts w:hint="default"/>
      </w:rPr>
    </w:lvl>
    <w:lvl w:ilvl="1" w:tplc="38090019" w:tentative="1">
      <w:start w:val="1"/>
      <w:numFmt w:val="lowerLetter"/>
      <w:lvlText w:val="%2."/>
      <w:lvlJc w:val="left"/>
      <w:pPr>
        <w:ind w:left="3915" w:hanging="360"/>
      </w:pPr>
    </w:lvl>
    <w:lvl w:ilvl="2" w:tplc="3809001B" w:tentative="1">
      <w:start w:val="1"/>
      <w:numFmt w:val="lowerRoman"/>
      <w:lvlText w:val="%3."/>
      <w:lvlJc w:val="right"/>
      <w:pPr>
        <w:ind w:left="4635" w:hanging="180"/>
      </w:pPr>
    </w:lvl>
    <w:lvl w:ilvl="3" w:tplc="3809000F" w:tentative="1">
      <w:start w:val="1"/>
      <w:numFmt w:val="decimal"/>
      <w:lvlText w:val="%4."/>
      <w:lvlJc w:val="left"/>
      <w:pPr>
        <w:ind w:left="5355" w:hanging="360"/>
      </w:pPr>
    </w:lvl>
    <w:lvl w:ilvl="4" w:tplc="38090019" w:tentative="1">
      <w:start w:val="1"/>
      <w:numFmt w:val="lowerLetter"/>
      <w:lvlText w:val="%5."/>
      <w:lvlJc w:val="left"/>
      <w:pPr>
        <w:ind w:left="6075" w:hanging="360"/>
      </w:pPr>
    </w:lvl>
    <w:lvl w:ilvl="5" w:tplc="3809001B" w:tentative="1">
      <w:start w:val="1"/>
      <w:numFmt w:val="lowerRoman"/>
      <w:lvlText w:val="%6."/>
      <w:lvlJc w:val="right"/>
      <w:pPr>
        <w:ind w:left="6795" w:hanging="180"/>
      </w:pPr>
    </w:lvl>
    <w:lvl w:ilvl="6" w:tplc="3809000F" w:tentative="1">
      <w:start w:val="1"/>
      <w:numFmt w:val="decimal"/>
      <w:lvlText w:val="%7."/>
      <w:lvlJc w:val="left"/>
      <w:pPr>
        <w:ind w:left="7515" w:hanging="360"/>
      </w:pPr>
    </w:lvl>
    <w:lvl w:ilvl="7" w:tplc="38090019" w:tentative="1">
      <w:start w:val="1"/>
      <w:numFmt w:val="lowerLetter"/>
      <w:lvlText w:val="%8."/>
      <w:lvlJc w:val="left"/>
      <w:pPr>
        <w:ind w:left="8235" w:hanging="360"/>
      </w:pPr>
    </w:lvl>
    <w:lvl w:ilvl="8" w:tplc="3809001B" w:tentative="1">
      <w:start w:val="1"/>
      <w:numFmt w:val="lowerRoman"/>
      <w:lvlText w:val="%9."/>
      <w:lvlJc w:val="right"/>
      <w:pPr>
        <w:ind w:left="8955" w:hanging="180"/>
      </w:pPr>
    </w:lvl>
  </w:abstractNum>
  <w:abstractNum w:abstractNumId="281" w15:restartNumberingAfterBreak="0">
    <w:nsid w:val="46E8671B"/>
    <w:multiLevelType w:val="hybridMultilevel"/>
    <w:tmpl w:val="6E40EDEE"/>
    <w:lvl w:ilvl="0" w:tplc="AE58DEA8">
      <w:start w:val="1"/>
      <w:numFmt w:val="lowerLetter"/>
      <w:lvlText w:val="(%1)"/>
      <w:lvlJc w:val="left"/>
      <w:pPr>
        <w:ind w:left="4329" w:hanging="360"/>
      </w:pPr>
      <w:rPr>
        <w:rFonts w:hint="default"/>
      </w:rPr>
    </w:lvl>
    <w:lvl w:ilvl="1" w:tplc="38090019" w:tentative="1">
      <w:start w:val="1"/>
      <w:numFmt w:val="lowerLetter"/>
      <w:lvlText w:val="%2."/>
      <w:lvlJc w:val="left"/>
      <w:pPr>
        <w:ind w:left="5049" w:hanging="360"/>
      </w:pPr>
    </w:lvl>
    <w:lvl w:ilvl="2" w:tplc="3809001B" w:tentative="1">
      <w:start w:val="1"/>
      <w:numFmt w:val="lowerRoman"/>
      <w:lvlText w:val="%3."/>
      <w:lvlJc w:val="right"/>
      <w:pPr>
        <w:ind w:left="5769" w:hanging="180"/>
      </w:pPr>
    </w:lvl>
    <w:lvl w:ilvl="3" w:tplc="3809000F" w:tentative="1">
      <w:start w:val="1"/>
      <w:numFmt w:val="decimal"/>
      <w:lvlText w:val="%4."/>
      <w:lvlJc w:val="left"/>
      <w:pPr>
        <w:ind w:left="6489" w:hanging="360"/>
      </w:pPr>
    </w:lvl>
    <w:lvl w:ilvl="4" w:tplc="38090019" w:tentative="1">
      <w:start w:val="1"/>
      <w:numFmt w:val="lowerLetter"/>
      <w:lvlText w:val="%5."/>
      <w:lvlJc w:val="left"/>
      <w:pPr>
        <w:ind w:left="7209" w:hanging="360"/>
      </w:pPr>
    </w:lvl>
    <w:lvl w:ilvl="5" w:tplc="3809001B" w:tentative="1">
      <w:start w:val="1"/>
      <w:numFmt w:val="lowerRoman"/>
      <w:lvlText w:val="%6."/>
      <w:lvlJc w:val="right"/>
      <w:pPr>
        <w:ind w:left="7929" w:hanging="180"/>
      </w:pPr>
    </w:lvl>
    <w:lvl w:ilvl="6" w:tplc="3809000F" w:tentative="1">
      <w:start w:val="1"/>
      <w:numFmt w:val="decimal"/>
      <w:lvlText w:val="%7."/>
      <w:lvlJc w:val="left"/>
      <w:pPr>
        <w:ind w:left="8649" w:hanging="360"/>
      </w:pPr>
    </w:lvl>
    <w:lvl w:ilvl="7" w:tplc="38090019" w:tentative="1">
      <w:start w:val="1"/>
      <w:numFmt w:val="lowerLetter"/>
      <w:lvlText w:val="%8."/>
      <w:lvlJc w:val="left"/>
      <w:pPr>
        <w:ind w:left="9369" w:hanging="360"/>
      </w:pPr>
    </w:lvl>
    <w:lvl w:ilvl="8" w:tplc="3809001B" w:tentative="1">
      <w:start w:val="1"/>
      <w:numFmt w:val="lowerRoman"/>
      <w:lvlText w:val="%9."/>
      <w:lvlJc w:val="right"/>
      <w:pPr>
        <w:ind w:left="10089" w:hanging="180"/>
      </w:pPr>
    </w:lvl>
  </w:abstractNum>
  <w:abstractNum w:abstractNumId="282" w15:restartNumberingAfterBreak="0">
    <w:nsid w:val="470C4B16"/>
    <w:multiLevelType w:val="hybridMultilevel"/>
    <w:tmpl w:val="7C206BBE"/>
    <w:lvl w:ilvl="0" w:tplc="FFFFFFFF">
      <w:start w:val="1"/>
      <w:numFmt w:val="decimal"/>
      <w:lvlText w:val="%1."/>
      <w:lvlJc w:val="left"/>
      <w:pPr>
        <w:ind w:left="927" w:hanging="360"/>
      </w:pPr>
      <w:rPr>
        <w:rFonts w:hint="default"/>
        <w:color w:val="auto"/>
      </w:rPr>
    </w:lvl>
    <w:lvl w:ilvl="1" w:tplc="FFFFFFFF">
      <w:start w:val="1"/>
      <w:numFmt w:val="lowerLetter"/>
      <w:lvlText w:val="(%2)"/>
      <w:lvlJc w:val="left"/>
      <w:pPr>
        <w:ind w:left="1647" w:hanging="360"/>
      </w:pPr>
      <w:rPr>
        <w:rFonts w:hint="default"/>
      </w:rPr>
    </w:lvl>
    <w:lvl w:ilvl="2" w:tplc="FFFFFFFF">
      <w:start w:val="1"/>
      <w:numFmt w:val="decimal"/>
      <w:lvlText w:val="(%3)"/>
      <w:lvlJc w:val="left"/>
      <w:pPr>
        <w:ind w:left="2547" w:hanging="360"/>
      </w:pPr>
      <w:rPr>
        <w:rFonts w:hint="default"/>
      </w:rPr>
    </w:lvl>
    <w:lvl w:ilvl="3" w:tplc="FFFFFFFF">
      <w:start w:val="1"/>
      <w:numFmt w:val="decimal"/>
      <w:lvlText w:val="(%4)"/>
      <w:lvlJc w:val="left"/>
      <w:pPr>
        <w:ind w:left="3087" w:hanging="360"/>
      </w:pPr>
      <w:rPr>
        <w:rFonts w:hint="default"/>
      </w:rPr>
    </w:lvl>
    <w:lvl w:ilvl="4" w:tplc="FFFFFFFF">
      <w:start w:val="1"/>
      <w:numFmt w:val="decimal"/>
      <w:lvlText w:val="%5)"/>
      <w:lvlJc w:val="left"/>
      <w:pPr>
        <w:ind w:left="3807" w:hanging="360"/>
      </w:pPr>
      <w:rPr>
        <w:rFonts w:hint="default"/>
        <w:color w:val="000000" w:themeColor="text1"/>
        <w:sz w:val="24"/>
        <w:szCs w:val="24"/>
      </w:rPr>
    </w:lvl>
    <w:lvl w:ilvl="5" w:tplc="FFFFFFFF">
      <w:start w:val="1"/>
      <w:numFmt w:val="lowerLetter"/>
      <w:lvlText w:val="%6."/>
      <w:lvlJc w:val="left"/>
      <w:pPr>
        <w:ind w:left="4707" w:hanging="360"/>
      </w:pPr>
      <w:rPr>
        <w:rFonts w:hint="default"/>
      </w:rPr>
    </w:lvl>
    <w:lvl w:ilvl="6" w:tplc="FFFFFFFF">
      <w:start w:val="1"/>
      <w:numFmt w:val="lowerLetter"/>
      <w:lvlText w:val="%7)"/>
      <w:lvlJc w:val="left"/>
      <w:pPr>
        <w:ind w:left="5247" w:hanging="360"/>
      </w:pPr>
      <w:rPr>
        <w:rFonts w:hint="default"/>
      </w:rPr>
    </w:lvl>
    <w:lvl w:ilvl="7" w:tplc="FFFFFFFF">
      <w:start w:val="1"/>
      <w:numFmt w:val="upperLetter"/>
      <w:lvlText w:val="%8."/>
      <w:lvlJc w:val="left"/>
      <w:pPr>
        <w:ind w:left="5967" w:hanging="360"/>
      </w:pPr>
      <w:rPr>
        <w:rFonts w:hint="default"/>
      </w:rPr>
    </w:lvl>
    <w:lvl w:ilvl="8" w:tplc="FFFFFFFF" w:tentative="1">
      <w:start w:val="1"/>
      <w:numFmt w:val="lowerRoman"/>
      <w:lvlText w:val="%9."/>
      <w:lvlJc w:val="right"/>
      <w:pPr>
        <w:ind w:left="6687" w:hanging="180"/>
      </w:pPr>
    </w:lvl>
  </w:abstractNum>
  <w:abstractNum w:abstractNumId="283" w15:restartNumberingAfterBreak="0">
    <w:nsid w:val="471B1F68"/>
    <w:multiLevelType w:val="hybridMultilevel"/>
    <w:tmpl w:val="3C58773A"/>
    <w:lvl w:ilvl="0" w:tplc="88DCDCC0">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284" w15:restartNumberingAfterBreak="0">
    <w:nsid w:val="47553B03"/>
    <w:multiLevelType w:val="multilevel"/>
    <w:tmpl w:val="51DE34F4"/>
    <w:lvl w:ilvl="0">
      <w:start w:val="1"/>
      <w:numFmt w:val="upperLetter"/>
      <w:lvlText w:val="%1."/>
      <w:lvlJc w:val="left"/>
      <w:pPr>
        <w:ind w:left="896" w:hanging="480"/>
      </w:pPr>
    </w:lvl>
    <w:lvl w:ilvl="1">
      <w:start w:val="1"/>
      <w:numFmt w:val="lowerLetter"/>
      <w:lvlText w:val="%2."/>
      <w:lvlJc w:val="left"/>
      <w:pPr>
        <w:ind w:left="1496" w:hanging="360"/>
      </w:pPr>
    </w:lvl>
    <w:lvl w:ilvl="2">
      <w:start w:val="1"/>
      <w:numFmt w:val="lowerRoman"/>
      <w:lvlText w:val="%3."/>
      <w:lvlJc w:val="right"/>
      <w:pPr>
        <w:ind w:left="2216" w:hanging="180"/>
      </w:pPr>
    </w:lvl>
    <w:lvl w:ilvl="3">
      <w:start w:val="1"/>
      <w:numFmt w:val="decimal"/>
      <w:lvlText w:val="%4."/>
      <w:lvlJc w:val="left"/>
      <w:pPr>
        <w:ind w:left="2936" w:hanging="360"/>
      </w:pPr>
    </w:lvl>
    <w:lvl w:ilvl="4">
      <w:start w:val="1"/>
      <w:numFmt w:val="lowerLetter"/>
      <w:lvlText w:val="%5."/>
      <w:lvlJc w:val="left"/>
      <w:pPr>
        <w:ind w:left="3656" w:hanging="360"/>
      </w:pPr>
    </w:lvl>
    <w:lvl w:ilvl="5">
      <w:start w:val="1"/>
      <w:numFmt w:val="lowerRoman"/>
      <w:lvlText w:val="%6."/>
      <w:lvlJc w:val="right"/>
      <w:pPr>
        <w:ind w:left="4376" w:hanging="180"/>
      </w:pPr>
    </w:lvl>
    <w:lvl w:ilvl="6">
      <w:start w:val="1"/>
      <w:numFmt w:val="decimal"/>
      <w:lvlText w:val="%7."/>
      <w:lvlJc w:val="left"/>
      <w:pPr>
        <w:ind w:left="5096" w:hanging="360"/>
      </w:pPr>
    </w:lvl>
    <w:lvl w:ilvl="7">
      <w:start w:val="1"/>
      <w:numFmt w:val="lowerLetter"/>
      <w:lvlText w:val="%8."/>
      <w:lvlJc w:val="left"/>
      <w:pPr>
        <w:ind w:left="5816" w:hanging="360"/>
      </w:pPr>
    </w:lvl>
    <w:lvl w:ilvl="8">
      <w:start w:val="1"/>
      <w:numFmt w:val="lowerRoman"/>
      <w:lvlText w:val="%9."/>
      <w:lvlJc w:val="right"/>
      <w:pPr>
        <w:ind w:left="6536" w:hanging="180"/>
      </w:pPr>
    </w:lvl>
  </w:abstractNum>
  <w:abstractNum w:abstractNumId="285" w15:restartNumberingAfterBreak="0">
    <w:nsid w:val="478E590D"/>
    <w:multiLevelType w:val="hybridMultilevel"/>
    <w:tmpl w:val="0C848496"/>
    <w:lvl w:ilvl="0" w:tplc="38090001">
      <w:start w:val="1"/>
      <w:numFmt w:val="bullet"/>
      <w:lvlText w:val=""/>
      <w:lvlJc w:val="left"/>
      <w:pPr>
        <w:ind w:left="3240" w:hanging="360"/>
      </w:pPr>
      <w:rPr>
        <w:rFonts w:ascii="Symbol" w:hAnsi="Symbol" w:hint="default"/>
      </w:rPr>
    </w:lvl>
    <w:lvl w:ilvl="1" w:tplc="38090003" w:tentative="1">
      <w:start w:val="1"/>
      <w:numFmt w:val="bullet"/>
      <w:lvlText w:val="o"/>
      <w:lvlJc w:val="left"/>
      <w:pPr>
        <w:ind w:left="3960" w:hanging="360"/>
      </w:pPr>
      <w:rPr>
        <w:rFonts w:ascii="Courier New" w:hAnsi="Courier New" w:cs="Courier New" w:hint="default"/>
      </w:rPr>
    </w:lvl>
    <w:lvl w:ilvl="2" w:tplc="38090005" w:tentative="1">
      <w:start w:val="1"/>
      <w:numFmt w:val="bullet"/>
      <w:lvlText w:val=""/>
      <w:lvlJc w:val="left"/>
      <w:pPr>
        <w:ind w:left="4680" w:hanging="360"/>
      </w:pPr>
      <w:rPr>
        <w:rFonts w:ascii="Wingdings" w:hAnsi="Wingdings" w:hint="default"/>
      </w:rPr>
    </w:lvl>
    <w:lvl w:ilvl="3" w:tplc="38090001" w:tentative="1">
      <w:start w:val="1"/>
      <w:numFmt w:val="bullet"/>
      <w:lvlText w:val=""/>
      <w:lvlJc w:val="left"/>
      <w:pPr>
        <w:ind w:left="5400" w:hanging="360"/>
      </w:pPr>
      <w:rPr>
        <w:rFonts w:ascii="Symbol" w:hAnsi="Symbol" w:hint="default"/>
      </w:rPr>
    </w:lvl>
    <w:lvl w:ilvl="4" w:tplc="38090003" w:tentative="1">
      <w:start w:val="1"/>
      <w:numFmt w:val="bullet"/>
      <w:lvlText w:val="o"/>
      <w:lvlJc w:val="left"/>
      <w:pPr>
        <w:ind w:left="6120" w:hanging="360"/>
      </w:pPr>
      <w:rPr>
        <w:rFonts w:ascii="Courier New" w:hAnsi="Courier New" w:cs="Courier New" w:hint="default"/>
      </w:rPr>
    </w:lvl>
    <w:lvl w:ilvl="5" w:tplc="38090005" w:tentative="1">
      <w:start w:val="1"/>
      <w:numFmt w:val="bullet"/>
      <w:lvlText w:val=""/>
      <w:lvlJc w:val="left"/>
      <w:pPr>
        <w:ind w:left="6840" w:hanging="360"/>
      </w:pPr>
      <w:rPr>
        <w:rFonts w:ascii="Wingdings" w:hAnsi="Wingdings" w:hint="default"/>
      </w:rPr>
    </w:lvl>
    <w:lvl w:ilvl="6" w:tplc="38090001" w:tentative="1">
      <w:start w:val="1"/>
      <w:numFmt w:val="bullet"/>
      <w:lvlText w:val=""/>
      <w:lvlJc w:val="left"/>
      <w:pPr>
        <w:ind w:left="7560" w:hanging="360"/>
      </w:pPr>
      <w:rPr>
        <w:rFonts w:ascii="Symbol" w:hAnsi="Symbol" w:hint="default"/>
      </w:rPr>
    </w:lvl>
    <w:lvl w:ilvl="7" w:tplc="38090003" w:tentative="1">
      <w:start w:val="1"/>
      <w:numFmt w:val="bullet"/>
      <w:lvlText w:val="o"/>
      <w:lvlJc w:val="left"/>
      <w:pPr>
        <w:ind w:left="8280" w:hanging="360"/>
      </w:pPr>
      <w:rPr>
        <w:rFonts w:ascii="Courier New" w:hAnsi="Courier New" w:cs="Courier New" w:hint="default"/>
      </w:rPr>
    </w:lvl>
    <w:lvl w:ilvl="8" w:tplc="38090005" w:tentative="1">
      <w:start w:val="1"/>
      <w:numFmt w:val="bullet"/>
      <w:lvlText w:val=""/>
      <w:lvlJc w:val="left"/>
      <w:pPr>
        <w:ind w:left="9000" w:hanging="360"/>
      </w:pPr>
      <w:rPr>
        <w:rFonts w:ascii="Wingdings" w:hAnsi="Wingdings" w:hint="default"/>
      </w:rPr>
    </w:lvl>
  </w:abstractNum>
  <w:abstractNum w:abstractNumId="286" w15:restartNumberingAfterBreak="0">
    <w:nsid w:val="480A686B"/>
    <w:multiLevelType w:val="hybridMultilevel"/>
    <w:tmpl w:val="DF80BF84"/>
    <w:lvl w:ilvl="0" w:tplc="B7D84BD4">
      <w:start w:val="1"/>
      <w:numFmt w:val="decimal"/>
      <w:lvlText w:val="%1)"/>
      <w:lvlJc w:val="left"/>
      <w:pPr>
        <w:ind w:left="2061" w:hanging="360"/>
      </w:pPr>
      <w:rPr>
        <w:rFonts w:hint="default"/>
        <w:color w:val="000000" w:themeColor="text1"/>
        <w:sz w:val="24"/>
        <w:szCs w:val="32"/>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287" w15:restartNumberingAfterBreak="0">
    <w:nsid w:val="484F2F7A"/>
    <w:multiLevelType w:val="hybridMultilevel"/>
    <w:tmpl w:val="9EF6B88E"/>
    <w:lvl w:ilvl="0" w:tplc="6A8E6712">
      <w:start w:val="1"/>
      <w:numFmt w:val="lowerLetter"/>
      <w:lvlText w:val="%1)"/>
      <w:lvlJc w:val="left"/>
      <w:pPr>
        <w:ind w:left="3195" w:hanging="360"/>
      </w:pPr>
      <w:rPr>
        <w:rFonts w:hint="default"/>
      </w:rPr>
    </w:lvl>
    <w:lvl w:ilvl="1" w:tplc="38090019" w:tentative="1">
      <w:start w:val="1"/>
      <w:numFmt w:val="lowerLetter"/>
      <w:lvlText w:val="%2."/>
      <w:lvlJc w:val="left"/>
      <w:pPr>
        <w:ind w:left="3915" w:hanging="360"/>
      </w:pPr>
    </w:lvl>
    <w:lvl w:ilvl="2" w:tplc="3809001B" w:tentative="1">
      <w:start w:val="1"/>
      <w:numFmt w:val="lowerRoman"/>
      <w:lvlText w:val="%3."/>
      <w:lvlJc w:val="right"/>
      <w:pPr>
        <w:ind w:left="4635" w:hanging="180"/>
      </w:pPr>
    </w:lvl>
    <w:lvl w:ilvl="3" w:tplc="3809000F" w:tentative="1">
      <w:start w:val="1"/>
      <w:numFmt w:val="decimal"/>
      <w:lvlText w:val="%4."/>
      <w:lvlJc w:val="left"/>
      <w:pPr>
        <w:ind w:left="5355" w:hanging="360"/>
      </w:pPr>
    </w:lvl>
    <w:lvl w:ilvl="4" w:tplc="38090019" w:tentative="1">
      <w:start w:val="1"/>
      <w:numFmt w:val="lowerLetter"/>
      <w:lvlText w:val="%5."/>
      <w:lvlJc w:val="left"/>
      <w:pPr>
        <w:ind w:left="6075" w:hanging="360"/>
      </w:pPr>
    </w:lvl>
    <w:lvl w:ilvl="5" w:tplc="3809001B" w:tentative="1">
      <w:start w:val="1"/>
      <w:numFmt w:val="lowerRoman"/>
      <w:lvlText w:val="%6."/>
      <w:lvlJc w:val="right"/>
      <w:pPr>
        <w:ind w:left="6795" w:hanging="180"/>
      </w:pPr>
    </w:lvl>
    <w:lvl w:ilvl="6" w:tplc="3809000F" w:tentative="1">
      <w:start w:val="1"/>
      <w:numFmt w:val="decimal"/>
      <w:lvlText w:val="%7."/>
      <w:lvlJc w:val="left"/>
      <w:pPr>
        <w:ind w:left="7515" w:hanging="360"/>
      </w:pPr>
    </w:lvl>
    <w:lvl w:ilvl="7" w:tplc="38090019" w:tentative="1">
      <w:start w:val="1"/>
      <w:numFmt w:val="lowerLetter"/>
      <w:lvlText w:val="%8."/>
      <w:lvlJc w:val="left"/>
      <w:pPr>
        <w:ind w:left="8235" w:hanging="360"/>
      </w:pPr>
    </w:lvl>
    <w:lvl w:ilvl="8" w:tplc="3809001B" w:tentative="1">
      <w:start w:val="1"/>
      <w:numFmt w:val="lowerRoman"/>
      <w:lvlText w:val="%9."/>
      <w:lvlJc w:val="right"/>
      <w:pPr>
        <w:ind w:left="8955" w:hanging="180"/>
      </w:pPr>
    </w:lvl>
  </w:abstractNum>
  <w:abstractNum w:abstractNumId="288" w15:restartNumberingAfterBreak="0">
    <w:nsid w:val="48522626"/>
    <w:multiLevelType w:val="hybridMultilevel"/>
    <w:tmpl w:val="60948D32"/>
    <w:lvl w:ilvl="0" w:tplc="783ADFFC">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289" w15:restartNumberingAfterBreak="0">
    <w:nsid w:val="4882780C"/>
    <w:multiLevelType w:val="hybridMultilevel"/>
    <w:tmpl w:val="0C6AB844"/>
    <w:lvl w:ilvl="0" w:tplc="0562CB34">
      <w:start w:val="1"/>
      <w:numFmt w:val="decimal"/>
      <w:lvlText w:val="%1)"/>
      <w:lvlJc w:val="left"/>
      <w:pPr>
        <w:ind w:left="2628" w:hanging="360"/>
      </w:pPr>
      <w:rPr>
        <w:rFonts w:hint="default"/>
      </w:rPr>
    </w:lvl>
    <w:lvl w:ilvl="1" w:tplc="38090019" w:tentative="1">
      <w:start w:val="1"/>
      <w:numFmt w:val="lowerLetter"/>
      <w:lvlText w:val="%2."/>
      <w:lvlJc w:val="left"/>
      <w:pPr>
        <w:ind w:left="3348" w:hanging="360"/>
      </w:pPr>
    </w:lvl>
    <w:lvl w:ilvl="2" w:tplc="3809001B" w:tentative="1">
      <w:start w:val="1"/>
      <w:numFmt w:val="lowerRoman"/>
      <w:lvlText w:val="%3."/>
      <w:lvlJc w:val="right"/>
      <w:pPr>
        <w:ind w:left="4068" w:hanging="180"/>
      </w:pPr>
    </w:lvl>
    <w:lvl w:ilvl="3" w:tplc="3809000F" w:tentative="1">
      <w:start w:val="1"/>
      <w:numFmt w:val="decimal"/>
      <w:lvlText w:val="%4."/>
      <w:lvlJc w:val="left"/>
      <w:pPr>
        <w:ind w:left="4788" w:hanging="360"/>
      </w:pPr>
    </w:lvl>
    <w:lvl w:ilvl="4" w:tplc="38090019" w:tentative="1">
      <w:start w:val="1"/>
      <w:numFmt w:val="lowerLetter"/>
      <w:lvlText w:val="%5."/>
      <w:lvlJc w:val="left"/>
      <w:pPr>
        <w:ind w:left="5508" w:hanging="360"/>
      </w:pPr>
    </w:lvl>
    <w:lvl w:ilvl="5" w:tplc="3809001B" w:tentative="1">
      <w:start w:val="1"/>
      <w:numFmt w:val="lowerRoman"/>
      <w:lvlText w:val="%6."/>
      <w:lvlJc w:val="right"/>
      <w:pPr>
        <w:ind w:left="6228" w:hanging="180"/>
      </w:pPr>
    </w:lvl>
    <w:lvl w:ilvl="6" w:tplc="3809000F" w:tentative="1">
      <w:start w:val="1"/>
      <w:numFmt w:val="decimal"/>
      <w:lvlText w:val="%7."/>
      <w:lvlJc w:val="left"/>
      <w:pPr>
        <w:ind w:left="6948" w:hanging="360"/>
      </w:pPr>
    </w:lvl>
    <w:lvl w:ilvl="7" w:tplc="38090019" w:tentative="1">
      <w:start w:val="1"/>
      <w:numFmt w:val="lowerLetter"/>
      <w:lvlText w:val="%8."/>
      <w:lvlJc w:val="left"/>
      <w:pPr>
        <w:ind w:left="7668" w:hanging="360"/>
      </w:pPr>
    </w:lvl>
    <w:lvl w:ilvl="8" w:tplc="3809001B" w:tentative="1">
      <w:start w:val="1"/>
      <w:numFmt w:val="lowerRoman"/>
      <w:lvlText w:val="%9."/>
      <w:lvlJc w:val="right"/>
      <w:pPr>
        <w:ind w:left="8388" w:hanging="180"/>
      </w:pPr>
    </w:lvl>
  </w:abstractNum>
  <w:abstractNum w:abstractNumId="290" w15:restartNumberingAfterBreak="0">
    <w:nsid w:val="48B86F84"/>
    <w:multiLevelType w:val="hybridMultilevel"/>
    <w:tmpl w:val="7CECCD5C"/>
    <w:lvl w:ilvl="0" w:tplc="38090011">
      <w:start w:val="1"/>
      <w:numFmt w:val="decimal"/>
      <w:lvlText w:val="%1)"/>
      <w:lvlJc w:val="left"/>
      <w:pPr>
        <w:ind w:left="720" w:hanging="360"/>
      </w:pPr>
      <w:rPr>
        <w:b w:val="0"/>
        <w:bCs w:val="0"/>
        <w:i w:val="0"/>
        <w:iCs w:val="0"/>
        <w:strike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1" w15:restartNumberingAfterBreak="0">
    <w:nsid w:val="48C746CC"/>
    <w:multiLevelType w:val="hybridMultilevel"/>
    <w:tmpl w:val="6E96E62C"/>
    <w:lvl w:ilvl="0" w:tplc="C534CD7A">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292" w15:restartNumberingAfterBreak="0">
    <w:nsid w:val="48D97319"/>
    <w:multiLevelType w:val="hybridMultilevel"/>
    <w:tmpl w:val="F12E295E"/>
    <w:lvl w:ilvl="0" w:tplc="BFC6AB4C">
      <w:start w:val="1"/>
      <w:numFmt w:val="lowerLetter"/>
      <w:lvlText w:val="%1)"/>
      <w:lvlJc w:val="left"/>
      <w:pPr>
        <w:ind w:left="3195" w:hanging="360"/>
      </w:pPr>
      <w:rPr>
        <w:rFonts w:hint="default"/>
      </w:rPr>
    </w:lvl>
    <w:lvl w:ilvl="1" w:tplc="38090019" w:tentative="1">
      <w:start w:val="1"/>
      <w:numFmt w:val="lowerLetter"/>
      <w:lvlText w:val="%2."/>
      <w:lvlJc w:val="left"/>
      <w:pPr>
        <w:ind w:left="3915" w:hanging="360"/>
      </w:pPr>
    </w:lvl>
    <w:lvl w:ilvl="2" w:tplc="3809001B" w:tentative="1">
      <w:start w:val="1"/>
      <w:numFmt w:val="lowerRoman"/>
      <w:lvlText w:val="%3."/>
      <w:lvlJc w:val="right"/>
      <w:pPr>
        <w:ind w:left="4635" w:hanging="180"/>
      </w:pPr>
    </w:lvl>
    <w:lvl w:ilvl="3" w:tplc="3809000F" w:tentative="1">
      <w:start w:val="1"/>
      <w:numFmt w:val="decimal"/>
      <w:lvlText w:val="%4."/>
      <w:lvlJc w:val="left"/>
      <w:pPr>
        <w:ind w:left="5355" w:hanging="360"/>
      </w:pPr>
    </w:lvl>
    <w:lvl w:ilvl="4" w:tplc="38090019" w:tentative="1">
      <w:start w:val="1"/>
      <w:numFmt w:val="lowerLetter"/>
      <w:lvlText w:val="%5."/>
      <w:lvlJc w:val="left"/>
      <w:pPr>
        <w:ind w:left="6075" w:hanging="360"/>
      </w:pPr>
    </w:lvl>
    <w:lvl w:ilvl="5" w:tplc="3809001B" w:tentative="1">
      <w:start w:val="1"/>
      <w:numFmt w:val="lowerRoman"/>
      <w:lvlText w:val="%6."/>
      <w:lvlJc w:val="right"/>
      <w:pPr>
        <w:ind w:left="6795" w:hanging="180"/>
      </w:pPr>
    </w:lvl>
    <w:lvl w:ilvl="6" w:tplc="3809000F" w:tentative="1">
      <w:start w:val="1"/>
      <w:numFmt w:val="decimal"/>
      <w:lvlText w:val="%7."/>
      <w:lvlJc w:val="left"/>
      <w:pPr>
        <w:ind w:left="7515" w:hanging="360"/>
      </w:pPr>
    </w:lvl>
    <w:lvl w:ilvl="7" w:tplc="38090019" w:tentative="1">
      <w:start w:val="1"/>
      <w:numFmt w:val="lowerLetter"/>
      <w:lvlText w:val="%8."/>
      <w:lvlJc w:val="left"/>
      <w:pPr>
        <w:ind w:left="8235" w:hanging="360"/>
      </w:pPr>
    </w:lvl>
    <w:lvl w:ilvl="8" w:tplc="3809001B" w:tentative="1">
      <w:start w:val="1"/>
      <w:numFmt w:val="lowerRoman"/>
      <w:lvlText w:val="%9."/>
      <w:lvlJc w:val="right"/>
      <w:pPr>
        <w:ind w:left="8955" w:hanging="180"/>
      </w:pPr>
    </w:lvl>
  </w:abstractNum>
  <w:abstractNum w:abstractNumId="293" w15:restartNumberingAfterBreak="0">
    <w:nsid w:val="492C64D7"/>
    <w:multiLevelType w:val="hybridMultilevel"/>
    <w:tmpl w:val="BAF875F0"/>
    <w:lvl w:ilvl="0" w:tplc="DD1031E0">
      <w:start w:val="1"/>
      <w:numFmt w:val="lowerLetter"/>
      <w:lvlText w:val="%1."/>
      <w:lvlJc w:val="left"/>
      <w:pPr>
        <w:ind w:left="2061" w:hanging="360"/>
      </w:pPr>
      <w:rPr>
        <w:rFonts w:hint="default"/>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294" w15:restartNumberingAfterBreak="0">
    <w:nsid w:val="49337FCE"/>
    <w:multiLevelType w:val="hybridMultilevel"/>
    <w:tmpl w:val="7C567B5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5" w15:restartNumberingAfterBreak="0">
    <w:nsid w:val="49590D19"/>
    <w:multiLevelType w:val="multilevel"/>
    <w:tmpl w:val="8C3A34D0"/>
    <w:lvl w:ilvl="0">
      <w:start w:val="1"/>
      <w:numFmt w:val="decimal"/>
      <w:lvlText w:val="%1)"/>
      <w:lvlJc w:val="left"/>
      <w:pPr>
        <w:ind w:left="720" w:hanging="360"/>
      </w:pPr>
      <w:rPr>
        <w:rFonts w:ascii="Bookman Old Style" w:eastAsia="Bookman Old Style" w:hAnsi="Bookman Old Style" w:cs="Bookman Old Style"/>
        <w:i w:val="0"/>
        <w:iCs w:val="0"/>
        <w:color w:val="000000"/>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6" w15:restartNumberingAfterBreak="0">
    <w:nsid w:val="49A450EA"/>
    <w:multiLevelType w:val="hybridMultilevel"/>
    <w:tmpl w:val="939A1434"/>
    <w:lvl w:ilvl="0" w:tplc="AFE8D41A">
      <w:start w:val="1"/>
      <w:numFmt w:val="decimal"/>
      <w:lvlText w:val="%1)"/>
      <w:lvlJc w:val="left"/>
      <w:pPr>
        <w:ind w:left="2628" w:hanging="360"/>
      </w:pPr>
      <w:rPr>
        <w:rFonts w:hint="default"/>
      </w:rPr>
    </w:lvl>
    <w:lvl w:ilvl="1" w:tplc="38090019" w:tentative="1">
      <w:start w:val="1"/>
      <w:numFmt w:val="lowerLetter"/>
      <w:lvlText w:val="%2."/>
      <w:lvlJc w:val="left"/>
      <w:pPr>
        <w:ind w:left="3348" w:hanging="360"/>
      </w:pPr>
    </w:lvl>
    <w:lvl w:ilvl="2" w:tplc="3809001B" w:tentative="1">
      <w:start w:val="1"/>
      <w:numFmt w:val="lowerRoman"/>
      <w:lvlText w:val="%3."/>
      <w:lvlJc w:val="right"/>
      <w:pPr>
        <w:ind w:left="4068" w:hanging="180"/>
      </w:pPr>
    </w:lvl>
    <w:lvl w:ilvl="3" w:tplc="3809000F" w:tentative="1">
      <w:start w:val="1"/>
      <w:numFmt w:val="decimal"/>
      <w:lvlText w:val="%4."/>
      <w:lvlJc w:val="left"/>
      <w:pPr>
        <w:ind w:left="4788" w:hanging="360"/>
      </w:pPr>
    </w:lvl>
    <w:lvl w:ilvl="4" w:tplc="38090019" w:tentative="1">
      <w:start w:val="1"/>
      <w:numFmt w:val="lowerLetter"/>
      <w:lvlText w:val="%5."/>
      <w:lvlJc w:val="left"/>
      <w:pPr>
        <w:ind w:left="5508" w:hanging="360"/>
      </w:pPr>
    </w:lvl>
    <w:lvl w:ilvl="5" w:tplc="3809001B" w:tentative="1">
      <w:start w:val="1"/>
      <w:numFmt w:val="lowerRoman"/>
      <w:lvlText w:val="%6."/>
      <w:lvlJc w:val="right"/>
      <w:pPr>
        <w:ind w:left="6228" w:hanging="180"/>
      </w:pPr>
    </w:lvl>
    <w:lvl w:ilvl="6" w:tplc="3809000F" w:tentative="1">
      <w:start w:val="1"/>
      <w:numFmt w:val="decimal"/>
      <w:lvlText w:val="%7."/>
      <w:lvlJc w:val="left"/>
      <w:pPr>
        <w:ind w:left="6948" w:hanging="360"/>
      </w:pPr>
    </w:lvl>
    <w:lvl w:ilvl="7" w:tplc="38090019" w:tentative="1">
      <w:start w:val="1"/>
      <w:numFmt w:val="lowerLetter"/>
      <w:lvlText w:val="%8."/>
      <w:lvlJc w:val="left"/>
      <w:pPr>
        <w:ind w:left="7668" w:hanging="360"/>
      </w:pPr>
    </w:lvl>
    <w:lvl w:ilvl="8" w:tplc="3809001B" w:tentative="1">
      <w:start w:val="1"/>
      <w:numFmt w:val="lowerRoman"/>
      <w:lvlText w:val="%9."/>
      <w:lvlJc w:val="right"/>
      <w:pPr>
        <w:ind w:left="8388" w:hanging="180"/>
      </w:pPr>
    </w:lvl>
  </w:abstractNum>
  <w:abstractNum w:abstractNumId="297" w15:restartNumberingAfterBreak="0">
    <w:nsid w:val="4A0B5E04"/>
    <w:multiLevelType w:val="hybridMultilevel"/>
    <w:tmpl w:val="9B7C853A"/>
    <w:lvl w:ilvl="0" w:tplc="38090011">
      <w:start w:val="1"/>
      <w:numFmt w:val="decimal"/>
      <w:lvlText w:val="%1)"/>
      <w:lvlJc w:val="left"/>
      <w:pPr>
        <w:ind w:left="720" w:hanging="360"/>
      </w:pPr>
      <w:rPr>
        <w:rFonts w:hint="default"/>
        <w:strike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8" w15:restartNumberingAfterBreak="0">
    <w:nsid w:val="4A4E4C2E"/>
    <w:multiLevelType w:val="hybridMultilevel"/>
    <w:tmpl w:val="72686FD4"/>
    <w:lvl w:ilvl="0" w:tplc="CF9C4DE4">
      <w:start w:val="1"/>
      <w:numFmt w:val="decimal"/>
      <w:lvlText w:val="%1)"/>
      <w:lvlJc w:val="left"/>
      <w:pPr>
        <w:ind w:left="1494" w:hanging="360"/>
      </w:pPr>
      <w:rPr>
        <w:rFonts w:eastAsia="Bookman Old Style" w:cs="Bookman Old Style"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299" w15:restartNumberingAfterBreak="0">
    <w:nsid w:val="4A7A6989"/>
    <w:multiLevelType w:val="hybridMultilevel"/>
    <w:tmpl w:val="353220A8"/>
    <w:lvl w:ilvl="0" w:tplc="EB801DF8">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300" w15:restartNumberingAfterBreak="0">
    <w:nsid w:val="4B293825"/>
    <w:multiLevelType w:val="hybridMultilevel"/>
    <w:tmpl w:val="6F7C762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1" w15:restartNumberingAfterBreak="0">
    <w:nsid w:val="4B6C2C47"/>
    <w:multiLevelType w:val="hybridMultilevel"/>
    <w:tmpl w:val="AC908BE2"/>
    <w:lvl w:ilvl="0" w:tplc="38090011">
      <w:start w:val="1"/>
      <w:numFmt w:val="decimal"/>
      <w:lvlText w:val="%1)"/>
      <w:lvlJc w:val="left"/>
      <w:pPr>
        <w:ind w:left="720" w:hanging="360"/>
      </w:pPr>
      <w:rPr>
        <w:b w:val="0"/>
        <w:bCs w:val="0"/>
        <w:i w:val="0"/>
        <w:iCs w:val="0"/>
        <w:strike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2" w15:restartNumberingAfterBreak="0">
    <w:nsid w:val="4B7929D1"/>
    <w:multiLevelType w:val="hybridMultilevel"/>
    <w:tmpl w:val="69BCCEB8"/>
    <w:lvl w:ilvl="0" w:tplc="28B88928">
      <w:start w:val="1"/>
      <w:numFmt w:val="lowerLetter"/>
      <w:lvlText w:val="%1."/>
      <w:lvlJc w:val="left"/>
      <w:pPr>
        <w:ind w:left="2061" w:hanging="360"/>
      </w:pPr>
      <w:rPr>
        <w:rFonts w:hint="default"/>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303" w15:restartNumberingAfterBreak="0">
    <w:nsid w:val="4BF41099"/>
    <w:multiLevelType w:val="hybridMultilevel"/>
    <w:tmpl w:val="E606F9F6"/>
    <w:lvl w:ilvl="0" w:tplc="C4CC83DA">
      <w:start w:val="1"/>
      <w:numFmt w:val="decimal"/>
      <w:lvlText w:val="%1)"/>
      <w:lvlJc w:val="left"/>
      <w:pPr>
        <w:ind w:left="2628" w:hanging="360"/>
      </w:pPr>
      <w:rPr>
        <w:rFonts w:hint="default"/>
      </w:rPr>
    </w:lvl>
    <w:lvl w:ilvl="1" w:tplc="38090019" w:tentative="1">
      <w:start w:val="1"/>
      <w:numFmt w:val="lowerLetter"/>
      <w:lvlText w:val="%2."/>
      <w:lvlJc w:val="left"/>
      <w:pPr>
        <w:ind w:left="3348" w:hanging="360"/>
      </w:pPr>
    </w:lvl>
    <w:lvl w:ilvl="2" w:tplc="3809001B" w:tentative="1">
      <w:start w:val="1"/>
      <w:numFmt w:val="lowerRoman"/>
      <w:lvlText w:val="%3."/>
      <w:lvlJc w:val="right"/>
      <w:pPr>
        <w:ind w:left="4068" w:hanging="180"/>
      </w:pPr>
    </w:lvl>
    <w:lvl w:ilvl="3" w:tplc="3809000F" w:tentative="1">
      <w:start w:val="1"/>
      <w:numFmt w:val="decimal"/>
      <w:lvlText w:val="%4."/>
      <w:lvlJc w:val="left"/>
      <w:pPr>
        <w:ind w:left="4788" w:hanging="360"/>
      </w:pPr>
    </w:lvl>
    <w:lvl w:ilvl="4" w:tplc="38090019" w:tentative="1">
      <w:start w:val="1"/>
      <w:numFmt w:val="lowerLetter"/>
      <w:lvlText w:val="%5."/>
      <w:lvlJc w:val="left"/>
      <w:pPr>
        <w:ind w:left="5508" w:hanging="360"/>
      </w:pPr>
    </w:lvl>
    <w:lvl w:ilvl="5" w:tplc="3809001B" w:tentative="1">
      <w:start w:val="1"/>
      <w:numFmt w:val="lowerRoman"/>
      <w:lvlText w:val="%6."/>
      <w:lvlJc w:val="right"/>
      <w:pPr>
        <w:ind w:left="6228" w:hanging="180"/>
      </w:pPr>
    </w:lvl>
    <w:lvl w:ilvl="6" w:tplc="3809000F" w:tentative="1">
      <w:start w:val="1"/>
      <w:numFmt w:val="decimal"/>
      <w:lvlText w:val="%7."/>
      <w:lvlJc w:val="left"/>
      <w:pPr>
        <w:ind w:left="6948" w:hanging="360"/>
      </w:pPr>
    </w:lvl>
    <w:lvl w:ilvl="7" w:tplc="38090019" w:tentative="1">
      <w:start w:val="1"/>
      <w:numFmt w:val="lowerLetter"/>
      <w:lvlText w:val="%8."/>
      <w:lvlJc w:val="left"/>
      <w:pPr>
        <w:ind w:left="7668" w:hanging="360"/>
      </w:pPr>
    </w:lvl>
    <w:lvl w:ilvl="8" w:tplc="3809001B" w:tentative="1">
      <w:start w:val="1"/>
      <w:numFmt w:val="lowerRoman"/>
      <w:lvlText w:val="%9."/>
      <w:lvlJc w:val="right"/>
      <w:pPr>
        <w:ind w:left="8388" w:hanging="180"/>
      </w:pPr>
    </w:lvl>
  </w:abstractNum>
  <w:abstractNum w:abstractNumId="304" w15:restartNumberingAfterBreak="0">
    <w:nsid w:val="4C14654F"/>
    <w:multiLevelType w:val="hybridMultilevel"/>
    <w:tmpl w:val="48EE4408"/>
    <w:lvl w:ilvl="0" w:tplc="FFFFFFFF">
      <w:start w:val="1"/>
      <w:numFmt w:val="decimal"/>
      <w:lvlText w:val="%1."/>
      <w:lvlJc w:val="left"/>
      <w:pPr>
        <w:ind w:left="927" w:hanging="360"/>
      </w:pPr>
      <w:rPr>
        <w:rFonts w:hint="default"/>
        <w:color w:val="auto"/>
      </w:rPr>
    </w:lvl>
    <w:lvl w:ilvl="1" w:tplc="FFFFFFFF">
      <w:start w:val="1"/>
      <w:numFmt w:val="lowerLetter"/>
      <w:lvlText w:val="(%2)"/>
      <w:lvlJc w:val="left"/>
      <w:pPr>
        <w:ind w:left="1647" w:hanging="360"/>
      </w:pPr>
      <w:rPr>
        <w:rFonts w:hint="default"/>
      </w:rPr>
    </w:lvl>
    <w:lvl w:ilvl="2" w:tplc="FFFFFFFF">
      <w:start w:val="1"/>
      <w:numFmt w:val="decimal"/>
      <w:lvlText w:val="(%3)"/>
      <w:lvlJc w:val="left"/>
      <w:pPr>
        <w:ind w:left="2547" w:hanging="360"/>
      </w:pPr>
      <w:rPr>
        <w:rFonts w:hint="default"/>
      </w:rPr>
    </w:lvl>
    <w:lvl w:ilvl="3" w:tplc="FFFFFFFF">
      <w:start w:val="1"/>
      <w:numFmt w:val="decimal"/>
      <w:lvlText w:val="(%4)"/>
      <w:lvlJc w:val="left"/>
      <w:pPr>
        <w:ind w:left="3087" w:hanging="360"/>
      </w:pPr>
      <w:rPr>
        <w:rFonts w:hint="default"/>
      </w:rPr>
    </w:lvl>
    <w:lvl w:ilvl="4" w:tplc="FFFFFFFF">
      <w:start w:val="1"/>
      <w:numFmt w:val="decimal"/>
      <w:lvlText w:val="%5)"/>
      <w:lvlJc w:val="left"/>
      <w:pPr>
        <w:ind w:left="3807" w:hanging="360"/>
      </w:pPr>
      <w:rPr>
        <w:rFonts w:hint="default"/>
        <w:color w:val="000000" w:themeColor="text1"/>
        <w:sz w:val="24"/>
        <w:szCs w:val="24"/>
      </w:rPr>
    </w:lvl>
    <w:lvl w:ilvl="5" w:tplc="FFFFFFFF">
      <w:start w:val="1"/>
      <w:numFmt w:val="lowerLetter"/>
      <w:lvlText w:val="%6."/>
      <w:lvlJc w:val="left"/>
      <w:pPr>
        <w:ind w:left="4707" w:hanging="360"/>
      </w:pPr>
      <w:rPr>
        <w:rFonts w:hint="default"/>
      </w:rPr>
    </w:lvl>
    <w:lvl w:ilvl="6" w:tplc="FFFFFFFF">
      <w:start w:val="1"/>
      <w:numFmt w:val="lowerLetter"/>
      <w:lvlText w:val="%7)"/>
      <w:lvlJc w:val="left"/>
      <w:pPr>
        <w:ind w:left="5247" w:hanging="360"/>
      </w:pPr>
      <w:rPr>
        <w:rFonts w:hint="default"/>
      </w:rPr>
    </w:lvl>
    <w:lvl w:ilvl="7" w:tplc="03B81E12">
      <w:start w:val="2"/>
      <w:numFmt w:val="upperLetter"/>
      <w:lvlText w:val="%8."/>
      <w:lvlJc w:val="left"/>
      <w:pPr>
        <w:ind w:left="5967" w:hanging="360"/>
      </w:pPr>
      <w:rPr>
        <w:rFonts w:hint="default"/>
      </w:rPr>
    </w:lvl>
    <w:lvl w:ilvl="8" w:tplc="FFFFFFFF" w:tentative="1">
      <w:start w:val="1"/>
      <w:numFmt w:val="lowerRoman"/>
      <w:lvlText w:val="%9."/>
      <w:lvlJc w:val="right"/>
      <w:pPr>
        <w:ind w:left="6687" w:hanging="180"/>
      </w:pPr>
    </w:lvl>
  </w:abstractNum>
  <w:abstractNum w:abstractNumId="305" w15:restartNumberingAfterBreak="0">
    <w:nsid w:val="4C1E685E"/>
    <w:multiLevelType w:val="multilevel"/>
    <w:tmpl w:val="668207F2"/>
    <w:lvl w:ilvl="0">
      <w:start w:val="1"/>
      <w:numFmt w:val="decimal"/>
      <w:lvlText w:val="%1)"/>
      <w:lvlJc w:val="left"/>
      <w:pPr>
        <w:ind w:left="720" w:hanging="360"/>
      </w:pPr>
      <w:rPr>
        <w:rFonts w:ascii="Bookman Old Style" w:eastAsia="Bookman Old Style" w:hAnsi="Bookman Old Style" w:cs="Bookman Old Style"/>
        <w:i w:val="0"/>
        <w:iCs w:val="0"/>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6" w15:restartNumberingAfterBreak="0">
    <w:nsid w:val="4C2313F1"/>
    <w:multiLevelType w:val="hybridMultilevel"/>
    <w:tmpl w:val="1AE2B0F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7" w15:restartNumberingAfterBreak="0">
    <w:nsid w:val="4C3E323C"/>
    <w:multiLevelType w:val="multilevel"/>
    <w:tmpl w:val="93721A4A"/>
    <w:lvl w:ilvl="0">
      <w:start w:val="1"/>
      <w:numFmt w:val="decimal"/>
      <w:lvlText w:val="%1)"/>
      <w:lvlJc w:val="left"/>
      <w:pPr>
        <w:ind w:left="3474" w:hanging="360"/>
      </w:pPr>
      <w:rPr>
        <w:rFonts w:hint="default"/>
        <w:strike w:val="0"/>
        <w:sz w:val="24"/>
        <w:szCs w:val="28"/>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8" w15:restartNumberingAfterBreak="0">
    <w:nsid w:val="4C4531C5"/>
    <w:multiLevelType w:val="hybridMultilevel"/>
    <w:tmpl w:val="61B25238"/>
    <w:lvl w:ilvl="0" w:tplc="C83C2F56">
      <w:start w:val="1"/>
      <w:numFmt w:val="decimal"/>
      <w:lvlText w:val="(%1)"/>
      <w:lvlJc w:val="left"/>
      <w:pPr>
        <w:ind w:left="3195" w:hanging="360"/>
      </w:pPr>
      <w:rPr>
        <w:rFonts w:hint="default"/>
      </w:rPr>
    </w:lvl>
    <w:lvl w:ilvl="1" w:tplc="38090019" w:tentative="1">
      <w:start w:val="1"/>
      <w:numFmt w:val="lowerLetter"/>
      <w:lvlText w:val="%2."/>
      <w:lvlJc w:val="left"/>
      <w:pPr>
        <w:ind w:left="3915" w:hanging="360"/>
      </w:pPr>
    </w:lvl>
    <w:lvl w:ilvl="2" w:tplc="3809001B" w:tentative="1">
      <w:start w:val="1"/>
      <w:numFmt w:val="lowerRoman"/>
      <w:lvlText w:val="%3."/>
      <w:lvlJc w:val="right"/>
      <w:pPr>
        <w:ind w:left="4635" w:hanging="180"/>
      </w:pPr>
    </w:lvl>
    <w:lvl w:ilvl="3" w:tplc="3809000F" w:tentative="1">
      <w:start w:val="1"/>
      <w:numFmt w:val="decimal"/>
      <w:lvlText w:val="%4."/>
      <w:lvlJc w:val="left"/>
      <w:pPr>
        <w:ind w:left="5355" w:hanging="360"/>
      </w:pPr>
    </w:lvl>
    <w:lvl w:ilvl="4" w:tplc="38090019" w:tentative="1">
      <w:start w:val="1"/>
      <w:numFmt w:val="lowerLetter"/>
      <w:lvlText w:val="%5."/>
      <w:lvlJc w:val="left"/>
      <w:pPr>
        <w:ind w:left="6075" w:hanging="360"/>
      </w:pPr>
    </w:lvl>
    <w:lvl w:ilvl="5" w:tplc="3809001B" w:tentative="1">
      <w:start w:val="1"/>
      <w:numFmt w:val="lowerRoman"/>
      <w:lvlText w:val="%6."/>
      <w:lvlJc w:val="right"/>
      <w:pPr>
        <w:ind w:left="6795" w:hanging="180"/>
      </w:pPr>
    </w:lvl>
    <w:lvl w:ilvl="6" w:tplc="3809000F" w:tentative="1">
      <w:start w:val="1"/>
      <w:numFmt w:val="decimal"/>
      <w:lvlText w:val="%7."/>
      <w:lvlJc w:val="left"/>
      <w:pPr>
        <w:ind w:left="7515" w:hanging="360"/>
      </w:pPr>
    </w:lvl>
    <w:lvl w:ilvl="7" w:tplc="38090019" w:tentative="1">
      <w:start w:val="1"/>
      <w:numFmt w:val="lowerLetter"/>
      <w:lvlText w:val="%8."/>
      <w:lvlJc w:val="left"/>
      <w:pPr>
        <w:ind w:left="8235" w:hanging="360"/>
      </w:pPr>
    </w:lvl>
    <w:lvl w:ilvl="8" w:tplc="3809001B" w:tentative="1">
      <w:start w:val="1"/>
      <w:numFmt w:val="lowerRoman"/>
      <w:lvlText w:val="%9."/>
      <w:lvlJc w:val="right"/>
      <w:pPr>
        <w:ind w:left="8955" w:hanging="180"/>
      </w:pPr>
    </w:lvl>
  </w:abstractNum>
  <w:abstractNum w:abstractNumId="309" w15:restartNumberingAfterBreak="0">
    <w:nsid w:val="4C703CC6"/>
    <w:multiLevelType w:val="hybridMultilevel"/>
    <w:tmpl w:val="57DC0E40"/>
    <w:lvl w:ilvl="0" w:tplc="6DAA7372">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310" w15:restartNumberingAfterBreak="0">
    <w:nsid w:val="4C9C4772"/>
    <w:multiLevelType w:val="hybridMultilevel"/>
    <w:tmpl w:val="614E4930"/>
    <w:lvl w:ilvl="0" w:tplc="23D8581A">
      <w:start w:val="1"/>
      <w:numFmt w:val="lowerLetter"/>
      <w:lvlText w:val="(%1)"/>
      <w:lvlJc w:val="left"/>
      <w:pPr>
        <w:ind w:left="4374" w:hanging="360"/>
      </w:pPr>
      <w:rPr>
        <w:rFonts w:hint="default"/>
      </w:rPr>
    </w:lvl>
    <w:lvl w:ilvl="1" w:tplc="38090019" w:tentative="1">
      <w:start w:val="1"/>
      <w:numFmt w:val="lowerLetter"/>
      <w:lvlText w:val="%2."/>
      <w:lvlJc w:val="left"/>
      <w:pPr>
        <w:ind w:left="5094" w:hanging="360"/>
      </w:pPr>
    </w:lvl>
    <w:lvl w:ilvl="2" w:tplc="3809001B" w:tentative="1">
      <w:start w:val="1"/>
      <w:numFmt w:val="lowerRoman"/>
      <w:lvlText w:val="%3."/>
      <w:lvlJc w:val="right"/>
      <w:pPr>
        <w:ind w:left="5814" w:hanging="180"/>
      </w:pPr>
    </w:lvl>
    <w:lvl w:ilvl="3" w:tplc="3809000F" w:tentative="1">
      <w:start w:val="1"/>
      <w:numFmt w:val="decimal"/>
      <w:lvlText w:val="%4."/>
      <w:lvlJc w:val="left"/>
      <w:pPr>
        <w:ind w:left="6534" w:hanging="360"/>
      </w:pPr>
    </w:lvl>
    <w:lvl w:ilvl="4" w:tplc="38090019" w:tentative="1">
      <w:start w:val="1"/>
      <w:numFmt w:val="lowerLetter"/>
      <w:lvlText w:val="%5."/>
      <w:lvlJc w:val="left"/>
      <w:pPr>
        <w:ind w:left="7254" w:hanging="360"/>
      </w:pPr>
    </w:lvl>
    <w:lvl w:ilvl="5" w:tplc="3809001B" w:tentative="1">
      <w:start w:val="1"/>
      <w:numFmt w:val="lowerRoman"/>
      <w:lvlText w:val="%6."/>
      <w:lvlJc w:val="right"/>
      <w:pPr>
        <w:ind w:left="7974" w:hanging="180"/>
      </w:pPr>
    </w:lvl>
    <w:lvl w:ilvl="6" w:tplc="3809000F" w:tentative="1">
      <w:start w:val="1"/>
      <w:numFmt w:val="decimal"/>
      <w:lvlText w:val="%7."/>
      <w:lvlJc w:val="left"/>
      <w:pPr>
        <w:ind w:left="8694" w:hanging="360"/>
      </w:pPr>
    </w:lvl>
    <w:lvl w:ilvl="7" w:tplc="38090019" w:tentative="1">
      <w:start w:val="1"/>
      <w:numFmt w:val="lowerLetter"/>
      <w:lvlText w:val="%8."/>
      <w:lvlJc w:val="left"/>
      <w:pPr>
        <w:ind w:left="9414" w:hanging="360"/>
      </w:pPr>
    </w:lvl>
    <w:lvl w:ilvl="8" w:tplc="3809001B" w:tentative="1">
      <w:start w:val="1"/>
      <w:numFmt w:val="lowerRoman"/>
      <w:lvlText w:val="%9."/>
      <w:lvlJc w:val="right"/>
      <w:pPr>
        <w:ind w:left="10134" w:hanging="180"/>
      </w:pPr>
    </w:lvl>
  </w:abstractNum>
  <w:abstractNum w:abstractNumId="311" w15:restartNumberingAfterBreak="0">
    <w:nsid w:val="4CA10065"/>
    <w:multiLevelType w:val="multilevel"/>
    <w:tmpl w:val="CAC0AA16"/>
    <w:lvl w:ilvl="0">
      <w:start w:val="1"/>
      <w:numFmt w:val="bullet"/>
      <w:lvlText w:val="●"/>
      <w:lvlJc w:val="left"/>
      <w:pPr>
        <w:ind w:left="870" w:hanging="360"/>
      </w:pPr>
      <w:rPr>
        <w:rFonts w:ascii="Noto Sans Symbols" w:eastAsia="Noto Sans Symbols" w:hAnsi="Noto Sans Symbols" w:cs="Noto Sans Symbols"/>
      </w:rPr>
    </w:lvl>
    <w:lvl w:ilvl="1">
      <w:start w:val="1"/>
      <w:numFmt w:val="lowerLetter"/>
      <w:lvlText w:val="%2)"/>
      <w:lvlJc w:val="left"/>
      <w:pPr>
        <w:ind w:left="1590" w:hanging="360"/>
      </w:pPr>
      <w:rPr>
        <w:b w:val="0"/>
        <w:bCs w:val="0"/>
      </w:rPr>
    </w:lvl>
    <w:lvl w:ilvl="2">
      <w:start w:val="1"/>
      <w:numFmt w:val="bullet"/>
      <w:lvlText w:val="▪"/>
      <w:lvlJc w:val="left"/>
      <w:pPr>
        <w:ind w:left="2310" w:hanging="360"/>
      </w:pPr>
      <w:rPr>
        <w:rFonts w:ascii="Noto Sans Symbols" w:eastAsia="Noto Sans Symbols" w:hAnsi="Noto Sans Symbols" w:cs="Noto Sans Symbols"/>
      </w:rPr>
    </w:lvl>
    <w:lvl w:ilvl="3">
      <w:start w:val="1"/>
      <w:numFmt w:val="bullet"/>
      <w:lvlText w:val="●"/>
      <w:lvlJc w:val="left"/>
      <w:pPr>
        <w:ind w:left="3030" w:hanging="360"/>
      </w:pPr>
      <w:rPr>
        <w:rFonts w:ascii="Noto Sans Symbols" w:eastAsia="Noto Sans Symbols" w:hAnsi="Noto Sans Symbols" w:cs="Noto Sans Symbols"/>
      </w:rPr>
    </w:lvl>
    <w:lvl w:ilvl="4">
      <w:start w:val="1"/>
      <w:numFmt w:val="bullet"/>
      <w:lvlText w:val="o"/>
      <w:lvlJc w:val="left"/>
      <w:pPr>
        <w:ind w:left="3750" w:hanging="360"/>
      </w:pPr>
      <w:rPr>
        <w:rFonts w:ascii="Courier New" w:eastAsia="Courier New" w:hAnsi="Courier New" w:cs="Courier New"/>
      </w:rPr>
    </w:lvl>
    <w:lvl w:ilvl="5">
      <w:start w:val="1"/>
      <w:numFmt w:val="bullet"/>
      <w:lvlText w:val="▪"/>
      <w:lvlJc w:val="left"/>
      <w:pPr>
        <w:ind w:left="4470" w:hanging="360"/>
      </w:pPr>
      <w:rPr>
        <w:rFonts w:ascii="Noto Sans Symbols" w:eastAsia="Noto Sans Symbols" w:hAnsi="Noto Sans Symbols" w:cs="Noto Sans Symbols"/>
      </w:rPr>
    </w:lvl>
    <w:lvl w:ilvl="6">
      <w:start w:val="1"/>
      <w:numFmt w:val="bullet"/>
      <w:lvlText w:val="●"/>
      <w:lvlJc w:val="left"/>
      <w:pPr>
        <w:ind w:left="5190" w:hanging="360"/>
      </w:pPr>
      <w:rPr>
        <w:rFonts w:ascii="Noto Sans Symbols" w:eastAsia="Noto Sans Symbols" w:hAnsi="Noto Sans Symbols" w:cs="Noto Sans Symbols"/>
      </w:rPr>
    </w:lvl>
    <w:lvl w:ilvl="7">
      <w:start w:val="1"/>
      <w:numFmt w:val="bullet"/>
      <w:lvlText w:val="o"/>
      <w:lvlJc w:val="left"/>
      <w:pPr>
        <w:ind w:left="5910" w:hanging="360"/>
      </w:pPr>
      <w:rPr>
        <w:rFonts w:ascii="Courier New" w:eastAsia="Courier New" w:hAnsi="Courier New" w:cs="Courier New"/>
      </w:rPr>
    </w:lvl>
    <w:lvl w:ilvl="8">
      <w:start w:val="1"/>
      <w:numFmt w:val="bullet"/>
      <w:lvlText w:val="▪"/>
      <w:lvlJc w:val="left"/>
      <w:pPr>
        <w:ind w:left="6630" w:hanging="360"/>
      </w:pPr>
      <w:rPr>
        <w:rFonts w:ascii="Noto Sans Symbols" w:eastAsia="Noto Sans Symbols" w:hAnsi="Noto Sans Symbols" w:cs="Noto Sans Symbols"/>
      </w:rPr>
    </w:lvl>
  </w:abstractNum>
  <w:abstractNum w:abstractNumId="312" w15:restartNumberingAfterBreak="0">
    <w:nsid w:val="4D655504"/>
    <w:multiLevelType w:val="multilevel"/>
    <w:tmpl w:val="E8104412"/>
    <w:lvl w:ilvl="0">
      <w:start w:val="1"/>
      <w:numFmt w:val="decimal"/>
      <w:lvlText w:val="%1)"/>
      <w:lvlJc w:val="left"/>
      <w:pPr>
        <w:ind w:left="454" w:hanging="289"/>
      </w:pPr>
      <w:rPr>
        <w:sz w:val="24"/>
        <w:szCs w:val="24"/>
      </w:rPr>
    </w:lvl>
    <w:lvl w:ilvl="1">
      <w:start w:val="1"/>
      <w:numFmt w:val="bullet"/>
      <w:lvlText w:val=""/>
      <w:lvlJc w:val="left"/>
      <w:pPr>
        <w:ind w:left="1134" w:hanging="360"/>
      </w:pPr>
      <w:rPr>
        <w:rFonts w:ascii="Symbol" w:hAnsi="Symbol" w:hint="default"/>
      </w:rPr>
    </w:lvl>
    <w:lvl w:ilvl="2">
      <w:numFmt w:val="bullet"/>
      <w:lvlText w:val="•"/>
      <w:lvlJc w:val="left"/>
      <w:pPr>
        <w:ind w:left="1667" w:hanging="289"/>
      </w:pPr>
    </w:lvl>
    <w:lvl w:ilvl="3">
      <w:numFmt w:val="bullet"/>
      <w:lvlText w:val="•"/>
      <w:lvlJc w:val="left"/>
      <w:pPr>
        <w:ind w:left="2271" w:hanging="289"/>
      </w:pPr>
    </w:lvl>
    <w:lvl w:ilvl="4">
      <w:numFmt w:val="bullet"/>
      <w:lvlText w:val="•"/>
      <w:lvlJc w:val="left"/>
      <w:pPr>
        <w:ind w:left="2875" w:hanging="289"/>
      </w:pPr>
    </w:lvl>
    <w:lvl w:ilvl="5">
      <w:numFmt w:val="bullet"/>
      <w:lvlText w:val="•"/>
      <w:lvlJc w:val="left"/>
      <w:pPr>
        <w:ind w:left="3479" w:hanging="289"/>
      </w:pPr>
    </w:lvl>
    <w:lvl w:ilvl="6">
      <w:numFmt w:val="bullet"/>
      <w:lvlText w:val="•"/>
      <w:lvlJc w:val="left"/>
      <w:pPr>
        <w:ind w:left="4083" w:hanging="288"/>
      </w:pPr>
    </w:lvl>
    <w:lvl w:ilvl="7">
      <w:numFmt w:val="bullet"/>
      <w:lvlText w:val="•"/>
      <w:lvlJc w:val="left"/>
      <w:pPr>
        <w:ind w:left="4687" w:hanging="289"/>
      </w:pPr>
    </w:lvl>
    <w:lvl w:ilvl="8">
      <w:numFmt w:val="bullet"/>
      <w:lvlText w:val="•"/>
      <w:lvlJc w:val="left"/>
      <w:pPr>
        <w:ind w:left="5291" w:hanging="289"/>
      </w:pPr>
    </w:lvl>
  </w:abstractNum>
  <w:abstractNum w:abstractNumId="313" w15:restartNumberingAfterBreak="0">
    <w:nsid w:val="4D8410A8"/>
    <w:multiLevelType w:val="hybridMultilevel"/>
    <w:tmpl w:val="838613C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4" w15:restartNumberingAfterBreak="0">
    <w:nsid w:val="4DA1522D"/>
    <w:multiLevelType w:val="hybridMultilevel"/>
    <w:tmpl w:val="8E1C2E5C"/>
    <w:lvl w:ilvl="0" w:tplc="04044774">
      <w:start w:val="1"/>
      <w:numFmt w:val="lowerLetter"/>
      <w:lvlText w:val="%1)"/>
      <w:lvlJc w:val="left"/>
      <w:pPr>
        <w:ind w:left="3195" w:hanging="360"/>
      </w:pPr>
      <w:rPr>
        <w:rFonts w:hint="default"/>
      </w:rPr>
    </w:lvl>
    <w:lvl w:ilvl="1" w:tplc="38090019" w:tentative="1">
      <w:start w:val="1"/>
      <w:numFmt w:val="lowerLetter"/>
      <w:lvlText w:val="%2."/>
      <w:lvlJc w:val="left"/>
      <w:pPr>
        <w:ind w:left="3915" w:hanging="360"/>
      </w:pPr>
    </w:lvl>
    <w:lvl w:ilvl="2" w:tplc="3809001B" w:tentative="1">
      <w:start w:val="1"/>
      <w:numFmt w:val="lowerRoman"/>
      <w:lvlText w:val="%3."/>
      <w:lvlJc w:val="right"/>
      <w:pPr>
        <w:ind w:left="4635" w:hanging="180"/>
      </w:pPr>
    </w:lvl>
    <w:lvl w:ilvl="3" w:tplc="3809000F" w:tentative="1">
      <w:start w:val="1"/>
      <w:numFmt w:val="decimal"/>
      <w:lvlText w:val="%4."/>
      <w:lvlJc w:val="left"/>
      <w:pPr>
        <w:ind w:left="5355" w:hanging="360"/>
      </w:pPr>
    </w:lvl>
    <w:lvl w:ilvl="4" w:tplc="38090019" w:tentative="1">
      <w:start w:val="1"/>
      <w:numFmt w:val="lowerLetter"/>
      <w:lvlText w:val="%5."/>
      <w:lvlJc w:val="left"/>
      <w:pPr>
        <w:ind w:left="6075" w:hanging="360"/>
      </w:pPr>
    </w:lvl>
    <w:lvl w:ilvl="5" w:tplc="3809001B" w:tentative="1">
      <w:start w:val="1"/>
      <w:numFmt w:val="lowerRoman"/>
      <w:lvlText w:val="%6."/>
      <w:lvlJc w:val="right"/>
      <w:pPr>
        <w:ind w:left="6795" w:hanging="180"/>
      </w:pPr>
    </w:lvl>
    <w:lvl w:ilvl="6" w:tplc="3809000F" w:tentative="1">
      <w:start w:val="1"/>
      <w:numFmt w:val="decimal"/>
      <w:lvlText w:val="%7."/>
      <w:lvlJc w:val="left"/>
      <w:pPr>
        <w:ind w:left="7515" w:hanging="360"/>
      </w:pPr>
    </w:lvl>
    <w:lvl w:ilvl="7" w:tplc="38090019" w:tentative="1">
      <w:start w:val="1"/>
      <w:numFmt w:val="lowerLetter"/>
      <w:lvlText w:val="%8."/>
      <w:lvlJc w:val="left"/>
      <w:pPr>
        <w:ind w:left="8235" w:hanging="360"/>
      </w:pPr>
    </w:lvl>
    <w:lvl w:ilvl="8" w:tplc="3809001B" w:tentative="1">
      <w:start w:val="1"/>
      <w:numFmt w:val="lowerRoman"/>
      <w:lvlText w:val="%9."/>
      <w:lvlJc w:val="right"/>
      <w:pPr>
        <w:ind w:left="8955" w:hanging="180"/>
      </w:pPr>
    </w:lvl>
  </w:abstractNum>
  <w:abstractNum w:abstractNumId="315" w15:restartNumberingAfterBreak="0">
    <w:nsid w:val="4DC300F8"/>
    <w:multiLevelType w:val="hybridMultilevel"/>
    <w:tmpl w:val="342012C6"/>
    <w:lvl w:ilvl="0" w:tplc="32C8AD1A">
      <w:start w:val="1"/>
      <w:numFmt w:val="decimal"/>
      <w:lvlText w:val="(%1)"/>
      <w:lvlJc w:val="left"/>
      <w:pPr>
        <w:ind w:left="3762" w:hanging="360"/>
      </w:pPr>
      <w:rPr>
        <w:rFonts w:hint="default"/>
        <w:color w:val="auto"/>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316" w15:restartNumberingAfterBreak="0">
    <w:nsid w:val="4E043E0A"/>
    <w:multiLevelType w:val="multilevel"/>
    <w:tmpl w:val="68D8B636"/>
    <w:lvl w:ilvl="0">
      <w:numFmt w:val="bullet"/>
      <w:lvlText w:val="●"/>
      <w:lvlJc w:val="left"/>
      <w:pPr>
        <w:ind w:left="597" w:hanging="417"/>
      </w:pPr>
      <w:rPr>
        <w:rFonts w:ascii="Noto Sans Symbols" w:eastAsia="Noto Sans Symbols" w:hAnsi="Noto Sans Symbols" w:cs="Noto Sans Symbols"/>
        <w:sz w:val="22"/>
        <w:szCs w:val="22"/>
      </w:rPr>
    </w:lvl>
    <w:lvl w:ilvl="1">
      <w:numFmt w:val="bullet"/>
      <w:lvlText w:val="•"/>
      <w:lvlJc w:val="left"/>
      <w:pPr>
        <w:ind w:left="1191" w:hanging="417"/>
      </w:pPr>
    </w:lvl>
    <w:lvl w:ilvl="2">
      <w:numFmt w:val="bullet"/>
      <w:lvlText w:val="•"/>
      <w:lvlJc w:val="left"/>
      <w:pPr>
        <w:ind w:left="1783" w:hanging="416"/>
      </w:pPr>
    </w:lvl>
    <w:lvl w:ilvl="3">
      <w:numFmt w:val="bullet"/>
      <w:lvlText w:val="•"/>
      <w:lvlJc w:val="left"/>
      <w:pPr>
        <w:ind w:left="2374" w:hanging="417"/>
      </w:pPr>
    </w:lvl>
    <w:lvl w:ilvl="4">
      <w:numFmt w:val="bullet"/>
      <w:lvlText w:val="•"/>
      <w:lvlJc w:val="left"/>
      <w:pPr>
        <w:ind w:left="2966" w:hanging="416"/>
      </w:pPr>
    </w:lvl>
    <w:lvl w:ilvl="5">
      <w:numFmt w:val="bullet"/>
      <w:lvlText w:val="•"/>
      <w:lvlJc w:val="left"/>
      <w:pPr>
        <w:ind w:left="3557" w:hanging="417"/>
      </w:pPr>
    </w:lvl>
    <w:lvl w:ilvl="6">
      <w:numFmt w:val="bullet"/>
      <w:lvlText w:val="•"/>
      <w:lvlJc w:val="left"/>
      <w:pPr>
        <w:ind w:left="4149" w:hanging="417"/>
      </w:pPr>
    </w:lvl>
    <w:lvl w:ilvl="7">
      <w:numFmt w:val="bullet"/>
      <w:lvlText w:val="•"/>
      <w:lvlJc w:val="left"/>
      <w:pPr>
        <w:ind w:left="4740" w:hanging="417"/>
      </w:pPr>
    </w:lvl>
    <w:lvl w:ilvl="8">
      <w:numFmt w:val="bullet"/>
      <w:lvlText w:val="•"/>
      <w:lvlJc w:val="left"/>
      <w:pPr>
        <w:ind w:left="5332" w:hanging="416"/>
      </w:pPr>
    </w:lvl>
  </w:abstractNum>
  <w:abstractNum w:abstractNumId="317" w15:restartNumberingAfterBreak="0">
    <w:nsid w:val="4E56780F"/>
    <w:multiLevelType w:val="hybridMultilevel"/>
    <w:tmpl w:val="39D6152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8" w15:restartNumberingAfterBreak="0">
    <w:nsid w:val="4E9C0D5B"/>
    <w:multiLevelType w:val="hybridMultilevel"/>
    <w:tmpl w:val="B98A839C"/>
    <w:lvl w:ilvl="0" w:tplc="DDAA7786">
      <w:start w:val="1"/>
      <w:numFmt w:val="decimal"/>
      <w:lvlText w:val="%1)"/>
      <w:lvlJc w:val="left"/>
      <w:pPr>
        <w:ind w:left="2628" w:hanging="360"/>
      </w:pPr>
      <w:rPr>
        <w:rFonts w:hint="default"/>
      </w:rPr>
    </w:lvl>
    <w:lvl w:ilvl="1" w:tplc="38090019" w:tentative="1">
      <w:start w:val="1"/>
      <w:numFmt w:val="lowerLetter"/>
      <w:lvlText w:val="%2."/>
      <w:lvlJc w:val="left"/>
      <w:pPr>
        <w:ind w:left="3348" w:hanging="360"/>
      </w:pPr>
    </w:lvl>
    <w:lvl w:ilvl="2" w:tplc="3809001B" w:tentative="1">
      <w:start w:val="1"/>
      <w:numFmt w:val="lowerRoman"/>
      <w:lvlText w:val="%3."/>
      <w:lvlJc w:val="right"/>
      <w:pPr>
        <w:ind w:left="4068" w:hanging="180"/>
      </w:pPr>
    </w:lvl>
    <w:lvl w:ilvl="3" w:tplc="3809000F" w:tentative="1">
      <w:start w:val="1"/>
      <w:numFmt w:val="decimal"/>
      <w:lvlText w:val="%4."/>
      <w:lvlJc w:val="left"/>
      <w:pPr>
        <w:ind w:left="4788" w:hanging="360"/>
      </w:pPr>
    </w:lvl>
    <w:lvl w:ilvl="4" w:tplc="38090019" w:tentative="1">
      <w:start w:val="1"/>
      <w:numFmt w:val="lowerLetter"/>
      <w:lvlText w:val="%5."/>
      <w:lvlJc w:val="left"/>
      <w:pPr>
        <w:ind w:left="5508" w:hanging="360"/>
      </w:pPr>
    </w:lvl>
    <w:lvl w:ilvl="5" w:tplc="3809001B" w:tentative="1">
      <w:start w:val="1"/>
      <w:numFmt w:val="lowerRoman"/>
      <w:lvlText w:val="%6."/>
      <w:lvlJc w:val="right"/>
      <w:pPr>
        <w:ind w:left="6228" w:hanging="180"/>
      </w:pPr>
    </w:lvl>
    <w:lvl w:ilvl="6" w:tplc="3809000F" w:tentative="1">
      <w:start w:val="1"/>
      <w:numFmt w:val="decimal"/>
      <w:lvlText w:val="%7."/>
      <w:lvlJc w:val="left"/>
      <w:pPr>
        <w:ind w:left="6948" w:hanging="360"/>
      </w:pPr>
    </w:lvl>
    <w:lvl w:ilvl="7" w:tplc="38090019" w:tentative="1">
      <w:start w:val="1"/>
      <w:numFmt w:val="lowerLetter"/>
      <w:lvlText w:val="%8."/>
      <w:lvlJc w:val="left"/>
      <w:pPr>
        <w:ind w:left="7668" w:hanging="360"/>
      </w:pPr>
    </w:lvl>
    <w:lvl w:ilvl="8" w:tplc="3809001B" w:tentative="1">
      <w:start w:val="1"/>
      <w:numFmt w:val="lowerRoman"/>
      <w:lvlText w:val="%9."/>
      <w:lvlJc w:val="right"/>
      <w:pPr>
        <w:ind w:left="8388" w:hanging="180"/>
      </w:pPr>
    </w:lvl>
  </w:abstractNum>
  <w:abstractNum w:abstractNumId="319" w15:restartNumberingAfterBreak="0">
    <w:nsid w:val="4EC1795C"/>
    <w:multiLevelType w:val="hybridMultilevel"/>
    <w:tmpl w:val="D0503E68"/>
    <w:lvl w:ilvl="0" w:tplc="8506C8E6">
      <w:start w:val="1"/>
      <w:numFmt w:val="lowerLetter"/>
      <w:lvlText w:val="(%1)"/>
      <w:lvlJc w:val="left"/>
      <w:pPr>
        <w:ind w:left="4329" w:hanging="360"/>
      </w:pPr>
      <w:rPr>
        <w:rFonts w:hint="default"/>
      </w:rPr>
    </w:lvl>
    <w:lvl w:ilvl="1" w:tplc="38090019" w:tentative="1">
      <w:start w:val="1"/>
      <w:numFmt w:val="lowerLetter"/>
      <w:lvlText w:val="%2."/>
      <w:lvlJc w:val="left"/>
      <w:pPr>
        <w:ind w:left="5049" w:hanging="360"/>
      </w:pPr>
    </w:lvl>
    <w:lvl w:ilvl="2" w:tplc="3809001B" w:tentative="1">
      <w:start w:val="1"/>
      <w:numFmt w:val="lowerRoman"/>
      <w:lvlText w:val="%3."/>
      <w:lvlJc w:val="right"/>
      <w:pPr>
        <w:ind w:left="5769" w:hanging="180"/>
      </w:pPr>
    </w:lvl>
    <w:lvl w:ilvl="3" w:tplc="3809000F" w:tentative="1">
      <w:start w:val="1"/>
      <w:numFmt w:val="decimal"/>
      <w:lvlText w:val="%4."/>
      <w:lvlJc w:val="left"/>
      <w:pPr>
        <w:ind w:left="6489" w:hanging="360"/>
      </w:pPr>
    </w:lvl>
    <w:lvl w:ilvl="4" w:tplc="38090019" w:tentative="1">
      <w:start w:val="1"/>
      <w:numFmt w:val="lowerLetter"/>
      <w:lvlText w:val="%5."/>
      <w:lvlJc w:val="left"/>
      <w:pPr>
        <w:ind w:left="7209" w:hanging="360"/>
      </w:pPr>
    </w:lvl>
    <w:lvl w:ilvl="5" w:tplc="3809001B" w:tentative="1">
      <w:start w:val="1"/>
      <w:numFmt w:val="lowerRoman"/>
      <w:lvlText w:val="%6."/>
      <w:lvlJc w:val="right"/>
      <w:pPr>
        <w:ind w:left="7929" w:hanging="180"/>
      </w:pPr>
    </w:lvl>
    <w:lvl w:ilvl="6" w:tplc="3809000F" w:tentative="1">
      <w:start w:val="1"/>
      <w:numFmt w:val="decimal"/>
      <w:lvlText w:val="%7."/>
      <w:lvlJc w:val="left"/>
      <w:pPr>
        <w:ind w:left="8649" w:hanging="360"/>
      </w:pPr>
    </w:lvl>
    <w:lvl w:ilvl="7" w:tplc="38090019" w:tentative="1">
      <w:start w:val="1"/>
      <w:numFmt w:val="lowerLetter"/>
      <w:lvlText w:val="%8."/>
      <w:lvlJc w:val="left"/>
      <w:pPr>
        <w:ind w:left="9369" w:hanging="360"/>
      </w:pPr>
    </w:lvl>
    <w:lvl w:ilvl="8" w:tplc="3809001B" w:tentative="1">
      <w:start w:val="1"/>
      <w:numFmt w:val="lowerRoman"/>
      <w:lvlText w:val="%9."/>
      <w:lvlJc w:val="right"/>
      <w:pPr>
        <w:ind w:left="10089" w:hanging="180"/>
      </w:pPr>
    </w:lvl>
  </w:abstractNum>
  <w:abstractNum w:abstractNumId="320" w15:restartNumberingAfterBreak="0">
    <w:nsid w:val="4ED338DD"/>
    <w:multiLevelType w:val="multilevel"/>
    <w:tmpl w:val="4FF4DC0C"/>
    <w:lvl w:ilvl="0">
      <w:numFmt w:val="bullet"/>
      <w:lvlText w:val="●"/>
      <w:lvlJc w:val="left"/>
      <w:pPr>
        <w:ind w:left="422" w:hanging="256"/>
      </w:pPr>
      <w:rPr>
        <w:rFonts w:ascii="Noto Sans Symbols" w:eastAsia="Noto Sans Symbols" w:hAnsi="Noto Sans Symbols" w:cs="Noto Sans Symbols"/>
        <w:sz w:val="22"/>
        <w:szCs w:val="22"/>
      </w:rPr>
    </w:lvl>
    <w:lvl w:ilvl="1">
      <w:numFmt w:val="bullet"/>
      <w:lvlText w:val="•"/>
      <w:lvlJc w:val="left"/>
      <w:pPr>
        <w:ind w:left="1015" w:hanging="256"/>
      </w:pPr>
    </w:lvl>
    <w:lvl w:ilvl="2">
      <w:numFmt w:val="bullet"/>
      <w:lvlText w:val="•"/>
      <w:lvlJc w:val="left"/>
      <w:pPr>
        <w:ind w:left="1610" w:hanging="256"/>
      </w:pPr>
    </w:lvl>
    <w:lvl w:ilvl="3">
      <w:numFmt w:val="bullet"/>
      <w:lvlText w:val="•"/>
      <w:lvlJc w:val="left"/>
      <w:pPr>
        <w:ind w:left="2205" w:hanging="256"/>
      </w:pPr>
    </w:lvl>
    <w:lvl w:ilvl="4">
      <w:numFmt w:val="bullet"/>
      <w:lvlText w:val="•"/>
      <w:lvlJc w:val="left"/>
      <w:pPr>
        <w:ind w:left="2800" w:hanging="256"/>
      </w:pPr>
    </w:lvl>
    <w:lvl w:ilvl="5">
      <w:numFmt w:val="bullet"/>
      <w:lvlText w:val="•"/>
      <w:lvlJc w:val="left"/>
      <w:pPr>
        <w:ind w:left="3395" w:hanging="256"/>
      </w:pPr>
    </w:lvl>
    <w:lvl w:ilvl="6">
      <w:numFmt w:val="bullet"/>
      <w:lvlText w:val="•"/>
      <w:lvlJc w:val="left"/>
      <w:pPr>
        <w:ind w:left="3990" w:hanging="256"/>
      </w:pPr>
    </w:lvl>
    <w:lvl w:ilvl="7">
      <w:numFmt w:val="bullet"/>
      <w:lvlText w:val="•"/>
      <w:lvlJc w:val="left"/>
      <w:pPr>
        <w:ind w:left="4585" w:hanging="256"/>
      </w:pPr>
    </w:lvl>
    <w:lvl w:ilvl="8">
      <w:numFmt w:val="bullet"/>
      <w:lvlText w:val="•"/>
      <w:lvlJc w:val="left"/>
      <w:pPr>
        <w:ind w:left="5180" w:hanging="256"/>
      </w:pPr>
    </w:lvl>
  </w:abstractNum>
  <w:abstractNum w:abstractNumId="321" w15:restartNumberingAfterBreak="0">
    <w:nsid w:val="4ED87424"/>
    <w:multiLevelType w:val="hybridMultilevel"/>
    <w:tmpl w:val="90B4E174"/>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322" w15:restartNumberingAfterBreak="0">
    <w:nsid w:val="4EFA1A9E"/>
    <w:multiLevelType w:val="hybridMultilevel"/>
    <w:tmpl w:val="D13ECACA"/>
    <w:lvl w:ilvl="0" w:tplc="835E2B92">
      <w:start w:val="1"/>
      <w:numFmt w:val="lowerLetter"/>
      <w:lvlText w:val="(%1)"/>
      <w:lvlJc w:val="left"/>
      <w:pPr>
        <w:ind w:left="4329" w:hanging="360"/>
      </w:pPr>
      <w:rPr>
        <w:rFonts w:hint="default"/>
      </w:rPr>
    </w:lvl>
    <w:lvl w:ilvl="1" w:tplc="38090019" w:tentative="1">
      <w:start w:val="1"/>
      <w:numFmt w:val="lowerLetter"/>
      <w:lvlText w:val="%2."/>
      <w:lvlJc w:val="left"/>
      <w:pPr>
        <w:ind w:left="5049" w:hanging="360"/>
      </w:pPr>
    </w:lvl>
    <w:lvl w:ilvl="2" w:tplc="3809001B" w:tentative="1">
      <w:start w:val="1"/>
      <w:numFmt w:val="lowerRoman"/>
      <w:lvlText w:val="%3."/>
      <w:lvlJc w:val="right"/>
      <w:pPr>
        <w:ind w:left="5769" w:hanging="180"/>
      </w:pPr>
    </w:lvl>
    <w:lvl w:ilvl="3" w:tplc="3809000F" w:tentative="1">
      <w:start w:val="1"/>
      <w:numFmt w:val="decimal"/>
      <w:lvlText w:val="%4."/>
      <w:lvlJc w:val="left"/>
      <w:pPr>
        <w:ind w:left="6489" w:hanging="360"/>
      </w:pPr>
    </w:lvl>
    <w:lvl w:ilvl="4" w:tplc="38090019" w:tentative="1">
      <w:start w:val="1"/>
      <w:numFmt w:val="lowerLetter"/>
      <w:lvlText w:val="%5."/>
      <w:lvlJc w:val="left"/>
      <w:pPr>
        <w:ind w:left="7209" w:hanging="360"/>
      </w:pPr>
    </w:lvl>
    <w:lvl w:ilvl="5" w:tplc="3809001B" w:tentative="1">
      <w:start w:val="1"/>
      <w:numFmt w:val="lowerRoman"/>
      <w:lvlText w:val="%6."/>
      <w:lvlJc w:val="right"/>
      <w:pPr>
        <w:ind w:left="7929" w:hanging="180"/>
      </w:pPr>
    </w:lvl>
    <w:lvl w:ilvl="6" w:tplc="3809000F" w:tentative="1">
      <w:start w:val="1"/>
      <w:numFmt w:val="decimal"/>
      <w:lvlText w:val="%7."/>
      <w:lvlJc w:val="left"/>
      <w:pPr>
        <w:ind w:left="8649" w:hanging="360"/>
      </w:pPr>
    </w:lvl>
    <w:lvl w:ilvl="7" w:tplc="38090019" w:tentative="1">
      <w:start w:val="1"/>
      <w:numFmt w:val="lowerLetter"/>
      <w:lvlText w:val="%8."/>
      <w:lvlJc w:val="left"/>
      <w:pPr>
        <w:ind w:left="9369" w:hanging="360"/>
      </w:pPr>
    </w:lvl>
    <w:lvl w:ilvl="8" w:tplc="3809001B" w:tentative="1">
      <w:start w:val="1"/>
      <w:numFmt w:val="lowerRoman"/>
      <w:lvlText w:val="%9."/>
      <w:lvlJc w:val="right"/>
      <w:pPr>
        <w:ind w:left="10089" w:hanging="180"/>
      </w:pPr>
    </w:lvl>
  </w:abstractNum>
  <w:abstractNum w:abstractNumId="323" w15:restartNumberingAfterBreak="0">
    <w:nsid w:val="4F1D5020"/>
    <w:multiLevelType w:val="hybridMultilevel"/>
    <w:tmpl w:val="736A16DA"/>
    <w:lvl w:ilvl="0" w:tplc="38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4" w15:restartNumberingAfterBreak="0">
    <w:nsid w:val="4F5703B9"/>
    <w:multiLevelType w:val="hybridMultilevel"/>
    <w:tmpl w:val="B7DA9CBA"/>
    <w:lvl w:ilvl="0" w:tplc="589A9CB0">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325" w15:restartNumberingAfterBreak="0">
    <w:nsid w:val="5029064A"/>
    <w:multiLevelType w:val="hybridMultilevel"/>
    <w:tmpl w:val="884E88BC"/>
    <w:lvl w:ilvl="0" w:tplc="17E89488">
      <w:start w:val="1"/>
      <w:numFmt w:val="lowerLetter"/>
      <w:lvlText w:val="%1)"/>
      <w:lvlJc w:val="left"/>
      <w:pPr>
        <w:ind w:left="3195" w:hanging="360"/>
      </w:pPr>
      <w:rPr>
        <w:rFonts w:hint="default"/>
      </w:rPr>
    </w:lvl>
    <w:lvl w:ilvl="1" w:tplc="38090019" w:tentative="1">
      <w:start w:val="1"/>
      <w:numFmt w:val="lowerLetter"/>
      <w:lvlText w:val="%2."/>
      <w:lvlJc w:val="left"/>
      <w:pPr>
        <w:ind w:left="3915" w:hanging="360"/>
      </w:pPr>
    </w:lvl>
    <w:lvl w:ilvl="2" w:tplc="3809001B" w:tentative="1">
      <w:start w:val="1"/>
      <w:numFmt w:val="lowerRoman"/>
      <w:lvlText w:val="%3."/>
      <w:lvlJc w:val="right"/>
      <w:pPr>
        <w:ind w:left="4635" w:hanging="180"/>
      </w:pPr>
    </w:lvl>
    <w:lvl w:ilvl="3" w:tplc="3809000F" w:tentative="1">
      <w:start w:val="1"/>
      <w:numFmt w:val="decimal"/>
      <w:lvlText w:val="%4."/>
      <w:lvlJc w:val="left"/>
      <w:pPr>
        <w:ind w:left="5355" w:hanging="360"/>
      </w:pPr>
    </w:lvl>
    <w:lvl w:ilvl="4" w:tplc="38090019" w:tentative="1">
      <w:start w:val="1"/>
      <w:numFmt w:val="lowerLetter"/>
      <w:lvlText w:val="%5."/>
      <w:lvlJc w:val="left"/>
      <w:pPr>
        <w:ind w:left="6075" w:hanging="360"/>
      </w:pPr>
    </w:lvl>
    <w:lvl w:ilvl="5" w:tplc="3809001B" w:tentative="1">
      <w:start w:val="1"/>
      <w:numFmt w:val="lowerRoman"/>
      <w:lvlText w:val="%6."/>
      <w:lvlJc w:val="right"/>
      <w:pPr>
        <w:ind w:left="6795" w:hanging="180"/>
      </w:pPr>
    </w:lvl>
    <w:lvl w:ilvl="6" w:tplc="3809000F" w:tentative="1">
      <w:start w:val="1"/>
      <w:numFmt w:val="decimal"/>
      <w:lvlText w:val="%7."/>
      <w:lvlJc w:val="left"/>
      <w:pPr>
        <w:ind w:left="7515" w:hanging="360"/>
      </w:pPr>
    </w:lvl>
    <w:lvl w:ilvl="7" w:tplc="38090019" w:tentative="1">
      <w:start w:val="1"/>
      <w:numFmt w:val="lowerLetter"/>
      <w:lvlText w:val="%8."/>
      <w:lvlJc w:val="left"/>
      <w:pPr>
        <w:ind w:left="8235" w:hanging="360"/>
      </w:pPr>
    </w:lvl>
    <w:lvl w:ilvl="8" w:tplc="3809001B" w:tentative="1">
      <w:start w:val="1"/>
      <w:numFmt w:val="lowerRoman"/>
      <w:lvlText w:val="%9."/>
      <w:lvlJc w:val="right"/>
      <w:pPr>
        <w:ind w:left="8955" w:hanging="180"/>
      </w:pPr>
    </w:lvl>
  </w:abstractNum>
  <w:abstractNum w:abstractNumId="326" w15:restartNumberingAfterBreak="0">
    <w:nsid w:val="503F369D"/>
    <w:multiLevelType w:val="hybridMultilevel"/>
    <w:tmpl w:val="E1C625FC"/>
    <w:lvl w:ilvl="0" w:tplc="38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7" w15:restartNumberingAfterBreak="0">
    <w:nsid w:val="505877AA"/>
    <w:multiLevelType w:val="hybridMultilevel"/>
    <w:tmpl w:val="4D40E98E"/>
    <w:lvl w:ilvl="0" w:tplc="AF42F742">
      <w:start w:val="1"/>
      <w:numFmt w:val="lowerLetter"/>
      <w:lvlText w:val="%1)"/>
      <w:lvlJc w:val="left"/>
      <w:pPr>
        <w:ind w:left="3195" w:hanging="360"/>
      </w:pPr>
      <w:rPr>
        <w:rFonts w:hint="default"/>
      </w:rPr>
    </w:lvl>
    <w:lvl w:ilvl="1" w:tplc="38090019" w:tentative="1">
      <w:start w:val="1"/>
      <w:numFmt w:val="lowerLetter"/>
      <w:lvlText w:val="%2."/>
      <w:lvlJc w:val="left"/>
      <w:pPr>
        <w:ind w:left="3915" w:hanging="360"/>
      </w:pPr>
    </w:lvl>
    <w:lvl w:ilvl="2" w:tplc="3809001B" w:tentative="1">
      <w:start w:val="1"/>
      <w:numFmt w:val="lowerRoman"/>
      <w:lvlText w:val="%3."/>
      <w:lvlJc w:val="right"/>
      <w:pPr>
        <w:ind w:left="4635" w:hanging="180"/>
      </w:pPr>
    </w:lvl>
    <w:lvl w:ilvl="3" w:tplc="3809000F" w:tentative="1">
      <w:start w:val="1"/>
      <w:numFmt w:val="decimal"/>
      <w:lvlText w:val="%4."/>
      <w:lvlJc w:val="left"/>
      <w:pPr>
        <w:ind w:left="5355" w:hanging="360"/>
      </w:pPr>
    </w:lvl>
    <w:lvl w:ilvl="4" w:tplc="38090019" w:tentative="1">
      <w:start w:val="1"/>
      <w:numFmt w:val="lowerLetter"/>
      <w:lvlText w:val="%5."/>
      <w:lvlJc w:val="left"/>
      <w:pPr>
        <w:ind w:left="6075" w:hanging="360"/>
      </w:pPr>
    </w:lvl>
    <w:lvl w:ilvl="5" w:tplc="3809001B" w:tentative="1">
      <w:start w:val="1"/>
      <w:numFmt w:val="lowerRoman"/>
      <w:lvlText w:val="%6."/>
      <w:lvlJc w:val="right"/>
      <w:pPr>
        <w:ind w:left="6795" w:hanging="180"/>
      </w:pPr>
    </w:lvl>
    <w:lvl w:ilvl="6" w:tplc="3809000F" w:tentative="1">
      <w:start w:val="1"/>
      <w:numFmt w:val="decimal"/>
      <w:lvlText w:val="%7."/>
      <w:lvlJc w:val="left"/>
      <w:pPr>
        <w:ind w:left="7515" w:hanging="360"/>
      </w:pPr>
    </w:lvl>
    <w:lvl w:ilvl="7" w:tplc="38090019" w:tentative="1">
      <w:start w:val="1"/>
      <w:numFmt w:val="lowerLetter"/>
      <w:lvlText w:val="%8."/>
      <w:lvlJc w:val="left"/>
      <w:pPr>
        <w:ind w:left="8235" w:hanging="360"/>
      </w:pPr>
    </w:lvl>
    <w:lvl w:ilvl="8" w:tplc="3809001B" w:tentative="1">
      <w:start w:val="1"/>
      <w:numFmt w:val="lowerRoman"/>
      <w:lvlText w:val="%9."/>
      <w:lvlJc w:val="right"/>
      <w:pPr>
        <w:ind w:left="8955" w:hanging="180"/>
      </w:pPr>
    </w:lvl>
  </w:abstractNum>
  <w:abstractNum w:abstractNumId="328" w15:restartNumberingAfterBreak="0">
    <w:nsid w:val="50587CC8"/>
    <w:multiLevelType w:val="hybridMultilevel"/>
    <w:tmpl w:val="83663E4E"/>
    <w:lvl w:ilvl="0" w:tplc="38090011">
      <w:start w:val="1"/>
      <w:numFmt w:val="decimal"/>
      <w:lvlText w:val="%1)"/>
      <w:lvlJc w:val="left"/>
      <w:pPr>
        <w:ind w:left="2746"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9" w15:restartNumberingAfterBreak="0">
    <w:nsid w:val="505D478B"/>
    <w:multiLevelType w:val="hybridMultilevel"/>
    <w:tmpl w:val="5C0227AC"/>
    <w:lvl w:ilvl="0" w:tplc="6D469F3E">
      <w:start w:val="1"/>
      <w:numFmt w:val="decimal"/>
      <w:lvlText w:val="%1)"/>
      <w:lvlJc w:val="left"/>
      <w:pPr>
        <w:ind w:left="2061" w:hanging="360"/>
      </w:pPr>
      <w:rPr>
        <w:rFonts w:hint="default"/>
        <w:color w:val="000000" w:themeColor="text1"/>
        <w:sz w:val="24"/>
        <w:szCs w:val="32"/>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330" w15:restartNumberingAfterBreak="0">
    <w:nsid w:val="505F0B86"/>
    <w:multiLevelType w:val="hybridMultilevel"/>
    <w:tmpl w:val="A0BAAF64"/>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331" w15:restartNumberingAfterBreak="0">
    <w:nsid w:val="50D70AC0"/>
    <w:multiLevelType w:val="hybridMultilevel"/>
    <w:tmpl w:val="B3E4BD96"/>
    <w:lvl w:ilvl="0" w:tplc="0A407CE4">
      <w:start w:val="1"/>
      <w:numFmt w:val="lowerLetter"/>
      <w:lvlText w:val="%1."/>
      <w:lvlJc w:val="left"/>
      <w:pPr>
        <w:ind w:left="2061" w:hanging="360"/>
      </w:pPr>
      <w:rPr>
        <w:rFonts w:hint="default"/>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332" w15:restartNumberingAfterBreak="0">
    <w:nsid w:val="50ED49AE"/>
    <w:multiLevelType w:val="multilevel"/>
    <w:tmpl w:val="140EB66A"/>
    <w:lvl w:ilvl="0">
      <w:start w:val="1"/>
      <w:numFmt w:val="decimal"/>
      <w:lvlText w:val="%1)"/>
      <w:lvlJc w:val="left"/>
      <w:pPr>
        <w:ind w:left="438" w:hanging="321"/>
      </w:pPr>
      <w:rPr>
        <w:rFonts w:ascii="Bookman Old Style" w:eastAsia="Bookman Old Style" w:hAnsi="Bookman Old Style" w:cs="Bookman Old Style" w:hint="default"/>
        <w:sz w:val="24"/>
        <w:szCs w:val="24"/>
      </w:rPr>
    </w:lvl>
    <w:lvl w:ilvl="1">
      <w:numFmt w:val="bullet"/>
      <w:lvlText w:val="•"/>
      <w:lvlJc w:val="left"/>
      <w:pPr>
        <w:ind w:left="1018" w:hanging="321"/>
      </w:pPr>
      <w:rPr>
        <w:rFonts w:hint="default"/>
      </w:rPr>
    </w:lvl>
    <w:lvl w:ilvl="2">
      <w:numFmt w:val="bullet"/>
      <w:lvlText w:val="•"/>
      <w:lvlJc w:val="left"/>
      <w:pPr>
        <w:ind w:left="1597" w:hanging="321"/>
      </w:pPr>
      <w:rPr>
        <w:rFonts w:hint="default"/>
      </w:rPr>
    </w:lvl>
    <w:lvl w:ilvl="3">
      <w:numFmt w:val="bullet"/>
      <w:lvlText w:val="•"/>
      <w:lvlJc w:val="left"/>
      <w:pPr>
        <w:ind w:left="2175" w:hanging="321"/>
      </w:pPr>
      <w:rPr>
        <w:rFonts w:hint="default"/>
      </w:rPr>
    </w:lvl>
    <w:lvl w:ilvl="4">
      <w:numFmt w:val="bullet"/>
      <w:lvlText w:val="•"/>
      <w:lvlJc w:val="left"/>
      <w:pPr>
        <w:ind w:left="2754" w:hanging="321"/>
      </w:pPr>
      <w:rPr>
        <w:rFonts w:hint="default"/>
      </w:rPr>
    </w:lvl>
    <w:lvl w:ilvl="5">
      <w:numFmt w:val="bullet"/>
      <w:lvlText w:val="•"/>
      <w:lvlJc w:val="left"/>
      <w:pPr>
        <w:ind w:left="3333" w:hanging="321"/>
      </w:pPr>
      <w:rPr>
        <w:rFonts w:hint="default"/>
      </w:rPr>
    </w:lvl>
    <w:lvl w:ilvl="6">
      <w:numFmt w:val="bullet"/>
      <w:lvlText w:val="•"/>
      <w:lvlJc w:val="left"/>
      <w:pPr>
        <w:ind w:left="3911" w:hanging="321"/>
      </w:pPr>
      <w:rPr>
        <w:rFonts w:hint="default"/>
      </w:rPr>
    </w:lvl>
    <w:lvl w:ilvl="7">
      <w:numFmt w:val="bullet"/>
      <w:lvlText w:val="•"/>
      <w:lvlJc w:val="left"/>
      <w:pPr>
        <w:ind w:left="4490" w:hanging="321"/>
      </w:pPr>
      <w:rPr>
        <w:rFonts w:hint="default"/>
      </w:rPr>
    </w:lvl>
    <w:lvl w:ilvl="8">
      <w:numFmt w:val="bullet"/>
      <w:lvlText w:val="•"/>
      <w:lvlJc w:val="left"/>
      <w:pPr>
        <w:ind w:left="5068" w:hanging="321"/>
      </w:pPr>
      <w:rPr>
        <w:rFonts w:hint="default"/>
      </w:rPr>
    </w:lvl>
  </w:abstractNum>
  <w:abstractNum w:abstractNumId="333" w15:restartNumberingAfterBreak="0">
    <w:nsid w:val="51016813"/>
    <w:multiLevelType w:val="hybridMultilevel"/>
    <w:tmpl w:val="2334EAC0"/>
    <w:lvl w:ilvl="0" w:tplc="38090011">
      <w:start w:val="1"/>
      <w:numFmt w:val="decimal"/>
      <w:lvlText w:val="%1)"/>
      <w:lvlJc w:val="left"/>
      <w:pPr>
        <w:ind w:left="858" w:hanging="360"/>
      </w:pPr>
      <w:rPr>
        <w:rFonts w:hint="default"/>
      </w:rPr>
    </w:lvl>
    <w:lvl w:ilvl="1" w:tplc="04090003" w:tentative="1">
      <w:start w:val="1"/>
      <w:numFmt w:val="bullet"/>
      <w:lvlText w:val="o"/>
      <w:lvlJc w:val="left"/>
      <w:pPr>
        <w:ind w:left="1578" w:hanging="360"/>
      </w:pPr>
      <w:rPr>
        <w:rFonts w:ascii="Courier New" w:hAnsi="Courier New" w:cs="Courier New" w:hint="default"/>
      </w:rPr>
    </w:lvl>
    <w:lvl w:ilvl="2" w:tplc="04090005" w:tentative="1">
      <w:start w:val="1"/>
      <w:numFmt w:val="bullet"/>
      <w:lvlText w:val=""/>
      <w:lvlJc w:val="left"/>
      <w:pPr>
        <w:ind w:left="2298" w:hanging="360"/>
      </w:pPr>
      <w:rPr>
        <w:rFonts w:ascii="Wingdings" w:hAnsi="Wingdings" w:hint="default"/>
      </w:rPr>
    </w:lvl>
    <w:lvl w:ilvl="3" w:tplc="04090001" w:tentative="1">
      <w:start w:val="1"/>
      <w:numFmt w:val="bullet"/>
      <w:lvlText w:val=""/>
      <w:lvlJc w:val="left"/>
      <w:pPr>
        <w:ind w:left="3018" w:hanging="360"/>
      </w:pPr>
      <w:rPr>
        <w:rFonts w:ascii="Symbol" w:hAnsi="Symbol" w:hint="default"/>
      </w:rPr>
    </w:lvl>
    <w:lvl w:ilvl="4" w:tplc="04090003" w:tentative="1">
      <w:start w:val="1"/>
      <w:numFmt w:val="bullet"/>
      <w:lvlText w:val="o"/>
      <w:lvlJc w:val="left"/>
      <w:pPr>
        <w:ind w:left="3738" w:hanging="360"/>
      </w:pPr>
      <w:rPr>
        <w:rFonts w:ascii="Courier New" w:hAnsi="Courier New" w:cs="Courier New" w:hint="default"/>
      </w:rPr>
    </w:lvl>
    <w:lvl w:ilvl="5" w:tplc="04090005" w:tentative="1">
      <w:start w:val="1"/>
      <w:numFmt w:val="bullet"/>
      <w:lvlText w:val=""/>
      <w:lvlJc w:val="left"/>
      <w:pPr>
        <w:ind w:left="4458" w:hanging="360"/>
      </w:pPr>
      <w:rPr>
        <w:rFonts w:ascii="Wingdings" w:hAnsi="Wingdings" w:hint="default"/>
      </w:rPr>
    </w:lvl>
    <w:lvl w:ilvl="6" w:tplc="04090001" w:tentative="1">
      <w:start w:val="1"/>
      <w:numFmt w:val="bullet"/>
      <w:lvlText w:val=""/>
      <w:lvlJc w:val="left"/>
      <w:pPr>
        <w:ind w:left="5178" w:hanging="360"/>
      </w:pPr>
      <w:rPr>
        <w:rFonts w:ascii="Symbol" w:hAnsi="Symbol" w:hint="default"/>
      </w:rPr>
    </w:lvl>
    <w:lvl w:ilvl="7" w:tplc="04090003" w:tentative="1">
      <w:start w:val="1"/>
      <w:numFmt w:val="bullet"/>
      <w:lvlText w:val="o"/>
      <w:lvlJc w:val="left"/>
      <w:pPr>
        <w:ind w:left="5898" w:hanging="360"/>
      </w:pPr>
      <w:rPr>
        <w:rFonts w:ascii="Courier New" w:hAnsi="Courier New" w:cs="Courier New" w:hint="default"/>
      </w:rPr>
    </w:lvl>
    <w:lvl w:ilvl="8" w:tplc="04090005" w:tentative="1">
      <w:start w:val="1"/>
      <w:numFmt w:val="bullet"/>
      <w:lvlText w:val=""/>
      <w:lvlJc w:val="left"/>
      <w:pPr>
        <w:ind w:left="6618" w:hanging="360"/>
      </w:pPr>
      <w:rPr>
        <w:rFonts w:ascii="Wingdings" w:hAnsi="Wingdings" w:hint="default"/>
      </w:rPr>
    </w:lvl>
  </w:abstractNum>
  <w:abstractNum w:abstractNumId="334" w15:restartNumberingAfterBreak="0">
    <w:nsid w:val="51241C4E"/>
    <w:multiLevelType w:val="multilevel"/>
    <w:tmpl w:val="4C607D10"/>
    <w:lvl w:ilvl="0">
      <w:start w:val="1"/>
      <w:numFmt w:val="decimal"/>
      <w:lvlText w:val="%1)"/>
      <w:lvlJc w:val="left"/>
      <w:pPr>
        <w:ind w:left="438" w:hanging="321"/>
      </w:pPr>
      <w:rPr>
        <w:rFonts w:ascii="Bookman Old Style" w:eastAsia="Bookman Old Style" w:hAnsi="Bookman Old Style" w:cs="Bookman Old Style"/>
        <w:i w:val="0"/>
        <w:iCs w:val="0"/>
        <w:sz w:val="24"/>
        <w:szCs w:val="24"/>
      </w:rPr>
    </w:lvl>
    <w:lvl w:ilvl="1">
      <w:numFmt w:val="bullet"/>
      <w:lvlText w:val="•"/>
      <w:lvlJc w:val="left"/>
      <w:pPr>
        <w:ind w:left="1018" w:hanging="321"/>
      </w:pPr>
    </w:lvl>
    <w:lvl w:ilvl="2">
      <w:numFmt w:val="bullet"/>
      <w:lvlText w:val="•"/>
      <w:lvlJc w:val="left"/>
      <w:pPr>
        <w:ind w:left="1597" w:hanging="321"/>
      </w:pPr>
    </w:lvl>
    <w:lvl w:ilvl="3">
      <w:numFmt w:val="bullet"/>
      <w:lvlText w:val="•"/>
      <w:lvlJc w:val="left"/>
      <w:pPr>
        <w:ind w:left="2175" w:hanging="321"/>
      </w:pPr>
    </w:lvl>
    <w:lvl w:ilvl="4">
      <w:numFmt w:val="bullet"/>
      <w:lvlText w:val="•"/>
      <w:lvlJc w:val="left"/>
      <w:pPr>
        <w:ind w:left="2754" w:hanging="321"/>
      </w:pPr>
    </w:lvl>
    <w:lvl w:ilvl="5">
      <w:numFmt w:val="bullet"/>
      <w:lvlText w:val="•"/>
      <w:lvlJc w:val="left"/>
      <w:pPr>
        <w:ind w:left="3333" w:hanging="321"/>
      </w:pPr>
    </w:lvl>
    <w:lvl w:ilvl="6">
      <w:numFmt w:val="bullet"/>
      <w:lvlText w:val="•"/>
      <w:lvlJc w:val="left"/>
      <w:pPr>
        <w:ind w:left="3911" w:hanging="321"/>
      </w:pPr>
    </w:lvl>
    <w:lvl w:ilvl="7">
      <w:numFmt w:val="bullet"/>
      <w:lvlText w:val="•"/>
      <w:lvlJc w:val="left"/>
      <w:pPr>
        <w:ind w:left="4490" w:hanging="321"/>
      </w:pPr>
    </w:lvl>
    <w:lvl w:ilvl="8">
      <w:numFmt w:val="bullet"/>
      <w:lvlText w:val="•"/>
      <w:lvlJc w:val="left"/>
      <w:pPr>
        <w:ind w:left="5068" w:hanging="321"/>
      </w:pPr>
    </w:lvl>
  </w:abstractNum>
  <w:abstractNum w:abstractNumId="335" w15:restartNumberingAfterBreak="0">
    <w:nsid w:val="51AF73F7"/>
    <w:multiLevelType w:val="hybridMultilevel"/>
    <w:tmpl w:val="4F666200"/>
    <w:lvl w:ilvl="0" w:tplc="371A284C">
      <w:start w:val="1"/>
      <w:numFmt w:val="decimal"/>
      <w:lvlText w:val="(%1)"/>
      <w:lvlJc w:val="left"/>
      <w:pPr>
        <w:ind w:left="3807" w:hanging="360"/>
      </w:pPr>
      <w:rPr>
        <w:rFonts w:hint="default"/>
      </w:rPr>
    </w:lvl>
    <w:lvl w:ilvl="1" w:tplc="38090019" w:tentative="1">
      <w:start w:val="1"/>
      <w:numFmt w:val="lowerLetter"/>
      <w:lvlText w:val="%2."/>
      <w:lvlJc w:val="left"/>
      <w:pPr>
        <w:ind w:left="4527" w:hanging="360"/>
      </w:pPr>
    </w:lvl>
    <w:lvl w:ilvl="2" w:tplc="3809001B" w:tentative="1">
      <w:start w:val="1"/>
      <w:numFmt w:val="lowerRoman"/>
      <w:lvlText w:val="%3."/>
      <w:lvlJc w:val="right"/>
      <w:pPr>
        <w:ind w:left="5247" w:hanging="180"/>
      </w:pPr>
    </w:lvl>
    <w:lvl w:ilvl="3" w:tplc="3809000F" w:tentative="1">
      <w:start w:val="1"/>
      <w:numFmt w:val="decimal"/>
      <w:lvlText w:val="%4."/>
      <w:lvlJc w:val="left"/>
      <w:pPr>
        <w:ind w:left="5967" w:hanging="360"/>
      </w:pPr>
    </w:lvl>
    <w:lvl w:ilvl="4" w:tplc="38090019" w:tentative="1">
      <w:start w:val="1"/>
      <w:numFmt w:val="lowerLetter"/>
      <w:lvlText w:val="%5."/>
      <w:lvlJc w:val="left"/>
      <w:pPr>
        <w:ind w:left="6687" w:hanging="360"/>
      </w:pPr>
    </w:lvl>
    <w:lvl w:ilvl="5" w:tplc="3809001B" w:tentative="1">
      <w:start w:val="1"/>
      <w:numFmt w:val="lowerRoman"/>
      <w:lvlText w:val="%6."/>
      <w:lvlJc w:val="right"/>
      <w:pPr>
        <w:ind w:left="7407" w:hanging="180"/>
      </w:pPr>
    </w:lvl>
    <w:lvl w:ilvl="6" w:tplc="3809000F" w:tentative="1">
      <w:start w:val="1"/>
      <w:numFmt w:val="decimal"/>
      <w:lvlText w:val="%7."/>
      <w:lvlJc w:val="left"/>
      <w:pPr>
        <w:ind w:left="8127" w:hanging="360"/>
      </w:pPr>
    </w:lvl>
    <w:lvl w:ilvl="7" w:tplc="38090019" w:tentative="1">
      <w:start w:val="1"/>
      <w:numFmt w:val="lowerLetter"/>
      <w:lvlText w:val="%8."/>
      <w:lvlJc w:val="left"/>
      <w:pPr>
        <w:ind w:left="8847" w:hanging="360"/>
      </w:pPr>
    </w:lvl>
    <w:lvl w:ilvl="8" w:tplc="3809001B" w:tentative="1">
      <w:start w:val="1"/>
      <w:numFmt w:val="lowerRoman"/>
      <w:lvlText w:val="%9."/>
      <w:lvlJc w:val="right"/>
      <w:pPr>
        <w:ind w:left="9567" w:hanging="180"/>
      </w:pPr>
    </w:lvl>
  </w:abstractNum>
  <w:abstractNum w:abstractNumId="336" w15:restartNumberingAfterBreak="0">
    <w:nsid w:val="52374689"/>
    <w:multiLevelType w:val="hybridMultilevel"/>
    <w:tmpl w:val="631E1126"/>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337" w15:restartNumberingAfterBreak="0">
    <w:nsid w:val="5244373B"/>
    <w:multiLevelType w:val="multilevel"/>
    <w:tmpl w:val="44829C74"/>
    <w:lvl w:ilvl="0">
      <w:start w:val="1"/>
      <w:numFmt w:val="lowerLetter"/>
      <w:lvlText w:val="%1."/>
      <w:lvlJc w:val="left"/>
      <w:pPr>
        <w:ind w:left="2912" w:hanging="360"/>
      </w:pPr>
    </w:lvl>
    <w:lvl w:ilvl="1">
      <w:start w:val="1"/>
      <w:numFmt w:val="lowerLetter"/>
      <w:lvlText w:val="%2."/>
      <w:lvlJc w:val="left"/>
      <w:pPr>
        <w:ind w:left="3632" w:hanging="360"/>
      </w:pPr>
    </w:lvl>
    <w:lvl w:ilvl="2">
      <w:start w:val="1"/>
      <w:numFmt w:val="lowerRoman"/>
      <w:lvlText w:val="%3."/>
      <w:lvlJc w:val="right"/>
      <w:pPr>
        <w:ind w:left="4352" w:hanging="180"/>
      </w:pPr>
    </w:lvl>
    <w:lvl w:ilvl="3">
      <w:start w:val="1"/>
      <w:numFmt w:val="decimal"/>
      <w:lvlText w:val="%4)"/>
      <w:lvlJc w:val="left"/>
      <w:pPr>
        <w:ind w:left="927" w:hanging="360"/>
      </w:pPr>
    </w:lvl>
    <w:lvl w:ilvl="4">
      <w:start w:val="1"/>
      <w:numFmt w:val="lowerLetter"/>
      <w:lvlText w:val="%5."/>
      <w:lvlJc w:val="left"/>
      <w:pPr>
        <w:ind w:left="5792" w:hanging="360"/>
      </w:pPr>
    </w:lvl>
    <w:lvl w:ilvl="5">
      <w:start w:val="1"/>
      <w:numFmt w:val="lowerRoman"/>
      <w:lvlText w:val="%6."/>
      <w:lvlJc w:val="right"/>
      <w:pPr>
        <w:ind w:left="6512" w:hanging="180"/>
      </w:pPr>
    </w:lvl>
    <w:lvl w:ilvl="6">
      <w:start w:val="1"/>
      <w:numFmt w:val="decimal"/>
      <w:lvlText w:val="%7."/>
      <w:lvlJc w:val="left"/>
      <w:pPr>
        <w:ind w:left="7232" w:hanging="360"/>
      </w:pPr>
    </w:lvl>
    <w:lvl w:ilvl="7">
      <w:start w:val="1"/>
      <w:numFmt w:val="lowerLetter"/>
      <w:lvlText w:val="%8."/>
      <w:lvlJc w:val="left"/>
      <w:pPr>
        <w:ind w:left="7952" w:hanging="360"/>
      </w:pPr>
    </w:lvl>
    <w:lvl w:ilvl="8">
      <w:start w:val="1"/>
      <w:numFmt w:val="lowerRoman"/>
      <w:lvlText w:val="%9."/>
      <w:lvlJc w:val="right"/>
      <w:pPr>
        <w:ind w:left="8672" w:hanging="180"/>
      </w:pPr>
    </w:lvl>
  </w:abstractNum>
  <w:abstractNum w:abstractNumId="338" w15:restartNumberingAfterBreak="0">
    <w:nsid w:val="525F4B4C"/>
    <w:multiLevelType w:val="hybridMultilevel"/>
    <w:tmpl w:val="C87273DC"/>
    <w:lvl w:ilvl="0" w:tplc="F9AA7400">
      <w:start w:val="1"/>
      <w:numFmt w:val="lowerLetter"/>
      <w:lvlText w:val="%1)"/>
      <w:lvlJc w:val="left"/>
      <w:pPr>
        <w:ind w:left="3195" w:hanging="360"/>
      </w:pPr>
      <w:rPr>
        <w:rFonts w:hint="default"/>
      </w:rPr>
    </w:lvl>
    <w:lvl w:ilvl="1" w:tplc="38090019" w:tentative="1">
      <w:start w:val="1"/>
      <w:numFmt w:val="lowerLetter"/>
      <w:lvlText w:val="%2."/>
      <w:lvlJc w:val="left"/>
      <w:pPr>
        <w:ind w:left="3915" w:hanging="360"/>
      </w:pPr>
    </w:lvl>
    <w:lvl w:ilvl="2" w:tplc="3809001B" w:tentative="1">
      <w:start w:val="1"/>
      <w:numFmt w:val="lowerRoman"/>
      <w:lvlText w:val="%3."/>
      <w:lvlJc w:val="right"/>
      <w:pPr>
        <w:ind w:left="4635" w:hanging="180"/>
      </w:pPr>
    </w:lvl>
    <w:lvl w:ilvl="3" w:tplc="3809000F" w:tentative="1">
      <w:start w:val="1"/>
      <w:numFmt w:val="decimal"/>
      <w:lvlText w:val="%4."/>
      <w:lvlJc w:val="left"/>
      <w:pPr>
        <w:ind w:left="5355" w:hanging="360"/>
      </w:pPr>
    </w:lvl>
    <w:lvl w:ilvl="4" w:tplc="38090019" w:tentative="1">
      <w:start w:val="1"/>
      <w:numFmt w:val="lowerLetter"/>
      <w:lvlText w:val="%5."/>
      <w:lvlJc w:val="left"/>
      <w:pPr>
        <w:ind w:left="6075" w:hanging="360"/>
      </w:pPr>
    </w:lvl>
    <w:lvl w:ilvl="5" w:tplc="3809001B" w:tentative="1">
      <w:start w:val="1"/>
      <w:numFmt w:val="lowerRoman"/>
      <w:lvlText w:val="%6."/>
      <w:lvlJc w:val="right"/>
      <w:pPr>
        <w:ind w:left="6795" w:hanging="180"/>
      </w:pPr>
    </w:lvl>
    <w:lvl w:ilvl="6" w:tplc="3809000F" w:tentative="1">
      <w:start w:val="1"/>
      <w:numFmt w:val="decimal"/>
      <w:lvlText w:val="%7."/>
      <w:lvlJc w:val="left"/>
      <w:pPr>
        <w:ind w:left="7515" w:hanging="360"/>
      </w:pPr>
    </w:lvl>
    <w:lvl w:ilvl="7" w:tplc="38090019" w:tentative="1">
      <w:start w:val="1"/>
      <w:numFmt w:val="lowerLetter"/>
      <w:lvlText w:val="%8."/>
      <w:lvlJc w:val="left"/>
      <w:pPr>
        <w:ind w:left="8235" w:hanging="360"/>
      </w:pPr>
    </w:lvl>
    <w:lvl w:ilvl="8" w:tplc="3809001B" w:tentative="1">
      <w:start w:val="1"/>
      <w:numFmt w:val="lowerRoman"/>
      <w:lvlText w:val="%9."/>
      <w:lvlJc w:val="right"/>
      <w:pPr>
        <w:ind w:left="8955" w:hanging="180"/>
      </w:pPr>
    </w:lvl>
  </w:abstractNum>
  <w:abstractNum w:abstractNumId="339" w15:restartNumberingAfterBreak="0">
    <w:nsid w:val="5287423D"/>
    <w:multiLevelType w:val="hybridMultilevel"/>
    <w:tmpl w:val="A6C20FC0"/>
    <w:lvl w:ilvl="0" w:tplc="B566BE86">
      <w:start w:val="1"/>
      <w:numFmt w:val="decimal"/>
      <w:lvlText w:val="%1)"/>
      <w:lvlJc w:val="left"/>
      <w:pPr>
        <w:ind w:left="2628" w:hanging="360"/>
      </w:pPr>
      <w:rPr>
        <w:rFonts w:hint="default"/>
      </w:rPr>
    </w:lvl>
    <w:lvl w:ilvl="1" w:tplc="38090019" w:tentative="1">
      <w:start w:val="1"/>
      <w:numFmt w:val="lowerLetter"/>
      <w:lvlText w:val="%2."/>
      <w:lvlJc w:val="left"/>
      <w:pPr>
        <w:ind w:left="3348" w:hanging="360"/>
      </w:pPr>
    </w:lvl>
    <w:lvl w:ilvl="2" w:tplc="3809001B" w:tentative="1">
      <w:start w:val="1"/>
      <w:numFmt w:val="lowerRoman"/>
      <w:lvlText w:val="%3."/>
      <w:lvlJc w:val="right"/>
      <w:pPr>
        <w:ind w:left="4068" w:hanging="180"/>
      </w:pPr>
    </w:lvl>
    <w:lvl w:ilvl="3" w:tplc="3809000F" w:tentative="1">
      <w:start w:val="1"/>
      <w:numFmt w:val="decimal"/>
      <w:lvlText w:val="%4."/>
      <w:lvlJc w:val="left"/>
      <w:pPr>
        <w:ind w:left="4788" w:hanging="360"/>
      </w:pPr>
    </w:lvl>
    <w:lvl w:ilvl="4" w:tplc="38090019" w:tentative="1">
      <w:start w:val="1"/>
      <w:numFmt w:val="lowerLetter"/>
      <w:lvlText w:val="%5."/>
      <w:lvlJc w:val="left"/>
      <w:pPr>
        <w:ind w:left="5508" w:hanging="360"/>
      </w:pPr>
    </w:lvl>
    <w:lvl w:ilvl="5" w:tplc="3809001B" w:tentative="1">
      <w:start w:val="1"/>
      <w:numFmt w:val="lowerRoman"/>
      <w:lvlText w:val="%6."/>
      <w:lvlJc w:val="right"/>
      <w:pPr>
        <w:ind w:left="6228" w:hanging="180"/>
      </w:pPr>
    </w:lvl>
    <w:lvl w:ilvl="6" w:tplc="3809000F" w:tentative="1">
      <w:start w:val="1"/>
      <w:numFmt w:val="decimal"/>
      <w:lvlText w:val="%7."/>
      <w:lvlJc w:val="left"/>
      <w:pPr>
        <w:ind w:left="6948" w:hanging="360"/>
      </w:pPr>
    </w:lvl>
    <w:lvl w:ilvl="7" w:tplc="38090019" w:tentative="1">
      <w:start w:val="1"/>
      <w:numFmt w:val="lowerLetter"/>
      <w:lvlText w:val="%8."/>
      <w:lvlJc w:val="left"/>
      <w:pPr>
        <w:ind w:left="7668" w:hanging="360"/>
      </w:pPr>
    </w:lvl>
    <w:lvl w:ilvl="8" w:tplc="3809001B" w:tentative="1">
      <w:start w:val="1"/>
      <w:numFmt w:val="lowerRoman"/>
      <w:lvlText w:val="%9."/>
      <w:lvlJc w:val="right"/>
      <w:pPr>
        <w:ind w:left="8388" w:hanging="180"/>
      </w:pPr>
    </w:lvl>
  </w:abstractNum>
  <w:abstractNum w:abstractNumId="340" w15:restartNumberingAfterBreak="0">
    <w:nsid w:val="52C05B36"/>
    <w:multiLevelType w:val="hybridMultilevel"/>
    <w:tmpl w:val="699630AA"/>
    <w:lvl w:ilvl="0" w:tplc="7E7A9602">
      <w:start w:val="1"/>
      <w:numFmt w:val="decimal"/>
      <w:lvlText w:val="%1)"/>
      <w:lvlJc w:val="left"/>
      <w:pPr>
        <w:ind w:left="2628" w:hanging="360"/>
      </w:pPr>
      <w:rPr>
        <w:rFonts w:hint="default"/>
      </w:rPr>
    </w:lvl>
    <w:lvl w:ilvl="1" w:tplc="38090019" w:tentative="1">
      <w:start w:val="1"/>
      <w:numFmt w:val="lowerLetter"/>
      <w:lvlText w:val="%2."/>
      <w:lvlJc w:val="left"/>
      <w:pPr>
        <w:ind w:left="3348" w:hanging="360"/>
      </w:pPr>
    </w:lvl>
    <w:lvl w:ilvl="2" w:tplc="3809001B" w:tentative="1">
      <w:start w:val="1"/>
      <w:numFmt w:val="lowerRoman"/>
      <w:lvlText w:val="%3."/>
      <w:lvlJc w:val="right"/>
      <w:pPr>
        <w:ind w:left="4068" w:hanging="180"/>
      </w:pPr>
    </w:lvl>
    <w:lvl w:ilvl="3" w:tplc="3809000F" w:tentative="1">
      <w:start w:val="1"/>
      <w:numFmt w:val="decimal"/>
      <w:lvlText w:val="%4."/>
      <w:lvlJc w:val="left"/>
      <w:pPr>
        <w:ind w:left="4788" w:hanging="360"/>
      </w:pPr>
    </w:lvl>
    <w:lvl w:ilvl="4" w:tplc="38090019" w:tentative="1">
      <w:start w:val="1"/>
      <w:numFmt w:val="lowerLetter"/>
      <w:lvlText w:val="%5."/>
      <w:lvlJc w:val="left"/>
      <w:pPr>
        <w:ind w:left="5508" w:hanging="360"/>
      </w:pPr>
    </w:lvl>
    <w:lvl w:ilvl="5" w:tplc="3809001B" w:tentative="1">
      <w:start w:val="1"/>
      <w:numFmt w:val="lowerRoman"/>
      <w:lvlText w:val="%6."/>
      <w:lvlJc w:val="right"/>
      <w:pPr>
        <w:ind w:left="6228" w:hanging="180"/>
      </w:pPr>
    </w:lvl>
    <w:lvl w:ilvl="6" w:tplc="3809000F" w:tentative="1">
      <w:start w:val="1"/>
      <w:numFmt w:val="decimal"/>
      <w:lvlText w:val="%7."/>
      <w:lvlJc w:val="left"/>
      <w:pPr>
        <w:ind w:left="6948" w:hanging="360"/>
      </w:pPr>
    </w:lvl>
    <w:lvl w:ilvl="7" w:tplc="38090019" w:tentative="1">
      <w:start w:val="1"/>
      <w:numFmt w:val="lowerLetter"/>
      <w:lvlText w:val="%8."/>
      <w:lvlJc w:val="left"/>
      <w:pPr>
        <w:ind w:left="7668" w:hanging="360"/>
      </w:pPr>
    </w:lvl>
    <w:lvl w:ilvl="8" w:tplc="3809001B" w:tentative="1">
      <w:start w:val="1"/>
      <w:numFmt w:val="lowerRoman"/>
      <w:lvlText w:val="%9."/>
      <w:lvlJc w:val="right"/>
      <w:pPr>
        <w:ind w:left="8388" w:hanging="180"/>
      </w:pPr>
    </w:lvl>
  </w:abstractNum>
  <w:abstractNum w:abstractNumId="341" w15:restartNumberingAfterBreak="0">
    <w:nsid w:val="52DF6A5E"/>
    <w:multiLevelType w:val="hybridMultilevel"/>
    <w:tmpl w:val="78A28158"/>
    <w:lvl w:ilvl="0" w:tplc="60EA648A">
      <w:start w:val="1"/>
      <w:numFmt w:val="lowerLetter"/>
      <w:lvlText w:val="%1)"/>
      <w:lvlJc w:val="left"/>
      <w:pPr>
        <w:ind w:left="3195" w:hanging="360"/>
      </w:pPr>
      <w:rPr>
        <w:rFonts w:hint="default"/>
      </w:rPr>
    </w:lvl>
    <w:lvl w:ilvl="1" w:tplc="38090019" w:tentative="1">
      <w:start w:val="1"/>
      <w:numFmt w:val="lowerLetter"/>
      <w:lvlText w:val="%2."/>
      <w:lvlJc w:val="left"/>
      <w:pPr>
        <w:ind w:left="3915" w:hanging="360"/>
      </w:pPr>
    </w:lvl>
    <w:lvl w:ilvl="2" w:tplc="3809001B" w:tentative="1">
      <w:start w:val="1"/>
      <w:numFmt w:val="lowerRoman"/>
      <w:lvlText w:val="%3."/>
      <w:lvlJc w:val="right"/>
      <w:pPr>
        <w:ind w:left="4635" w:hanging="180"/>
      </w:pPr>
    </w:lvl>
    <w:lvl w:ilvl="3" w:tplc="3809000F" w:tentative="1">
      <w:start w:val="1"/>
      <w:numFmt w:val="decimal"/>
      <w:lvlText w:val="%4."/>
      <w:lvlJc w:val="left"/>
      <w:pPr>
        <w:ind w:left="5355" w:hanging="360"/>
      </w:pPr>
    </w:lvl>
    <w:lvl w:ilvl="4" w:tplc="38090019" w:tentative="1">
      <w:start w:val="1"/>
      <w:numFmt w:val="lowerLetter"/>
      <w:lvlText w:val="%5."/>
      <w:lvlJc w:val="left"/>
      <w:pPr>
        <w:ind w:left="6075" w:hanging="360"/>
      </w:pPr>
    </w:lvl>
    <w:lvl w:ilvl="5" w:tplc="3809001B" w:tentative="1">
      <w:start w:val="1"/>
      <w:numFmt w:val="lowerRoman"/>
      <w:lvlText w:val="%6."/>
      <w:lvlJc w:val="right"/>
      <w:pPr>
        <w:ind w:left="6795" w:hanging="180"/>
      </w:pPr>
    </w:lvl>
    <w:lvl w:ilvl="6" w:tplc="3809000F" w:tentative="1">
      <w:start w:val="1"/>
      <w:numFmt w:val="decimal"/>
      <w:lvlText w:val="%7."/>
      <w:lvlJc w:val="left"/>
      <w:pPr>
        <w:ind w:left="7515" w:hanging="360"/>
      </w:pPr>
    </w:lvl>
    <w:lvl w:ilvl="7" w:tplc="38090019" w:tentative="1">
      <w:start w:val="1"/>
      <w:numFmt w:val="lowerLetter"/>
      <w:lvlText w:val="%8."/>
      <w:lvlJc w:val="left"/>
      <w:pPr>
        <w:ind w:left="8235" w:hanging="360"/>
      </w:pPr>
    </w:lvl>
    <w:lvl w:ilvl="8" w:tplc="3809001B" w:tentative="1">
      <w:start w:val="1"/>
      <w:numFmt w:val="lowerRoman"/>
      <w:lvlText w:val="%9."/>
      <w:lvlJc w:val="right"/>
      <w:pPr>
        <w:ind w:left="8955" w:hanging="180"/>
      </w:pPr>
    </w:lvl>
  </w:abstractNum>
  <w:abstractNum w:abstractNumId="342" w15:restartNumberingAfterBreak="0">
    <w:nsid w:val="52EF677F"/>
    <w:multiLevelType w:val="hybridMultilevel"/>
    <w:tmpl w:val="7070D750"/>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343" w15:restartNumberingAfterBreak="0">
    <w:nsid w:val="53261022"/>
    <w:multiLevelType w:val="hybridMultilevel"/>
    <w:tmpl w:val="E40C364E"/>
    <w:lvl w:ilvl="0" w:tplc="3EE43C84">
      <w:start w:val="1"/>
      <w:numFmt w:val="lowerLetter"/>
      <w:lvlText w:val="%1."/>
      <w:lvlJc w:val="left"/>
      <w:pPr>
        <w:ind w:left="2061" w:hanging="360"/>
      </w:pPr>
      <w:rPr>
        <w:rFonts w:hint="default"/>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344" w15:restartNumberingAfterBreak="0">
    <w:nsid w:val="53871767"/>
    <w:multiLevelType w:val="hybridMultilevel"/>
    <w:tmpl w:val="F9829AE2"/>
    <w:lvl w:ilvl="0" w:tplc="B69AB8A4">
      <w:start w:val="1"/>
      <w:numFmt w:val="decimal"/>
      <w:lvlText w:val="%1)"/>
      <w:lvlJc w:val="left"/>
      <w:pPr>
        <w:ind w:left="2628" w:hanging="360"/>
      </w:pPr>
      <w:rPr>
        <w:rFonts w:hint="default"/>
      </w:rPr>
    </w:lvl>
    <w:lvl w:ilvl="1" w:tplc="38090019" w:tentative="1">
      <w:start w:val="1"/>
      <w:numFmt w:val="lowerLetter"/>
      <w:lvlText w:val="%2."/>
      <w:lvlJc w:val="left"/>
      <w:pPr>
        <w:ind w:left="3348" w:hanging="360"/>
      </w:pPr>
    </w:lvl>
    <w:lvl w:ilvl="2" w:tplc="3809001B" w:tentative="1">
      <w:start w:val="1"/>
      <w:numFmt w:val="lowerRoman"/>
      <w:lvlText w:val="%3."/>
      <w:lvlJc w:val="right"/>
      <w:pPr>
        <w:ind w:left="4068" w:hanging="180"/>
      </w:pPr>
    </w:lvl>
    <w:lvl w:ilvl="3" w:tplc="3809000F" w:tentative="1">
      <w:start w:val="1"/>
      <w:numFmt w:val="decimal"/>
      <w:lvlText w:val="%4."/>
      <w:lvlJc w:val="left"/>
      <w:pPr>
        <w:ind w:left="4788" w:hanging="360"/>
      </w:pPr>
    </w:lvl>
    <w:lvl w:ilvl="4" w:tplc="38090019" w:tentative="1">
      <w:start w:val="1"/>
      <w:numFmt w:val="lowerLetter"/>
      <w:lvlText w:val="%5."/>
      <w:lvlJc w:val="left"/>
      <w:pPr>
        <w:ind w:left="5508" w:hanging="360"/>
      </w:pPr>
    </w:lvl>
    <w:lvl w:ilvl="5" w:tplc="3809001B" w:tentative="1">
      <w:start w:val="1"/>
      <w:numFmt w:val="lowerRoman"/>
      <w:lvlText w:val="%6."/>
      <w:lvlJc w:val="right"/>
      <w:pPr>
        <w:ind w:left="6228" w:hanging="180"/>
      </w:pPr>
    </w:lvl>
    <w:lvl w:ilvl="6" w:tplc="3809000F" w:tentative="1">
      <w:start w:val="1"/>
      <w:numFmt w:val="decimal"/>
      <w:lvlText w:val="%7."/>
      <w:lvlJc w:val="left"/>
      <w:pPr>
        <w:ind w:left="6948" w:hanging="360"/>
      </w:pPr>
    </w:lvl>
    <w:lvl w:ilvl="7" w:tplc="38090019" w:tentative="1">
      <w:start w:val="1"/>
      <w:numFmt w:val="lowerLetter"/>
      <w:lvlText w:val="%8."/>
      <w:lvlJc w:val="left"/>
      <w:pPr>
        <w:ind w:left="7668" w:hanging="360"/>
      </w:pPr>
    </w:lvl>
    <w:lvl w:ilvl="8" w:tplc="3809001B" w:tentative="1">
      <w:start w:val="1"/>
      <w:numFmt w:val="lowerRoman"/>
      <w:lvlText w:val="%9."/>
      <w:lvlJc w:val="right"/>
      <w:pPr>
        <w:ind w:left="8388" w:hanging="180"/>
      </w:pPr>
    </w:lvl>
  </w:abstractNum>
  <w:abstractNum w:abstractNumId="345" w15:restartNumberingAfterBreak="0">
    <w:nsid w:val="538D0BD5"/>
    <w:multiLevelType w:val="hybridMultilevel"/>
    <w:tmpl w:val="BEBA8B3C"/>
    <w:lvl w:ilvl="0" w:tplc="6A2EFFEC">
      <w:start w:val="1"/>
      <w:numFmt w:val="decimal"/>
      <w:lvlText w:val="%1)"/>
      <w:lvlJc w:val="left"/>
      <w:pPr>
        <w:ind w:left="2628" w:hanging="360"/>
      </w:pPr>
      <w:rPr>
        <w:rFonts w:hint="default"/>
      </w:rPr>
    </w:lvl>
    <w:lvl w:ilvl="1" w:tplc="38090019" w:tentative="1">
      <w:start w:val="1"/>
      <w:numFmt w:val="lowerLetter"/>
      <w:lvlText w:val="%2."/>
      <w:lvlJc w:val="left"/>
      <w:pPr>
        <w:ind w:left="3348" w:hanging="360"/>
      </w:pPr>
    </w:lvl>
    <w:lvl w:ilvl="2" w:tplc="3809001B" w:tentative="1">
      <w:start w:val="1"/>
      <w:numFmt w:val="lowerRoman"/>
      <w:lvlText w:val="%3."/>
      <w:lvlJc w:val="right"/>
      <w:pPr>
        <w:ind w:left="4068" w:hanging="180"/>
      </w:pPr>
    </w:lvl>
    <w:lvl w:ilvl="3" w:tplc="3809000F" w:tentative="1">
      <w:start w:val="1"/>
      <w:numFmt w:val="decimal"/>
      <w:lvlText w:val="%4."/>
      <w:lvlJc w:val="left"/>
      <w:pPr>
        <w:ind w:left="4788" w:hanging="360"/>
      </w:pPr>
    </w:lvl>
    <w:lvl w:ilvl="4" w:tplc="38090019" w:tentative="1">
      <w:start w:val="1"/>
      <w:numFmt w:val="lowerLetter"/>
      <w:lvlText w:val="%5."/>
      <w:lvlJc w:val="left"/>
      <w:pPr>
        <w:ind w:left="5508" w:hanging="360"/>
      </w:pPr>
    </w:lvl>
    <w:lvl w:ilvl="5" w:tplc="3809001B" w:tentative="1">
      <w:start w:val="1"/>
      <w:numFmt w:val="lowerRoman"/>
      <w:lvlText w:val="%6."/>
      <w:lvlJc w:val="right"/>
      <w:pPr>
        <w:ind w:left="6228" w:hanging="180"/>
      </w:pPr>
    </w:lvl>
    <w:lvl w:ilvl="6" w:tplc="3809000F" w:tentative="1">
      <w:start w:val="1"/>
      <w:numFmt w:val="decimal"/>
      <w:lvlText w:val="%7."/>
      <w:lvlJc w:val="left"/>
      <w:pPr>
        <w:ind w:left="6948" w:hanging="360"/>
      </w:pPr>
    </w:lvl>
    <w:lvl w:ilvl="7" w:tplc="38090019" w:tentative="1">
      <w:start w:val="1"/>
      <w:numFmt w:val="lowerLetter"/>
      <w:lvlText w:val="%8."/>
      <w:lvlJc w:val="left"/>
      <w:pPr>
        <w:ind w:left="7668" w:hanging="360"/>
      </w:pPr>
    </w:lvl>
    <w:lvl w:ilvl="8" w:tplc="3809001B" w:tentative="1">
      <w:start w:val="1"/>
      <w:numFmt w:val="lowerRoman"/>
      <w:lvlText w:val="%9."/>
      <w:lvlJc w:val="right"/>
      <w:pPr>
        <w:ind w:left="8388" w:hanging="180"/>
      </w:pPr>
    </w:lvl>
  </w:abstractNum>
  <w:abstractNum w:abstractNumId="346" w15:restartNumberingAfterBreak="0">
    <w:nsid w:val="53DF6BF4"/>
    <w:multiLevelType w:val="hybridMultilevel"/>
    <w:tmpl w:val="BD88B8A0"/>
    <w:lvl w:ilvl="0" w:tplc="B1A6DED8">
      <w:start w:val="1"/>
      <w:numFmt w:val="lowerLetter"/>
      <w:lvlText w:val="%1."/>
      <w:lvlJc w:val="left"/>
      <w:pPr>
        <w:ind w:left="2061" w:hanging="360"/>
      </w:pPr>
      <w:rPr>
        <w:rFonts w:hint="default"/>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347" w15:restartNumberingAfterBreak="0">
    <w:nsid w:val="53E70C7A"/>
    <w:multiLevelType w:val="hybridMultilevel"/>
    <w:tmpl w:val="720003EE"/>
    <w:lvl w:ilvl="0" w:tplc="FF32CE02">
      <w:start w:val="1"/>
      <w:numFmt w:val="decimal"/>
      <w:lvlText w:val="%1)"/>
      <w:lvlJc w:val="left"/>
      <w:pPr>
        <w:ind w:left="2061" w:hanging="360"/>
      </w:pPr>
      <w:rPr>
        <w:rFonts w:hint="default"/>
        <w:color w:val="000000" w:themeColor="text1"/>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348" w15:restartNumberingAfterBreak="0">
    <w:nsid w:val="53F23C13"/>
    <w:multiLevelType w:val="hybridMultilevel"/>
    <w:tmpl w:val="0C3CD144"/>
    <w:lvl w:ilvl="0" w:tplc="081C56EC">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49" w15:restartNumberingAfterBreak="0">
    <w:nsid w:val="541E3A55"/>
    <w:multiLevelType w:val="multilevel"/>
    <w:tmpl w:val="604EF956"/>
    <w:lvl w:ilvl="0">
      <w:start w:val="1"/>
      <w:numFmt w:val="decimal"/>
      <w:lvlText w:val="%1)"/>
      <w:lvlJc w:val="left"/>
      <w:pPr>
        <w:ind w:left="438" w:hanging="321"/>
      </w:pPr>
      <w:rPr>
        <w:rFonts w:ascii="Bookman Old Style" w:eastAsia="Bookman Old Style" w:hAnsi="Bookman Old Style" w:cs="Bookman Old Style" w:hint="default"/>
        <w:b w:val="0"/>
        <w:bCs w:val="0"/>
        <w:sz w:val="24"/>
        <w:szCs w:val="24"/>
      </w:rPr>
    </w:lvl>
    <w:lvl w:ilvl="1">
      <w:numFmt w:val="bullet"/>
      <w:lvlText w:val="•"/>
      <w:lvlJc w:val="left"/>
      <w:pPr>
        <w:ind w:left="1018" w:hanging="321"/>
      </w:pPr>
      <w:rPr>
        <w:rFonts w:hint="default"/>
      </w:rPr>
    </w:lvl>
    <w:lvl w:ilvl="2">
      <w:numFmt w:val="bullet"/>
      <w:lvlText w:val="•"/>
      <w:lvlJc w:val="left"/>
      <w:pPr>
        <w:ind w:left="1597" w:hanging="321"/>
      </w:pPr>
      <w:rPr>
        <w:rFonts w:hint="default"/>
      </w:rPr>
    </w:lvl>
    <w:lvl w:ilvl="3">
      <w:numFmt w:val="bullet"/>
      <w:lvlText w:val="•"/>
      <w:lvlJc w:val="left"/>
      <w:pPr>
        <w:ind w:left="2175" w:hanging="321"/>
      </w:pPr>
      <w:rPr>
        <w:rFonts w:hint="default"/>
      </w:rPr>
    </w:lvl>
    <w:lvl w:ilvl="4">
      <w:numFmt w:val="bullet"/>
      <w:lvlText w:val="•"/>
      <w:lvlJc w:val="left"/>
      <w:pPr>
        <w:ind w:left="2754" w:hanging="321"/>
      </w:pPr>
      <w:rPr>
        <w:rFonts w:hint="default"/>
      </w:rPr>
    </w:lvl>
    <w:lvl w:ilvl="5">
      <w:numFmt w:val="bullet"/>
      <w:lvlText w:val="•"/>
      <w:lvlJc w:val="left"/>
      <w:pPr>
        <w:ind w:left="3333" w:hanging="321"/>
      </w:pPr>
      <w:rPr>
        <w:rFonts w:hint="default"/>
      </w:rPr>
    </w:lvl>
    <w:lvl w:ilvl="6">
      <w:numFmt w:val="bullet"/>
      <w:lvlText w:val="•"/>
      <w:lvlJc w:val="left"/>
      <w:pPr>
        <w:ind w:left="3911" w:hanging="321"/>
      </w:pPr>
      <w:rPr>
        <w:rFonts w:hint="default"/>
      </w:rPr>
    </w:lvl>
    <w:lvl w:ilvl="7">
      <w:numFmt w:val="bullet"/>
      <w:lvlText w:val="•"/>
      <w:lvlJc w:val="left"/>
      <w:pPr>
        <w:ind w:left="4490" w:hanging="321"/>
      </w:pPr>
      <w:rPr>
        <w:rFonts w:hint="default"/>
      </w:rPr>
    </w:lvl>
    <w:lvl w:ilvl="8">
      <w:numFmt w:val="bullet"/>
      <w:lvlText w:val="•"/>
      <w:lvlJc w:val="left"/>
      <w:pPr>
        <w:ind w:left="5068" w:hanging="321"/>
      </w:pPr>
      <w:rPr>
        <w:rFonts w:hint="default"/>
      </w:rPr>
    </w:lvl>
  </w:abstractNum>
  <w:abstractNum w:abstractNumId="350" w15:restartNumberingAfterBreak="0">
    <w:nsid w:val="5449456F"/>
    <w:multiLevelType w:val="hybridMultilevel"/>
    <w:tmpl w:val="C6EC018C"/>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351" w15:restartNumberingAfterBreak="0">
    <w:nsid w:val="54602D35"/>
    <w:multiLevelType w:val="hybridMultilevel"/>
    <w:tmpl w:val="4CBC4D08"/>
    <w:lvl w:ilvl="0" w:tplc="B0DC6BAE">
      <w:start w:val="1"/>
      <w:numFmt w:val="lowerLetter"/>
      <w:lvlText w:val="%1)"/>
      <w:lvlJc w:val="left"/>
      <w:pPr>
        <w:ind w:left="3195" w:hanging="360"/>
      </w:pPr>
      <w:rPr>
        <w:rFonts w:hint="default"/>
      </w:rPr>
    </w:lvl>
    <w:lvl w:ilvl="1" w:tplc="38090019" w:tentative="1">
      <w:start w:val="1"/>
      <w:numFmt w:val="lowerLetter"/>
      <w:lvlText w:val="%2."/>
      <w:lvlJc w:val="left"/>
      <w:pPr>
        <w:ind w:left="3915" w:hanging="360"/>
      </w:pPr>
    </w:lvl>
    <w:lvl w:ilvl="2" w:tplc="3809001B" w:tentative="1">
      <w:start w:val="1"/>
      <w:numFmt w:val="lowerRoman"/>
      <w:lvlText w:val="%3."/>
      <w:lvlJc w:val="right"/>
      <w:pPr>
        <w:ind w:left="4635" w:hanging="180"/>
      </w:pPr>
    </w:lvl>
    <w:lvl w:ilvl="3" w:tplc="3809000F" w:tentative="1">
      <w:start w:val="1"/>
      <w:numFmt w:val="decimal"/>
      <w:lvlText w:val="%4."/>
      <w:lvlJc w:val="left"/>
      <w:pPr>
        <w:ind w:left="5355" w:hanging="360"/>
      </w:pPr>
    </w:lvl>
    <w:lvl w:ilvl="4" w:tplc="38090019" w:tentative="1">
      <w:start w:val="1"/>
      <w:numFmt w:val="lowerLetter"/>
      <w:lvlText w:val="%5."/>
      <w:lvlJc w:val="left"/>
      <w:pPr>
        <w:ind w:left="6075" w:hanging="360"/>
      </w:pPr>
    </w:lvl>
    <w:lvl w:ilvl="5" w:tplc="3809001B" w:tentative="1">
      <w:start w:val="1"/>
      <w:numFmt w:val="lowerRoman"/>
      <w:lvlText w:val="%6."/>
      <w:lvlJc w:val="right"/>
      <w:pPr>
        <w:ind w:left="6795" w:hanging="180"/>
      </w:pPr>
    </w:lvl>
    <w:lvl w:ilvl="6" w:tplc="3809000F" w:tentative="1">
      <w:start w:val="1"/>
      <w:numFmt w:val="decimal"/>
      <w:lvlText w:val="%7."/>
      <w:lvlJc w:val="left"/>
      <w:pPr>
        <w:ind w:left="7515" w:hanging="360"/>
      </w:pPr>
    </w:lvl>
    <w:lvl w:ilvl="7" w:tplc="38090019" w:tentative="1">
      <w:start w:val="1"/>
      <w:numFmt w:val="lowerLetter"/>
      <w:lvlText w:val="%8."/>
      <w:lvlJc w:val="left"/>
      <w:pPr>
        <w:ind w:left="8235" w:hanging="360"/>
      </w:pPr>
    </w:lvl>
    <w:lvl w:ilvl="8" w:tplc="3809001B" w:tentative="1">
      <w:start w:val="1"/>
      <w:numFmt w:val="lowerRoman"/>
      <w:lvlText w:val="%9."/>
      <w:lvlJc w:val="right"/>
      <w:pPr>
        <w:ind w:left="8955" w:hanging="180"/>
      </w:pPr>
    </w:lvl>
  </w:abstractNum>
  <w:abstractNum w:abstractNumId="352" w15:restartNumberingAfterBreak="0">
    <w:nsid w:val="55026A31"/>
    <w:multiLevelType w:val="hybridMultilevel"/>
    <w:tmpl w:val="8370BD8A"/>
    <w:lvl w:ilvl="0" w:tplc="73D40C2E">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353" w15:restartNumberingAfterBreak="0">
    <w:nsid w:val="551B3AFE"/>
    <w:multiLevelType w:val="hybridMultilevel"/>
    <w:tmpl w:val="9BE42646"/>
    <w:lvl w:ilvl="0" w:tplc="C340FCB0">
      <w:start w:val="1"/>
      <w:numFmt w:val="decimal"/>
      <w:lvlText w:val="%1)"/>
      <w:lvlJc w:val="left"/>
      <w:pPr>
        <w:ind w:left="2628" w:hanging="360"/>
      </w:pPr>
      <w:rPr>
        <w:rFonts w:hint="default"/>
      </w:rPr>
    </w:lvl>
    <w:lvl w:ilvl="1" w:tplc="38090019" w:tentative="1">
      <w:start w:val="1"/>
      <w:numFmt w:val="lowerLetter"/>
      <w:lvlText w:val="%2."/>
      <w:lvlJc w:val="left"/>
      <w:pPr>
        <w:ind w:left="3348" w:hanging="360"/>
      </w:pPr>
    </w:lvl>
    <w:lvl w:ilvl="2" w:tplc="3809001B" w:tentative="1">
      <w:start w:val="1"/>
      <w:numFmt w:val="lowerRoman"/>
      <w:lvlText w:val="%3."/>
      <w:lvlJc w:val="right"/>
      <w:pPr>
        <w:ind w:left="4068" w:hanging="180"/>
      </w:pPr>
    </w:lvl>
    <w:lvl w:ilvl="3" w:tplc="3809000F" w:tentative="1">
      <w:start w:val="1"/>
      <w:numFmt w:val="decimal"/>
      <w:lvlText w:val="%4."/>
      <w:lvlJc w:val="left"/>
      <w:pPr>
        <w:ind w:left="4788" w:hanging="360"/>
      </w:pPr>
    </w:lvl>
    <w:lvl w:ilvl="4" w:tplc="38090019" w:tentative="1">
      <w:start w:val="1"/>
      <w:numFmt w:val="lowerLetter"/>
      <w:lvlText w:val="%5."/>
      <w:lvlJc w:val="left"/>
      <w:pPr>
        <w:ind w:left="5508" w:hanging="360"/>
      </w:pPr>
    </w:lvl>
    <w:lvl w:ilvl="5" w:tplc="3809001B" w:tentative="1">
      <w:start w:val="1"/>
      <w:numFmt w:val="lowerRoman"/>
      <w:lvlText w:val="%6."/>
      <w:lvlJc w:val="right"/>
      <w:pPr>
        <w:ind w:left="6228" w:hanging="180"/>
      </w:pPr>
    </w:lvl>
    <w:lvl w:ilvl="6" w:tplc="3809000F" w:tentative="1">
      <w:start w:val="1"/>
      <w:numFmt w:val="decimal"/>
      <w:lvlText w:val="%7."/>
      <w:lvlJc w:val="left"/>
      <w:pPr>
        <w:ind w:left="6948" w:hanging="360"/>
      </w:pPr>
    </w:lvl>
    <w:lvl w:ilvl="7" w:tplc="38090019" w:tentative="1">
      <w:start w:val="1"/>
      <w:numFmt w:val="lowerLetter"/>
      <w:lvlText w:val="%8."/>
      <w:lvlJc w:val="left"/>
      <w:pPr>
        <w:ind w:left="7668" w:hanging="360"/>
      </w:pPr>
    </w:lvl>
    <w:lvl w:ilvl="8" w:tplc="3809001B" w:tentative="1">
      <w:start w:val="1"/>
      <w:numFmt w:val="lowerRoman"/>
      <w:lvlText w:val="%9."/>
      <w:lvlJc w:val="right"/>
      <w:pPr>
        <w:ind w:left="8388" w:hanging="180"/>
      </w:pPr>
    </w:lvl>
  </w:abstractNum>
  <w:abstractNum w:abstractNumId="354" w15:restartNumberingAfterBreak="0">
    <w:nsid w:val="5553226A"/>
    <w:multiLevelType w:val="hybridMultilevel"/>
    <w:tmpl w:val="4620C454"/>
    <w:lvl w:ilvl="0" w:tplc="F8821CD4">
      <w:start w:val="1"/>
      <w:numFmt w:val="decimal"/>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355" w15:restartNumberingAfterBreak="0">
    <w:nsid w:val="55DD5561"/>
    <w:multiLevelType w:val="hybridMultilevel"/>
    <w:tmpl w:val="110C50A6"/>
    <w:lvl w:ilvl="0" w:tplc="1E002628">
      <w:start w:val="1"/>
      <w:numFmt w:val="lowerLetter"/>
      <w:lvlText w:val="%1."/>
      <w:lvlJc w:val="left"/>
      <w:pPr>
        <w:ind w:left="927" w:hanging="360"/>
      </w:pPr>
      <w:rPr>
        <w:rFonts w:eastAsia="Bookman Old Style" w:cs="Bookman Old Style"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56" w15:restartNumberingAfterBreak="0">
    <w:nsid w:val="55E50ABA"/>
    <w:multiLevelType w:val="hybridMultilevel"/>
    <w:tmpl w:val="5C4C3A2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7" w15:restartNumberingAfterBreak="0">
    <w:nsid w:val="55F73CD5"/>
    <w:multiLevelType w:val="hybridMultilevel"/>
    <w:tmpl w:val="7D2EA968"/>
    <w:lvl w:ilvl="0" w:tplc="FFFFFFFF">
      <w:start w:val="1"/>
      <w:numFmt w:val="decimal"/>
      <w:lvlText w:val="%1."/>
      <w:lvlJc w:val="left"/>
      <w:pPr>
        <w:ind w:left="927" w:hanging="360"/>
      </w:pPr>
      <w:rPr>
        <w:rFonts w:hint="default"/>
        <w:color w:val="auto"/>
      </w:rPr>
    </w:lvl>
    <w:lvl w:ilvl="1" w:tplc="FFFFFFFF">
      <w:start w:val="1"/>
      <w:numFmt w:val="lowerLetter"/>
      <w:lvlText w:val="(%2)"/>
      <w:lvlJc w:val="left"/>
      <w:pPr>
        <w:ind w:left="1647" w:hanging="360"/>
      </w:pPr>
      <w:rPr>
        <w:rFonts w:hint="default"/>
      </w:rPr>
    </w:lvl>
    <w:lvl w:ilvl="2" w:tplc="FFFFFFFF">
      <w:start w:val="1"/>
      <w:numFmt w:val="decimal"/>
      <w:lvlText w:val="(%3)"/>
      <w:lvlJc w:val="left"/>
      <w:pPr>
        <w:ind w:left="2547" w:hanging="360"/>
      </w:pPr>
      <w:rPr>
        <w:rFonts w:hint="default"/>
      </w:rPr>
    </w:lvl>
    <w:lvl w:ilvl="3" w:tplc="FFFFFFFF">
      <w:start w:val="1"/>
      <w:numFmt w:val="decimal"/>
      <w:lvlText w:val="(%4)"/>
      <w:lvlJc w:val="left"/>
      <w:pPr>
        <w:ind w:left="3087" w:hanging="360"/>
      </w:pPr>
      <w:rPr>
        <w:rFonts w:hint="default"/>
      </w:rPr>
    </w:lvl>
    <w:lvl w:ilvl="4" w:tplc="043CCE1E">
      <w:start w:val="1"/>
      <w:numFmt w:val="decimal"/>
      <w:lvlText w:val="%5)"/>
      <w:lvlJc w:val="left"/>
      <w:pPr>
        <w:ind w:left="3807" w:hanging="360"/>
      </w:pPr>
      <w:rPr>
        <w:rFonts w:hint="default"/>
        <w:color w:val="000000" w:themeColor="text1"/>
        <w:sz w:val="24"/>
        <w:szCs w:val="24"/>
      </w:rPr>
    </w:lvl>
    <w:lvl w:ilvl="5" w:tplc="8B3E4EBE">
      <w:start w:val="1"/>
      <w:numFmt w:val="lowerLetter"/>
      <w:lvlText w:val="%6."/>
      <w:lvlJc w:val="left"/>
      <w:pPr>
        <w:ind w:left="4707" w:hanging="360"/>
      </w:pPr>
      <w:rPr>
        <w:rFonts w:hint="default"/>
      </w:rPr>
    </w:lvl>
    <w:lvl w:ilvl="6" w:tplc="D714D642">
      <w:start w:val="1"/>
      <w:numFmt w:val="lowerLetter"/>
      <w:lvlText w:val="%7)"/>
      <w:lvlJc w:val="left"/>
      <w:pPr>
        <w:ind w:left="5247" w:hanging="360"/>
      </w:pPr>
      <w:rPr>
        <w:rFonts w:hint="default"/>
      </w:rPr>
    </w:lvl>
    <w:lvl w:ilvl="7" w:tplc="A5CE488A">
      <w:start w:val="1"/>
      <w:numFmt w:val="upperLetter"/>
      <w:lvlText w:val="%8."/>
      <w:lvlJc w:val="left"/>
      <w:pPr>
        <w:ind w:left="5967" w:hanging="360"/>
      </w:pPr>
      <w:rPr>
        <w:rFonts w:hint="default"/>
        <w:i w:val="0"/>
        <w:iCs w:val="0"/>
      </w:rPr>
    </w:lvl>
    <w:lvl w:ilvl="8" w:tplc="FFFFFFFF" w:tentative="1">
      <w:start w:val="1"/>
      <w:numFmt w:val="lowerRoman"/>
      <w:lvlText w:val="%9."/>
      <w:lvlJc w:val="right"/>
      <w:pPr>
        <w:ind w:left="6687" w:hanging="180"/>
      </w:pPr>
    </w:lvl>
  </w:abstractNum>
  <w:abstractNum w:abstractNumId="358" w15:restartNumberingAfterBreak="0">
    <w:nsid w:val="562046B7"/>
    <w:multiLevelType w:val="hybridMultilevel"/>
    <w:tmpl w:val="56464AB0"/>
    <w:lvl w:ilvl="0" w:tplc="38090015">
      <w:start w:val="1"/>
      <w:numFmt w:val="upp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59" w15:restartNumberingAfterBreak="0">
    <w:nsid w:val="56CB71E5"/>
    <w:multiLevelType w:val="hybridMultilevel"/>
    <w:tmpl w:val="15C8F776"/>
    <w:lvl w:ilvl="0" w:tplc="0C5EB06E">
      <w:start w:val="1"/>
      <w:numFmt w:val="lowerLetter"/>
      <w:lvlText w:val="%1."/>
      <w:lvlJc w:val="left"/>
      <w:pPr>
        <w:ind w:left="2061" w:hanging="360"/>
      </w:pPr>
      <w:rPr>
        <w:rFonts w:hint="default"/>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360" w15:restartNumberingAfterBreak="0">
    <w:nsid w:val="573143D0"/>
    <w:multiLevelType w:val="hybridMultilevel"/>
    <w:tmpl w:val="0FFC9108"/>
    <w:lvl w:ilvl="0" w:tplc="2D08F928">
      <w:start w:val="1"/>
      <w:numFmt w:val="lowerLetter"/>
      <w:lvlText w:val="(%1)"/>
      <w:lvlJc w:val="left"/>
      <w:pPr>
        <w:ind w:left="4329" w:hanging="360"/>
      </w:pPr>
      <w:rPr>
        <w:rFonts w:hint="default"/>
      </w:rPr>
    </w:lvl>
    <w:lvl w:ilvl="1" w:tplc="38090019" w:tentative="1">
      <w:start w:val="1"/>
      <w:numFmt w:val="lowerLetter"/>
      <w:lvlText w:val="%2."/>
      <w:lvlJc w:val="left"/>
      <w:pPr>
        <w:ind w:left="5049" w:hanging="360"/>
      </w:pPr>
    </w:lvl>
    <w:lvl w:ilvl="2" w:tplc="3809001B" w:tentative="1">
      <w:start w:val="1"/>
      <w:numFmt w:val="lowerRoman"/>
      <w:lvlText w:val="%3."/>
      <w:lvlJc w:val="right"/>
      <w:pPr>
        <w:ind w:left="5769" w:hanging="180"/>
      </w:pPr>
    </w:lvl>
    <w:lvl w:ilvl="3" w:tplc="3809000F" w:tentative="1">
      <w:start w:val="1"/>
      <w:numFmt w:val="decimal"/>
      <w:lvlText w:val="%4."/>
      <w:lvlJc w:val="left"/>
      <w:pPr>
        <w:ind w:left="6489" w:hanging="360"/>
      </w:pPr>
    </w:lvl>
    <w:lvl w:ilvl="4" w:tplc="38090019" w:tentative="1">
      <w:start w:val="1"/>
      <w:numFmt w:val="lowerLetter"/>
      <w:lvlText w:val="%5."/>
      <w:lvlJc w:val="left"/>
      <w:pPr>
        <w:ind w:left="7209" w:hanging="360"/>
      </w:pPr>
    </w:lvl>
    <w:lvl w:ilvl="5" w:tplc="3809001B" w:tentative="1">
      <w:start w:val="1"/>
      <w:numFmt w:val="lowerRoman"/>
      <w:lvlText w:val="%6."/>
      <w:lvlJc w:val="right"/>
      <w:pPr>
        <w:ind w:left="7929" w:hanging="180"/>
      </w:pPr>
    </w:lvl>
    <w:lvl w:ilvl="6" w:tplc="3809000F" w:tentative="1">
      <w:start w:val="1"/>
      <w:numFmt w:val="decimal"/>
      <w:lvlText w:val="%7."/>
      <w:lvlJc w:val="left"/>
      <w:pPr>
        <w:ind w:left="8649" w:hanging="360"/>
      </w:pPr>
    </w:lvl>
    <w:lvl w:ilvl="7" w:tplc="38090019" w:tentative="1">
      <w:start w:val="1"/>
      <w:numFmt w:val="lowerLetter"/>
      <w:lvlText w:val="%8."/>
      <w:lvlJc w:val="left"/>
      <w:pPr>
        <w:ind w:left="9369" w:hanging="360"/>
      </w:pPr>
    </w:lvl>
    <w:lvl w:ilvl="8" w:tplc="3809001B" w:tentative="1">
      <w:start w:val="1"/>
      <w:numFmt w:val="lowerRoman"/>
      <w:lvlText w:val="%9."/>
      <w:lvlJc w:val="right"/>
      <w:pPr>
        <w:ind w:left="10089" w:hanging="180"/>
      </w:pPr>
    </w:lvl>
  </w:abstractNum>
  <w:abstractNum w:abstractNumId="361" w15:restartNumberingAfterBreak="0">
    <w:nsid w:val="573733D5"/>
    <w:multiLevelType w:val="hybridMultilevel"/>
    <w:tmpl w:val="71F8B7CC"/>
    <w:lvl w:ilvl="0" w:tplc="83A24E34">
      <w:start w:val="1"/>
      <w:numFmt w:val="decimal"/>
      <w:lvlText w:val="%1."/>
      <w:lvlJc w:val="left"/>
      <w:pPr>
        <w:ind w:left="927" w:hanging="360"/>
      </w:pPr>
      <w:rPr>
        <w:rFonts w:hint="default"/>
        <w:color w:val="auto"/>
      </w:rPr>
    </w:lvl>
    <w:lvl w:ilvl="1" w:tplc="D0C22298">
      <w:start w:val="1"/>
      <w:numFmt w:val="lowerLetter"/>
      <w:lvlText w:val="(%2)"/>
      <w:lvlJc w:val="left"/>
      <w:pPr>
        <w:ind w:left="1647" w:hanging="360"/>
      </w:pPr>
      <w:rPr>
        <w:rFonts w:hint="default"/>
      </w:rPr>
    </w:lvl>
    <w:lvl w:ilvl="2" w:tplc="12B2AE3E">
      <w:start w:val="1"/>
      <w:numFmt w:val="decimal"/>
      <w:lvlText w:val="(%3)"/>
      <w:lvlJc w:val="left"/>
      <w:pPr>
        <w:ind w:left="2547" w:hanging="360"/>
      </w:pPr>
      <w:rPr>
        <w:rFonts w:hint="default"/>
      </w:rPr>
    </w:lvl>
    <w:lvl w:ilvl="3" w:tplc="915E3EFE">
      <w:start w:val="1"/>
      <w:numFmt w:val="decimal"/>
      <w:lvlText w:val="(%4)"/>
      <w:lvlJc w:val="left"/>
      <w:pPr>
        <w:ind w:left="3087" w:hanging="360"/>
      </w:pPr>
      <w:rPr>
        <w:rFonts w:hint="default"/>
      </w:r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62" w15:restartNumberingAfterBreak="0">
    <w:nsid w:val="57B73CD2"/>
    <w:multiLevelType w:val="hybridMultilevel"/>
    <w:tmpl w:val="70A4E3D8"/>
    <w:lvl w:ilvl="0" w:tplc="829E7E1E">
      <w:start w:val="1"/>
      <w:numFmt w:val="decimal"/>
      <w:lvlText w:val="%1)"/>
      <w:lvlJc w:val="left"/>
      <w:pPr>
        <w:ind w:left="2061" w:hanging="360"/>
      </w:pPr>
      <w:rPr>
        <w:rFonts w:hint="default"/>
        <w:color w:val="000000" w:themeColor="text1"/>
        <w:sz w:val="24"/>
        <w:szCs w:val="24"/>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363" w15:restartNumberingAfterBreak="0">
    <w:nsid w:val="57EF40E0"/>
    <w:multiLevelType w:val="hybridMultilevel"/>
    <w:tmpl w:val="77CE9ADA"/>
    <w:lvl w:ilvl="0" w:tplc="97844E04">
      <w:start w:val="1"/>
      <w:numFmt w:val="lowerLetter"/>
      <w:lvlText w:val="%1)"/>
      <w:lvlJc w:val="left"/>
      <w:pPr>
        <w:ind w:left="3195" w:hanging="360"/>
      </w:pPr>
      <w:rPr>
        <w:rFonts w:hint="default"/>
      </w:rPr>
    </w:lvl>
    <w:lvl w:ilvl="1" w:tplc="38090019" w:tentative="1">
      <w:start w:val="1"/>
      <w:numFmt w:val="lowerLetter"/>
      <w:lvlText w:val="%2."/>
      <w:lvlJc w:val="left"/>
      <w:pPr>
        <w:ind w:left="3915" w:hanging="360"/>
      </w:pPr>
    </w:lvl>
    <w:lvl w:ilvl="2" w:tplc="3809001B" w:tentative="1">
      <w:start w:val="1"/>
      <w:numFmt w:val="lowerRoman"/>
      <w:lvlText w:val="%3."/>
      <w:lvlJc w:val="right"/>
      <w:pPr>
        <w:ind w:left="4635" w:hanging="180"/>
      </w:pPr>
    </w:lvl>
    <w:lvl w:ilvl="3" w:tplc="3809000F" w:tentative="1">
      <w:start w:val="1"/>
      <w:numFmt w:val="decimal"/>
      <w:lvlText w:val="%4."/>
      <w:lvlJc w:val="left"/>
      <w:pPr>
        <w:ind w:left="5355" w:hanging="360"/>
      </w:pPr>
    </w:lvl>
    <w:lvl w:ilvl="4" w:tplc="38090019" w:tentative="1">
      <w:start w:val="1"/>
      <w:numFmt w:val="lowerLetter"/>
      <w:lvlText w:val="%5."/>
      <w:lvlJc w:val="left"/>
      <w:pPr>
        <w:ind w:left="6075" w:hanging="360"/>
      </w:pPr>
    </w:lvl>
    <w:lvl w:ilvl="5" w:tplc="3809001B" w:tentative="1">
      <w:start w:val="1"/>
      <w:numFmt w:val="lowerRoman"/>
      <w:lvlText w:val="%6."/>
      <w:lvlJc w:val="right"/>
      <w:pPr>
        <w:ind w:left="6795" w:hanging="180"/>
      </w:pPr>
    </w:lvl>
    <w:lvl w:ilvl="6" w:tplc="3809000F" w:tentative="1">
      <w:start w:val="1"/>
      <w:numFmt w:val="decimal"/>
      <w:lvlText w:val="%7."/>
      <w:lvlJc w:val="left"/>
      <w:pPr>
        <w:ind w:left="7515" w:hanging="360"/>
      </w:pPr>
    </w:lvl>
    <w:lvl w:ilvl="7" w:tplc="38090019" w:tentative="1">
      <w:start w:val="1"/>
      <w:numFmt w:val="lowerLetter"/>
      <w:lvlText w:val="%8."/>
      <w:lvlJc w:val="left"/>
      <w:pPr>
        <w:ind w:left="8235" w:hanging="360"/>
      </w:pPr>
    </w:lvl>
    <w:lvl w:ilvl="8" w:tplc="3809001B" w:tentative="1">
      <w:start w:val="1"/>
      <w:numFmt w:val="lowerRoman"/>
      <w:lvlText w:val="%9."/>
      <w:lvlJc w:val="right"/>
      <w:pPr>
        <w:ind w:left="8955" w:hanging="180"/>
      </w:pPr>
    </w:lvl>
  </w:abstractNum>
  <w:abstractNum w:abstractNumId="364" w15:restartNumberingAfterBreak="0">
    <w:nsid w:val="581B3EB7"/>
    <w:multiLevelType w:val="hybridMultilevel"/>
    <w:tmpl w:val="91F27A50"/>
    <w:lvl w:ilvl="0" w:tplc="38090011">
      <w:start w:val="1"/>
      <w:numFmt w:val="decimal"/>
      <w:lvlText w:val="%1)"/>
      <w:lvlJc w:val="left"/>
      <w:pPr>
        <w:ind w:left="720" w:hanging="360"/>
      </w:pPr>
      <w:rPr>
        <w:b w:val="0"/>
        <w:bCs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5" w15:restartNumberingAfterBreak="0">
    <w:nsid w:val="58324AF4"/>
    <w:multiLevelType w:val="multilevel"/>
    <w:tmpl w:val="E8104412"/>
    <w:lvl w:ilvl="0">
      <w:start w:val="1"/>
      <w:numFmt w:val="decimal"/>
      <w:lvlText w:val="%1)"/>
      <w:lvlJc w:val="left"/>
      <w:pPr>
        <w:ind w:left="454" w:hanging="289"/>
      </w:pPr>
      <w:rPr>
        <w:sz w:val="24"/>
        <w:szCs w:val="24"/>
      </w:rPr>
    </w:lvl>
    <w:lvl w:ilvl="1">
      <w:start w:val="1"/>
      <w:numFmt w:val="bullet"/>
      <w:lvlText w:val=""/>
      <w:lvlJc w:val="left"/>
      <w:pPr>
        <w:ind w:left="1134" w:hanging="360"/>
      </w:pPr>
      <w:rPr>
        <w:rFonts w:ascii="Symbol" w:hAnsi="Symbol" w:hint="default"/>
      </w:rPr>
    </w:lvl>
    <w:lvl w:ilvl="2">
      <w:numFmt w:val="bullet"/>
      <w:lvlText w:val="•"/>
      <w:lvlJc w:val="left"/>
      <w:pPr>
        <w:ind w:left="1667" w:hanging="289"/>
      </w:pPr>
    </w:lvl>
    <w:lvl w:ilvl="3">
      <w:numFmt w:val="bullet"/>
      <w:lvlText w:val="•"/>
      <w:lvlJc w:val="left"/>
      <w:pPr>
        <w:ind w:left="2271" w:hanging="289"/>
      </w:pPr>
    </w:lvl>
    <w:lvl w:ilvl="4">
      <w:numFmt w:val="bullet"/>
      <w:lvlText w:val="•"/>
      <w:lvlJc w:val="left"/>
      <w:pPr>
        <w:ind w:left="2875" w:hanging="289"/>
      </w:pPr>
    </w:lvl>
    <w:lvl w:ilvl="5">
      <w:numFmt w:val="bullet"/>
      <w:lvlText w:val="•"/>
      <w:lvlJc w:val="left"/>
      <w:pPr>
        <w:ind w:left="3479" w:hanging="289"/>
      </w:pPr>
    </w:lvl>
    <w:lvl w:ilvl="6">
      <w:numFmt w:val="bullet"/>
      <w:lvlText w:val="•"/>
      <w:lvlJc w:val="left"/>
      <w:pPr>
        <w:ind w:left="4083" w:hanging="288"/>
      </w:pPr>
    </w:lvl>
    <w:lvl w:ilvl="7">
      <w:numFmt w:val="bullet"/>
      <w:lvlText w:val="•"/>
      <w:lvlJc w:val="left"/>
      <w:pPr>
        <w:ind w:left="4687" w:hanging="289"/>
      </w:pPr>
    </w:lvl>
    <w:lvl w:ilvl="8">
      <w:numFmt w:val="bullet"/>
      <w:lvlText w:val="•"/>
      <w:lvlJc w:val="left"/>
      <w:pPr>
        <w:ind w:left="5291" w:hanging="289"/>
      </w:pPr>
    </w:lvl>
  </w:abstractNum>
  <w:abstractNum w:abstractNumId="366" w15:restartNumberingAfterBreak="0">
    <w:nsid w:val="5845245B"/>
    <w:multiLevelType w:val="hybridMultilevel"/>
    <w:tmpl w:val="7EF03500"/>
    <w:lvl w:ilvl="0" w:tplc="74C89AF6">
      <w:start w:val="1"/>
      <w:numFmt w:val="lowerLetter"/>
      <w:lvlText w:val="(%1)"/>
      <w:lvlJc w:val="left"/>
      <w:pPr>
        <w:ind w:left="4329" w:hanging="360"/>
      </w:pPr>
      <w:rPr>
        <w:rFonts w:hint="default"/>
      </w:rPr>
    </w:lvl>
    <w:lvl w:ilvl="1" w:tplc="38090019" w:tentative="1">
      <w:start w:val="1"/>
      <w:numFmt w:val="lowerLetter"/>
      <w:lvlText w:val="%2."/>
      <w:lvlJc w:val="left"/>
      <w:pPr>
        <w:ind w:left="5049" w:hanging="360"/>
      </w:pPr>
    </w:lvl>
    <w:lvl w:ilvl="2" w:tplc="3809001B" w:tentative="1">
      <w:start w:val="1"/>
      <w:numFmt w:val="lowerRoman"/>
      <w:lvlText w:val="%3."/>
      <w:lvlJc w:val="right"/>
      <w:pPr>
        <w:ind w:left="5769" w:hanging="180"/>
      </w:pPr>
    </w:lvl>
    <w:lvl w:ilvl="3" w:tplc="3809000F" w:tentative="1">
      <w:start w:val="1"/>
      <w:numFmt w:val="decimal"/>
      <w:lvlText w:val="%4."/>
      <w:lvlJc w:val="left"/>
      <w:pPr>
        <w:ind w:left="6489" w:hanging="360"/>
      </w:pPr>
    </w:lvl>
    <w:lvl w:ilvl="4" w:tplc="38090019" w:tentative="1">
      <w:start w:val="1"/>
      <w:numFmt w:val="lowerLetter"/>
      <w:lvlText w:val="%5."/>
      <w:lvlJc w:val="left"/>
      <w:pPr>
        <w:ind w:left="7209" w:hanging="360"/>
      </w:pPr>
    </w:lvl>
    <w:lvl w:ilvl="5" w:tplc="3809001B" w:tentative="1">
      <w:start w:val="1"/>
      <w:numFmt w:val="lowerRoman"/>
      <w:lvlText w:val="%6."/>
      <w:lvlJc w:val="right"/>
      <w:pPr>
        <w:ind w:left="7929" w:hanging="180"/>
      </w:pPr>
    </w:lvl>
    <w:lvl w:ilvl="6" w:tplc="3809000F" w:tentative="1">
      <w:start w:val="1"/>
      <w:numFmt w:val="decimal"/>
      <w:lvlText w:val="%7."/>
      <w:lvlJc w:val="left"/>
      <w:pPr>
        <w:ind w:left="8649" w:hanging="360"/>
      </w:pPr>
    </w:lvl>
    <w:lvl w:ilvl="7" w:tplc="38090019" w:tentative="1">
      <w:start w:val="1"/>
      <w:numFmt w:val="lowerLetter"/>
      <w:lvlText w:val="%8."/>
      <w:lvlJc w:val="left"/>
      <w:pPr>
        <w:ind w:left="9369" w:hanging="360"/>
      </w:pPr>
    </w:lvl>
    <w:lvl w:ilvl="8" w:tplc="3809001B" w:tentative="1">
      <w:start w:val="1"/>
      <w:numFmt w:val="lowerRoman"/>
      <w:lvlText w:val="%9."/>
      <w:lvlJc w:val="right"/>
      <w:pPr>
        <w:ind w:left="10089" w:hanging="180"/>
      </w:pPr>
    </w:lvl>
  </w:abstractNum>
  <w:abstractNum w:abstractNumId="367" w15:restartNumberingAfterBreak="0">
    <w:nsid w:val="58502F72"/>
    <w:multiLevelType w:val="multilevel"/>
    <w:tmpl w:val="05DE7030"/>
    <w:lvl w:ilvl="0">
      <w:start w:val="1"/>
      <w:numFmt w:val="decimal"/>
      <w:lvlText w:val="%1)"/>
      <w:lvlJc w:val="left"/>
      <w:pPr>
        <w:ind w:left="870" w:hanging="360"/>
      </w:pPr>
    </w:lvl>
    <w:lvl w:ilvl="1">
      <w:start w:val="1"/>
      <w:numFmt w:val="bullet"/>
      <w:lvlText w:val="o"/>
      <w:lvlJc w:val="left"/>
      <w:pPr>
        <w:ind w:left="1590" w:hanging="360"/>
      </w:pPr>
      <w:rPr>
        <w:rFonts w:ascii="Courier New" w:eastAsia="Courier New" w:hAnsi="Courier New" w:cs="Courier New"/>
      </w:rPr>
    </w:lvl>
    <w:lvl w:ilvl="2">
      <w:start w:val="1"/>
      <w:numFmt w:val="bullet"/>
      <w:lvlText w:val="▪"/>
      <w:lvlJc w:val="left"/>
      <w:pPr>
        <w:ind w:left="2310" w:hanging="360"/>
      </w:pPr>
      <w:rPr>
        <w:rFonts w:ascii="Noto Sans Symbols" w:eastAsia="Noto Sans Symbols" w:hAnsi="Noto Sans Symbols" w:cs="Noto Sans Symbols"/>
      </w:rPr>
    </w:lvl>
    <w:lvl w:ilvl="3">
      <w:start w:val="1"/>
      <w:numFmt w:val="bullet"/>
      <w:lvlText w:val="●"/>
      <w:lvlJc w:val="left"/>
      <w:pPr>
        <w:ind w:left="3030" w:hanging="360"/>
      </w:pPr>
      <w:rPr>
        <w:rFonts w:ascii="Noto Sans Symbols" w:eastAsia="Noto Sans Symbols" w:hAnsi="Noto Sans Symbols" w:cs="Noto Sans Symbols"/>
      </w:rPr>
    </w:lvl>
    <w:lvl w:ilvl="4">
      <w:start w:val="1"/>
      <w:numFmt w:val="bullet"/>
      <w:lvlText w:val="o"/>
      <w:lvlJc w:val="left"/>
      <w:pPr>
        <w:ind w:left="3750" w:hanging="360"/>
      </w:pPr>
      <w:rPr>
        <w:rFonts w:ascii="Courier New" w:eastAsia="Courier New" w:hAnsi="Courier New" w:cs="Courier New"/>
      </w:rPr>
    </w:lvl>
    <w:lvl w:ilvl="5">
      <w:start w:val="1"/>
      <w:numFmt w:val="bullet"/>
      <w:lvlText w:val="▪"/>
      <w:lvlJc w:val="left"/>
      <w:pPr>
        <w:ind w:left="4470" w:hanging="360"/>
      </w:pPr>
      <w:rPr>
        <w:rFonts w:ascii="Noto Sans Symbols" w:eastAsia="Noto Sans Symbols" w:hAnsi="Noto Sans Symbols" w:cs="Noto Sans Symbols"/>
      </w:rPr>
    </w:lvl>
    <w:lvl w:ilvl="6">
      <w:start w:val="1"/>
      <w:numFmt w:val="bullet"/>
      <w:lvlText w:val="●"/>
      <w:lvlJc w:val="left"/>
      <w:pPr>
        <w:ind w:left="5190" w:hanging="360"/>
      </w:pPr>
      <w:rPr>
        <w:rFonts w:ascii="Noto Sans Symbols" w:eastAsia="Noto Sans Symbols" w:hAnsi="Noto Sans Symbols" w:cs="Noto Sans Symbols"/>
      </w:rPr>
    </w:lvl>
    <w:lvl w:ilvl="7">
      <w:start w:val="1"/>
      <w:numFmt w:val="bullet"/>
      <w:lvlText w:val="o"/>
      <w:lvlJc w:val="left"/>
      <w:pPr>
        <w:ind w:left="5910" w:hanging="360"/>
      </w:pPr>
      <w:rPr>
        <w:rFonts w:ascii="Courier New" w:eastAsia="Courier New" w:hAnsi="Courier New" w:cs="Courier New"/>
      </w:rPr>
    </w:lvl>
    <w:lvl w:ilvl="8">
      <w:start w:val="1"/>
      <w:numFmt w:val="bullet"/>
      <w:lvlText w:val="▪"/>
      <w:lvlJc w:val="left"/>
      <w:pPr>
        <w:ind w:left="6630" w:hanging="360"/>
      </w:pPr>
      <w:rPr>
        <w:rFonts w:ascii="Noto Sans Symbols" w:eastAsia="Noto Sans Symbols" w:hAnsi="Noto Sans Symbols" w:cs="Noto Sans Symbols"/>
      </w:rPr>
    </w:lvl>
  </w:abstractNum>
  <w:abstractNum w:abstractNumId="368" w15:restartNumberingAfterBreak="0">
    <w:nsid w:val="58556D1B"/>
    <w:multiLevelType w:val="multilevel"/>
    <w:tmpl w:val="6C5683CA"/>
    <w:lvl w:ilvl="0">
      <w:start w:val="1"/>
      <w:numFmt w:val="lowerLetter"/>
      <w:lvlText w:val="%1."/>
      <w:lvlJc w:val="left"/>
      <w:pPr>
        <w:ind w:left="2912" w:hanging="360"/>
      </w:pPr>
    </w:lvl>
    <w:lvl w:ilvl="1">
      <w:start w:val="1"/>
      <w:numFmt w:val="lowerLetter"/>
      <w:lvlText w:val="%2."/>
      <w:lvlJc w:val="left"/>
      <w:pPr>
        <w:ind w:left="3632" w:hanging="360"/>
      </w:pPr>
    </w:lvl>
    <w:lvl w:ilvl="2">
      <w:start w:val="1"/>
      <w:numFmt w:val="lowerRoman"/>
      <w:lvlText w:val="%3."/>
      <w:lvlJc w:val="right"/>
      <w:pPr>
        <w:ind w:left="4352" w:hanging="180"/>
      </w:pPr>
    </w:lvl>
    <w:lvl w:ilvl="3">
      <w:start w:val="1"/>
      <w:numFmt w:val="decimal"/>
      <w:lvlText w:val="%4."/>
      <w:lvlJc w:val="left"/>
      <w:pPr>
        <w:ind w:left="5072" w:hanging="360"/>
      </w:pPr>
    </w:lvl>
    <w:lvl w:ilvl="4">
      <w:start w:val="1"/>
      <w:numFmt w:val="decimal"/>
      <w:lvlText w:val="%5)"/>
      <w:lvlJc w:val="left"/>
      <w:pPr>
        <w:ind w:left="720" w:hanging="360"/>
      </w:pPr>
    </w:lvl>
    <w:lvl w:ilvl="5">
      <w:start w:val="1"/>
      <w:numFmt w:val="lowerRoman"/>
      <w:lvlText w:val="%6."/>
      <w:lvlJc w:val="right"/>
      <w:pPr>
        <w:ind w:left="6512" w:hanging="180"/>
      </w:pPr>
    </w:lvl>
    <w:lvl w:ilvl="6">
      <w:start w:val="1"/>
      <w:numFmt w:val="decimal"/>
      <w:lvlText w:val="%7."/>
      <w:lvlJc w:val="left"/>
      <w:pPr>
        <w:ind w:left="7232" w:hanging="360"/>
      </w:pPr>
    </w:lvl>
    <w:lvl w:ilvl="7">
      <w:start w:val="1"/>
      <w:numFmt w:val="lowerLetter"/>
      <w:lvlText w:val="%8."/>
      <w:lvlJc w:val="left"/>
      <w:pPr>
        <w:ind w:left="7952" w:hanging="360"/>
      </w:pPr>
    </w:lvl>
    <w:lvl w:ilvl="8">
      <w:start w:val="1"/>
      <w:numFmt w:val="lowerRoman"/>
      <w:lvlText w:val="%9."/>
      <w:lvlJc w:val="right"/>
      <w:pPr>
        <w:ind w:left="8672" w:hanging="180"/>
      </w:pPr>
    </w:lvl>
  </w:abstractNum>
  <w:abstractNum w:abstractNumId="369" w15:restartNumberingAfterBreak="0">
    <w:nsid w:val="58FF7AB7"/>
    <w:multiLevelType w:val="hybridMultilevel"/>
    <w:tmpl w:val="BB042766"/>
    <w:lvl w:ilvl="0" w:tplc="4BF8CC28">
      <w:start w:val="1"/>
      <w:numFmt w:val="decimal"/>
      <w:lvlText w:val="(%1)"/>
      <w:lvlJc w:val="left"/>
      <w:pPr>
        <w:ind w:left="3762" w:hanging="360"/>
      </w:pPr>
      <w:rPr>
        <w:rFonts w:hint="default"/>
        <w:color w:val="auto"/>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370" w15:restartNumberingAfterBreak="0">
    <w:nsid w:val="59987079"/>
    <w:multiLevelType w:val="hybridMultilevel"/>
    <w:tmpl w:val="555E829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71" w15:restartNumberingAfterBreak="0">
    <w:nsid w:val="59AA1850"/>
    <w:multiLevelType w:val="hybridMultilevel"/>
    <w:tmpl w:val="73F4DEF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2" w15:restartNumberingAfterBreak="0">
    <w:nsid w:val="59AB412B"/>
    <w:multiLevelType w:val="hybridMultilevel"/>
    <w:tmpl w:val="BD38C67C"/>
    <w:lvl w:ilvl="0" w:tplc="0EF8A4E6">
      <w:start w:val="1"/>
      <w:numFmt w:val="lowerLetter"/>
      <w:lvlText w:val="(%1)"/>
      <w:lvlJc w:val="left"/>
      <w:pPr>
        <w:ind w:left="4329" w:hanging="360"/>
      </w:pPr>
      <w:rPr>
        <w:rFonts w:hint="default"/>
      </w:rPr>
    </w:lvl>
    <w:lvl w:ilvl="1" w:tplc="38090019" w:tentative="1">
      <w:start w:val="1"/>
      <w:numFmt w:val="lowerLetter"/>
      <w:lvlText w:val="%2."/>
      <w:lvlJc w:val="left"/>
      <w:pPr>
        <w:ind w:left="5049" w:hanging="360"/>
      </w:pPr>
    </w:lvl>
    <w:lvl w:ilvl="2" w:tplc="3809001B" w:tentative="1">
      <w:start w:val="1"/>
      <w:numFmt w:val="lowerRoman"/>
      <w:lvlText w:val="%3."/>
      <w:lvlJc w:val="right"/>
      <w:pPr>
        <w:ind w:left="5769" w:hanging="180"/>
      </w:pPr>
    </w:lvl>
    <w:lvl w:ilvl="3" w:tplc="3809000F" w:tentative="1">
      <w:start w:val="1"/>
      <w:numFmt w:val="decimal"/>
      <w:lvlText w:val="%4."/>
      <w:lvlJc w:val="left"/>
      <w:pPr>
        <w:ind w:left="6489" w:hanging="360"/>
      </w:pPr>
    </w:lvl>
    <w:lvl w:ilvl="4" w:tplc="38090019" w:tentative="1">
      <w:start w:val="1"/>
      <w:numFmt w:val="lowerLetter"/>
      <w:lvlText w:val="%5."/>
      <w:lvlJc w:val="left"/>
      <w:pPr>
        <w:ind w:left="7209" w:hanging="360"/>
      </w:pPr>
    </w:lvl>
    <w:lvl w:ilvl="5" w:tplc="3809001B" w:tentative="1">
      <w:start w:val="1"/>
      <w:numFmt w:val="lowerRoman"/>
      <w:lvlText w:val="%6."/>
      <w:lvlJc w:val="right"/>
      <w:pPr>
        <w:ind w:left="7929" w:hanging="180"/>
      </w:pPr>
    </w:lvl>
    <w:lvl w:ilvl="6" w:tplc="3809000F" w:tentative="1">
      <w:start w:val="1"/>
      <w:numFmt w:val="decimal"/>
      <w:lvlText w:val="%7."/>
      <w:lvlJc w:val="left"/>
      <w:pPr>
        <w:ind w:left="8649" w:hanging="360"/>
      </w:pPr>
    </w:lvl>
    <w:lvl w:ilvl="7" w:tplc="38090019" w:tentative="1">
      <w:start w:val="1"/>
      <w:numFmt w:val="lowerLetter"/>
      <w:lvlText w:val="%8."/>
      <w:lvlJc w:val="left"/>
      <w:pPr>
        <w:ind w:left="9369" w:hanging="360"/>
      </w:pPr>
    </w:lvl>
    <w:lvl w:ilvl="8" w:tplc="3809001B" w:tentative="1">
      <w:start w:val="1"/>
      <w:numFmt w:val="lowerRoman"/>
      <w:lvlText w:val="%9."/>
      <w:lvlJc w:val="right"/>
      <w:pPr>
        <w:ind w:left="10089" w:hanging="180"/>
      </w:pPr>
    </w:lvl>
  </w:abstractNum>
  <w:abstractNum w:abstractNumId="373" w15:restartNumberingAfterBreak="0">
    <w:nsid w:val="59B36B64"/>
    <w:multiLevelType w:val="hybridMultilevel"/>
    <w:tmpl w:val="CC4880CC"/>
    <w:lvl w:ilvl="0" w:tplc="7BE0A5CC">
      <w:start w:val="1"/>
      <w:numFmt w:val="decimal"/>
      <w:lvlText w:val="%1)"/>
      <w:lvlJc w:val="left"/>
      <w:pPr>
        <w:ind w:left="467" w:hanging="360"/>
      </w:pPr>
      <w:rPr>
        <w:rFonts w:hint="default"/>
        <w:b w:val="0"/>
        <w:bCs w:val="0"/>
        <w:i w:val="0"/>
        <w:iCs w:val="0"/>
        <w:spacing w:val="0"/>
        <w:w w:val="100"/>
        <w:sz w:val="24"/>
        <w:szCs w:val="24"/>
        <w:lang w:val="id" w:eastAsia="en-US" w:bidi="ar-SA"/>
      </w:rPr>
    </w:lvl>
    <w:lvl w:ilvl="1" w:tplc="FFFFFFFF">
      <w:numFmt w:val="bullet"/>
      <w:lvlText w:val="•"/>
      <w:lvlJc w:val="left"/>
      <w:pPr>
        <w:ind w:left="1215" w:hanging="360"/>
      </w:pPr>
      <w:rPr>
        <w:rFonts w:hint="default"/>
        <w:lang w:val="id" w:eastAsia="en-US" w:bidi="ar-SA"/>
      </w:rPr>
    </w:lvl>
    <w:lvl w:ilvl="2" w:tplc="FFFFFFFF">
      <w:numFmt w:val="bullet"/>
      <w:lvlText w:val="•"/>
      <w:lvlJc w:val="left"/>
      <w:pPr>
        <w:ind w:left="1971" w:hanging="360"/>
      </w:pPr>
      <w:rPr>
        <w:rFonts w:hint="default"/>
        <w:lang w:val="id" w:eastAsia="en-US" w:bidi="ar-SA"/>
      </w:rPr>
    </w:lvl>
    <w:lvl w:ilvl="3" w:tplc="FFFFFFFF">
      <w:numFmt w:val="bullet"/>
      <w:lvlText w:val="•"/>
      <w:lvlJc w:val="left"/>
      <w:pPr>
        <w:ind w:left="2726" w:hanging="360"/>
      </w:pPr>
      <w:rPr>
        <w:rFonts w:hint="default"/>
        <w:lang w:val="id" w:eastAsia="en-US" w:bidi="ar-SA"/>
      </w:rPr>
    </w:lvl>
    <w:lvl w:ilvl="4" w:tplc="FFFFFFFF">
      <w:numFmt w:val="bullet"/>
      <w:lvlText w:val="•"/>
      <w:lvlJc w:val="left"/>
      <w:pPr>
        <w:ind w:left="3482" w:hanging="360"/>
      </w:pPr>
      <w:rPr>
        <w:rFonts w:hint="default"/>
        <w:lang w:val="id" w:eastAsia="en-US" w:bidi="ar-SA"/>
      </w:rPr>
    </w:lvl>
    <w:lvl w:ilvl="5" w:tplc="FFFFFFFF">
      <w:numFmt w:val="bullet"/>
      <w:lvlText w:val="•"/>
      <w:lvlJc w:val="left"/>
      <w:pPr>
        <w:ind w:left="4237" w:hanging="360"/>
      </w:pPr>
      <w:rPr>
        <w:rFonts w:hint="default"/>
        <w:lang w:val="id" w:eastAsia="en-US" w:bidi="ar-SA"/>
      </w:rPr>
    </w:lvl>
    <w:lvl w:ilvl="6" w:tplc="FFFFFFFF">
      <w:numFmt w:val="bullet"/>
      <w:lvlText w:val="•"/>
      <w:lvlJc w:val="left"/>
      <w:pPr>
        <w:ind w:left="4993" w:hanging="360"/>
      </w:pPr>
      <w:rPr>
        <w:rFonts w:hint="default"/>
        <w:lang w:val="id" w:eastAsia="en-US" w:bidi="ar-SA"/>
      </w:rPr>
    </w:lvl>
    <w:lvl w:ilvl="7" w:tplc="FFFFFFFF">
      <w:numFmt w:val="bullet"/>
      <w:lvlText w:val="•"/>
      <w:lvlJc w:val="left"/>
      <w:pPr>
        <w:ind w:left="5748" w:hanging="360"/>
      </w:pPr>
      <w:rPr>
        <w:rFonts w:hint="default"/>
        <w:lang w:val="id" w:eastAsia="en-US" w:bidi="ar-SA"/>
      </w:rPr>
    </w:lvl>
    <w:lvl w:ilvl="8" w:tplc="FFFFFFFF">
      <w:numFmt w:val="bullet"/>
      <w:lvlText w:val="•"/>
      <w:lvlJc w:val="left"/>
      <w:pPr>
        <w:ind w:left="6504" w:hanging="360"/>
      </w:pPr>
      <w:rPr>
        <w:rFonts w:hint="default"/>
        <w:lang w:val="id" w:eastAsia="en-US" w:bidi="ar-SA"/>
      </w:rPr>
    </w:lvl>
  </w:abstractNum>
  <w:abstractNum w:abstractNumId="374" w15:restartNumberingAfterBreak="0">
    <w:nsid w:val="59C646FB"/>
    <w:multiLevelType w:val="hybridMultilevel"/>
    <w:tmpl w:val="90082920"/>
    <w:lvl w:ilvl="0" w:tplc="3809001B">
      <w:start w:val="1"/>
      <w:numFmt w:val="lowerRoman"/>
      <w:lvlText w:val="%1."/>
      <w:lvlJc w:val="right"/>
      <w:pPr>
        <w:ind w:left="5256" w:hanging="360"/>
      </w:pPr>
    </w:lvl>
    <w:lvl w:ilvl="1" w:tplc="38090019" w:tentative="1">
      <w:start w:val="1"/>
      <w:numFmt w:val="lowerLetter"/>
      <w:lvlText w:val="%2."/>
      <w:lvlJc w:val="left"/>
      <w:pPr>
        <w:ind w:left="5976" w:hanging="360"/>
      </w:pPr>
    </w:lvl>
    <w:lvl w:ilvl="2" w:tplc="3809001B" w:tentative="1">
      <w:start w:val="1"/>
      <w:numFmt w:val="lowerRoman"/>
      <w:lvlText w:val="%3."/>
      <w:lvlJc w:val="right"/>
      <w:pPr>
        <w:ind w:left="6696" w:hanging="180"/>
      </w:pPr>
    </w:lvl>
    <w:lvl w:ilvl="3" w:tplc="3809000F" w:tentative="1">
      <w:start w:val="1"/>
      <w:numFmt w:val="decimal"/>
      <w:lvlText w:val="%4."/>
      <w:lvlJc w:val="left"/>
      <w:pPr>
        <w:ind w:left="7416" w:hanging="360"/>
      </w:pPr>
    </w:lvl>
    <w:lvl w:ilvl="4" w:tplc="38090019" w:tentative="1">
      <w:start w:val="1"/>
      <w:numFmt w:val="lowerLetter"/>
      <w:lvlText w:val="%5."/>
      <w:lvlJc w:val="left"/>
      <w:pPr>
        <w:ind w:left="8136" w:hanging="360"/>
      </w:pPr>
    </w:lvl>
    <w:lvl w:ilvl="5" w:tplc="3809001B" w:tentative="1">
      <w:start w:val="1"/>
      <w:numFmt w:val="lowerRoman"/>
      <w:lvlText w:val="%6."/>
      <w:lvlJc w:val="right"/>
      <w:pPr>
        <w:ind w:left="8856" w:hanging="180"/>
      </w:pPr>
    </w:lvl>
    <w:lvl w:ilvl="6" w:tplc="3809000F" w:tentative="1">
      <w:start w:val="1"/>
      <w:numFmt w:val="decimal"/>
      <w:lvlText w:val="%7."/>
      <w:lvlJc w:val="left"/>
      <w:pPr>
        <w:ind w:left="9576" w:hanging="360"/>
      </w:pPr>
    </w:lvl>
    <w:lvl w:ilvl="7" w:tplc="38090019" w:tentative="1">
      <w:start w:val="1"/>
      <w:numFmt w:val="lowerLetter"/>
      <w:lvlText w:val="%8."/>
      <w:lvlJc w:val="left"/>
      <w:pPr>
        <w:ind w:left="10296" w:hanging="360"/>
      </w:pPr>
    </w:lvl>
    <w:lvl w:ilvl="8" w:tplc="3809001B" w:tentative="1">
      <w:start w:val="1"/>
      <w:numFmt w:val="lowerRoman"/>
      <w:lvlText w:val="%9."/>
      <w:lvlJc w:val="right"/>
      <w:pPr>
        <w:ind w:left="11016" w:hanging="180"/>
      </w:pPr>
    </w:lvl>
  </w:abstractNum>
  <w:abstractNum w:abstractNumId="375" w15:restartNumberingAfterBreak="0">
    <w:nsid w:val="5A3E3949"/>
    <w:multiLevelType w:val="multilevel"/>
    <w:tmpl w:val="B36E1F44"/>
    <w:lvl w:ilvl="0">
      <w:start w:val="1"/>
      <w:numFmt w:val="decimal"/>
      <w:lvlText w:val="%1)"/>
      <w:lvlJc w:val="left"/>
      <w:pPr>
        <w:ind w:left="438" w:hanging="289"/>
      </w:pPr>
      <w:rPr>
        <w:rFonts w:hint="default"/>
        <w:color w:val="000000" w:themeColor="text1"/>
        <w:sz w:val="24"/>
        <w:szCs w:val="24"/>
      </w:rPr>
    </w:lvl>
    <w:lvl w:ilvl="1">
      <w:numFmt w:val="bullet"/>
      <w:lvlText w:val="•"/>
      <w:lvlJc w:val="left"/>
      <w:pPr>
        <w:ind w:left="1018" w:hanging="289"/>
      </w:pPr>
      <w:rPr>
        <w:rFonts w:hint="default"/>
      </w:rPr>
    </w:lvl>
    <w:lvl w:ilvl="2">
      <w:numFmt w:val="bullet"/>
      <w:lvlText w:val="•"/>
      <w:lvlJc w:val="left"/>
      <w:pPr>
        <w:ind w:left="1597" w:hanging="289"/>
      </w:pPr>
      <w:rPr>
        <w:rFonts w:hint="default"/>
      </w:rPr>
    </w:lvl>
    <w:lvl w:ilvl="3">
      <w:numFmt w:val="bullet"/>
      <w:lvlText w:val="•"/>
      <w:lvlJc w:val="left"/>
      <w:pPr>
        <w:ind w:left="2175" w:hanging="289"/>
      </w:pPr>
      <w:rPr>
        <w:rFonts w:hint="default"/>
      </w:rPr>
    </w:lvl>
    <w:lvl w:ilvl="4">
      <w:numFmt w:val="bullet"/>
      <w:lvlText w:val="•"/>
      <w:lvlJc w:val="left"/>
      <w:pPr>
        <w:ind w:left="2754" w:hanging="289"/>
      </w:pPr>
      <w:rPr>
        <w:rFonts w:hint="default"/>
      </w:rPr>
    </w:lvl>
    <w:lvl w:ilvl="5">
      <w:numFmt w:val="bullet"/>
      <w:lvlText w:val="•"/>
      <w:lvlJc w:val="left"/>
      <w:pPr>
        <w:ind w:left="3333" w:hanging="288"/>
      </w:pPr>
      <w:rPr>
        <w:rFonts w:hint="default"/>
      </w:rPr>
    </w:lvl>
    <w:lvl w:ilvl="6">
      <w:numFmt w:val="bullet"/>
      <w:lvlText w:val="•"/>
      <w:lvlJc w:val="left"/>
      <w:pPr>
        <w:ind w:left="3911" w:hanging="288"/>
      </w:pPr>
      <w:rPr>
        <w:rFonts w:hint="default"/>
      </w:rPr>
    </w:lvl>
    <w:lvl w:ilvl="7">
      <w:numFmt w:val="bullet"/>
      <w:lvlText w:val="•"/>
      <w:lvlJc w:val="left"/>
      <w:pPr>
        <w:ind w:left="4490" w:hanging="289"/>
      </w:pPr>
      <w:rPr>
        <w:rFonts w:hint="default"/>
      </w:rPr>
    </w:lvl>
    <w:lvl w:ilvl="8">
      <w:numFmt w:val="bullet"/>
      <w:lvlText w:val="•"/>
      <w:lvlJc w:val="left"/>
      <w:pPr>
        <w:ind w:left="5068" w:hanging="289"/>
      </w:pPr>
      <w:rPr>
        <w:rFonts w:hint="default"/>
      </w:rPr>
    </w:lvl>
  </w:abstractNum>
  <w:abstractNum w:abstractNumId="376" w15:restartNumberingAfterBreak="0">
    <w:nsid w:val="5BC60E41"/>
    <w:multiLevelType w:val="hybridMultilevel"/>
    <w:tmpl w:val="31FE5E80"/>
    <w:lvl w:ilvl="0" w:tplc="C750F096">
      <w:start w:val="1"/>
      <w:numFmt w:val="lowerLetter"/>
      <w:lvlText w:val="%1)"/>
      <w:lvlJc w:val="left"/>
      <w:pPr>
        <w:ind w:left="2061" w:hanging="360"/>
      </w:pPr>
      <w:rPr>
        <w:rFonts w:eastAsia="Bookman Old Style" w:cs="Bookman Old Style" w:hint="default"/>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377" w15:restartNumberingAfterBreak="0">
    <w:nsid w:val="5BF0506E"/>
    <w:multiLevelType w:val="hybridMultilevel"/>
    <w:tmpl w:val="57DC2624"/>
    <w:lvl w:ilvl="0" w:tplc="A6B62088">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378" w15:restartNumberingAfterBreak="0">
    <w:nsid w:val="5BF57E49"/>
    <w:multiLevelType w:val="multilevel"/>
    <w:tmpl w:val="2728994C"/>
    <w:lvl w:ilvl="0">
      <w:start w:val="1"/>
      <w:numFmt w:val="upperRoman"/>
      <w:lvlText w:val="%1"/>
      <w:lvlJc w:val="left"/>
      <w:pPr>
        <w:ind w:left="834" w:hanging="577"/>
      </w:pPr>
    </w:lvl>
    <w:lvl w:ilvl="1">
      <w:start w:val="1"/>
      <w:numFmt w:val="upperLetter"/>
      <w:lvlText w:val="%1.%2"/>
      <w:lvlJc w:val="left"/>
      <w:pPr>
        <w:ind w:left="834" w:hanging="577"/>
      </w:pPr>
      <w:rPr>
        <w:rFonts w:ascii="Cambria" w:eastAsia="Cambria" w:hAnsi="Cambria" w:cs="Cambria"/>
        <w:b/>
        <w:bCs/>
        <w:sz w:val="22"/>
        <w:szCs w:val="22"/>
      </w:rPr>
    </w:lvl>
    <w:lvl w:ilvl="2">
      <w:start w:val="1"/>
      <w:numFmt w:val="decimal"/>
      <w:lvlText w:val="%3."/>
      <w:lvlJc w:val="left"/>
      <w:pPr>
        <w:ind w:left="919" w:hanging="352"/>
      </w:pPr>
      <w:rPr>
        <w:rFonts w:ascii="Bookman Old Style" w:eastAsia="Cambria" w:hAnsi="Bookman Old Style" w:cs="Cambria" w:hint="default"/>
        <w:b w:val="0"/>
        <w:bCs w:val="0"/>
        <w:sz w:val="24"/>
        <w:szCs w:val="24"/>
      </w:rPr>
    </w:lvl>
    <w:lvl w:ilvl="3">
      <w:numFmt w:val="bullet"/>
      <w:lvlText w:val="•"/>
      <w:lvlJc w:val="left"/>
      <w:pPr>
        <w:ind w:left="4372" w:hanging="352"/>
      </w:pPr>
    </w:lvl>
    <w:lvl w:ilvl="4">
      <w:numFmt w:val="bullet"/>
      <w:lvlText w:val="•"/>
      <w:lvlJc w:val="left"/>
      <w:pPr>
        <w:ind w:left="5929" w:hanging="352"/>
      </w:pPr>
    </w:lvl>
    <w:lvl w:ilvl="5">
      <w:numFmt w:val="bullet"/>
      <w:lvlText w:val="•"/>
      <w:lvlJc w:val="left"/>
      <w:pPr>
        <w:ind w:left="7485" w:hanging="352"/>
      </w:pPr>
    </w:lvl>
    <w:lvl w:ilvl="6">
      <w:numFmt w:val="bullet"/>
      <w:lvlText w:val="•"/>
      <w:lvlJc w:val="left"/>
      <w:pPr>
        <w:ind w:left="9042" w:hanging="352"/>
      </w:pPr>
    </w:lvl>
    <w:lvl w:ilvl="7">
      <w:numFmt w:val="bullet"/>
      <w:lvlText w:val="•"/>
      <w:lvlJc w:val="left"/>
      <w:pPr>
        <w:ind w:left="10598" w:hanging="352"/>
      </w:pPr>
    </w:lvl>
    <w:lvl w:ilvl="8">
      <w:numFmt w:val="bullet"/>
      <w:lvlText w:val="•"/>
      <w:lvlJc w:val="left"/>
      <w:pPr>
        <w:ind w:left="12155" w:hanging="352"/>
      </w:pPr>
    </w:lvl>
  </w:abstractNum>
  <w:abstractNum w:abstractNumId="379" w15:restartNumberingAfterBreak="0">
    <w:nsid w:val="5BF64041"/>
    <w:multiLevelType w:val="hybridMultilevel"/>
    <w:tmpl w:val="FB128088"/>
    <w:lvl w:ilvl="0" w:tplc="38090011">
      <w:start w:val="1"/>
      <w:numFmt w:val="decimal"/>
      <w:lvlText w:val="%1)"/>
      <w:lvlJc w:val="left"/>
      <w:pPr>
        <w:ind w:left="720" w:hanging="360"/>
      </w:pPr>
      <w:rPr>
        <w:b w:val="0"/>
        <w:bCs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0" w15:restartNumberingAfterBreak="0">
    <w:nsid w:val="5C0C10D6"/>
    <w:multiLevelType w:val="hybridMultilevel"/>
    <w:tmpl w:val="4DC2624A"/>
    <w:lvl w:ilvl="0" w:tplc="F5880F32">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81" w15:restartNumberingAfterBreak="0">
    <w:nsid w:val="5C8D4D59"/>
    <w:multiLevelType w:val="hybridMultilevel"/>
    <w:tmpl w:val="62F49862"/>
    <w:lvl w:ilvl="0" w:tplc="38090011">
      <w:start w:val="1"/>
      <w:numFmt w:val="decimal"/>
      <w:lvlText w:val="%1)"/>
      <w:lvlJc w:val="left"/>
      <w:pPr>
        <w:ind w:left="2907"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2" w15:restartNumberingAfterBreak="0">
    <w:nsid w:val="5D060722"/>
    <w:multiLevelType w:val="hybridMultilevel"/>
    <w:tmpl w:val="7FF8F04A"/>
    <w:lvl w:ilvl="0" w:tplc="F2AC6B0E">
      <w:start w:val="1"/>
      <w:numFmt w:val="lowerLetter"/>
      <w:lvlText w:val="(%1)"/>
      <w:lvlJc w:val="left"/>
      <w:pPr>
        <w:ind w:left="4329" w:hanging="360"/>
      </w:pPr>
      <w:rPr>
        <w:rFonts w:hint="default"/>
      </w:rPr>
    </w:lvl>
    <w:lvl w:ilvl="1" w:tplc="38090019" w:tentative="1">
      <w:start w:val="1"/>
      <w:numFmt w:val="lowerLetter"/>
      <w:lvlText w:val="%2."/>
      <w:lvlJc w:val="left"/>
      <w:pPr>
        <w:ind w:left="5049" w:hanging="360"/>
      </w:pPr>
    </w:lvl>
    <w:lvl w:ilvl="2" w:tplc="3809001B" w:tentative="1">
      <w:start w:val="1"/>
      <w:numFmt w:val="lowerRoman"/>
      <w:lvlText w:val="%3."/>
      <w:lvlJc w:val="right"/>
      <w:pPr>
        <w:ind w:left="5769" w:hanging="180"/>
      </w:pPr>
    </w:lvl>
    <w:lvl w:ilvl="3" w:tplc="3809000F" w:tentative="1">
      <w:start w:val="1"/>
      <w:numFmt w:val="decimal"/>
      <w:lvlText w:val="%4."/>
      <w:lvlJc w:val="left"/>
      <w:pPr>
        <w:ind w:left="6489" w:hanging="360"/>
      </w:pPr>
    </w:lvl>
    <w:lvl w:ilvl="4" w:tplc="38090019" w:tentative="1">
      <w:start w:val="1"/>
      <w:numFmt w:val="lowerLetter"/>
      <w:lvlText w:val="%5."/>
      <w:lvlJc w:val="left"/>
      <w:pPr>
        <w:ind w:left="7209" w:hanging="360"/>
      </w:pPr>
    </w:lvl>
    <w:lvl w:ilvl="5" w:tplc="3809001B" w:tentative="1">
      <w:start w:val="1"/>
      <w:numFmt w:val="lowerRoman"/>
      <w:lvlText w:val="%6."/>
      <w:lvlJc w:val="right"/>
      <w:pPr>
        <w:ind w:left="7929" w:hanging="180"/>
      </w:pPr>
    </w:lvl>
    <w:lvl w:ilvl="6" w:tplc="3809000F" w:tentative="1">
      <w:start w:val="1"/>
      <w:numFmt w:val="decimal"/>
      <w:lvlText w:val="%7."/>
      <w:lvlJc w:val="left"/>
      <w:pPr>
        <w:ind w:left="8649" w:hanging="360"/>
      </w:pPr>
    </w:lvl>
    <w:lvl w:ilvl="7" w:tplc="38090019" w:tentative="1">
      <w:start w:val="1"/>
      <w:numFmt w:val="lowerLetter"/>
      <w:lvlText w:val="%8."/>
      <w:lvlJc w:val="left"/>
      <w:pPr>
        <w:ind w:left="9369" w:hanging="360"/>
      </w:pPr>
    </w:lvl>
    <w:lvl w:ilvl="8" w:tplc="3809001B" w:tentative="1">
      <w:start w:val="1"/>
      <w:numFmt w:val="lowerRoman"/>
      <w:lvlText w:val="%9."/>
      <w:lvlJc w:val="right"/>
      <w:pPr>
        <w:ind w:left="10089" w:hanging="180"/>
      </w:pPr>
    </w:lvl>
  </w:abstractNum>
  <w:abstractNum w:abstractNumId="383" w15:restartNumberingAfterBreak="0">
    <w:nsid w:val="5DDF6FF5"/>
    <w:multiLevelType w:val="hybridMultilevel"/>
    <w:tmpl w:val="25DA7366"/>
    <w:lvl w:ilvl="0" w:tplc="38090011">
      <w:start w:val="1"/>
      <w:numFmt w:val="decimal"/>
      <w:lvlText w:val="%1)"/>
      <w:lvlJc w:val="left"/>
      <w:pPr>
        <w:ind w:left="1080" w:hanging="360"/>
      </w:pPr>
      <w:rPr>
        <w:b w:val="0"/>
        <w:bCs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4" w15:restartNumberingAfterBreak="0">
    <w:nsid w:val="5E330A0B"/>
    <w:multiLevelType w:val="multilevel"/>
    <w:tmpl w:val="6EE01072"/>
    <w:lvl w:ilvl="0">
      <w:start w:val="2"/>
      <w:numFmt w:val="upperLetter"/>
      <w:lvlText w:val="%1."/>
      <w:lvlJc w:val="left"/>
      <w:pPr>
        <w:ind w:left="347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sz w:val="24"/>
        <w:szCs w:val="24"/>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5" w15:restartNumberingAfterBreak="0">
    <w:nsid w:val="5E5B1512"/>
    <w:multiLevelType w:val="hybridMultilevel"/>
    <w:tmpl w:val="7A2088A8"/>
    <w:lvl w:ilvl="0" w:tplc="2954BF54">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386" w15:restartNumberingAfterBreak="0">
    <w:nsid w:val="5EA36232"/>
    <w:multiLevelType w:val="hybridMultilevel"/>
    <w:tmpl w:val="7B4EFE6E"/>
    <w:lvl w:ilvl="0" w:tplc="F47AA00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7" w15:restartNumberingAfterBreak="0">
    <w:nsid w:val="5ED2603E"/>
    <w:multiLevelType w:val="multilevel"/>
    <w:tmpl w:val="05F873BC"/>
    <w:lvl w:ilvl="0">
      <w:start w:val="1"/>
      <w:numFmt w:val="decimal"/>
      <w:lvlText w:val="%1)"/>
      <w:lvlJc w:val="left"/>
      <w:pPr>
        <w:ind w:left="438" w:hanging="321"/>
      </w:pPr>
      <w:rPr>
        <w:rFonts w:ascii="Bookman Old Style" w:eastAsia="Bookman Old Style" w:hAnsi="Bookman Old Style" w:cs="Bookman Old Style" w:hint="default"/>
        <w:sz w:val="24"/>
        <w:szCs w:val="24"/>
      </w:rPr>
    </w:lvl>
    <w:lvl w:ilvl="1">
      <w:numFmt w:val="bullet"/>
      <w:lvlText w:val="•"/>
      <w:lvlJc w:val="left"/>
      <w:pPr>
        <w:ind w:left="1018" w:hanging="321"/>
      </w:pPr>
      <w:rPr>
        <w:rFonts w:hint="default"/>
      </w:rPr>
    </w:lvl>
    <w:lvl w:ilvl="2">
      <w:numFmt w:val="bullet"/>
      <w:lvlText w:val="•"/>
      <w:lvlJc w:val="left"/>
      <w:pPr>
        <w:ind w:left="1597" w:hanging="321"/>
      </w:pPr>
      <w:rPr>
        <w:rFonts w:hint="default"/>
      </w:rPr>
    </w:lvl>
    <w:lvl w:ilvl="3">
      <w:numFmt w:val="bullet"/>
      <w:lvlText w:val="•"/>
      <w:lvlJc w:val="left"/>
      <w:pPr>
        <w:ind w:left="2175" w:hanging="321"/>
      </w:pPr>
      <w:rPr>
        <w:rFonts w:hint="default"/>
      </w:rPr>
    </w:lvl>
    <w:lvl w:ilvl="4">
      <w:numFmt w:val="bullet"/>
      <w:lvlText w:val="•"/>
      <w:lvlJc w:val="left"/>
      <w:pPr>
        <w:ind w:left="2754" w:hanging="321"/>
      </w:pPr>
      <w:rPr>
        <w:rFonts w:hint="default"/>
      </w:rPr>
    </w:lvl>
    <w:lvl w:ilvl="5">
      <w:numFmt w:val="bullet"/>
      <w:lvlText w:val="•"/>
      <w:lvlJc w:val="left"/>
      <w:pPr>
        <w:ind w:left="3333" w:hanging="321"/>
      </w:pPr>
      <w:rPr>
        <w:rFonts w:hint="default"/>
      </w:rPr>
    </w:lvl>
    <w:lvl w:ilvl="6">
      <w:numFmt w:val="bullet"/>
      <w:lvlText w:val="•"/>
      <w:lvlJc w:val="left"/>
      <w:pPr>
        <w:ind w:left="3911" w:hanging="321"/>
      </w:pPr>
      <w:rPr>
        <w:rFonts w:hint="default"/>
      </w:rPr>
    </w:lvl>
    <w:lvl w:ilvl="7">
      <w:numFmt w:val="bullet"/>
      <w:lvlText w:val="•"/>
      <w:lvlJc w:val="left"/>
      <w:pPr>
        <w:ind w:left="4490" w:hanging="321"/>
      </w:pPr>
      <w:rPr>
        <w:rFonts w:hint="default"/>
      </w:rPr>
    </w:lvl>
    <w:lvl w:ilvl="8">
      <w:numFmt w:val="bullet"/>
      <w:lvlText w:val="•"/>
      <w:lvlJc w:val="left"/>
      <w:pPr>
        <w:ind w:left="5068" w:hanging="321"/>
      </w:pPr>
      <w:rPr>
        <w:rFonts w:hint="default"/>
      </w:rPr>
    </w:lvl>
  </w:abstractNum>
  <w:abstractNum w:abstractNumId="388" w15:restartNumberingAfterBreak="0">
    <w:nsid w:val="5ED3168D"/>
    <w:multiLevelType w:val="multilevel"/>
    <w:tmpl w:val="AC501EF2"/>
    <w:lvl w:ilvl="0">
      <w:start w:val="1"/>
      <w:numFmt w:val="decimal"/>
      <w:lvlText w:val="%1)"/>
      <w:lvlJc w:val="left"/>
      <w:pPr>
        <w:ind w:left="438" w:hanging="289"/>
      </w:pPr>
      <w:rPr>
        <w:color w:val="000000" w:themeColor="text1"/>
        <w:sz w:val="24"/>
        <w:szCs w:val="24"/>
      </w:rPr>
    </w:lvl>
    <w:lvl w:ilvl="1">
      <w:numFmt w:val="bullet"/>
      <w:lvlText w:val="•"/>
      <w:lvlJc w:val="left"/>
      <w:pPr>
        <w:ind w:left="1018" w:hanging="289"/>
      </w:pPr>
    </w:lvl>
    <w:lvl w:ilvl="2">
      <w:numFmt w:val="bullet"/>
      <w:lvlText w:val="•"/>
      <w:lvlJc w:val="left"/>
      <w:pPr>
        <w:ind w:left="1597" w:hanging="289"/>
      </w:pPr>
    </w:lvl>
    <w:lvl w:ilvl="3">
      <w:numFmt w:val="bullet"/>
      <w:lvlText w:val="•"/>
      <w:lvlJc w:val="left"/>
      <w:pPr>
        <w:ind w:left="2175" w:hanging="289"/>
      </w:pPr>
    </w:lvl>
    <w:lvl w:ilvl="4">
      <w:numFmt w:val="bullet"/>
      <w:lvlText w:val="•"/>
      <w:lvlJc w:val="left"/>
      <w:pPr>
        <w:ind w:left="2754" w:hanging="289"/>
      </w:pPr>
    </w:lvl>
    <w:lvl w:ilvl="5">
      <w:numFmt w:val="bullet"/>
      <w:lvlText w:val="•"/>
      <w:lvlJc w:val="left"/>
      <w:pPr>
        <w:ind w:left="3333" w:hanging="288"/>
      </w:pPr>
    </w:lvl>
    <w:lvl w:ilvl="6">
      <w:numFmt w:val="bullet"/>
      <w:lvlText w:val="•"/>
      <w:lvlJc w:val="left"/>
      <w:pPr>
        <w:ind w:left="3911" w:hanging="288"/>
      </w:pPr>
    </w:lvl>
    <w:lvl w:ilvl="7">
      <w:numFmt w:val="bullet"/>
      <w:lvlText w:val="•"/>
      <w:lvlJc w:val="left"/>
      <w:pPr>
        <w:ind w:left="4490" w:hanging="289"/>
      </w:pPr>
    </w:lvl>
    <w:lvl w:ilvl="8">
      <w:numFmt w:val="bullet"/>
      <w:lvlText w:val="•"/>
      <w:lvlJc w:val="left"/>
      <w:pPr>
        <w:ind w:left="5068" w:hanging="289"/>
      </w:pPr>
    </w:lvl>
  </w:abstractNum>
  <w:abstractNum w:abstractNumId="389" w15:restartNumberingAfterBreak="0">
    <w:nsid w:val="5F226A2E"/>
    <w:multiLevelType w:val="hybridMultilevel"/>
    <w:tmpl w:val="74821AE8"/>
    <w:lvl w:ilvl="0" w:tplc="5508A69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0" w15:restartNumberingAfterBreak="0">
    <w:nsid w:val="5FCB4898"/>
    <w:multiLevelType w:val="multilevel"/>
    <w:tmpl w:val="DBFE4BD6"/>
    <w:lvl w:ilvl="0">
      <w:start w:val="1"/>
      <w:numFmt w:val="decimal"/>
      <w:lvlText w:val="%1)"/>
      <w:lvlJc w:val="left"/>
      <w:pPr>
        <w:ind w:left="438" w:hanging="321"/>
      </w:pPr>
      <w:rPr>
        <w:rFonts w:ascii="Bookman Old Style" w:eastAsia="Bookman Old Style" w:hAnsi="Bookman Old Style" w:cs="Bookman Old Style"/>
        <w:sz w:val="24"/>
        <w:szCs w:val="24"/>
      </w:rPr>
    </w:lvl>
    <w:lvl w:ilvl="1">
      <w:numFmt w:val="bullet"/>
      <w:lvlText w:val="•"/>
      <w:lvlJc w:val="left"/>
      <w:pPr>
        <w:ind w:left="1387" w:hanging="321"/>
      </w:pPr>
    </w:lvl>
    <w:lvl w:ilvl="2">
      <w:numFmt w:val="bullet"/>
      <w:lvlText w:val="•"/>
      <w:lvlJc w:val="left"/>
      <w:pPr>
        <w:ind w:left="2334" w:hanging="321"/>
      </w:pPr>
    </w:lvl>
    <w:lvl w:ilvl="3">
      <w:numFmt w:val="bullet"/>
      <w:lvlText w:val="•"/>
      <w:lvlJc w:val="left"/>
      <w:pPr>
        <w:ind w:left="3281" w:hanging="321"/>
      </w:pPr>
    </w:lvl>
    <w:lvl w:ilvl="4">
      <w:numFmt w:val="bullet"/>
      <w:lvlText w:val="•"/>
      <w:lvlJc w:val="left"/>
      <w:pPr>
        <w:ind w:left="4228" w:hanging="321"/>
      </w:pPr>
    </w:lvl>
    <w:lvl w:ilvl="5">
      <w:numFmt w:val="bullet"/>
      <w:lvlText w:val="•"/>
      <w:lvlJc w:val="left"/>
      <w:pPr>
        <w:ind w:left="5175" w:hanging="321"/>
      </w:pPr>
    </w:lvl>
    <w:lvl w:ilvl="6">
      <w:numFmt w:val="bullet"/>
      <w:lvlText w:val="•"/>
      <w:lvlJc w:val="left"/>
      <w:pPr>
        <w:ind w:left="6122" w:hanging="321"/>
      </w:pPr>
    </w:lvl>
    <w:lvl w:ilvl="7">
      <w:numFmt w:val="bullet"/>
      <w:lvlText w:val="•"/>
      <w:lvlJc w:val="left"/>
      <w:pPr>
        <w:ind w:left="7069" w:hanging="321"/>
      </w:pPr>
    </w:lvl>
    <w:lvl w:ilvl="8">
      <w:numFmt w:val="bullet"/>
      <w:lvlText w:val="•"/>
      <w:lvlJc w:val="left"/>
      <w:pPr>
        <w:ind w:left="8016" w:hanging="321"/>
      </w:pPr>
    </w:lvl>
  </w:abstractNum>
  <w:abstractNum w:abstractNumId="391" w15:restartNumberingAfterBreak="0">
    <w:nsid w:val="5FE11382"/>
    <w:multiLevelType w:val="hybridMultilevel"/>
    <w:tmpl w:val="F8929FEE"/>
    <w:lvl w:ilvl="0" w:tplc="66F2EF90">
      <w:start w:val="1"/>
      <w:numFmt w:val="low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392" w15:restartNumberingAfterBreak="0">
    <w:nsid w:val="60393282"/>
    <w:multiLevelType w:val="hybridMultilevel"/>
    <w:tmpl w:val="FC480254"/>
    <w:lvl w:ilvl="0" w:tplc="7C9254FE">
      <w:start w:val="1"/>
      <w:numFmt w:val="lowerLetter"/>
      <w:lvlText w:val="%1)"/>
      <w:lvlJc w:val="left"/>
      <w:pPr>
        <w:ind w:left="3195" w:hanging="360"/>
      </w:pPr>
      <w:rPr>
        <w:rFonts w:hint="default"/>
      </w:rPr>
    </w:lvl>
    <w:lvl w:ilvl="1" w:tplc="38090019" w:tentative="1">
      <w:start w:val="1"/>
      <w:numFmt w:val="lowerLetter"/>
      <w:lvlText w:val="%2."/>
      <w:lvlJc w:val="left"/>
      <w:pPr>
        <w:ind w:left="3915" w:hanging="360"/>
      </w:pPr>
    </w:lvl>
    <w:lvl w:ilvl="2" w:tplc="3809001B" w:tentative="1">
      <w:start w:val="1"/>
      <w:numFmt w:val="lowerRoman"/>
      <w:lvlText w:val="%3."/>
      <w:lvlJc w:val="right"/>
      <w:pPr>
        <w:ind w:left="4635" w:hanging="180"/>
      </w:pPr>
    </w:lvl>
    <w:lvl w:ilvl="3" w:tplc="3809000F" w:tentative="1">
      <w:start w:val="1"/>
      <w:numFmt w:val="decimal"/>
      <w:lvlText w:val="%4."/>
      <w:lvlJc w:val="left"/>
      <w:pPr>
        <w:ind w:left="5355" w:hanging="360"/>
      </w:pPr>
    </w:lvl>
    <w:lvl w:ilvl="4" w:tplc="38090019" w:tentative="1">
      <w:start w:val="1"/>
      <w:numFmt w:val="lowerLetter"/>
      <w:lvlText w:val="%5."/>
      <w:lvlJc w:val="left"/>
      <w:pPr>
        <w:ind w:left="6075" w:hanging="360"/>
      </w:pPr>
    </w:lvl>
    <w:lvl w:ilvl="5" w:tplc="3809001B" w:tentative="1">
      <w:start w:val="1"/>
      <w:numFmt w:val="lowerRoman"/>
      <w:lvlText w:val="%6."/>
      <w:lvlJc w:val="right"/>
      <w:pPr>
        <w:ind w:left="6795" w:hanging="180"/>
      </w:pPr>
    </w:lvl>
    <w:lvl w:ilvl="6" w:tplc="3809000F" w:tentative="1">
      <w:start w:val="1"/>
      <w:numFmt w:val="decimal"/>
      <w:lvlText w:val="%7."/>
      <w:lvlJc w:val="left"/>
      <w:pPr>
        <w:ind w:left="7515" w:hanging="360"/>
      </w:pPr>
    </w:lvl>
    <w:lvl w:ilvl="7" w:tplc="38090019" w:tentative="1">
      <w:start w:val="1"/>
      <w:numFmt w:val="lowerLetter"/>
      <w:lvlText w:val="%8."/>
      <w:lvlJc w:val="left"/>
      <w:pPr>
        <w:ind w:left="8235" w:hanging="360"/>
      </w:pPr>
    </w:lvl>
    <w:lvl w:ilvl="8" w:tplc="3809001B" w:tentative="1">
      <w:start w:val="1"/>
      <w:numFmt w:val="lowerRoman"/>
      <w:lvlText w:val="%9."/>
      <w:lvlJc w:val="right"/>
      <w:pPr>
        <w:ind w:left="8955" w:hanging="180"/>
      </w:pPr>
    </w:lvl>
  </w:abstractNum>
  <w:abstractNum w:abstractNumId="393" w15:restartNumberingAfterBreak="0">
    <w:nsid w:val="60A5595A"/>
    <w:multiLevelType w:val="hybridMultilevel"/>
    <w:tmpl w:val="206E7816"/>
    <w:lvl w:ilvl="0" w:tplc="59243540">
      <w:start w:val="1"/>
      <w:numFmt w:val="lowerLetter"/>
      <w:lvlText w:val="%1."/>
      <w:lvlJc w:val="left"/>
      <w:pPr>
        <w:ind w:left="566" w:hanging="425"/>
      </w:pPr>
      <w:rPr>
        <w:rFonts w:hint="default"/>
        <w:b w:val="0"/>
        <w:bCs w:val="0"/>
        <w:i w:val="0"/>
        <w:iCs w:val="0"/>
        <w:spacing w:val="0"/>
        <w:w w:val="100"/>
        <w:sz w:val="24"/>
        <w:szCs w:val="24"/>
        <w:lang w:val="id" w:eastAsia="en-US" w:bidi="ar-SA"/>
      </w:rPr>
    </w:lvl>
    <w:lvl w:ilvl="1" w:tplc="5EE293D0">
      <w:numFmt w:val="bullet"/>
      <w:lvlText w:val="•"/>
      <w:lvlJc w:val="left"/>
      <w:pPr>
        <w:ind w:left="1294" w:hanging="425"/>
      </w:pPr>
      <w:rPr>
        <w:rFonts w:hint="default"/>
        <w:lang w:val="id" w:eastAsia="en-US" w:bidi="ar-SA"/>
      </w:rPr>
    </w:lvl>
    <w:lvl w:ilvl="2" w:tplc="0FBAC9B8">
      <w:numFmt w:val="bullet"/>
      <w:lvlText w:val="•"/>
      <w:lvlJc w:val="left"/>
      <w:pPr>
        <w:ind w:left="2028" w:hanging="425"/>
      </w:pPr>
      <w:rPr>
        <w:rFonts w:hint="default"/>
        <w:lang w:val="id" w:eastAsia="en-US" w:bidi="ar-SA"/>
      </w:rPr>
    </w:lvl>
    <w:lvl w:ilvl="3" w:tplc="23F4BA6C">
      <w:numFmt w:val="bullet"/>
      <w:lvlText w:val="•"/>
      <w:lvlJc w:val="left"/>
      <w:pPr>
        <w:ind w:left="2762" w:hanging="425"/>
      </w:pPr>
      <w:rPr>
        <w:rFonts w:hint="default"/>
        <w:lang w:val="id" w:eastAsia="en-US" w:bidi="ar-SA"/>
      </w:rPr>
    </w:lvl>
    <w:lvl w:ilvl="4" w:tplc="4ED21E6A">
      <w:numFmt w:val="bullet"/>
      <w:lvlText w:val="•"/>
      <w:lvlJc w:val="left"/>
      <w:pPr>
        <w:ind w:left="3496" w:hanging="425"/>
      </w:pPr>
      <w:rPr>
        <w:rFonts w:hint="default"/>
        <w:lang w:val="id" w:eastAsia="en-US" w:bidi="ar-SA"/>
      </w:rPr>
    </w:lvl>
    <w:lvl w:ilvl="5" w:tplc="21A89C46">
      <w:numFmt w:val="bullet"/>
      <w:lvlText w:val="•"/>
      <w:lvlJc w:val="left"/>
      <w:pPr>
        <w:ind w:left="4230" w:hanging="425"/>
      </w:pPr>
      <w:rPr>
        <w:rFonts w:hint="default"/>
        <w:lang w:val="id" w:eastAsia="en-US" w:bidi="ar-SA"/>
      </w:rPr>
    </w:lvl>
    <w:lvl w:ilvl="6" w:tplc="C4C8DF46">
      <w:numFmt w:val="bullet"/>
      <w:lvlText w:val="•"/>
      <w:lvlJc w:val="left"/>
      <w:pPr>
        <w:ind w:left="4964" w:hanging="425"/>
      </w:pPr>
      <w:rPr>
        <w:rFonts w:hint="default"/>
        <w:lang w:val="id" w:eastAsia="en-US" w:bidi="ar-SA"/>
      </w:rPr>
    </w:lvl>
    <w:lvl w:ilvl="7" w:tplc="2C7AB780">
      <w:numFmt w:val="bullet"/>
      <w:lvlText w:val="•"/>
      <w:lvlJc w:val="left"/>
      <w:pPr>
        <w:ind w:left="5698" w:hanging="425"/>
      </w:pPr>
      <w:rPr>
        <w:rFonts w:hint="default"/>
        <w:lang w:val="id" w:eastAsia="en-US" w:bidi="ar-SA"/>
      </w:rPr>
    </w:lvl>
    <w:lvl w:ilvl="8" w:tplc="40742CD6">
      <w:numFmt w:val="bullet"/>
      <w:lvlText w:val="•"/>
      <w:lvlJc w:val="left"/>
      <w:pPr>
        <w:ind w:left="6432" w:hanging="425"/>
      </w:pPr>
      <w:rPr>
        <w:rFonts w:hint="default"/>
        <w:lang w:val="id" w:eastAsia="en-US" w:bidi="ar-SA"/>
      </w:rPr>
    </w:lvl>
  </w:abstractNum>
  <w:abstractNum w:abstractNumId="394" w15:restartNumberingAfterBreak="0">
    <w:nsid w:val="61442B71"/>
    <w:multiLevelType w:val="hybridMultilevel"/>
    <w:tmpl w:val="10A613AA"/>
    <w:lvl w:ilvl="0" w:tplc="151C1572">
      <w:start w:val="1"/>
      <w:numFmt w:val="decimal"/>
      <w:lvlText w:val="(%1)"/>
      <w:lvlJc w:val="left"/>
      <w:pPr>
        <w:ind w:left="3195" w:hanging="360"/>
      </w:pPr>
      <w:rPr>
        <w:rFonts w:hint="default"/>
      </w:rPr>
    </w:lvl>
    <w:lvl w:ilvl="1" w:tplc="38090019" w:tentative="1">
      <w:start w:val="1"/>
      <w:numFmt w:val="lowerLetter"/>
      <w:lvlText w:val="%2."/>
      <w:lvlJc w:val="left"/>
      <w:pPr>
        <w:ind w:left="3915" w:hanging="360"/>
      </w:pPr>
    </w:lvl>
    <w:lvl w:ilvl="2" w:tplc="3809001B" w:tentative="1">
      <w:start w:val="1"/>
      <w:numFmt w:val="lowerRoman"/>
      <w:lvlText w:val="%3."/>
      <w:lvlJc w:val="right"/>
      <w:pPr>
        <w:ind w:left="4635" w:hanging="180"/>
      </w:pPr>
    </w:lvl>
    <w:lvl w:ilvl="3" w:tplc="3809000F" w:tentative="1">
      <w:start w:val="1"/>
      <w:numFmt w:val="decimal"/>
      <w:lvlText w:val="%4."/>
      <w:lvlJc w:val="left"/>
      <w:pPr>
        <w:ind w:left="5355" w:hanging="360"/>
      </w:pPr>
    </w:lvl>
    <w:lvl w:ilvl="4" w:tplc="38090019" w:tentative="1">
      <w:start w:val="1"/>
      <w:numFmt w:val="lowerLetter"/>
      <w:lvlText w:val="%5."/>
      <w:lvlJc w:val="left"/>
      <w:pPr>
        <w:ind w:left="6075" w:hanging="360"/>
      </w:pPr>
    </w:lvl>
    <w:lvl w:ilvl="5" w:tplc="3809001B" w:tentative="1">
      <w:start w:val="1"/>
      <w:numFmt w:val="lowerRoman"/>
      <w:lvlText w:val="%6."/>
      <w:lvlJc w:val="right"/>
      <w:pPr>
        <w:ind w:left="6795" w:hanging="180"/>
      </w:pPr>
    </w:lvl>
    <w:lvl w:ilvl="6" w:tplc="3809000F" w:tentative="1">
      <w:start w:val="1"/>
      <w:numFmt w:val="decimal"/>
      <w:lvlText w:val="%7."/>
      <w:lvlJc w:val="left"/>
      <w:pPr>
        <w:ind w:left="7515" w:hanging="360"/>
      </w:pPr>
    </w:lvl>
    <w:lvl w:ilvl="7" w:tplc="38090019" w:tentative="1">
      <w:start w:val="1"/>
      <w:numFmt w:val="lowerLetter"/>
      <w:lvlText w:val="%8."/>
      <w:lvlJc w:val="left"/>
      <w:pPr>
        <w:ind w:left="8235" w:hanging="360"/>
      </w:pPr>
    </w:lvl>
    <w:lvl w:ilvl="8" w:tplc="3809001B" w:tentative="1">
      <w:start w:val="1"/>
      <w:numFmt w:val="lowerRoman"/>
      <w:lvlText w:val="%9."/>
      <w:lvlJc w:val="right"/>
      <w:pPr>
        <w:ind w:left="8955" w:hanging="180"/>
      </w:pPr>
    </w:lvl>
  </w:abstractNum>
  <w:abstractNum w:abstractNumId="395" w15:restartNumberingAfterBreak="0">
    <w:nsid w:val="616B0F2B"/>
    <w:multiLevelType w:val="hybridMultilevel"/>
    <w:tmpl w:val="821CF3A0"/>
    <w:lvl w:ilvl="0" w:tplc="8E9C757C">
      <w:start w:val="1"/>
      <w:numFmt w:val="lowerLetter"/>
      <w:lvlText w:val="%1."/>
      <w:lvlJc w:val="left"/>
      <w:pPr>
        <w:ind w:left="2061" w:hanging="360"/>
      </w:pPr>
      <w:rPr>
        <w:rFonts w:hint="default"/>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396" w15:restartNumberingAfterBreak="0">
    <w:nsid w:val="619A14A5"/>
    <w:multiLevelType w:val="hybridMultilevel"/>
    <w:tmpl w:val="528C42D4"/>
    <w:lvl w:ilvl="0" w:tplc="2E8AB904">
      <w:start w:val="1"/>
      <w:numFmt w:val="lowerLetter"/>
      <w:lvlText w:val="%1."/>
      <w:lvlJc w:val="left"/>
      <w:pPr>
        <w:ind w:left="2061" w:hanging="360"/>
      </w:pPr>
      <w:rPr>
        <w:rFonts w:hint="default"/>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397" w15:restartNumberingAfterBreak="0">
    <w:nsid w:val="619B35AF"/>
    <w:multiLevelType w:val="multilevel"/>
    <w:tmpl w:val="05DE7030"/>
    <w:lvl w:ilvl="0">
      <w:start w:val="1"/>
      <w:numFmt w:val="decimal"/>
      <w:lvlText w:val="%1)"/>
      <w:lvlJc w:val="left"/>
      <w:pPr>
        <w:ind w:left="870" w:hanging="360"/>
      </w:pPr>
    </w:lvl>
    <w:lvl w:ilvl="1">
      <w:start w:val="1"/>
      <w:numFmt w:val="bullet"/>
      <w:lvlText w:val="o"/>
      <w:lvlJc w:val="left"/>
      <w:pPr>
        <w:ind w:left="1590" w:hanging="360"/>
      </w:pPr>
      <w:rPr>
        <w:rFonts w:ascii="Courier New" w:eastAsia="Courier New" w:hAnsi="Courier New" w:cs="Courier New"/>
      </w:rPr>
    </w:lvl>
    <w:lvl w:ilvl="2">
      <w:start w:val="1"/>
      <w:numFmt w:val="bullet"/>
      <w:lvlText w:val="▪"/>
      <w:lvlJc w:val="left"/>
      <w:pPr>
        <w:ind w:left="2310" w:hanging="360"/>
      </w:pPr>
      <w:rPr>
        <w:rFonts w:ascii="Noto Sans Symbols" w:eastAsia="Noto Sans Symbols" w:hAnsi="Noto Sans Symbols" w:cs="Noto Sans Symbols"/>
      </w:rPr>
    </w:lvl>
    <w:lvl w:ilvl="3">
      <w:start w:val="1"/>
      <w:numFmt w:val="bullet"/>
      <w:lvlText w:val="●"/>
      <w:lvlJc w:val="left"/>
      <w:pPr>
        <w:ind w:left="3030" w:hanging="360"/>
      </w:pPr>
      <w:rPr>
        <w:rFonts w:ascii="Noto Sans Symbols" w:eastAsia="Noto Sans Symbols" w:hAnsi="Noto Sans Symbols" w:cs="Noto Sans Symbols"/>
      </w:rPr>
    </w:lvl>
    <w:lvl w:ilvl="4">
      <w:start w:val="1"/>
      <w:numFmt w:val="bullet"/>
      <w:lvlText w:val="o"/>
      <w:lvlJc w:val="left"/>
      <w:pPr>
        <w:ind w:left="3750" w:hanging="360"/>
      </w:pPr>
      <w:rPr>
        <w:rFonts w:ascii="Courier New" w:eastAsia="Courier New" w:hAnsi="Courier New" w:cs="Courier New"/>
      </w:rPr>
    </w:lvl>
    <w:lvl w:ilvl="5">
      <w:start w:val="1"/>
      <w:numFmt w:val="bullet"/>
      <w:lvlText w:val="▪"/>
      <w:lvlJc w:val="left"/>
      <w:pPr>
        <w:ind w:left="4470" w:hanging="360"/>
      </w:pPr>
      <w:rPr>
        <w:rFonts w:ascii="Noto Sans Symbols" w:eastAsia="Noto Sans Symbols" w:hAnsi="Noto Sans Symbols" w:cs="Noto Sans Symbols"/>
      </w:rPr>
    </w:lvl>
    <w:lvl w:ilvl="6">
      <w:start w:val="1"/>
      <w:numFmt w:val="bullet"/>
      <w:lvlText w:val="●"/>
      <w:lvlJc w:val="left"/>
      <w:pPr>
        <w:ind w:left="5190" w:hanging="360"/>
      </w:pPr>
      <w:rPr>
        <w:rFonts w:ascii="Noto Sans Symbols" w:eastAsia="Noto Sans Symbols" w:hAnsi="Noto Sans Symbols" w:cs="Noto Sans Symbols"/>
      </w:rPr>
    </w:lvl>
    <w:lvl w:ilvl="7">
      <w:start w:val="1"/>
      <w:numFmt w:val="bullet"/>
      <w:lvlText w:val="o"/>
      <w:lvlJc w:val="left"/>
      <w:pPr>
        <w:ind w:left="5910" w:hanging="360"/>
      </w:pPr>
      <w:rPr>
        <w:rFonts w:ascii="Courier New" w:eastAsia="Courier New" w:hAnsi="Courier New" w:cs="Courier New"/>
      </w:rPr>
    </w:lvl>
    <w:lvl w:ilvl="8">
      <w:start w:val="1"/>
      <w:numFmt w:val="bullet"/>
      <w:lvlText w:val="▪"/>
      <w:lvlJc w:val="left"/>
      <w:pPr>
        <w:ind w:left="6630" w:hanging="360"/>
      </w:pPr>
      <w:rPr>
        <w:rFonts w:ascii="Noto Sans Symbols" w:eastAsia="Noto Sans Symbols" w:hAnsi="Noto Sans Symbols" w:cs="Noto Sans Symbols"/>
      </w:rPr>
    </w:lvl>
  </w:abstractNum>
  <w:abstractNum w:abstractNumId="398" w15:restartNumberingAfterBreak="0">
    <w:nsid w:val="61BA64A6"/>
    <w:multiLevelType w:val="hybridMultilevel"/>
    <w:tmpl w:val="F36E849A"/>
    <w:lvl w:ilvl="0" w:tplc="8FEAA622">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399" w15:restartNumberingAfterBreak="0">
    <w:nsid w:val="61FB20D2"/>
    <w:multiLevelType w:val="hybridMultilevel"/>
    <w:tmpl w:val="D58E59B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0" w15:restartNumberingAfterBreak="0">
    <w:nsid w:val="62115F4F"/>
    <w:multiLevelType w:val="hybridMultilevel"/>
    <w:tmpl w:val="9B30ED2C"/>
    <w:lvl w:ilvl="0" w:tplc="FFFFFFFF">
      <w:start w:val="1"/>
      <w:numFmt w:val="lowerLetter"/>
      <w:lvlText w:val="%1."/>
      <w:lvlJc w:val="left"/>
      <w:pPr>
        <w:ind w:left="1854" w:hanging="360"/>
      </w:pPr>
      <w:rPr>
        <w:rFonts w:hint="default"/>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401" w15:restartNumberingAfterBreak="0">
    <w:nsid w:val="622C0FB9"/>
    <w:multiLevelType w:val="hybridMultilevel"/>
    <w:tmpl w:val="98E0343C"/>
    <w:lvl w:ilvl="0" w:tplc="5608E27E">
      <w:start w:val="1"/>
      <w:numFmt w:val="upperLetter"/>
      <w:lvlText w:val="%1."/>
      <w:lvlJc w:val="left"/>
      <w:pPr>
        <w:ind w:left="524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2" w15:restartNumberingAfterBreak="0">
    <w:nsid w:val="62E12FF8"/>
    <w:multiLevelType w:val="hybridMultilevel"/>
    <w:tmpl w:val="6798B742"/>
    <w:lvl w:ilvl="0" w:tplc="1088AF8E">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403" w15:restartNumberingAfterBreak="0">
    <w:nsid w:val="62F23B7C"/>
    <w:multiLevelType w:val="hybridMultilevel"/>
    <w:tmpl w:val="A5DC5350"/>
    <w:lvl w:ilvl="0" w:tplc="B248EF0A">
      <w:start w:val="1"/>
      <w:numFmt w:val="upperRoman"/>
      <w:pStyle w:val="HeadingAwalDaftarIsiLampiran"/>
      <w:lvlText w:val="%1."/>
      <w:lvlJc w:val="righ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4" w15:restartNumberingAfterBreak="0">
    <w:nsid w:val="632005BD"/>
    <w:multiLevelType w:val="hybridMultilevel"/>
    <w:tmpl w:val="E378FE6A"/>
    <w:lvl w:ilvl="0" w:tplc="610699AC">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05" w15:restartNumberingAfterBreak="0">
    <w:nsid w:val="6324350A"/>
    <w:multiLevelType w:val="hybridMultilevel"/>
    <w:tmpl w:val="D794DBF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06" w15:restartNumberingAfterBreak="0">
    <w:nsid w:val="63C37D1C"/>
    <w:multiLevelType w:val="multilevel"/>
    <w:tmpl w:val="95902FB4"/>
    <w:lvl w:ilvl="0">
      <w:start w:val="1"/>
      <w:numFmt w:val="upperRoman"/>
      <w:lvlText w:val="%1"/>
      <w:lvlJc w:val="left"/>
      <w:pPr>
        <w:ind w:left="834" w:hanging="577"/>
      </w:pPr>
    </w:lvl>
    <w:lvl w:ilvl="1">
      <w:start w:val="1"/>
      <w:numFmt w:val="upperLetter"/>
      <w:lvlText w:val="%1.%2"/>
      <w:lvlJc w:val="left"/>
      <w:pPr>
        <w:ind w:left="834" w:hanging="577"/>
      </w:pPr>
      <w:rPr>
        <w:rFonts w:ascii="Cambria" w:eastAsia="Cambria" w:hAnsi="Cambria" w:cs="Cambria"/>
        <w:b/>
        <w:bCs/>
        <w:sz w:val="22"/>
        <w:szCs w:val="22"/>
      </w:rPr>
    </w:lvl>
    <w:lvl w:ilvl="2">
      <w:start w:val="1"/>
      <w:numFmt w:val="decimal"/>
      <w:lvlText w:val="%3."/>
      <w:lvlJc w:val="left"/>
      <w:pPr>
        <w:ind w:left="919" w:hanging="352"/>
      </w:pPr>
      <w:rPr>
        <w:rFonts w:ascii="Bookman Old Style" w:eastAsia="Cambria" w:hAnsi="Bookman Old Style" w:cs="Cambria" w:hint="default"/>
        <w:b w:val="0"/>
        <w:bCs w:val="0"/>
        <w:sz w:val="24"/>
        <w:szCs w:val="24"/>
      </w:rPr>
    </w:lvl>
    <w:lvl w:ilvl="3">
      <w:numFmt w:val="bullet"/>
      <w:lvlText w:val="•"/>
      <w:lvlJc w:val="left"/>
      <w:pPr>
        <w:ind w:left="4372" w:hanging="352"/>
      </w:pPr>
    </w:lvl>
    <w:lvl w:ilvl="4">
      <w:numFmt w:val="bullet"/>
      <w:lvlText w:val="•"/>
      <w:lvlJc w:val="left"/>
      <w:pPr>
        <w:ind w:left="5929" w:hanging="352"/>
      </w:pPr>
    </w:lvl>
    <w:lvl w:ilvl="5">
      <w:numFmt w:val="bullet"/>
      <w:lvlText w:val="•"/>
      <w:lvlJc w:val="left"/>
      <w:pPr>
        <w:ind w:left="7485" w:hanging="352"/>
      </w:pPr>
    </w:lvl>
    <w:lvl w:ilvl="6">
      <w:numFmt w:val="bullet"/>
      <w:lvlText w:val="•"/>
      <w:lvlJc w:val="left"/>
      <w:pPr>
        <w:ind w:left="9042" w:hanging="352"/>
      </w:pPr>
    </w:lvl>
    <w:lvl w:ilvl="7">
      <w:numFmt w:val="bullet"/>
      <w:lvlText w:val="•"/>
      <w:lvlJc w:val="left"/>
      <w:pPr>
        <w:ind w:left="10598" w:hanging="352"/>
      </w:pPr>
    </w:lvl>
    <w:lvl w:ilvl="8">
      <w:numFmt w:val="bullet"/>
      <w:lvlText w:val="•"/>
      <w:lvlJc w:val="left"/>
      <w:pPr>
        <w:ind w:left="12155" w:hanging="352"/>
      </w:pPr>
    </w:lvl>
  </w:abstractNum>
  <w:abstractNum w:abstractNumId="407" w15:restartNumberingAfterBreak="0">
    <w:nsid w:val="63E22AF6"/>
    <w:multiLevelType w:val="hybridMultilevel"/>
    <w:tmpl w:val="288C0100"/>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8" w15:restartNumberingAfterBreak="0">
    <w:nsid w:val="64421204"/>
    <w:multiLevelType w:val="hybridMultilevel"/>
    <w:tmpl w:val="712C2266"/>
    <w:lvl w:ilvl="0" w:tplc="AF141060">
      <w:start w:val="1"/>
      <w:numFmt w:val="lowerLetter"/>
      <w:lvlText w:val="%1)"/>
      <w:lvlJc w:val="left"/>
      <w:pPr>
        <w:ind w:left="3195" w:hanging="360"/>
      </w:pPr>
      <w:rPr>
        <w:rFonts w:hint="default"/>
      </w:rPr>
    </w:lvl>
    <w:lvl w:ilvl="1" w:tplc="38090019" w:tentative="1">
      <w:start w:val="1"/>
      <w:numFmt w:val="lowerLetter"/>
      <w:lvlText w:val="%2."/>
      <w:lvlJc w:val="left"/>
      <w:pPr>
        <w:ind w:left="3915" w:hanging="360"/>
      </w:pPr>
    </w:lvl>
    <w:lvl w:ilvl="2" w:tplc="3809001B" w:tentative="1">
      <w:start w:val="1"/>
      <w:numFmt w:val="lowerRoman"/>
      <w:lvlText w:val="%3."/>
      <w:lvlJc w:val="right"/>
      <w:pPr>
        <w:ind w:left="4635" w:hanging="180"/>
      </w:pPr>
    </w:lvl>
    <w:lvl w:ilvl="3" w:tplc="3809000F" w:tentative="1">
      <w:start w:val="1"/>
      <w:numFmt w:val="decimal"/>
      <w:lvlText w:val="%4."/>
      <w:lvlJc w:val="left"/>
      <w:pPr>
        <w:ind w:left="5355" w:hanging="360"/>
      </w:pPr>
    </w:lvl>
    <w:lvl w:ilvl="4" w:tplc="38090019" w:tentative="1">
      <w:start w:val="1"/>
      <w:numFmt w:val="lowerLetter"/>
      <w:lvlText w:val="%5."/>
      <w:lvlJc w:val="left"/>
      <w:pPr>
        <w:ind w:left="6075" w:hanging="360"/>
      </w:pPr>
    </w:lvl>
    <w:lvl w:ilvl="5" w:tplc="3809001B" w:tentative="1">
      <w:start w:val="1"/>
      <w:numFmt w:val="lowerRoman"/>
      <w:lvlText w:val="%6."/>
      <w:lvlJc w:val="right"/>
      <w:pPr>
        <w:ind w:left="6795" w:hanging="180"/>
      </w:pPr>
    </w:lvl>
    <w:lvl w:ilvl="6" w:tplc="3809000F" w:tentative="1">
      <w:start w:val="1"/>
      <w:numFmt w:val="decimal"/>
      <w:lvlText w:val="%7."/>
      <w:lvlJc w:val="left"/>
      <w:pPr>
        <w:ind w:left="7515" w:hanging="360"/>
      </w:pPr>
    </w:lvl>
    <w:lvl w:ilvl="7" w:tplc="38090019" w:tentative="1">
      <w:start w:val="1"/>
      <w:numFmt w:val="lowerLetter"/>
      <w:lvlText w:val="%8."/>
      <w:lvlJc w:val="left"/>
      <w:pPr>
        <w:ind w:left="8235" w:hanging="360"/>
      </w:pPr>
    </w:lvl>
    <w:lvl w:ilvl="8" w:tplc="3809001B" w:tentative="1">
      <w:start w:val="1"/>
      <w:numFmt w:val="lowerRoman"/>
      <w:lvlText w:val="%9."/>
      <w:lvlJc w:val="right"/>
      <w:pPr>
        <w:ind w:left="8955" w:hanging="180"/>
      </w:pPr>
    </w:lvl>
  </w:abstractNum>
  <w:abstractNum w:abstractNumId="409" w15:restartNumberingAfterBreak="0">
    <w:nsid w:val="64CD56B9"/>
    <w:multiLevelType w:val="multilevel"/>
    <w:tmpl w:val="93303B9C"/>
    <w:lvl w:ilvl="0">
      <w:numFmt w:val="bullet"/>
      <w:lvlText w:val="●"/>
      <w:lvlJc w:val="left"/>
      <w:pPr>
        <w:ind w:left="390" w:hanging="224"/>
      </w:pPr>
      <w:rPr>
        <w:rFonts w:ascii="Noto Sans Symbols" w:eastAsia="Noto Sans Symbols" w:hAnsi="Noto Sans Symbols" w:cs="Noto Sans Symbols"/>
        <w:sz w:val="22"/>
        <w:szCs w:val="22"/>
      </w:rPr>
    </w:lvl>
    <w:lvl w:ilvl="1">
      <w:numFmt w:val="bullet"/>
      <w:lvlText w:val="•"/>
      <w:lvlJc w:val="left"/>
      <w:pPr>
        <w:ind w:left="1109" w:hanging="224"/>
      </w:pPr>
    </w:lvl>
    <w:lvl w:ilvl="2">
      <w:numFmt w:val="bullet"/>
      <w:lvlText w:val="•"/>
      <w:lvlJc w:val="left"/>
      <w:pPr>
        <w:ind w:left="1818" w:hanging="224"/>
      </w:pPr>
    </w:lvl>
    <w:lvl w:ilvl="3">
      <w:numFmt w:val="bullet"/>
      <w:lvlText w:val="•"/>
      <w:lvlJc w:val="left"/>
      <w:pPr>
        <w:ind w:left="2527" w:hanging="224"/>
      </w:pPr>
    </w:lvl>
    <w:lvl w:ilvl="4">
      <w:numFmt w:val="bullet"/>
      <w:lvlText w:val="•"/>
      <w:lvlJc w:val="left"/>
      <w:pPr>
        <w:ind w:left="3236" w:hanging="223"/>
      </w:pPr>
    </w:lvl>
    <w:lvl w:ilvl="5">
      <w:numFmt w:val="bullet"/>
      <w:lvlText w:val="•"/>
      <w:lvlJc w:val="left"/>
      <w:pPr>
        <w:ind w:left="3945" w:hanging="224"/>
      </w:pPr>
    </w:lvl>
    <w:lvl w:ilvl="6">
      <w:numFmt w:val="bullet"/>
      <w:lvlText w:val="•"/>
      <w:lvlJc w:val="left"/>
      <w:pPr>
        <w:ind w:left="4654" w:hanging="224"/>
      </w:pPr>
    </w:lvl>
    <w:lvl w:ilvl="7">
      <w:numFmt w:val="bullet"/>
      <w:lvlText w:val="•"/>
      <w:lvlJc w:val="left"/>
      <w:pPr>
        <w:ind w:left="5363" w:hanging="224"/>
      </w:pPr>
    </w:lvl>
    <w:lvl w:ilvl="8">
      <w:numFmt w:val="bullet"/>
      <w:lvlText w:val="•"/>
      <w:lvlJc w:val="left"/>
      <w:pPr>
        <w:ind w:left="6072" w:hanging="223"/>
      </w:pPr>
    </w:lvl>
  </w:abstractNum>
  <w:abstractNum w:abstractNumId="410" w15:restartNumberingAfterBreak="0">
    <w:nsid w:val="64F83B12"/>
    <w:multiLevelType w:val="multilevel"/>
    <w:tmpl w:val="66D44060"/>
    <w:lvl w:ilvl="0">
      <w:start w:val="1"/>
      <w:numFmt w:val="decimal"/>
      <w:lvlText w:val="%1)"/>
      <w:lvlJc w:val="left"/>
      <w:pPr>
        <w:ind w:left="438" w:hanging="321"/>
      </w:pPr>
      <w:rPr>
        <w:rFonts w:ascii="Bookman Old Style" w:eastAsia="Bookman Old Style" w:hAnsi="Bookman Old Style" w:cs="Bookman Old Style"/>
        <w:sz w:val="22"/>
        <w:szCs w:val="22"/>
      </w:rPr>
    </w:lvl>
    <w:lvl w:ilvl="1">
      <w:numFmt w:val="bullet"/>
      <w:lvlText w:val="•"/>
      <w:lvlJc w:val="left"/>
      <w:pPr>
        <w:ind w:left="1018" w:hanging="321"/>
      </w:pPr>
    </w:lvl>
    <w:lvl w:ilvl="2">
      <w:numFmt w:val="bullet"/>
      <w:lvlText w:val="•"/>
      <w:lvlJc w:val="left"/>
      <w:pPr>
        <w:ind w:left="1597" w:hanging="321"/>
      </w:pPr>
    </w:lvl>
    <w:lvl w:ilvl="3">
      <w:numFmt w:val="bullet"/>
      <w:lvlText w:val="•"/>
      <w:lvlJc w:val="left"/>
      <w:pPr>
        <w:ind w:left="2175" w:hanging="321"/>
      </w:pPr>
    </w:lvl>
    <w:lvl w:ilvl="4">
      <w:numFmt w:val="bullet"/>
      <w:lvlText w:val="•"/>
      <w:lvlJc w:val="left"/>
      <w:pPr>
        <w:ind w:left="2754" w:hanging="321"/>
      </w:pPr>
    </w:lvl>
    <w:lvl w:ilvl="5">
      <w:numFmt w:val="bullet"/>
      <w:lvlText w:val="•"/>
      <w:lvlJc w:val="left"/>
      <w:pPr>
        <w:ind w:left="3333" w:hanging="321"/>
      </w:pPr>
    </w:lvl>
    <w:lvl w:ilvl="6">
      <w:numFmt w:val="bullet"/>
      <w:lvlText w:val="•"/>
      <w:lvlJc w:val="left"/>
      <w:pPr>
        <w:ind w:left="3911" w:hanging="321"/>
      </w:pPr>
    </w:lvl>
    <w:lvl w:ilvl="7">
      <w:numFmt w:val="bullet"/>
      <w:lvlText w:val="•"/>
      <w:lvlJc w:val="left"/>
      <w:pPr>
        <w:ind w:left="4490" w:hanging="321"/>
      </w:pPr>
    </w:lvl>
    <w:lvl w:ilvl="8">
      <w:numFmt w:val="bullet"/>
      <w:lvlText w:val="•"/>
      <w:lvlJc w:val="left"/>
      <w:pPr>
        <w:ind w:left="5068" w:hanging="321"/>
      </w:pPr>
    </w:lvl>
  </w:abstractNum>
  <w:abstractNum w:abstractNumId="411" w15:restartNumberingAfterBreak="0">
    <w:nsid w:val="65054388"/>
    <w:multiLevelType w:val="hybridMultilevel"/>
    <w:tmpl w:val="0742BE10"/>
    <w:lvl w:ilvl="0" w:tplc="38090011">
      <w:start w:val="1"/>
      <w:numFmt w:val="decimal"/>
      <w:lvlText w:val="%1)"/>
      <w:lvlJc w:val="left"/>
      <w:pPr>
        <w:ind w:left="720" w:hanging="360"/>
      </w:pPr>
      <w:rPr>
        <w:strike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2" w15:restartNumberingAfterBreak="0">
    <w:nsid w:val="656A69F4"/>
    <w:multiLevelType w:val="hybridMultilevel"/>
    <w:tmpl w:val="972CF452"/>
    <w:lvl w:ilvl="0" w:tplc="93025B0E">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413" w15:restartNumberingAfterBreak="0">
    <w:nsid w:val="65BD40C6"/>
    <w:multiLevelType w:val="hybridMultilevel"/>
    <w:tmpl w:val="AB124AF0"/>
    <w:lvl w:ilvl="0" w:tplc="B9187D26">
      <w:start w:val="1"/>
      <w:numFmt w:val="lowerLetter"/>
      <w:lvlText w:val="(%1)"/>
      <w:lvlJc w:val="left"/>
      <w:pPr>
        <w:ind w:left="4329" w:hanging="360"/>
      </w:pPr>
      <w:rPr>
        <w:rFonts w:hint="default"/>
      </w:rPr>
    </w:lvl>
    <w:lvl w:ilvl="1" w:tplc="38090019" w:tentative="1">
      <w:start w:val="1"/>
      <w:numFmt w:val="lowerLetter"/>
      <w:lvlText w:val="%2."/>
      <w:lvlJc w:val="left"/>
      <w:pPr>
        <w:ind w:left="5049" w:hanging="360"/>
      </w:pPr>
    </w:lvl>
    <w:lvl w:ilvl="2" w:tplc="3809001B" w:tentative="1">
      <w:start w:val="1"/>
      <w:numFmt w:val="lowerRoman"/>
      <w:lvlText w:val="%3."/>
      <w:lvlJc w:val="right"/>
      <w:pPr>
        <w:ind w:left="5769" w:hanging="180"/>
      </w:pPr>
    </w:lvl>
    <w:lvl w:ilvl="3" w:tplc="3809000F" w:tentative="1">
      <w:start w:val="1"/>
      <w:numFmt w:val="decimal"/>
      <w:lvlText w:val="%4."/>
      <w:lvlJc w:val="left"/>
      <w:pPr>
        <w:ind w:left="6489" w:hanging="360"/>
      </w:pPr>
    </w:lvl>
    <w:lvl w:ilvl="4" w:tplc="38090019" w:tentative="1">
      <w:start w:val="1"/>
      <w:numFmt w:val="lowerLetter"/>
      <w:lvlText w:val="%5."/>
      <w:lvlJc w:val="left"/>
      <w:pPr>
        <w:ind w:left="7209" w:hanging="360"/>
      </w:pPr>
    </w:lvl>
    <w:lvl w:ilvl="5" w:tplc="3809001B" w:tentative="1">
      <w:start w:val="1"/>
      <w:numFmt w:val="lowerRoman"/>
      <w:lvlText w:val="%6."/>
      <w:lvlJc w:val="right"/>
      <w:pPr>
        <w:ind w:left="7929" w:hanging="180"/>
      </w:pPr>
    </w:lvl>
    <w:lvl w:ilvl="6" w:tplc="3809000F" w:tentative="1">
      <w:start w:val="1"/>
      <w:numFmt w:val="decimal"/>
      <w:lvlText w:val="%7."/>
      <w:lvlJc w:val="left"/>
      <w:pPr>
        <w:ind w:left="8649" w:hanging="360"/>
      </w:pPr>
    </w:lvl>
    <w:lvl w:ilvl="7" w:tplc="38090019" w:tentative="1">
      <w:start w:val="1"/>
      <w:numFmt w:val="lowerLetter"/>
      <w:lvlText w:val="%8."/>
      <w:lvlJc w:val="left"/>
      <w:pPr>
        <w:ind w:left="9369" w:hanging="360"/>
      </w:pPr>
    </w:lvl>
    <w:lvl w:ilvl="8" w:tplc="3809001B" w:tentative="1">
      <w:start w:val="1"/>
      <w:numFmt w:val="lowerRoman"/>
      <w:lvlText w:val="%9."/>
      <w:lvlJc w:val="right"/>
      <w:pPr>
        <w:ind w:left="10089" w:hanging="180"/>
      </w:pPr>
    </w:lvl>
  </w:abstractNum>
  <w:abstractNum w:abstractNumId="414" w15:restartNumberingAfterBreak="0">
    <w:nsid w:val="65E419CD"/>
    <w:multiLevelType w:val="hybridMultilevel"/>
    <w:tmpl w:val="B1A0DC8E"/>
    <w:lvl w:ilvl="0" w:tplc="38090011">
      <w:start w:val="1"/>
      <w:numFmt w:val="decimal"/>
      <w:lvlText w:val="%1)"/>
      <w:lvlJc w:val="left"/>
      <w:pPr>
        <w:ind w:left="2746"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5" w15:restartNumberingAfterBreak="0">
    <w:nsid w:val="662565FF"/>
    <w:multiLevelType w:val="multilevel"/>
    <w:tmpl w:val="E8104412"/>
    <w:lvl w:ilvl="0">
      <w:start w:val="1"/>
      <w:numFmt w:val="decimal"/>
      <w:lvlText w:val="%1)"/>
      <w:lvlJc w:val="left"/>
      <w:pPr>
        <w:ind w:left="454" w:hanging="289"/>
      </w:pPr>
      <w:rPr>
        <w:sz w:val="24"/>
        <w:szCs w:val="24"/>
      </w:rPr>
    </w:lvl>
    <w:lvl w:ilvl="1">
      <w:start w:val="1"/>
      <w:numFmt w:val="bullet"/>
      <w:lvlText w:val=""/>
      <w:lvlJc w:val="left"/>
      <w:pPr>
        <w:ind w:left="1134" w:hanging="360"/>
      </w:pPr>
      <w:rPr>
        <w:rFonts w:ascii="Symbol" w:hAnsi="Symbol" w:hint="default"/>
      </w:rPr>
    </w:lvl>
    <w:lvl w:ilvl="2">
      <w:numFmt w:val="bullet"/>
      <w:lvlText w:val="•"/>
      <w:lvlJc w:val="left"/>
      <w:pPr>
        <w:ind w:left="1667" w:hanging="289"/>
      </w:pPr>
    </w:lvl>
    <w:lvl w:ilvl="3">
      <w:numFmt w:val="bullet"/>
      <w:lvlText w:val="•"/>
      <w:lvlJc w:val="left"/>
      <w:pPr>
        <w:ind w:left="2271" w:hanging="289"/>
      </w:pPr>
    </w:lvl>
    <w:lvl w:ilvl="4">
      <w:numFmt w:val="bullet"/>
      <w:lvlText w:val="•"/>
      <w:lvlJc w:val="left"/>
      <w:pPr>
        <w:ind w:left="2875" w:hanging="289"/>
      </w:pPr>
    </w:lvl>
    <w:lvl w:ilvl="5">
      <w:numFmt w:val="bullet"/>
      <w:lvlText w:val="•"/>
      <w:lvlJc w:val="left"/>
      <w:pPr>
        <w:ind w:left="3479" w:hanging="289"/>
      </w:pPr>
    </w:lvl>
    <w:lvl w:ilvl="6">
      <w:numFmt w:val="bullet"/>
      <w:lvlText w:val="•"/>
      <w:lvlJc w:val="left"/>
      <w:pPr>
        <w:ind w:left="4083" w:hanging="288"/>
      </w:pPr>
    </w:lvl>
    <w:lvl w:ilvl="7">
      <w:numFmt w:val="bullet"/>
      <w:lvlText w:val="•"/>
      <w:lvlJc w:val="left"/>
      <w:pPr>
        <w:ind w:left="4687" w:hanging="289"/>
      </w:pPr>
    </w:lvl>
    <w:lvl w:ilvl="8">
      <w:numFmt w:val="bullet"/>
      <w:lvlText w:val="•"/>
      <w:lvlJc w:val="left"/>
      <w:pPr>
        <w:ind w:left="5291" w:hanging="289"/>
      </w:pPr>
    </w:lvl>
  </w:abstractNum>
  <w:abstractNum w:abstractNumId="416" w15:restartNumberingAfterBreak="0">
    <w:nsid w:val="667448CD"/>
    <w:multiLevelType w:val="multilevel"/>
    <w:tmpl w:val="53CE68DE"/>
    <w:lvl w:ilvl="0">
      <w:start w:val="1"/>
      <w:numFmt w:val="lowerLetter"/>
      <w:lvlText w:val="%1)"/>
      <w:lvlJc w:val="left"/>
      <w:pPr>
        <w:ind w:left="470" w:hanging="336"/>
      </w:pPr>
      <w:rPr>
        <w:rFonts w:ascii="Bookman Old Style" w:eastAsia="Bookman Old Style" w:hAnsi="Bookman Old Style" w:cs="Bookman Old Style"/>
        <w:sz w:val="22"/>
        <w:szCs w:val="22"/>
      </w:rPr>
    </w:lvl>
    <w:lvl w:ilvl="1">
      <w:numFmt w:val="bullet"/>
      <w:lvlText w:val="•"/>
      <w:lvlJc w:val="left"/>
      <w:pPr>
        <w:ind w:left="766" w:hanging="336"/>
      </w:pPr>
    </w:lvl>
    <w:lvl w:ilvl="2">
      <w:numFmt w:val="bullet"/>
      <w:lvlText w:val="•"/>
      <w:lvlJc w:val="left"/>
      <w:pPr>
        <w:ind w:left="1072" w:hanging="336"/>
      </w:pPr>
    </w:lvl>
    <w:lvl w:ilvl="3">
      <w:numFmt w:val="bullet"/>
      <w:lvlText w:val="•"/>
      <w:lvlJc w:val="left"/>
      <w:pPr>
        <w:ind w:left="1378" w:hanging="335"/>
      </w:pPr>
    </w:lvl>
    <w:lvl w:ilvl="4">
      <w:numFmt w:val="bullet"/>
      <w:lvlText w:val="•"/>
      <w:lvlJc w:val="left"/>
      <w:pPr>
        <w:ind w:left="1684" w:hanging="336"/>
      </w:pPr>
    </w:lvl>
    <w:lvl w:ilvl="5">
      <w:numFmt w:val="bullet"/>
      <w:lvlText w:val="•"/>
      <w:lvlJc w:val="left"/>
      <w:pPr>
        <w:ind w:left="1990" w:hanging="336"/>
      </w:pPr>
    </w:lvl>
    <w:lvl w:ilvl="6">
      <w:numFmt w:val="bullet"/>
      <w:lvlText w:val="•"/>
      <w:lvlJc w:val="left"/>
      <w:pPr>
        <w:ind w:left="2296" w:hanging="336"/>
      </w:pPr>
    </w:lvl>
    <w:lvl w:ilvl="7">
      <w:numFmt w:val="bullet"/>
      <w:lvlText w:val="•"/>
      <w:lvlJc w:val="left"/>
      <w:pPr>
        <w:ind w:left="2602" w:hanging="336"/>
      </w:pPr>
    </w:lvl>
    <w:lvl w:ilvl="8">
      <w:numFmt w:val="bullet"/>
      <w:lvlText w:val="•"/>
      <w:lvlJc w:val="left"/>
      <w:pPr>
        <w:ind w:left="2908" w:hanging="336"/>
      </w:pPr>
    </w:lvl>
  </w:abstractNum>
  <w:abstractNum w:abstractNumId="417" w15:restartNumberingAfterBreak="0">
    <w:nsid w:val="66AB0085"/>
    <w:multiLevelType w:val="hybridMultilevel"/>
    <w:tmpl w:val="4542658A"/>
    <w:lvl w:ilvl="0" w:tplc="E9FCF1C0">
      <w:start w:val="1"/>
      <w:numFmt w:val="lowerLetter"/>
      <w:lvlText w:val="%1)"/>
      <w:lvlJc w:val="left"/>
      <w:pPr>
        <w:ind w:left="3195" w:hanging="360"/>
      </w:pPr>
      <w:rPr>
        <w:rFonts w:hint="default"/>
        <w:color w:val="auto"/>
      </w:rPr>
    </w:lvl>
    <w:lvl w:ilvl="1" w:tplc="38090019" w:tentative="1">
      <w:start w:val="1"/>
      <w:numFmt w:val="lowerLetter"/>
      <w:lvlText w:val="%2."/>
      <w:lvlJc w:val="left"/>
      <w:pPr>
        <w:ind w:left="3915" w:hanging="360"/>
      </w:pPr>
    </w:lvl>
    <w:lvl w:ilvl="2" w:tplc="3809001B" w:tentative="1">
      <w:start w:val="1"/>
      <w:numFmt w:val="lowerRoman"/>
      <w:lvlText w:val="%3."/>
      <w:lvlJc w:val="right"/>
      <w:pPr>
        <w:ind w:left="4635" w:hanging="180"/>
      </w:pPr>
    </w:lvl>
    <w:lvl w:ilvl="3" w:tplc="3809000F" w:tentative="1">
      <w:start w:val="1"/>
      <w:numFmt w:val="decimal"/>
      <w:lvlText w:val="%4."/>
      <w:lvlJc w:val="left"/>
      <w:pPr>
        <w:ind w:left="5355" w:hanging="360"/>
      </w:pPr>
    </w:lvl>
    <w:lvl w:ilvl="4" w:tplc="38090019" w:tentative="1">
      <w:start w:val="1"/>
      <w:numFmt w:val="lowerLetter"/>
      <w:lvlText w:val="%5."/>
      <w:lvlJc w:val="left"/>
      <w:pPr>
        <w:ind w:left="6075" w:hanging="360"/>
      </w:pPr>
    </w:lvl>
    <w:lvl w:ilvl="5" w:tplc="3809001B" w:tentative="1">
      <w:start w:val="1"/>
      <w:numFmt w:val="lowerRoman"/>
      <w:lvlText w:val="%6."/>
      <w:lvlJc w:val="right"/>
      <w:pPr>
        <w:ind w:left="6795" w:hanging="180"/>
      </w:pPr>
    </w:lvl>
    <w:lvl w:ilvl="6" w:tplc="3809000F" w:tentative="1">
      <w:start w:val="1"/>
      <w:numFmt w:val="decimal"/>
      <w:lvlText w:val="%7."/>
      <w:lvlJc w:val="left"/>
      <w:pPr>
        <w:ind w:left="7515" w:hanging="360"/>
      </w:pPr>
    </w:lvl>
    <w:lvl w:ilvl="7" w:tplc="38090019" w:tentative="1">
      <w:start w:val="1"/>
      <w:numFmt w:val="lowerLetter"/>
      <w:lvlText w:val="%8."/>
      <w:lvlJc w:val="left"/>
      <w:pPr>
        <w:ind w:left="8235" w:hanging="360"/>
      </w:pPr>
    </w:lvl>
    <w:lvl w:ilvl="8" w:tplc="3809001B" w:tentative="1">
      <w:start w:val="1"/>
      <w:numFmt w:val="lowerRoman"/>
      <w:lvlText w:val="%9."/>
      <w:lvlJc w:val="right"/>
      <w:pPr>
        <w:ind w:left="8955" w:hanging="180"/>
      </w:pPr>
    </w:lvl>
  </w:abstractNum>
  <w:abstractNum w:abstractNumId="418" w15:restartNumberingAfterBreak="0">
    <w:nsid w:val="677A0691"/>
    <w:multiLevelType w:val="hybridMultilevel"/>
    <w:tmpl w:val="D6503BC6"/>
    <w:lvl w:ilvl="0" w:tplc="67F6A956">
      <w:start w:val="1"/>
      <w:numFmt w:val="upp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19" w15:restartNumberingAfterBreak="0">
    <w:nsid w:val="679800EC"/>
    <w:multiLevelType w:val="multilevel"/>
    <w:tmpl w:val="0898004A"/>
    <w:styleLink w:val="CurrentList1"/>
    <w:lvl w:ilvl="0">
      <w:start w:val="1"/>
      <w:numFmt w:val="decimal"/>
      <w:lvlText w:val="%1."/>
      <w:lvlJc w:val="left"/>
      <w:pPr>
        <w:ind w:left="1494" w:hanging="360"/>
      </w:pPr>
      <w:rPr>
        <w:rFonts w:hint="default"/>
        <w:b w:val="0"/>
        <w:bCs/>
        <w:color w:val="auto"/>
        <w:sz w:val="24"/>
        <w:szCs w:val="24"/>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420" w15:restartNumberingAfterBreak="0">
    <w:nsid w:val="67BC68BA"/>
    <w:multiLevelType w:val="hybridMultilevel"/>
    <w:tmpl w:val="5C70C648"/>
    <w:lvl w:ilvl="0" w:tplc="38090011">
      <w:start w:val="1"/>
      <w:numFmt w:val="decimal"/>
      <w:lvlText w:val="%1)"/>
      <w:lvlJc w:val="left"/>
      <w:pPr>
        <w:ind w:left="720" w:hanging="360"/>
      </w:pPr>
      <w:rPr>
        <w:rFonts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1" w15:restartNumberingAfterBreak="0">
    <w:nsid w:val="68DB5C2C"/>
    <w:multiLevelType w:val="hybridMultilevel"/>
    <w:tmpl w:val="AAD8ACF6"/>
    <w:lvl w:ilvl="0" w:tplc="7BC6C34A">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422" w15:restartNumberingAfterBreak="0">
    <w:nsid w:val="6917582A"/>
    <w:multiLevelType w:val="hybridMultilevel"/>
    <w:tmpl w:val="D8062128"/>
    <w:lvl w:ilvl="0" w:tplc="E8440700">
      <w:start w:val="1"/>
      <w:numFmt w:val="upp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23" w15:restartNumberingAfterBreak="0">
    <w:nsid w:val="6A324366"/>
    <w:multiLevelType w:val="hybridMultilevel"/>
    <w:tmpl w:val="C00CFE68"/>
    <w:lvl w:ilvl="0" w:tplc="8CF88500">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424" w15:restartNumberingAfterBreak="0">
    <w:nsid w:val="6A4E7F02"/>
    <w:multiLevelType w:val="hybridMultilevel"/>
    <w:tmpl w:val="5E820822"/>
    <w:lvl w:ilvl="0" w:tplc="DABCE82C">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425" w15:restartNumberingAfterBreak="0">
    <w:nsid w:val="6A6501EC"/>
    <w:multiLevelType w:val="hybridMultilevel"/>
    <w:tmpl w:val="FF04CD64"/>
    <w:lvl w:ilvl="0" w:tplc="59823C1A">
      <w:start w:val="1"/>
      <w:numFmt w:val="lowerLetter"/>
      <w:lvlText w:val="(%1)"/>
      <w:lvlJc w:val="left"/>
      <w:pPr>
        <w:ind w:left="4329" w:hanging="360"/>
      </w:pPr>
      <w:rPr>
        <w:rFonts w:hint="default"/>
      </w:rPr>
    </w:lvl>
    <w:lvl w:ilvl="1" w:tplc="38090019" w:tentative="1">
      <w:start w:val="1"/>
      <w:numFmt w:val="lowerLetter"/>
      <w:lvlText w:val="%2."/>
      <w:lvlJc w:val="left"/>
      <w:pPr>
        <w:ind w:left="5049" w:hanging="360"/>
      </w:pPr>
    </w:lvl>
    <w:lvl w:ilvl="2" w:tplc="3809001B" w:tentative="1">
      <w:start w:val="1"/>
      <w:numFmt w:val="lowerRoman"/>
      <w:lvlText w:val="%3."/>
      <w:lvlJc w:val="right"/>
      <w:pPr>
        <w:ind w:left="5769" w:hanging="180"/>
      </w:pPr>
    </w:lvl>
    <w:lvl w:ilvl="3" w:tplc="3809000F" w:tentative="1">
      <w:start w:val="1"/>
      <w:numFmt w:val="decimal"/>
      <w:lvlText w:val="%4."/>
      <w:lvlJc w:val="left"/>
      <w:pPr>
        <w:ind w:left="6489" w:hanging="360"/>
      </w:pPr>
    </w:lvl>
    <w:lvl w:ilvl="4" w:tplc="38090019" w:tentative="1">
      <w:start w:val="1"/>
      <w:numFmt w:val="lowerLetter"/>
      <w:lvlText w:val="%5."/>
      <w:lvlJc w:val="left"/>
      <w:pPr>
        <w:ind w:left="7209" w:hanging="360"/>
      </w:pPr>
    </w:lvl>
    <w:lvl w:ilvl="5" w:tplc="3809001B" w:tentative="1">
      <w:start w:val="1"/>
      <w:numFmt w:val="lowerRoman"/>
      <w:lvlText w:val="%6."/>
      <w:lvlJc w:val="right"/>
      <w:pPr>
        <w:ind w:left="7929" w:hanging="180"/>
      </w:pPr>
    </w:lvl>
    <w:lvl w:ilvl="6" w:tplc="3809000F" w:tentative="1">
      <w:start w:val="1"/>
      <w:numFmt w:val="decimal"/>
      <w:lvlText w:val="%7."/>
      <w:lvlJc w:val="left"/>
      <w:pPr>
        <w:ind w:left="8649" w:hanging="360"/>
      </w:pPr>
    </w:lvl>
    <w:lvl w:ilvl="7" w:tplc="38090019" w:tentative="1">
      <w:start w:val="1"/>
      <w:numFmt w:val="lowerLetter"/>
      <w:lvlText w:val="%8."/>
      <w:lvlJc w:val="left"/>
      <w:pPr>
        <w:ind w:left="9369" w:hanging="360"/>
      </w:pPr>
    </w:lvl>
    <w:lvl w:ilvl="8" w:tplc="3809001B" w:tentative="1">
      <w:start w:val="1"/>
      <w:numFmt w:val="lowerRoman"/>
      <w:lvlText w:val="%9."/>
      <w:lvlJc w:val="right"/>
      <w:pPr>
        <w:ind w:left="10089" w:hanging="180"/>
      </w:pPr>
    </w:lvl>
  </w:abstractNum>
  <w:abstractNum w:abstractNumId="426" w15:restartNumberingAfterBreak="0">
    <w:nsid w:val="6A6859A5"/>
    <w:multiLevelType w:val="hybridMultilevel"/>
    <w:tmpl w:val="963A94B2"/>
    <w:lvl w:ilvl="0" w:tplc="D36A3C92">
      <w:start w:val="1"/>
      <w:numFmt w:val="decimal"/>
      <w:lvlText w:val="%1)"/>
      <w:lvlJc w:val="left"/>
      <w:pPr>
        <w:ind w:left="3807" w:hanging="360"/>
      </w:pPr>
      <w:rPr>
        <w:rFonts w:hint="default"/>
        <w:color w:val="000000" w:themeColor="text1"/>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7" w15:restartNumberingAfterBreak="0">
    <w:nsid w:val="6A92256A"/>
    <w:multiLevelType w:val="hybridMultilevel"/>
    <w:tmpl w:val="464E8EC6"/>
    <w:lvl w:ilvl="0" w:tplc="38090011">
      <w:start w:val="1"/>
      <w:numFmt w:val="decimal"/>
      <w:lvlText w:val="%1)"/>
      <w:lvlJc w:val="left"/>
      <w:pPr>
        <w:ind w:left="720" w:hanging="360"/>
      </w:pPr>
      <w:rPr>
        <w:strike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8" w15:restartNumberingAfterBreak="0">
    <w:nsid w:val="6AA15EFF"/>
    <w:multiLevelType w:val="multilevel"/>
    <w:tmpl w:val="F37697F2"/>
    <w:lvl w:ilvl="0">
      <w:start w:val="1"/>
      <w:numFmt w:val="lowerLetter"/>
      <w:lvlText w:val="%1."/>
      <w:lvlJc w:val="left"/>
      <w:pPr>
        <w:ind w:left="2912" w:hanging="360"/>
      </w:pPr>
    </w:lvl>
    <w:lvl w:ilvl="1">
      <w:start w:val="1"/>
      <w:numFmt w:val="lowerLetter"/>
      <w:lvlText w:val="%2."/>
      <w:lvlJc w:val="left"/>
      <w:pPr>
        <w:ind w:left="3632" w:hanging="360"/>
      </w:pPr>
    </w:lvl>
    <w:lvl w:ilvl="2">
      <w:start w:val="1"/>
      <w:numFmt w:val="lowerRoman"/>
      <w:lvlText w:val="%3."/>
      <w:lvlJc w:val="right"/>
      <w:pPr>
        <w:ind w:left="4352" w:hanging="180"/>
      </w:pPr>
    </w:lvl>
    <w:lvl w:ilvl="3">
      <w:start w:val="1"/>
      <w:numFmt w:val="decimal"/>
      <w:lvlText w:val="%4)"/>
      <w:lvlJc w:val="left"/>
      <w:pPr>
        <w:ind w:left="927" w:hanging="360"/>
      </w:pPr>
    </w:lvl>
    <w:lvl w:ilvl="4">
      <w:start w:val="1"/>
      <w:numFmt w:val="lowerLetter"/>
      <w:lvlText w:val="%5."/>
      <w:lvlJc w:val="left"/>
      <w:pPr>
        <w:ind w:left="5792" w:hanging="360"/>
      </w:pPr>
    </w:lvl>
    <w:lvl w:ilvl="5">
      <w:start w:val="1"/>
      <w:numFmt w:val="lowerRoman"/>
      <w:lvlText w:val="%6."/>
      <w:lvlJc w:val="right"/>
      <w:pPr>
        <w:ind w:left="6512" w:hanging="180"/>
      </w:pPr>
    </w:lvl>
    <w:lvl w:ilvl="6">
      <w:start w:val="1"/>
      <w:numFmt w:val="decimal"/>
      <w:lvlText w:val="%7."/>
      <w:lvlJc w:val="left"/>
      <w:pPr>
        <w:ind w:left="7232" w:hanging="360"/>
      </w:pPr>
    </w:lvl>
    <w:lvl w:ilvl="7">
      <w:start w:val="1"/>
      <w:numFmt w:val="lowerLetter"/>
      <w:lvlText w:val="%8."/>
      <w:lvlJc w:val="left"/>
      <w:pPr>
        <w:ind w:left="7952" w:hanging="360"/>
      </w:pPr>
    </w:lvl>
    <w:lvl w:ilvl="8">
      <w:start w:val="1"/>
      <w:numFmt w:val="lowerRoman"/>
      <w:lvlText w:val="%9."/>
      <w:lvlJc w:val="right"/>
      <w:pPr>
        <w:ind w:left="8672" w:hanging="180"/>
      </w:pPr>
    </w:lvl>
  </w:abstractNum>
  <w:abstractNum w:abstractNumId="429" w15:restartNumberingAfterBreak="0">
    <w:nsid w:val="6AC30596"/>
    <w:multiLevelType w:val="hybridMultilevel"/>
    <w:tmpl w:val="BF1C40B8"/>
    <w:lvl w:ilvl="0" w:tplc="BC5CC914">
      <w:start w:val="1"/>
      <w:numFmt w:val="lowerLetter"/>
      <w:lvlText w:val="%1)"/>
      <w:lvlJc w:val="left"/>
      <w:pPr>
        <w:ind w:left="3195" w:hanging="360"/>
      </w:pPr>
      <w:rPr>
        <w:rFonts w:hint="default"/>
      </w:rPr>
    </w:lvl>
    <w:lvl w:ilvl="1" w:tplc="38090019" w:tentative="1">
      <w:start w:val="1"/>
      <w:numFmt w:val="lowerLetter"/>
      <w:lvlText w:val="%2."/>
      <w:lvlJc w:val="left"/>
      <w:pPr>
        <w:ind w:left="3915" w:hanging="360"/>
      </w:pPr>
    </w:lvl>
    <w:lvl w:ilvl="2" w:tplc="3809001B" w:tentative="1">
      <w:start w:val="1"/>
      <w:numFmt w:val="lowerRoman"/>
      <w:lvlText w:val="%3."/>
      <w:lvlJc w:val="right"/>
      <w:pPr>
        <w:ind w:left="4635" w:hanging="180"/>
      </w:pPr>
    </w:lvl>
    <w:lvl w:ilvl="3" w:tplc="3809000F" w:tentative="1">
      <w:start w:val="1"/>
      <w:numFmt w:val="decimal"/>
      <w:lvlText w:val="%4."/>
      <w:lvlJc w:val="left"/>
      <w:pPr>
        <w:ind w:left="5355" w:hanging="360"/>
      </w:pPr>
    </w:lvl>
    <w:lvl w:ilvl="4" w:tplc="38090019" w:tentative="1">
      <w:start w:val="1"/>
      <w:numFmt w:val="lowerLetter"/>
      <w:lvlText w:val="%5."/>
      <w:lvlJc w:val="left"/>
      <w:pPr>
        <w:ind w:left="6075" w:hanging="360"/>
      </w:pPr>
    </w:lvl>
    <w:lvl w:ilvl="5" w:tplc="3809001B" w:tentative="1">
      <w:start w:val="1"/>
      <w:numFmt w:val="lowerRoman"/>
      <w:lvlText w:val="%6."/>
      <w:lvlJc w:val="right"/>
      <w:pPr>
        <w:ind w:left="6795" w:hanging="180"/>
      </w:pPr>
    </w:lvl>
    <w:lvl w:ilvl="6" w:tplc="3809000F" w:tentative="1">
      <w:start w:val="1"/>
      <w:numFmt w:val="decimal"/>
      <w:lvlText w:val="%7."/>
      <w:lvlJc w:val="left"/>
      <w:pPr>
        <w:ind w:left="7515" w:hanging="360"/>
      </w:pPr>
    </w:lvl>
    <w:lvl w:ilvl="7" w:tplc="38090019" w:tentative="1">
      <w:start w:val="1"/>
      <w:numFmt w:val="lowerLetter"/>
      <w:lvlText w:val="%8."/>
      <w:lvlJc w:val="left"/>
      <w:pPr>
        <w:ind w:left="8235" w:hanging="360"/>
      </w:pPr>
    </w:lvl>
    <w:lvl w:ilvl="8" w:tplc="3809001B" w:tentative="1">
      <w:start w:val="1"/>
      <w:numFmt w:val="lowerRoman"/>
      <w:lvlText w:val="%9."/>
      <w:lvlJc w:val="right"/>
      <w:pPr>
        <w:ind w:left="8955" w:hanging="180"/>
      </w:pPr>
    </w:lvl>
  </w:abstractNum>
  <w:abstractNum w:abstractNumId="430" w15:restartNumberingAfterBreak="0">
    <w:nsid w:val="6AFF7DEE"/>
    <w:multiLevelType w:val="hybridMultilevel"/>
    <w:tmpl w:val="6E16C980"/>
    <w:lvl w:ilvl="0" w:tplc="38090011">
      <w:start w:val="1"/>
      <w:numFmt w:val="decimal"/>
      <w:lvlText w:val="%1)"/>
      <w:lvlJc w:val="left"/>
      <w:pPr>
        <w:ind w:left="144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1" w15:restartNumberingAfterBreak="0">
    <w:nsid w:val="6B502E10"/>
    <w:multiLevelType w:val="hybridMultilevel"/>
    <w:tmpl w:val="BEF8B558"/>
    <w:lvl w:ilvl="0" w:tplc="EAAA2AC2">
      <w:start w:val="1"/>
      <w:numFmt w:val="lowerLetter"/>
      <w:lvlText w:val="%1)"/>
      <w:lvlJc w:val="left"/>
      <w:pPr>
        <w:ind w:left="3195" w:hanging="360"/>
      </w:pPr>
      <w:rPr>
        <w:rFonts w:hint="default"/>
      </w:rPr>
    </w:lvl>
    <w:lvl w:ilvl="1" w:tplc="38090019" w:tentative="1">
      <w:start w:val="1"/>
      <w:numFmt w:val="lowerLetter"/>
      <w:lvlText w:val="%2."/>
      <w:lvlJc w:val="left"/>
      <w:pPr>
        <w:ind w:left="3915" w:hanging="360"/>
      </w:pPr>
    </w:lvl>
    <w:lvl w:ilvl="2" w:tplc="3809001B" w:tentative="1">
      <w:start w:val="1"/>
      <w:numFmt w:val="lowerRoman"/>
      <w:lvlText w:val="%3."/>
      <w:lvlJc w:val="right"/>
      <w:pPr>
        <w:ind w:left="4635" w:hanging="180"/>
      </w:pPr>
    </w:lvl>
    <w:lvl w:ilvl="3" w:tplc="3809000F" w:tentative="1">
      <w:start w:val="1"/>
      <w:numFmt w:val="decimal"/>
      <w:lvlText w:val="%4."/>
      <w:lvlJc w:val="left"/>
      <w:pPr>
        <w:ind w:left="5355" w:hanging="360"/>
      </w:pPr>
    </w:lvl>
    <w:lvl w:ilvl="4" w:tplc="38090019" w:tentative="1">
      <w:start w:val="1"/>
      <w:numFmt w:val="lowerLetter"/>
      <w:lvlText w:val="%5."/>
      <w:lvlJc w:val="left"/>
      <w:pPr>
        <w:ind w:left="6075" w:hanging="360"/>
      </w:pPr>
    </w:lvl>
    <w:lvl w:ilvl="5" w:tplc="3809001B" w:tentative="1">
      <w:start w:val="1"/>
      <w:numFmt w:val="lowerRoman"/>
      <w:lvlText w:val="%6."/>
      <w:lvlJc w:val="right"/>
      <w:pPr>
        <w:ind w:left="6795" w:hanging="180"/>
      </w:pPr>
    </w:lvl>
    <w:lvl w:ilvl="6" w:tplc="3809000F" w:tentative="1">
      <w:start w:val="1"/>
      <w:numFmt w:val="decimal"/>
      <w:lvlText w:val="%7."/>
      <w:lvlJc w:val="left"/>
      <w:pPr>
        <w:ind w:left="7515" w:hanging="360"/>
      </w:pPr>
    </w:lvl>
    <w:lvl w:ilvl="7" w:tplc="38090019" w:tentative="1">
      <w:start w:val="1"/>
      <w:numFmt w:val="lowerLetter"/>
      <w:lvlText w:val="%8."/>
      <w:lvlJc w:val="left"/>
      <w:pPr>
        <w:ind w:left="8235" w:hanging="360"/>
      </w:pPr>
    </w:lvl>
    <w:lvl w:ilvl="8" w:tplc="3809001B" w:tentative="1">
      <w:start w:val="1"/>
      <w:numFmt w:val="lowerRoman"/>
      <w:lvlText w:val="%9."/>
      <w:lvlJc w:val="right"/>
      <w:pPr>
        <w:ind w:left="8955" w:hanging="180"/>
      </w:pPr>
    </w:lvl>
  </w:abstractNum>
  <w:abstractNum w:abstractNumId="432" w15:restartNumberingAfterBreak="0">
    <w:nsid w:val="6C2B6D29"/>
    <w:multiLevelType w:val="multilevel"/>
    <w:tmpl w:val="96E8CD50"/>
    <w:lvl w:ilvl="0">
      <w:start w:val="1"/>
      <w:numFmt w:val="decimal"/>
      <w:lvlText w:val="%1)"/>
      <w:lvlJc w:val="left"/>
      <w:pPr>
        <w:ind w:left="3474" w:hanging="360"/>
      </w:pPr>
      <w:rPr>
        <w:rFonts w:hint="default"/>
        <w:strike w:val="0"/>
        <w:sz w:val="24"/>
        <w:szCs w:val="28"/>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3" w15:restartNumberingAfterBreak="0">
    <w:nsid w:val="6C414C1A"/>
    <w:multiLevelType w:val="hybridMultilevel"/>
    <w:tmpl w:val="413864E2"/>
    <w:lvl w:ilvl="0" w:tplc="9E465D40">
      <w:start w:val="1"/>
      <w:numFmt w:val="decimal"/>
      <w:lvlText w:val="%1)"/>
      <w:lvlJc w:val="left"/>
      <w:pPr>
        <w:ind w:left="720" w:hanging="360"/>
      </w:pPr>
      <w:rPr>
        <w:b w:val="0"/>
        <w:bCs w:val="0"/>
        <w:i w:val="0"/>
        <w:iCs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4" w15:restartNumberingAfterBreak="0">
    <w:nsid w:val="6C4436DA"/>
    <w:multiLevelType w:val="hybridMultilevel"/>
    <w:tmpl w:val="F83EEBE8"/>
    <w:lvl w:ilvl="0" w:tplc="BE568716">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435" w15:restartNumberingAfterBreak="0">
    <w:nsid w:val="6C717010"/>
    <w:multiLevelType w:val="hybridMultilevel"/>
    <w:tmpl w:val="F05A5EC6"/>
    <w:lvl w:ilvl="0" w:tplc="38090011">
      <w:start w:val="1"/>
      <w:numFmt w:val="decimal"/>
      <w:lvlText w:val="%1)"/>
      <w:lvlJc w:val="left"/>
      <w:pPr>
        <w:ind w:left="720" w:hanging="360"/>
      </w:pPr>
      <w:rPr>
        <w:strike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6" w15:restartNumberingAfterBreak="0">
    <w:nsid w:val="6C986218"/>
    <w:multiLevelType w:val="hybridMultilevel"/>
    <w:tmpl w:val="DCF899D4"/>
    <w:lvl w:ilvl="0" w:tplc="184EB1C8">
      <w:start w:val="1"/>
      <w:numFmt w:val="lowerLetter"/>
      <w:lvlText w:val="(%1)"/>
      <w:lvlJc w:val="left"/>
      <w:pPr>
        <w:ind w:left="4329" w:hanging="360"/>
      </w:pPr>
      <w:rPr>
        <w:rFonts w:hint="default"/>
      </w:rPr>
    </w:lvl>
    <w:lvl w:ilvl="1" w:tplc="38090019" w:tentative="1">
      <w:start w:val="1"/>
      <w:numFmt w:val="lowerLetter"/>
      <w:lvlText w:val="%2."/>
      <w:lvlJc w:val="left"/>
      <w:pPr>
        <w:ind w:left="5049" w:hanging="360"/>
      </w:pPr>
    </w:lvl>
    <w:lvl w:ilvl="2" w:tplc="3809001B" w:tentative="1">
      <w:start w:val="1"/>
      <w:numFmt w:val="lowerRoman"/>
      <w:lvlText w:val="%3."/>
      <w:lvlJc w:val="right"/>
      <w:pPr>
        <w:ind w:left="5769" w:hanging="180"/>
      </w:pPr>
    </w:lvl>
    <w:lvl w:ilvl="3" w:tplc="3809000F" w:tentative="1">
      <w:start w:val="1"/>
      <w:numFmt w:val="decimal"/>
      <w:lvlText w:val="%4."/>
      <w:lvlJc w:val="left"/>
      <w:pPr>
        <w:ind w:left="6489" w:hanging="360"/>
      </w:pPr>
    </w:lvl>
    <w:lvl w:ilvl="4" w:tplc="38090019" w:tentative="1">
      <w:start w:val="1"/>
      <w:numFmt w:val="lowerLetter"/>
      <w:lvlText w:val="%5."/>
      <w:lvlJc w:val="left"/>
      <w:pPr>
        <w:ind w:left="7209" w:hanging="360"/>
      </w:pPr>
    </w:lvl>
    <w:lvl w:ilvl="5" w:tplc="3809001B" w:tentative="1">
      <w:start w:val="1"/>
      <w:numFmt w:val="lowerRoman"/>
      <w:lvlText w:val="%6."/>
      <w:lvlJc w:val="right"/>
      <w:pPr>
        <w:ind w:left="7929" w:hanging="180"/>
      </w:pPr>
    </w:lvl>
    <w:lvl w:ilvl="6" w:tplc="3809000F" w:tentative="1">
      <w:start w:val="1"/>
      <w:numFmt w:val="decimal"/>
      <w:lvlText w:val="%7."/>
      <w:lvlJc w:val="left"/>
      <w:pPr>
        <w:ind w:left="8649" w:hanging="360"/>
      </w:pPr>
    </w:lvl>
    <w:lvl w:ilvl="7" w:tplc="38090019" w:tentative="1">
      <w:start w:val="1"/>
      <w:numFmt w:val="lowerLetter"/>
      <w:lvlText w:val="%8."/>
      <w:lvlJc w:val="left"/>
      <w:pPr>
        <w:ind w:left="9369" w:hanging="360"/>
      </w:pPr>
    </w:lvl>
    <w:lvl w:ilvl="8" w:tplc="3809001B" w:tentative="1">
      <w:start w:val="1"/>
      <w:numFmt w:val="lowerRoman"/>
      <w:lvlText w:val="%9."/>
      <w:lvlJc w:val="right"/>
      <w:pPr>
        <w:ind w:left="10089" w:hanging="180"/>
      </w:pPr>
    </w:lvl>
  </w:abstractNum>
  <w:abstractNum w:abstractNumId="437" w15:restartNumberingAfterBreak="0">
    <w:nsid w:val="6CAB25D5"/>
    <w:multiLevelType w:val="hybridMultilevel"/>
    <w:tmpl w:val="3DDC99D0"/>
    <w:lvl w:ilvl="0" w:tplc="2BDA9F78">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438" w15:restartNumberingAfterBreak="0">
    <w:nsid w:val="6D2F7ADF"/>
    <w:multiLevelType w:val="hybridMultilevel"/>
    <w:tmpl w:val="048CD424"/>
    <w:lvl w:ilvl="0" w:tplc="3AC2A438">
      <w:start w:val="1"/>
      <w:numFmt w:val="decimal"/>
      <w:lvlText w:val="%1)"/>
      <w:lvlJc w:val="left"/>
      <w:pPr>
        <w:ind w:left="2203" w:hanging="360"/>
      </w:pPr>
      <w:rPr>
        <w:rFonts w:hint="default"/>
        <w:color w:val="auto"/>
      </w:rPr>
    </w:lvl>
    <w:lvl w:ilvl="1" w:tplc="38090019">
      <w:start w:val="1"/>
      <w:numFmt w:val="lowerLetter"/>
      <w:lvlText w:val="%2."/>
      <w:lvlJc w:val="left"/>
      <w:pPr>
        <w:ind w:left="2923" w:hanging="360"/>
      </w:pPr>
    </w:lvl>
    <w:lvl w:ilvl="2" w:tplc="312CD96C">
      <w:start w:val="1"/>
      <w:numFmt w:val="decimal"/>
      <w:lvlText w:val="%3."/>
      <w:lvlJc w:val="left"/>
      <w:pPr>
        <w:ind w:left="3823" w:hanging="360"/>
      </w:pPr>
      <w:rPr>
        <w:rFonts w:hint="default"/>
      </w:rPr>
    </w:lvl>
    <w:lvl w:ilvl="3" w:tplc="92206BCE">
      <w:start w:val="1"/>
      <w:numFmt w:val="lowerLetter"/>
      <w:lvlText w:val="%4)"/>
      <w:lvlJc w:val="left"/>
      <w:pPr>
        <w:ind w:left="4363" w:hanging="360"/>
      </w:pPr>
      <w:rPr>
        <w:rFonts w:hint="default"/>
        <w:color w:val="FF6600"/>
      </w:rPr>
    </w:lvl>
    <w:lvl w:ilvl="4" w:tplc="12B2AE3E">
      <w:start w:val="1"/>
      <w:numFmt w:val="decimal"/>
      <w:lvlText w:val="(%5)"/>
      <w:lvlJc w:val="left"/>
      <w:pPr>
        <w:ind w:left="5083" w:hanging="360"/>
      </w:pPr>
      <w:rPr>
        <w:rFonts w:hint="default"/>
      </w:rPr>
    </w:lvl>
    <w:lvl w:ilvl="5" w:tplc="3809001B" w:tentative="1">
      <w:start w:val="1"/>
      <w:numFmt w:val="lowerRoman"/>
      <w:lvlText w:val="%6."/>
      <w:lvlJc w:val="right"/>
      <w:pPr>
        <w:ind w:left="5803" w:hanging="180"/>
      </w:pPr>
    </w:lvl>
    <w:lvl w:ilvl="6" w:tplc="3809000F" w:tentative="1">
      <w:start w:val="1"/>
      <w:numFmt w:val="decimal"/>
      <w:lvlText w:val="%7."/>
      <w:lvlJc w:val="left"/>
      <w:pPr>
        <w:ind w:left="6523" w:hanging="360"/>
      </w:pPr>
    </w:lvl>
    <w:lvl w:ilvl="7" w:tplc="38090019" w:tentative="1">
      <w:start w:val="1"/>
      <w:numFmt w:val="lowerLetter"/>
      <w:lvlText w:val="%8."/>
      <w:lvlJc w:val="left"/>
      <w:pPr>
        <w:ind w:left="7243" w:hanging="360"/>
      </w:pPr>
    </w:lvl>
    <w:lvl w:ilvl="8" w:tplc="3809001B" w:tentative="1">
      <w:start w:val="1"/>
      <w:numFmt w:val="lowerRoman"/>
      <w:lvlText w:val="%9."/>
      <w:lvlJc w:val="right"/>
      <w:pPr>
        <w:ind w:left="7963" w:hanging="180"/>
      </w:pPr>
    </w:lvl>
  </w:abstractNum>
  <w:abstractNum w:abstractNumId="439" w15:restartNumberingAfterBreak="0">
    <w:nsid w:val="6D401168"/>
    <w:multiLevelType w:val="hybridMultilevel"/>
    <w:tmpl w:val="392CB5C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0" w15:restartNumberingAfterBreak="0">
    <w:nsid w:val="6D580D0B"/>
    <w:multiLevelType w:val="hybridMultilevel"/>
    <w:tmpl w:val="3EB62166"/>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441" w15:restartNumberingAfterBreak="0">
    <w:nsid w:val="6D757FE1"/>
    <w:multiLevelType w:val="hybridMultilevel"/>
    <w:tmpl w:val="D2F8F99C"/>
    <w:lvl w:ilvl="0" w:tplc="F0F20EC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2" w15:restartNumberingAfterBreak="0">
    <w:nsid w:val="6D7A29ED"/>
    <w:multiLevelType w:val="hybridMultilevel"/>
    <w:tmpl w:val="872078EE"/>
    <w:lvl w:ilvl="0" w:tplc="FBDCEC1C">
      <w:start w:val="1"/>
      <w:numFmt w:val="decimal"/>
      <w:lvlText w:val="%1)"/>
      <w:lvlJc w:val="left"/>
      <w:pPr>
        <w:ind w:left="2628" w:hanging="360"/>
      </w:pPr>
      <w:rPr>
        <w:rFonts w:hint="default"/>
      </w:rPr>
    </w:lvl>
    <w:lvl w:ilvl="1" w:tplc="38090019" w:tentative="1">
      <w:start w:val="1"/>
      <w:numFmt w:val="lowerLetter"/>
      <w:lvlText w:val="%2."/>
      <w:lvlJc w:val="left"/>
      <w:pPr>
        <w:ind w:left="3348" w:hanging="360"/>
      </w:pPr>
    </w:lvl>
    <w:lvl w:ilvl="2" w:tplc="3809001B" w:tentative="1">
      <w:start w:val="1"/>
      <w:numFmt w:val="lowerRoman"/>
      <w:lvlText w:val="%3."/>
      <w:lvlJc w:val="right"/>
      <w:pPr>
        <w:ind w:left="4068" w:hanging="180"/>
      </w:pPr>
    </w:lvl>
    <w:lvl w:ilvl="3" w:tplc="3809000F" w:tentative="1">
      <w:start w:val="1"/>
      <w:numFmt w:val="decimal"/>
      <w:lvlText w:val="%4."/>
      <w:lvlJc w:val="left"/>
      <w:pPr>
        <w:ind w:left="4788" w:hanging="360"/>
      </w:pPr>
    </w:lvl>
    <w:lvl w:ilvl="4" w:tplc="38090019" w:tentative="1">
      <w:start w:val="1"/>
      <w:numFmt w:val="lowerLetter"/>
      <w:lvlText w:val="%5."/>
      <w:lvlJc w:val="left"/>
      <w:pPr>
        <w:ind w:left="5508" w:hanging="360"/>
      </w:pPr>
    </w:lvl>
    <w:lvl w:ilvl="5" w:tplc="3809001B" w:tentative="1">
      <w:start w:val="1"/>
      <w:numFmt w:val="lowerRoman"/>
      <w:lvlText w:val="%6."/>
      <w:lvlJc w:val="right"/>
      <w:pPr>
        <w:ind w:left="6228" w:hanging="180"/>
      </w:pPr>
    </w:lvl>
    <w:lvl w:ilvl="6" w:tplc="3809000F" w:tentative="1">
      <w:start w:val="1"/>
      <w:numFmt w:val="decimal"/>
      <w:lvlText w:val="%7."/>
      <w:lvlJc w:val="left"/>
      <w:pPr>
        <w:ind w:left="6948" w:hanging="360"/>
      </w:pPr>
    </w:lvl>
    <w:lvl w:ilvl="7" w:tplc="38090019" w:tentative="1">
      <w:start w:val="1"/>
      <w:numFmt w:val="lowerLetter"/>
      <w:lvlText w:val="%8."/>
      <w:lvlJc w:val="left"/>
      <w:pPr>
        <w:ind w:left="7668" w:hanging="360"/>
      </w:pPr>
    </w:lvl>
    <w:lvl w:ilvl="8" w:tplc="3809001B" w:tentative="1">
      <w:start w:val="1"/>
      <w:numFmt w:val="lowerRoman"/>
      <w:lvlText w:val="%9."/>
      <w:lvlJc w:val="right"/>
      <w:pPr>
        <w:ind w:left="8388" w:hanging="180"/>
      </w:pPr>
    </w:lvl>
  </w:abstractNum>
  <w:abstractNum w:abstractNumId="443" w15:restartNumberingAfterBreak="0">
    <w:nsid w:val="6D8E3F36"/>
    <w:multiLevelType w:val="multilevel"/>
    <w:tmpl w:val="8446FE9C"/>
    <w:lvl w:ilvl="0">
      <w:start w:val="1"/>
      <w:numFmt w:val="decimal"/>
      <w:lvlText w:val="%1)"/>
      <w:lvlJc w:val="left"/>
      <w:pPr>
        <w:ind w:left="389" w:hanging="288"/>
      </w:pPr>
      <w:rPr>
        <w:rFonts w:ascii="Bookman Old Style" w:eastAsia="Bookman Old Style" w:hAnsi="Bookman Old Style" w:cs="Bookman Old Style"/>
        <w:sz w:val="24"/>
        <w:szCs w:val="24"/>
      </w:rPr>
    </w:lvl>
    <w:lvl w:ilvl="1">
      <w:numFmt w:val="bullet"/>
      <w:lvlText w:val="•"/>
      <w:lvlJc w:val="left"/>
      <w:pPr>
        <w:ind w:left="999" w:hanging="287"/>
      </w:pPr>
    </w:lvl>
    <w:lvl w:ilvl="2">
      <w:numFmt w:val="bullet"/>
      <w:lvlText w:val="•"/>
      <w:lvlJc w:val="left"/>
      <w:pPr>
        <w:ind w:left="1619" w:hanging="288"/>
      </w:pPr>
    </w:lvl>
    <w:lvl w:ilvl="3">
      <w:numFmt w:val="bullet"/>
      <w:lvlText w:val="•"/>
      <w:lvlJc w:val="left"/>
      <w:pPr>
        <w:ind w:left="2239" w:hanging="288"/>
      </w:pPr>
    </w:lvl>
    <w:lvl w:ilvl="4">
      <w:numFmt w:val="bullet"/>
      <w:lvlText w:val="•"/>
      <w:lvlJc w:val="left"/>
      <w:pPr>
        <w:ind w:left="2859" w:hanging="288"/>
      </w:pPr>
    </w:lvl>
    <w:lvl w:ilvl="5">
      <w:numFmt w:val="bullet"/>
      <w:lvlText w:val="•"/>
      <w:lvlJc w:val="left"/>
      <w:pPr>
        <w:ind w:left="3479" w:hanging="288"/>
      </w:pPr>
    </w:lvl>
    <w:lvl w:ilvl="6">
      <w:numFmt w:val="bullet"/>
      <w:lvlText w:val="•"/>
      <w:lvlJc w:val="left"/>
      <w:pPr>
        <w:ind w:left="4099" w:hanging="288"/>
      </w:pPr>
    </w:lvl>
    <w:lvl w:ilvl="7">
      <w:numFmt w:val="bullet"/>
      <w:lvlText w:val="•"/>
      <w:lvlJc w:val="left"/>
      <w:pPr>
        <w:ind w:left="4719" w:hanging="288"/>
      </w:pPr>
    </w:lvl>
    <w:lvl w:ilvl="8">
      <w:numFmt w:val="bullet"/>
      <w:lvlText w:val="•"/>
      <w:lvlJc w:val="left"/>
      <w:pPr>
        <w:ind w:left="5339" w:hanging="288"/>
      </w:pPr>
    </w:lvl>
  </w:abstractNum>
  <w:abstractNum w:abstractNumId="444" w15:restartNumberingAfterBreak="0">
    <w:nsid w:val="6F1842CA"/>
    <w:multiLevelType w:val="hybridMultilevel"/>
    <w:tmpl w:val="AD9249D2"/>
    <w:lvl w:ilvl="0" w:tplc="38090011">
      <w:start w:val="1"/>
      <w:numFmt w:val="decimal"/>
      <w:lvlText w:val="%1)"/>
      <w:lvlJc w:val="left"/>
      <w:pPr>
        <w:ind w:left="2907" w:hanging="360"/>
      </w:pPr>
      <w:rPr>
        <w:rFonts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5" w15:restartNumberingAfterBreak="0">
    <w:nsid w:val="6F431EBB"/>
    <w:multiLevelType w:val="hybridMultilevel"/>
    <w:tmpl w:val="53FE94A4"/>
    <w:lvl w:ilvl="0" w:tplc="F3FEE082">
      <w:start w:val="1"/>
      <w:numFmt w:val="decimal"/>
      <w:lvlText w:val="(%1)"/>
      <w:lvlJc w:val="left"/>
      <w:pPr>
        <w:ind w:left="1647" w:hanging="360"/>
      </w:pPr>
      <w:rPr>
        <w:rFonts w:ascii="Bookman Old Style" w:eastAsiaTheme="minorHAnsi" w:hAnsi="Bookman Old Style" w:cstheme="minorBidi"/>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6" w15:restartNumberingAfterBreak="0">
    <w:nsid w:val="6F850A2A"/>
    <w:multiLevelType w:val="hybridMultilevel"/>
    <w:tmpl w:val="5516B194"/>
    <w:lvl w:ilvl="0" w:tplc="072EBE88">
      <w:start w:val="1"/>
      <w:numFmt w:val="decimal"/>
      <w:lvlText w:val="%1."/>
      <w:lvlJc w:val="center"/>
      <w:pPr>
        <w:ind w:left="1854" w:hanging="360"/>
      </w:pPr>
      <w:rPr>
        <w:rFonts w:ascii="Bookman Old Style" w:eastAsiaTheme="minorHAnsi" w:hAnsi="Bookman Old Style" w:cstheme="minorBidi"/>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7" w15:restartNumberingAfterBreak="0">
    <w:nsid w:val="704C61A8"/>
    <w:multiLevelType w:val="hybridMultilevel"/>
    <w:tmpl w:val="C748B520"/>
    <w:lvl w:ilvl="0" w:tplc="BF4A1602">
      <w:start w:val="1"/>
      <w:numFmt w:val="decimal"/>
      <w:lvlText w:val="%1)"/>
      <w:lvlJc w:val="left"/>
      <w:pPr>
        <w:ind w:left="2628" w:hanging="360"/>
      </w:pPr>
      <w:rPr>
        <w:rFonts w:hint="default"/>
      </w:rPr>
    </w:lvl>
    <w:lvl w:ilvl="1" w:tplc="38090019" w:tentative="1">
      <w:start w:val="1"/>
      <w:numFmt w:val="lowerLetter"/>
      <w:lvlText w:val="%2."/>
      <w:lvlJc w:val="left"/>
      <w:pPr>
        <w:ind w:left="3348" w:hanging="360"/>
      </w:pPr>
    </w:lvl>
    <w:lvl w:ilvl="2" w:tplc="3809001B" w:tentative="1">
      <w:start w:val="1"/>
      <w:numFmt w:val="lowerRoman"/>
      <w:lvlText w:val="%3."/>
      <w:lvlJc w:val="right"/>
      <w:pPr>
        <w:ind w:left="4068" w:hanging="180"/>
      </w:pPr>
    </w:lvl>
    <w:lvl w:ilvl="3" w:tplc="3809000F" w:tentative="1">
      <w:start w:val="1"/>
      <w:numFmt w:val="decimal"/>
      <w:lvlText w:val="%4."/>
      <w:lvlJc w:val="left"/>
      <w:pPr>
        <w:ind w:left="4788" w:hanging="360"/>
      </w:pPr>
    </w:lvl>
    <w:lvl w:ilvl="4" w:tplc="38090019" w:tentative="1">
      <w:start w:val="1"/>
      <w:numFmt w:val="lowerLetter"/>
      <w:lvlText w:val="%5."/>
      <w:lvlJc w:val="left"/>
      <w:pPr>
        <w:ind w:left="5508" w:hanging="360"/>
      </w:pPr>
    </w:lvl>
    <w:lvl w:ilvl="5" w:tplc="3809001B" w:tentative="1">
      <w:start w:val="1"/>
      <w:numFmt w:val="lowerRoman"/>
      <w:lvlText w:val="%6."/>
      <w:lvlJc w:val="right"/>
      <w:pPr>
        <w:ind w:left="6228" w:hanging="180"/>
      </w:pPr>
    </w:lvl>
    <w:lvl w:ilvl="6" w:tplc="3809000F" w:tentative="1">
      <w:start w:val="1"/>
      <w:numFmt w:val="decimal"/>
      <w:lvlText w:val="%7."/>
      <w:lvlJc w:val="left"/>
      <w:pPr>
        <w:ind w:left="6948" w:hanging="360"/>
      </w:pPr>
    </w:lvl>
    <w:lvl w:ilvl="7" w:tplc="38090019" w:tentative="1">
      <w:start w:val="1"/>
      <w:numFmt w:val="lowerLetter"/>
      <w:lvlText w:val="%8."/>
      <w:lvlJc w:val="left"/>
      <w:pPr>
        <w:ind w:left="7668" w:hanging="360"/>
      </w:pPr>
    </w:lvl>
    <w:lvl w:ilvl="8" w:tplc="3809001B" w:tentative="1">
      <w:start w:val="1"/>
      <w:numFmt w:val="lowerRoman"/>
      <w:lvlText w:val="%9."/>
      <w:lvlJc w:val="right"/>
      <w:pPr>
        <w:ind w:left="8388" w:hanging="180"/>
      </w:pPr>
    </w:lvl>
  </w:abstractNum>
  <w:abstractNum w:abstractNumId="448" w15:restartNumberingAfterBreak="0">
    <w:nsid w:val="70B10344"/>
    <w:multiLevelType w:val="hybridMultilevel"/>
    <w:tmpl w:val="33548222"/>
    <w:lvl w:ilvl="0" w:tplc="2EF61BAE">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449" w15:restartNumberingAfterBreak="0">
    <w:nsid w:val="70E600AE"/>
    <w:multiLevelType w:val="hybridMultilevel"/>
    <w:tmpl w:val="9E14F912"/>
    <w:lvl w:ilvl="0" w:tplc="3809001B">
      <w:start w:val="1"/>
      <w:numFmt w:val="lowerRoman"/>
      <w:lvlText w:val="%1."/>
      <w:lvlJc w:val="right"/>
      <w:pPr>
        <w:ind w:left="5256" w:hanging="360"/>
      </w:pPr>
    </w:lvl>
    <w:lvl w:ilvl="1" w:tplc="38090019" w:tentative="1">
      <w:start w:val="1"/>
      <w:numFmt w:val="lowerLetter"/>
      <w:lvlText w:val="%2."/>
      <w:lvlJc w:val="left"/>
      <w:pPr>
        <w:ind w:left="5976" w:hanging="360"/>
      </w:pPr>
    </w:lvl>
    <w:lvl w:ilvl="2" w:tplc="3809001B" w:tentative="1">
      <w:start w:val="1"/>
      <w:numFmt w:val="lowerRoman"/>
      <w:lvlText w:val="%3."/>
      <w:lvlJc w:val="right"/>
      <w:pPr>
        <w:ind w:left="6696" w:hanging="180"/>
      </w:pPr>
    </w:lvl>
    <w:lvl w:ilvl="3" w:tplc="3809000F" w:tentative="1">
      <w:start w:val="1"/>
      <w:numFmt w:val="decimal"/>
      <w:lvlText w:val="%4."/>
      <w:lvlJc w:val="left"/>
      <w:pPr>
        <w:ind w:left="7416" w:hanging="360"/>
      </w:pPr>
    </w:lvl>
    <w:lvl w:ilvl="4" w:tplc="38090019" w:tentative="1">
      <w:start w:val="1"/>
      <w:numFmt w:val="lowerLetter"/>
      <w:lvlText w:val="%5."/>
      <w:lvlJc w:val="left"/>
      <w:pPr>
        <w:ind w:left="8136" w:hanging="360"/>
      </w:pPr>
    </w:lvl>
    <w:lvl w:ilvl="5" w:tplc="3809001B" w:tentative="1">
      <w:start w:val="1"/>
      <w:numFmt w:val="lowerRoman"/>
      <w:lvlText w:val="%6."/>
      <w:lvlJc w:val="right"/>
      <w:pPr>
        <w:ind w:left="8856" w:hanging="180"/>
      </w:pPr>
    </w:lvl>
    <w:lvl w:ilvl="6" w:tplc="3809000F" w:tentative="1">
      <w:start w:val="1"/>
      <w:numFmt w:val="decimal"/>
      <w:lvlText w:val="%7."/>
      <w:lvlJc w:val="left"/>
      <w:pPr>
        <w:ind w:left="9576" w:hanging="360"/>
      </w:pPr>
    </w:lvl>
    <w:lvl w:ilvl="7" w:tplc="38090019" w:tentative="1">
      <w:start w:val="1"/>
      <w:numFmt w:val="lowerLetter"/>
      <w:lvlText w:val="%8."/>
      <w:lvlJc w:val="left"/>
      <w:pPr>
        <w:ind w:left="10296" w:hanging="360"/>
      </w:pPr>
    </w:lvl>
    <w:lvl w:ilvl="8" w:tplc="3809001B" w:tentative="1">
      <w:start w:val="1"/>
      <w:numFmt w:val="lowerRoman"/>
      <w:lvlText w:val="%9."/>
      <w:lvlJc w:val="right"/>
      <w:pPr>
        <w:ind w:left="11016" w:hanging="180"/>
      </w:pPr>
    </w:lvl>
  </w:abstractNum>
  <w:abstractNum w:abstractNumId="450" w15:restartNumberingAfterBreak="0">
    <w:nsid w:val="7159463A"/>
    <w:multiLevelType w:val="multilevel"/>
    <w:tmpl w:val="C70C9D8A"/>
    <w:lvl w:ilvl="0">
      <w:start w:val="1"/>
      <w:numFmt w:val="decimal"/>
      <w:lvlText w:val="%1)"/>
      <w:lvlJc w:val="left"/>
      <w:pPr>
        <w:ind w:left="469" w:hanging="353"/>
      </w:pPr>
      <w:rPr>
        <w:rFonts w:ascii="Bookman Old Style" w:eastAsia="Bookman Old Style" w:hAnsi="Bookman Old Style" w:cs="Bookman Old Style"/>
        <w:sz w:val="24"/>
        <w:szCs w:val="24"/>
      </w:rPr>
    </w:lvl>
    <w:lvl w:ilvl="1">
      <w:numFmt w:val="bullet"/>
      <w:lvlText w:val="•"/>
      <w:lvlJc w:val="left"/>
      <w:pPr>
        <w:ind w:left="1071" w:hanging="353"/>
      </w:pPr>
    </w:lvl>
    <w:lvl w:ilvl="2">
      <w:numFmt w:val="bullet"/>
      <w:lvlText w:val="•"/>
      <w:lvlJc w:val="left"/>
      <w:pPr>
        <w:ind w:left="1683" w:hanging="353"/>
      </w:pPr>
    </w:lvl>
    <w:lvl w:ilvl="3">
      <w:numFmt w:val="bullet"/>
      <w:lvlText w:val="•"/>
      <w:lvlJc w:val="left"/>
      <w:pPr>
        <w:ind w:left="2295" w:hanging="353"/>
      </w:pPr>
    </w:lvl>
    <w:lvl w:ilvl="4">
      <w:numFmt w:val="bullet"/>
      <w:lvlText w:val="•"/>
      <w:lvlJc w:val="left"/>
      <w:pPr>
        <w:ind w:left="2907" w:hanging="353"/>
      </w:pPr>
    </w:lvl>
    <w:lvl w:ilvl="5">
      <w:numFmt w:val="bullet"/>
      <w:lvlText w:val="•"/>
      <w:lvlJc w:val="left"/>
      <w:pPr>
        <w:ind w:left="3519" w:hanging="353"/>
      </w:pPr>
    </w:lvl>
    <w:lvl w:ilvl="6">
      <w:numFmt w:val="bullet"/>
      <w:lvlText w:val="•"/>
      <w:lvlJc w:val="left"/>
      <w:pPr>
        <w:ind w:left="4131" w:hanging="353"/>
      </w:pPr>
    </w:lvl>
    <w:lvl w:ilvl="7">
      <w:numFmt w:val="bullet"/>
      <w:lvlText w:val="•"/>
      <w:lvlJc w:val="left"/>
      <w:pPr>
        <w:ind w:left="4743" w:hanging="353"/>
      </w:pPr>
    </w:lvl>
    <w:lvl w:ilvl="8">
      <w:numFmt w:val="bullet"/>
      <w:lvlText w:val="•"/>
      <w:lvlJc w:val="left"/>
      <w:pPr>
        <w:ind w:left="5355" w:hanging="353"/>
      </w:pPr>
    </w:lvl>
  </w:abstractNum>
  <w:abstractNum w:abstractNumId="451" w15:restartNumberingAfterBreak="0">
    <w:nsid w:val="723C4215"/>
    <w:multiLevelType w:val="hybridMultilevel"/>
    <w:tmpl w:val="F2D69490"/>
    <w:lvl w:ilvl="0" w:tplc="38090011">
      <w:start w:val="1"/>
      <w:numFmt w:val="decimal"/>
      <w:lvlText w:val="%1)"/>
      <w:lvlJc w:val="left"/>
      <w:pPr>
        <w:ind w:left="720" w:hanging="360"/>
      </w:pPr>
      <w:rPr>
        <w:b w:val="0"/>
        <w:bCs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2" w15:restartNumberingAfterBreak="0">
    <w:nsid w:val="72AA3C22"/>
    <w:multiLevelType w:val="hybridMultilevel"/>
    <w:tmpl w:val="F998E0F4"/>
    <w:lvl w:ilvl="0" w:tplc="38090011">
      <w:start w:val="1"/>
      <w:numFmt w:val="decimal"/>
      <w:lvlText w:val="%1)"/>
      <w:lvlJc w:val="left"/>
      <w:pPr>
        <w:ind w:left="2628" w:hanging="360"/>
      </w:pPr>
      <w:rPr>
        <w:rFonts w:hint="default"/>
      </w:rPr>
    </w:lvl>
    <w:lvl w:ilvl="1" w:tplc="38090019" w:tentative="1">
      <w:start w:val="1"/>
      <w:numFmt w:val="lowerLetter"/>
      <w:lvlText w:val="%2."/>
      <w:lvlJc w:val="left"/>
      <w:pPr>
        <w:ind w:left="3348" w:hanging="360"/>
      </w:pPr>
    </w:lvl>
    <w:lvl w:ilvl="2" w:tplc="3809001B" w:tentative="1">
      <w:start w:val="1"/>
      <w:numFmt w:val="lowerRoman"/>
      <w:lvlText w:val="%3."/>
      <w:lvlJc w:val="right"/>
      <w:pPr>
        <w:ind w:left="4068" w:hanging="180"/>
      </w:pPr>
    </w:lvl>
    <w:lvl w:ilvl="3" w:tplc="3809000F" w:tentative="1">
      <w:start w:val="1"/>
      <w:numFmt w:val="decimal"/>
      <w:lvlText w:val="%4."/>
      <w:lvlJc w:val="left"/>
      <w:pPr>
        <w:ind w:left="4788" w:hanging="360"/>
      </w:pPr>
    </w:lvl>
    <w:lvl w:ilvl="4" w:tplc="38090019" w:tentative="1">
      <w:start w:val="1"/>
      <w:numFmt w:val="lowerLetter"/>
      <w:lvlText w:val="%5."/>
      <w:lvlJc w:val="left"/>
      <w:pPr>
        <w:ind w:left="5508" w:hanging="360"/>
      </w:pPr>
    </w:lvl>
    <w:lvl w:ilvl="5" w:tplc="3809001B" w:tentative="1">
      <w:start w:val="1"/>
      <w:numFmt w:val="lowerRoman"/>
      <w:lvlText w:val="%6."/>
      <w:lvlJc w:val="right"/>
      <w:pPr>
        <w:ind w:left="6228" w:hanging="180"/>
      </w:pPr>
    </w:lvl>
    <w:lvl w:ilvl="6" w:tplc="3809000F" w:tentative="1">
      <w:start w:val="1"/>
      <w:numFmt w:val="decimal"/>
      <w:lvlText w:val="%7."/>
      <w:lvlJc w:val="left"/>
      <w:pPr>
        <w:ind w:left="6948" w:hanging="360"/>
      </w:pPr>
    </w:lvl>
    <w:lvl w:ilvl="7" w:tplc="38090019" w:tentative="1">
      <w:start w:val="1"/>
      <w:numFmt w:val="lowerLetter"/>
      <w:lvlText w:val="%8."/>
      <w:lvlJc w:val="left"/>
      <w:pPr>
        <w:ind w:left="7668" w:hanging="360"/>
      </w:pPr>
    </w:lvl>
    <w:lvl w:ilvl="8" w:tplc="3809001B" w:tentative="1">
      <w:start w:val="1"/>
      <w:numFmt w:val="lowerRoman"/>
      <w:lvlText w:val="%9."/>
      <w:lvlJc w:val="right"/>
      <w:pPr>
        <w:ind w:left="8388" w:hanging="180"/>
      </w:pPr>
    </w:lvl>
  </w:abstractNum>
  <w:abstractNum w:abstractNumId="453" w15:restartNumberingAfterBreak="0">
    <w:nsid w:val="73095EF0"/>
    <w:multiLevelType w:val="hybridMultilevel"/>
    <w:tmpl w:val="4768EF46"/>
    <w:lvl w:ilvl="0" w:tplc="38090011">
      <w:start w:val="1"/>
      <w:numFmt w:val="decimal"/>
      <w:lvlText w:val="%1)"/>
      <w:lvlJc w:val="left"/>
      <w:pPr>
        <w:ind w:left="480" w:hanging="360"/>
      </w:pPr>
      <w:rPr>
        <w:rFonts w:hint="default"/>
        <w:b w:val="0"/>
        <w:bCs w:val="0"/>
        <w:color w:val="auto"/>
      </w:rPr>
    </w:lvl>
    <w:lvl w:ilvl="1" w:tplc="FFFFFFFF" w:tentative="1">
      <w:start w:val="1"/>
      <w:numFmt w:val="lowerLetter"/>
      <w:lvlText w:val="%2."/>
      <w:lvlJc w:val="left"/>
      <w:pPr>
        <w:ind w:left="1200" w:hanging="360"/>
      </w:pPr>
    </w:lvl>
    <w:lvl w:ilvl="2" w:tplc="FFFFFFFF" w:tentative="1">
      <w:start w:val="1"/>
      <w:numFmt w:val="lowerRoman"/>
      <w:lvlText w:val="%3."/>
      <w:lvlJc w:val="right"/>
      <w:pPr>
        <w:ind w:left="1920" w:hanging="180"/>
      </w:pPr>
    </w:lvl>
    <w:lvl w:ilvl="3" w:tplc="FFFFFFFF" w:tentative="1">
      <w:start w:val="1"/>
      <w:numFmt w:val="decimal"/>
      <w:lvlText w:val="%4."/>
      <w:lvlJc w:val="left"/>
      <w:pPr>
        <w:ind w:left="2640" w:hanging="360"/>
      </w:pPr>
    </w:lvl>
    <w:lvl w:ilvl="4" w:tplc="FFFFFFFF" w:tentative="1">
      <w:start w:val="1"/>
      <w:numFmt w:val="lowerLetter"/>
      <w:lvlText w:val="%5."/>
      <w:lvlJc w:val="left"/>
      <w:pPr>
        <w:ind w:left="3360" w:hanging="360"/>
      </w:pPr>
    </w:lvl>
    <w:lvl w:ilvl="5" w:tplc="FFFFFFFF" w:tentative="1">
      <w:start w:val="1"/>
      <w:numFmt w:val="lowerRoman"/>
      <w:lvlText w:val="%6."/>
      <w:lvlJc w:val="right"/>
      <w:pPr>
        <w:ind w:left="4080" w:hanging="180"/>
      </w:pPr>
    </w:lvl>
    <w:lvl w:ilvl="6" w:tplc="FFFFFFFF" w:tentative="1">
      <w:start w:val="1"/>
      <w:numFmt w:val="decimal"/>
      <w:lvlText w:val="%7."/>
      <w:lvlJc w:val="left"/>
      <w:pPr>
        <w:ind w:left="4800" w:hanging="360"/>
      </w:pPr>
    </w:lvl>
    <w:lvl w:ilvl="7" w:tplc="FFFFFFFF" w:tentative="1">
      <w:start w:val="1"/>
      <w:numFmt w:val="lowerLetter"/>
      <w:lvlText w:val="%8."/>
      <w:lvlJc w:val="left"/>
      <w:pPr>
        <w:ind w:left="5520" w:hanging="360"/>
      </w:pPr>
    </w:lvl>
    <w:lvl w:ilvl="8" w:tplc="FFFFFFFF" w:tentative="1">
      <w:start w:val="1"/>
      <w:numFmt w:val="lowerRoman"/>
      <w:lvlText w:val="%9."/>
      <w:lvlJc w:val="right"/>
      <w:pPr>
        <w:ind w:left="6240" w:hanging="180"/>
      </w:pPr>
    </w:lvl>
  </w:abstractNum>
  <w:abstractNum w:abstractNumId="454" w15:restartNumberingAfterBreak="0">
    <w:nsid w:val="7317039A"/>
    <w:multiLevelType w:val="hybridMultilevel"/>
    <w:tmpl w:val="9AEE0C70"/>
    <w:lvl w:ilvl="0" w:tplc="38090011">
      <w:start w:val="1"/>
      <w:numFmt w:val="decimal"/>
      <w:lvlText w:val="%1)"/>
      <w:lvlJc w:val="left"/>
      <w:pPr>
        <w:ind w:left="927"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5" w15:restartNumberingAfterBreak="0">
    <w:nsid w:val="737054D2"/>
    <w:multiLevelType w:val="multilevel"/>
    <w:tmpl w:val="93EAE036"/>
    <w:lvl w:ilvl="0">
      <w:start w:val="1"/>
      <w:numFmt w:val="lowerLetter"/>
      <w:lvlText w:val="%1."/>
      <w:lvlJc w:val="left"/>
      <w:pPr>
        <w:ind w:left="1854" w:hanging="360"/>
      </w:pPr>
    </w:lvl>
    <w:lvl w:ilvl="1">
      <w:start w:val="1"/>
      <w:numFmt w:val="lowerLetter"/>
      <w:lvlText w:val="%2."/>
      <w:lvlJc w:val="left"/>
      <w:pPr>
        <w:ind w:left="2574" w:hanging="360"/>
      </w:pPr>
    </w:lvl>
    <w:lvl w:ilvl="2">
      <w:start w:val="1"/>
      <w:numFmt w:val="upperLetter"/>
      <w:lvlText w:val="%3."/>
      <w:lvlJc w:val="left"/>
      <w:pPr>
        <w:ind w:left="3474" w:hanging="36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456" w15:restartNumberingAfterBreak="0">
    <w:nsid w:val="742F0BC8"/>
    <w:multiLevelType w:val="hybridMultilevel"/>
    <w:tmpl w:val="A886B6AA"/>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7" w15:restartNumberingAfterBreak="0">
    <w:nsid w:val="74B210BA"/>
    <w:multiLevelType w:val="hybridMultilevel"/>
    <w:tmpl w:val="F0C07ACE"/>
    <w:lvl w:ilvl="0" w:tplc="3006C6FA">
      <w:start w:val="1"/>
      <w:numFmt w:val="lowerLetter"/>
      <w:lvlText w:val="%1."/>
      <w:lvlJc w:val="left"/>
      <w:pPr>
        <w:ind w:left="927" w:hanging="360"/>
      </w:pPr>
      <w:rPr>
        <w:rFonts w:eastAsia="Bookman Old Style" w:cs="Bookman Old Style"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58" w15:restartNumberingAfterBreak="0">
    <w:nsid w:val="74DE474F"/>
    <w:multiLevelType w:val="hybridMultilevel"/>
    <w:tmpl w:val="6484BA62"/>
    <w:lvl w:ilvl="0" w:tplc="9BC4492A">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459" w15:restartNumberingAfterBreak="0">
    <w:nsid w:val="750A5C1C"/>
    <w:multiLevelType w:val="hybridMultilevel"/>
    <w:tmpl w:val="F8BE29EC"/>
    <w:lvl w:ilvl="0" w:tplc="26249B86">
      <w:start w:val="1"/>
      <w:numFmt w:val="lowerLetter"/>
      <w:lvlText w:val="(%1)"/>
      <w:lvlJc w:val="left"/>
      <w:pPr>
        <w:ind w:left="4329" w:hanging="360"/>
      </w:pPr>
      <w:rPr>
        <w:rFonts w:hint="default"/>
      </w:rPr>
    </w:lvl>
    <w:lvl w:ilvl="1" w:tplc="38090019" w:tentative="1">
      <w:start w:val="1"/>
      <w:numFmt w:val="lowerLetter"/>
      <w:lvlText w:val="%2."/>
      <w:lvlJc w:val="left"/>
      <w:pPr>
        <w:ind w:left="5049" w:hanging="360"/>
      </w:pPr>
    </w:lvl>
    <w:lvl w:ilvl="2" w:tplc="3809001B" w:tentative="1">
      <w:start w:val="1"/>
      <w:numFmt w:val="lowerRoman"/>
      <w:lvlText w:val="%3."/>
      <w:lvlJc w:val="right"/>
      <w:pPr>
        <w:ind w:left="5769" w:hanging="180"/>
      </w:pPr>
    </w:lvl>
    <w:lvl w:ilvl="3" w:tplc="3809000F" w:tentative="1">
      <w:start w:val="1"/>
      <w:numFmt w:val="decimal"/>
      <w:lvlText w:val="%4."/>
      <w:lvlJc w:val="left"/>
      <w:pPr>
        <w:ind w:left="6489" w:hanging="360"/>
      </w:pPr>
    </w:lvl>
    <w:lvl w:ilvl="4" w:tplc="38090019" w:tentative="1">
      <w:start w:val="1"/>
      <w:numFmt w:val="lowerLetter"/>
      <w:lvlText w:val="%5."/>
      <w:lvlJc w:val="left"/>
      <w:pPr>
        <w:ind w:left="7209" w:hanging="360"/>
      </w:pPr>
    </w:lvl>
    <w:lvl w:ilvl="5" w:tplc="3809001B" w:tentative="1">
      <w:start w:val="1"/>
      <w:numFmt w:val="lowerRoman"/>
      <w:lvlText w:val="%6."/>
      <w:lvlJc w:val="right"/>
      <w:pPr>
        <w:ind w:left="7929" w:hanging="180"/>
      </w:pPr>
    </w:lvl>
    <w:lvl w:ilvl="6" w:tplc="3809000F" w:tentative="1">
      <w:start w:val="1"/>
      <w:numFmt w:val="decimal"/>
      <w:lvlText w:val="%7."/>
      <w:lvlJc w:val="left"/>
      <w:pPr>
        <w:ind w:left="8649" w:hanging="360"/>
      </w:pPr>
    </w:lvl>
    <w:lvl w:ilvl="7" w:tplc="38090019" w:tentative="1">
      <w:start w:val="1"/>
      <w:numFmt w:val="lowerLetter"/>
      <w:lvlText w:val="%8."/>
      <w:lvlJc w:val="left"/>
      <w:pPr>
        <w:ind w:left="9369" w:hanging="360"/>
      </w:pPr>
    </w:lvl>
    <w:lvl w:ilvl="8" w:tplc="3809001B" w:tentative="1">
      <w:start w:val="1"/>
      <w:numFmt w:val="lowerRoman"/>
      <w:lvlText w:val="%9."/>
      <w:lvlJc w:val="right"/>
      <w:pPr>
        <w:ind w:left="10089" w:hanging="180"/>
      </w:pPr>
    </w:lvl>
  </w:abstractNum>
  <w:abstractNum w:abstractNumId="460" w15:restartNumberingAfterBreak="0">
    <w:nsid w:val="752A10E4"/>
    <w:multiLevelType w:val="hybridMultilevel"/>
    <w:tmpl w:val="A94A2FA6"/>
    <w:lvl w:ilvl="0" w:tplc="65E0ADCA">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461" w15:restartNumberingAfterBreak="0">
    <w:nsid w:val="753C5605"/>
    <w:multiLevelType w:val="multilevel"/>
    <w:tmpl w:val="A1F02596"/>
    <w:lvl w:ilvl="0">
      <w:numFmt w:val="bullet"/>
      <w:lvlText w:val="●"/>
      <w:lvlJc w:val="left"/>
      <w:pPr>
        <w:ind w:left="566" w:hanging="369"/>
      </w:pPr>
      <w:rPr>
        <w:rFonts w:ascii="Noto Sans Symbols" w:eastAsia="Noto Sans Symbols" w:hAnsi="Noto Sans Symbols" w:cs="Noto Sans Symbols"/>
        <w:sz w:val="22"/>
        <w:szCs w:val="22"/>
      </w:rPr>
    </w:lvl>
    <w:lvl w:ilvl="1">
      <w:numFmt w:val="bullet"/>
      <w:lvlText w:val="•"/>
      <w:lvlJc w:val="left"/>
      <w:pPr>
        <w:ind w:left="1565" w:hanging="369"/>
      </w:pPr>
    </w:lvl>
    <w:lvl w:ilvl="2">
      <w:numFmt w:val="bullet"/>
      <w:lvlText w:val="•"/>
      <w:lvlJc w:val="left"/>
      <w:pPr>
        <w:ind w:left="2571" w:hanging="369"/>
      </w:pPr>
    </w:lvl>
    <w:lvl w:ilvl="3">
      <w:numFmt w:val="bullet"/>
      <w:lvlText w:val="•"/>
      <w:lvlJc w:val="left"/>
      <w:pPr>
        <w:ind w:left="3576" w:hanging="368"/>
      </w:pPr>
    </w:lvl>
    <w:lvl w:ilvl="4">
      <w:numFmt w:val="bullet"/>
      <w:lvlText w:val="•"/>
      <w:lvlJc w:val="left"/>
      <w:pPr>
        <w:ind w:left="4582" w:hanging="369"/>
      </w:pPr>
    </w:lvl>
    <w:lvl w:ilvl="5">
      <w:numFmt w:val="bullet"/>
      <w:lvlText w:val="•"/>
      <w:lvlJc w:val="left"/>
      <w:pPr>
        <w:ind w:left="5587" w:hanging="368"/>
      </w:pPr>
    </w:lvl>
    <w:lvl w:ilvl="6">
      <w:numFmt w:val="bullet"/>
      <w:lvlText w:val="•"/>
      <w:lvlJc w:val="left"/>
      <w:pPr>
        <w:ind w:left="6593" w:hanging="369"/>
      </w:pPr>
    </w:lvl>
    <w:lvl w:ilvl="7">
      <w:numFmt w:val="bullet"/>
      <w:lvlText w:val="•"/>
      <w:lvlJc w:val="left"/>
      <w:pPr>
        <w:ind w:left="7598" w:hanging="369"/>
      </w:pPr>
    </w:lvl>
    <w:lvl w:ilvl="8">
      <w:numFmt w:val="bullet"/>
      <w:lvlText w:val="•"/>
      <w:lvlJc w:val="left"/>
      <w:pPr>
        <w:ind w:left="8604" w:hanging="369"/>
      </w:pPr>
    </w:lvl>
  </w:abstractNum>
  <w:abstractNum w:abstractNumId="462" w15:restartNumberingAfterBreak="0">
    <w:nsid w:val="753C5BF0"/>
    <w:multiLevelType w:val="hybridMultilevel"/>
    <w:tmpl w:val="ABFEE22C"/>
    <w:lvl w:ilvl="0" w:tplc="1854AEF6">
      <w:start w:val="1"/>
      <w:numFmt w:val="lowerLetter"/>
      <w:lvlText w:val="%1."/>
      <w:lvlJc w:val="left"/>
      <w:pPr>
        <w:ind w:left="2061" w:hanging="360"/>
      </w:pPr>
      <w:rPr>
        <w:rFonts w:hint="default"/>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463" w15:restartNumberingAfterBreak="0">
    <w:nsid w:val="758C3F9A"/>
    <w:multiLevelType w:val="multilevel"/>
    <w:tmpl w:val="6172D81A"/>
    <w:lvl w:ilvl="0">
      <w:numFmt w:val="bullet"/>
      <w:lvlText w:val="●"/>
      <w:lvlJc w:val="left"/>
      <w:pPr>
        <w:ind w:left="597" w:hanging="417"/>
      </w:pPr>
      <w:rPr>
        <w:rFonts w:ascii="Noto Sans Symbols" w:eastAsia="Noto Sans Symbols" w:hAnsi="Noto Sans Symbols" w:cs="Noto Sans Symbols"/>
        <w:sz w:val="22"/>
        <w:szCs w:val="22"/>
      </w:rPr>
    </w:lvl>
    <w:lvl w:ilvl="1">
      <w:numFmt w:val="bullet"/>
      <w:lvlText w:val="•"/>
      <w:lvlJc w:val="left"/>
      <w:pPr>
        <w:ind w:left="1191" w:hanging="417"/>
      </w:pPr>
    </w:lvl>
    <w:lvl w:ilvl="2">
      <w:numFmt w:val="bullet"/>
      <w:lvlText w:val="•"/>
      <w:lvlJc w:val="left"/>
      <w:pPr>
        <w:ind w:left="1783" w:hanging="416"/>
      </w:pPr>
    </w:lvl>
    <w:lvl w:ilvl="3">
      <w:numFmt w:val="bullet"/>
      <w:lvlText w:val="•"/>
      <w:lvlJc w:val="left"/>
      <w:pPr>
        <w:ind w:left="2374" w:hanging="417"/>
      </w:pPr>
    </w:lvl>
    <w:lvl w:ilvl="4">
      <w:numFmt w:val="bullet"/>
      <w:lvlText w:val="•"/>
      <w:lvlJc w:val="left"/>
      <w:pPr>
        <w:ind w:left="2966" w:hanging="416"/>
      </w:pPr>
    </w:lvl>
    <w:lvl w:ilvl="5">
      <w:numFmt w:val="bullet"/>
      <w:lvlText w:val="•"/>
      <w:lvlJc w:val="left"/>
      <w:pPr>
        <w:ind w:left="3557" w:hanging="417"/>
      </w:pPr>
    </w:lvl>
    <w:lvl w:ilvl="6">
      <w:numFmt w:val="bullet"/>
      <w:lvlText w:val="•"/>
      <w:lvlJc w:val="left"/>
      <w:pPr>
        <w:ind w:left="4149" w:hanging="417"/>
      </w:pPr>
    </w:lvl>
    <w:lvl w:ilvl="7">
      <w:numFmt w:val="bullet"/>
      <w:lvlText w:val="•"/>
      <w:lvlJc w:val="left"/>
      <w:pPr>
        <w:ind w:left="4740" w:hanging="417"/>
      </w:pPr>
    </w:lvl>
    <w:lvl w:ilvl="8">
      <w:numFmt w:val="bullet"/>
      <w:lvlText w:val="•"/>
      <w:lvlJc w:val="left"/>
      <w:pPr>
        <w:ind w:left="5332" w:hanging="416"/>
      </w:pPr>
    </w:lvl>
  </w:abstractNum>
  <w:abstractNum w:abstractNumId="464" w15:restartNumberingAfterBreak="0">
    <w:nsid w:val="759B0511"/>
    <w:multiLevelType w:val="multilevel"/>
    <w:tmpl w:val="DBFE4BD6"/>
    <w:lvl w:ilvl="0">
      <w:start w:val="1"/>
      <w:numFmt w:val="decimal"/>
      <w:lvlText w:val="%1)"/>
      <w:lvlJc w:val="left"/>
      <w:pPr>
        <w:ind w:left="438" w:hanging="321"/>
      </w:pPr>
      <w:rPr>
        <w:rFonts w:ascii="Bookman Old Style" w:eastAsia="Bookman Old Style" w:hAnsi="Bookman Old Style" w:cs="Bookman Old Style"/>
        <w:sz w:val="24"/>
        <w:szCs w:val="24"/>
      </w:rPr>
    </w:lvl>
    <w:lvl w:ilvl="1">
      <w:numFmt w:val="bullet"/>
      <w:lvlText w:val="•"/>
      <w:lvlJc w:val="left"/>
      <w:pPr>
        <w:ind w:left="1387" w:hanging="321"/>
      </w:pPr>
    </w:lvl>
    <w:lvl w:ilvl="2">
      <w:numFmt w:val="bullet"/>
      <w:lvlText w:val="•"/>
      <w:lvlJc w:val="left"/>
      <w:pPr>
        <w:ind w:left="2334" w:hanging="321"/>
      </w:pPr>
    </w:lvl>
    <w:lvl w:ilvl="3">
      <w:numFmt w:val="bullet"/>
      <w:lvlText w:val="•"/>
      <w:lvlJc w:val="left"/>
      <w:pPr>
        <w:ind w:left="3281" w:hanging="321"/>
      </w:pPr>
    </w:lvl>
    <w:lvl w:ilvl="4">
      <w:numFmt w:val="bullet"/>
      <w:lvlText w:val="•"/>
      <w:lvlJc w:val="left"/>
      <w:pPr>
        <w:ind w:left="4228" w:hanging="321"/>
      </w:pPr>
    </w:lvl>
    <w:lvl w:ilvl="5">
      <w:numFmt w:val="bullet"/>
      <w:lvlText w:val="•"/>
      <w:lvlJc w:val="left"/>
      <w:pPr>
        <w:ind w:left="5175" w:hanging="321"/>
      </w:pPr>
    </w:lvl>
    <w:lvl w:ilvl="6">
      <w:numFmt w:val="bullet"/>
      <w:lvlText w:val="•"/>
      <w:lvlJc w:val="left"/>
      <w:pPr>
        <w:ind w:left="6122" w:hanging="321"/>
      </w:pPr>
    </w:lvl>
    <w:lvl w:ilvl="7">
      <w:numFmt w:val="bullet"/>
      <w:lvlText w:val="•"/>
      <w:lvlJc w:val="left"/>
      <w:pPr>
        <w:ind w:left="7069" w:hanging="321"/>
      </w:pPr>
    </w:lvl>
    <w:lvl w:ilvl="8">
      <w:numFmt w:val="bullet"/>
      <w:lvlText w:val="•"/>
      <w:lvlJc w:val="left"/>
      <w:pPr>
        <w:ind w:left="8016" w:hanging="321"/>
      </w:pPr>
    </w:lvl>
  </w:abstractNum>
  <w:abstractNum w:abstractNumId="465" w15:restartNumberingAfterBreak="0">
    <w:nsid w:val="759F3063"/>
    <w:multiLevelType w:val="hybridMultilevel"/>
    <w:tmpl w:val="4720070C"/>
    <w:lvl w:ilvl="0" w:tplc="9A145926">
      <w:start w:val="1"/>
      <w:numFmt w:val="decimal"/>
      <w:lvlText w:val="%1)"/>
      <w:lvlJc w:val="left"/>
      <w:pPr>
        <w:ind w:left="720" w:hanging="360"/>
      </w:pPr>
      <w:rPr>
        <w:rFonts w:ascii="Bookman Old Style" w:eastAsia="Bookman Old Style" w:hAnsi="Bookman Old Style" w:cs="Bookman Old Style"/>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66" w15:restartNumberingAfterBreak="0">
    <w:nsid w:val="75EA6176"/>
    <w:multiLevelType w:val="hybridMultilevel"/>
    <w:tmpl w:val="4D3692C0"/>
    <w:lvl w:ilvl="0" w:tplc="58E23C80">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467" w15:restartNumberingAfterBreak="0">
    <w:nsid w:val="761018E1"/>
    <w:multiLevelType w:val="multilevel"/>
    <w:tmpl w:val="A36A87E0"/>
    <w:lvl w:ilvl="0">
      <w:start w:val="1"/>
      <w:numFmt w:val="bullet"/>
      <w:lvlText w:val="●"/>
      <w:lvlJc w:val="left"/>
      <w:pPr>
        <w:ind w:left="870" w:hanging="360"/>
      </w:pPr>
      <w:rPr>
        <w:rFonts w:ascii="Noto Sans Symbols" w:eastAsia="Noto Sans Symbols" w:hAnsi="Noto Sans Symbols" w:cs="Noto Sans Symbols"/>
      </w:rPr>
    </w:lvl>
    <w:lvl w:ilvl="1">
      <w:start w:val="1"/>
      <w:numFmt w:val="lowerLetter"/>
      <w:lvlText w:val="%2)"/>
      <w:lvlJc w:val="left"/>
      <w:pPr>
        <w:ind w:left="1590" w:hanging="360"/>
      </w:pPr>
    </w:lvl>
    <w:lvl w:ilvl="2">
      <w:start w:val="1"/>
      <w:numFmt w:val="bullet"/>
      <w:lvlText w:val="▪"/>
      <w:lvlJc w:val="left"/>
      <w:pPr>
        <w:ind w:left="2310" w:hanging="360"/>
      </w:pPr>
      <w:rPr>
        <w:rFonts w:ascii="Noto Sans Symbols" w:eastAsia="Noto Sans Symbols" w:hAnsi="Noto Sans Symbols" w:cs="Noto Sans Symbols"/>
      </w:rPr>
    </w:lvl>
    <w:lvl w:ilvl="3">
      <w:start w:val="1"/>
      <w:numFmt w:val="bullet"/>
      <w:lvlText w:val="●"/>
      <w:lvlJc w:val="left"/>
      <w:pPr>
        <w:ind w:left="3030" w:hanging="360"/>
      </w:pPr>
      <w:rPr>
        <w:rFonts w:ascii="Noto Sans Symbols" w:eastAsia="Noto Sans Symbols" w:hAnsi="Noto Sans Symbols" w:cs="Noto Sans Symbols"/>
      </w:rPr>
    </w:lvl>
    <w:lvl w:ilvl="4">
      <w:start w:val="1"/>
      <w:numFmt w:val="bullet"/>
      <w:lvlText w:val="o"/>
      <w:lvlJc w:val="left"/>
      <w:pPr>
        <w:ind w:left="3750" w:hanging="360"/>
      </w:pPr>
      <w:rPr>
        <w:rFonts w:ascii="Courier New" w:eastAsia="Courier New" w:hAnsi="Courier New" w:cs="Courier New"/>
      </w:rPr>
    </w:lvl>
    <w:lvl w:ilvl="5">
      <w:start w:val="1"/>
      <w:numFmt w:val="bullet"/>
      <w:lvlText w:val="▪"/>
      <w:lvlJc w:val="left"/>
      <w:pPr>
        <w:ind w:left="4470" w:hanging="360"/>
      </w:pPr>
      <w:rPr>
        <w:rFonts w:ascii="Noto Sans Symbols" w:eastAsia="Noto Sans Symbols" w:hAnsi="Noto Sans Symbols" w:cs="Noto Sans Symbols"/>
      </w:rPr>
    </w:lvl>
    <w:lvl w:ilvl="6">
      <w:start w:val="1"/>
      <w:numFmt w:val="bullet"/>
      <w:lvlText w:val="●"/>
      <w:lvlJc w:val="left"/>
      <w:pPr>
        <w:ind w:left="5190" w:hanging="360"/>
      </w:pPr>
      <w:rPr>
        <w:rFonts w:ascii="Noto Sans Symbols" w:eastAsia="Noto Sans Symbols" w:hAnsi="Noto Sans Symbols" w:cs="Noto Sans Symbols"/>
      </w:rPr>
    </w:lvl>
    <w:lvl w:ilvl="7">
      <w:start w:val="1"/>
      <w:numFmt w:val="bullet"/>
      <w:lvlText w:val="o"/>
      <w:lvlJc w:val="left"/>
      <w:pPr>
        <w:ind w:left="5910" w:hanging="360"/>
      </w:pPr>
      <w:rPr>
        <w:rFonts w:ascii="Courier New" w:eastAsia="Courier New" w:hAnsi="Courier New" w:cs="Courier New"/>
      </w:rPr>
    </w:lvl>
    <w:lvl w:ilvl="8">
      <w:start w:val="1"/>
      <w:numFmt w:val="bullet"/>
      <w:lvlText w:val="▪"/>
      <w:lvlJc w:val="left"/>
      <w:pPr>
        <w:ind w:left="6630" w:hanging="360"/>
      </w:pPr>
      <w:rPr>
        <w:rFonts w:ascii="Noto Sans Symbols" w:eastAsia="Noto Sans Symbols" w:hAnsi="Noto Sans Symbols" w:cs="Noto Sans Symbols"/>
      </w:rPr>
    </w:lvl>
  </w:abstractNum>
  <w:abstractNum w:abstractNumId="468" w15:restartNumberingAfterBreak="0">
    <w:nsid w:val="767D5BD1"/>
    <w:multiLevelType w:val="hybridMultilevel"/>
    <w:tmpl w:val="64D0EE12"/>
    <w:lvl w:ilvl="0" w:tplc="4BCE7AB8">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469" w15:restartNumberingAfterBreak="0">
    <w:nsid w:val="76A15FAD"/>
    <w:multiLevelType w:val="hybridMultilevel"/>
    <w:tmpl w:val="A9D8752A"/>
    <w:lvl w:ilvl="0" w:tplc="38090019">
      <w:start w:val="1"/>
      <w:numFmt w:val="low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470" w15:restartNumberingAfterBreak="0">
    <w:nsid w:val="76A9000F"/>
    <w:multiLevelType w:val="hybridMultilevel"/>
    <w:tmpl w:val="B3765D20"/>
    <w:lvl w:ilvl="0" w:tplc="9288D2AC">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471" w15:restartNumberingAfterBreak="0">
    <w:nsid w:val="76BD7AAA"/>
    <w:multiLevelType w:val="hybridMultilevel"/>
    <w:tmpl w:val="A2FC1AA0"/>
    <w:lvl w:ilvl="0" w:tplc="CEAC24B6">
      <w:start w:val="1"/>
      <w:numFmt w:val="lowerLetter"/>
      <w:lvlText w:val="%1."/>
      <w:lvlJc w:val="left"/>
      <w:pPr>
        <w:ind w:left="2061" w:hanging="360"/>
      </w:pPr>
      <w:rPr>
        <w:rFonts w:ascii="Bookman Old Style" w:eastAsiaTheme="minorHAnsi" w:hAnsi="Bookman Old Style" w:cstheme="minorBidi"/>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472" w15:restartNumberingAfterBreak="0">
    <w:nsid w:val="76C77DBF"/>
    <w:multiLevelType w:val="hybridMultilevel"/>
    <w:tmpl w:val="5A62CD50"/>
    <w:lvl w:ilvl="0" w:tplc="55226B92">
      <w:start w:val="1"/>
      <w:numFmt w:val="lowerLetter"/>
      <w:lvlText w:val="%1)"/>
      <w:lvlJc w:val="left"/>
      <w:pPr>
        <w:ind w:left="3195" w:hanging="360"/>
      </w:pPr>
      <w:rPr>
        <w:rFonts w:hint="default"/>
      </w:rPr>
    </w:lvl>
    <w:lvl w:ilvl="1" w:tplc="38090019" w:tentative="1">
      <w:start w:val="1"/>
      <w:numFmt w:val="lowerLetter"/>
      <w:lvlText w:val="%2."/>
      <w:lvlJc w:val="left"/>
      <w:pPr>
        <w:ind w:left="3915" w:hanging="360"/>
      </w:pPr>
    </w:lvl>
    <w:lvl w:ilvl="2" w:tplc="3809001B" w:tentative="1">
      <w:start w:val="1"/>
      <w:numFmt w:val="lowerRoman"/>
      <w:lvlText w:val="%3."/>
      <w:lvlJc w:val="right"/>
      <w:pPr>
        <w:ind w:left="4635" w:hanging="180"/>
      </w:pPr>
    </w:lvl>
    <w:lvl w:ilvl="3" w:tplc="3809000F" w:tentative="1">
      <w:start w:val="1"/>
      <w:numFmt w:val="decimal"/>
      <w:lvlText w:val="%4."/>
      <w:lvlJc w:val="left"/>
      <w:pPr>
        <w:ind w:left="5355" w:hanging="360"/>
      </w:pPr>
    </w:lvl>
    <w:lvl w:ilvl="4" w:tplc="38090019" w:tentative="1">
      <w:start w:val="1"/>
      <w:numFmt w:val="lowerLetter"/>
      <w:lvlText w:val="%5."/>
      <w:lvlJc w:val="left"/>
      <w:pPr>
        <w:ind w:left="6075" w:hanging="360"/>
      </w:pPr>
    </w:lvl>
    <w:lvl w:ilvl="5" w:tplc="3809001B" w:tentative="1">
      <w:start w:val="1"/>
      <w:numFmt w:val="lowerRoman"/>
      <w:lvlText w:val="%6."/>
      <w:lvlJc w:val="right"/>
      <w:pPr>
        <w:ind w:left="6795" w:hanging="180"/>
      </w:pPr>
    </w:lvl>
    <w:lvl w:ilvl="6" w:tplc="3809000F" w:tentative="1">
      <w:start w:val="1"/>
      <w:numFmt w:val="decimal"/>
      <w:lvlText w:val="%7."/>
      <w:lvlJc w:val="left"/>
      <w:pPr>
        <w:ind w:left="7515" w:hanging="360"/>
      </w:pPr>
    </w:lvl>
    <w:lvl w:ilvl="7" w:tplc="38090019" w:tentative="1">
      <w:start w:val="1"/>
      <w:numFmt w:val="lowerLetter"/>
      <w:lvlText w:val="%8."/>
      <w:lvlJc w:val="left"/>
      <w:pPr>
        <w:ind w:left="8235" w:hanging="360"/>
      </w:pPr>
    </w:lvl>
    <w:lvl w:ilvl="8" w:tplc="3809001B" w:tentative="1">
      <w:start w:val="1"/>
      <w:numFmt w:val="lowerRoman"/>
      <w:lvlText w:val="%9."/>
      <w:lvlJc w:val="right"/>
      <w:pPr>
        <w:ind w:left="8955" w:hanging="180"/>
      </w:pPr>
    </w:lvl>
  </w:abstractNum>
  <w:abstractNum w:abstractNumId="473" w15:restartNumberingAfterBreak="0">
    <w:nsid w:val="77AC5F42"/>
    <w:multiLevelType w:val="hybridMultilevel"/>
    <w:tmpl w:val="E232468E"/>
    <w:lvl w:ilvl="0" w:tplc="38090011">
      <w:start w:val="1"/>
      <w:numFmt w:val="decimal"/>
      <w:lvlText w:val="%1)"/>
      <w:lvlJc w:val="left"/>
      <w:pPr>
        <w:ind w:left="720" w:hanging="360"/>
      </w:pPr>
      <w:rPr>
        <w:b w:val="0"/>
        <w:bCs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4" w15:restartNumberingAfterBreak="0">
    <w:nsid w:val="77FE218B"/>
    <w:multiLevelType w:val="hybridMultilevel"/>
    <w:tmpl w:val="2988A896"/>
    <w:lvl w:ilvl="0" w:tplc="38090011">
      <w:start w:val="1"/>
      <w:numFmt w:val="decimal"/>
      <w:lvlText w:val="%1)"/>
      <w:lvlJc w:val="left"/>
      <w:pPr>
        <w:ind w:left="2907"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5" w15:restartNumberingAfterBreak="0">
    <w:nsid w:val="781C11C8"/>
    <w:multiLevelType w:val="multilevel"/>
    <w:tmpl w:val="FE0E277E"/>
    <w:lvl w:ilvl="0">
      <w:start w:val="1"/>
      <w:numFmt w:val="decimal"/>
      <w:lvlText w:val="%1)"/>
      <w:lvlJc w:val="left"/>
      <w:pPr>
        <w:ind w:left="485" w:hanging="433"/>
      </w:pPr>
      <w:rPr>
        <w:rFonts w:ascii="Bookman Old Style" w:eastAsia="Bookman Old Style" w:hAnsi="Bookman Old Style" w:cs="Bookman Old Style"/>
        <w:b w:val="0"/>
        <w:bCs w:val="0"/>
        <w:sz w:val="24"/>
        <w:szCs w:val="24"/>
      </w:rPr>
    </w:lvl>
    <w:lvl w:ilvl="1">
      <w:numFmt w:val="bullet"/>
      <w:lvlText w:val="•"/>
      <w:lvlJc w:val="left"/>
      <w:pPr>
        <w:ind w:left="1089" w:hanging="432"/>
      </w:pPr>
    </w:lvl>
    <w:lvl w:ilvl="2">
      <w:numFmt w:val="bullet"/>
      <w:lvlText w:val="•"/>
      <w:lvlJc w:val="left"/>
      <w:pPr>
        <w:ind w:left="1699" w:hanging="433"/>
      </w:pPr>
    </w:lvl>
    <w:lvl w:ilvl="3">
      <w:numFmt w:val="bullet"/>
      <w:lvlText w:val="•"/>
      <w:lvlJc w:val="left"/>
      <w:pPr>
        <w:ind w:left="2309" w:hanging="432"/>
      </w:pPr>
    </w:lvl>
    <w:lvl w:ilvl="4">
      <w:numFmt w:val="bullet"/>
      <w:lvlText w:val="•"/>
      <w:lvlJc w:val="left"/>
      <w:pPr>
        <w:ind w:left="2919" w:hanging="433"/>
      </w:pPr>
    </w:lvl>
    <w:lvl w:ilvl="5">
      <w:numFmt w:val="bullet"/>
      <w:lvlText w:val="•"/>
      <w:lvlJc w:val="left"/>
      <w:pPr>
        <w:ind w:left="3529" w:hanging="433"/>
      </w:pPr>
    </w:lvl>
    <w:lvl w:ilvl="6">
      <w:numFmt w:val="bullet"/>
      <w:lvlText w:val="•"/>
      <w:lvlJc w:val="left"/>
      <w:pPr>
        <w:ind w:left="4139" w:hanging="433"/>
      </w:pPr>
    </w:lvl>
    <w:lvl w:ilvl="7">
      <w:numFmt w:val="bullet"/>
      <w:lvlText w:val="•"/>
      <w:lvlJc w:val="left"/>
      <w:pPr>
        <w:ind w:left="4749" w:hanging="433"/>
      </w:pPr>
    </w:lvl>
    <w:lvl w:ilvl="8">
      <w:numFmt w:val="bullet"/>
      <w:lvlText w:val="•"/>
      <w:lvlJc w:val="left"/>
      <w:pPr>
        <w:ind w:left="5359" w:hanging="433"/>
      </w:pPr>
    </w:lvl>
  </w:abstractNum>
  <w:abstractNum w:abstractNumId="476" w15:restartNumberingAfterBreak="0">
    <w:nsid w:val="786A591B"/>
    <w:multiLevelType w:val="hybridMultilevel"/>
    <w:tmpl w:val="3EF0CE22"/>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477" w15:restartNumberingAfterBreak="0">
    <w:nsid w:val="78774DE5"/>
    <w:multiLevelType w:val="hybridMultilevel"/>
    <w:tmpl w:val="7B6EB436"/>
    <w:lvl w:ilvl="0" w:tplc="38090011">
      <w:start w:val="1"/>
      <w:numFmt w:val="decimal"/>
      <w:lvlText w:val="%1)"/>
      <w:lvlJc w:val="left"/>
      <w:pPr>
        <w:ind w:left="1080" w:hanging="360"/>
      </w:pPr>
      <w:rPr>
        <w:b w:val="0"/>
        <w:bCs w:val="0"/>
        <w:i w:val="0"/>
        <w:iCs w:val="0"/>
        <w:strike w:val="0"/>
        <w:color w:val="auto"/>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78" w15:restartNumberingAfterBreak="0">
    <w:nsid w:val="78B03D95"/>
    <w:multiLevelType w:val="multilevel"/>
    <w:tmpl w:val="811228F4"/>
    <w:lvl w:ilvl="0">
      <w:start w:val="1"/>
      <w:numFmt w:val="upperLetter"/>
      <w:lvlText w:val="%1."/>
      <w:lvlJc w:val="left"/>
      <w:pPr>
        <w:ind w:left="782" w:hanging="360"/>
      </w:pPr>
    </w:lvl>
    <w:lvl w:ilvl="1">
      <w:start w:val="1"/>
      <w:numFmt w:val="lowerLetter"/>
      <w:lvlText w:val="%2."/>
      <w:lvlJc w:val="left"/>
      <w:pPr>
        <w:ind w:left="1502" w:hanging="360"/>
      </w:pPr>
    </w:lvl>
    <w:lvl w:ilvl="2">
      <w:start w:val="1"/>
      <w:numFmt w:val="lowerRoman"/>
      <w:lvlText w:val="%3."/>
      <w:lvlJc w:val="right"/>
      <w:pPr>
        <w:ind w:left="2222" w:hanging="180"/>
      </w:pPr>
    </w:lvl>
    <w:lvl w:ilvl="3">
      <w:start w:val="1"/>
      <w:numFmt w:val="decimal"/>
      <w:lvlText w:val="%4."/>
      <w:lvlJc w:val="left"/>
      <w:pPr>
        <w:ind w:left="2942" w:hanging="360"/>
      </w:pPr>
    </w:lvl>
    <w:lvl w:ilvl="4">
      <w:start w:val="1"/>
      <w:numFmt w:val="lowerLetter"/>
      <w:lvlText w:val="%5."/>
      <w:lvlJc w:val="left"/>
      <w:pPr>
        <w:ind w:left="3662" w:hanging="360"/>
      </w:pPr>
    </w:lvl>
    <w:lvl w:ilvl="5">
      <w:start w:val="1"/>
      <w:numFmt w:val="lowerRoman"/>
      <w:lvlText w:val="%6."/>
      <w:lvlJc w:val="right"/>
      <w:pPr>
        <w:ind w:left="4382" w:hanging="180"/>
      </w:pPr>
    </w:lvl>
    <w:lvl w:ilvl="6">
      <w:start w:val="1"/>
      <w:numFmt w:val="decimal"/>
      <w:lvlText w:val="%7."/>
      <w:lvlJc w:val="left"/>
      <w:pPr>
        <w:ind w:left="5102" w:hanging="360"/>
      </w:pPr>
    </w:lvl>
    <w:lvl w:ilvl="7">
      <w:start w:val="1"/>
      <w:numFmt w:val="lowerLetter"/>
      <w:lvlText w:val="%8."/>
      <w:lvlJc w:val="left"/>
      <w:pPr>
        <w:ind w:left="5822" w:hanging="360"/>
      </w:pPr>
    </w:lvl>
    <w:lvl w:ilvl="8">
      <w:start w:val="1"/>
      <w:numFmt w:val="lowerRoman"/>
      <w:lvlText w:val="%9."/>
      <w:lvlJc w:val="right"/>
      <w:pPr>
        <w:ind w:left="6542" w:hanging="180"/>
      </w:pPr>
    </w:lvl>
  </w:abstractNum>
  <w:abstractNum w:abstractNumId="479" w15:restartNumberingAfterBreak="0">
    <w:nsid w:val="790E4F16"/>
    <w:multiLevelType w:val="hybridMultilevel"/>
    <w:tmpl w:val="DC368804"/>
    <w:lvl w:ilvl="0" w:tplc="0E623FB2">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480" w15:restartNumberingAfterBreak="0">
    <w:nsid w:val="793E18DA"/>
    <w:multiLevelType w:val="multilevel"/>
    <w:tmpl w:val="E8104412"/>
    <w:lvl w:ilvl="0">
      <w:start w:val="1"/>
      <w:numFmt w:val="decimal"/>
      <w:lvlText w:val="%1)"/>
      <w:lvlJc w:val="left"/>
      <w:pPr>
        <w:ind w:left="454" w:hanging="289"/>
      </w:pPr>
      <w:rPr>
        <w:sz w:val="24"/>
        <w:szCs w:val="24"/>
      </w:rPr>
    </w:lvl>
    <w:lvl w:ilvl="1">
      <w:start w:val="1"/>
      <w:numFmt w:val="bullet"/>
      <w:lvlText w:val=""/>
      <w:lvlJc w:val="left"/>
      <w:pPr>
        <w:ind w:left="1134" w:hanging="360"/>
      </w:pPr>
      <w:rPr>
        <w:rFonts w:ascii="Symbol" w:hAnsi="Symbol" w:hint="default"/>
      </w:rPr>
    </w:lvl>
    <w:lvl w:ilvl="2">
      <w:numFmt w:val="bullet"/>
      <w:lvlText w:val="•"/>
      <w:lvlJc w:val="left"/>
      <w:pPr>
        <w:ind w:left="1667" w:hanging="289"/>
      </w:pPr>
    </w:lvl>
    <w:lvl w:ilvl="3">
      <w:numFmt w:val="bullet"/>
      <w:lvlText w:val="•"/>
      <w:lvlJc w:val="left"/>
      <w:pPr>
        <w:ind w:left="2271" w:hanging="289"/>
      </w:pPr>
    </w:lvl>
    <w:lvl w:ilvl="4">
      <w:numFmt w:val="bullet"/>
      <w:lvlText w:val="•"/>
      <w:lvlJc w:val="left"/>
      <w:pPr>
        <w:ind w:left="2875" w:hanging="289"/>
      </w:pPr>
    </w:lvl>
    <w:lvl w:ilvl="5">
      <w:numFmt w:val="bullet"/>
      <w:lvlText w:val="•"/>
      <w:lvlJc w:val="left"/>
      <w:pPr>
        <w:ind w:left="3479" w:hanging="289"/>
      </w:pPr>
    </w:lvl>
    <w:lvl w:ilvl="6">
      <w:numFmt w:val="bullet"/>
      <w:lvlText w:val="•"/>
      <w:lvlJc w:val="left"/>
      <w:pPr>
        <w:ind w:left="4083" w:hanging="288"/>
      </w:pPr>
    </w:lvl>
    <w:lvl w:ilvl="7">
      <w:numFmt w:val="bullet"/>
      <w:lvlText w:val="•"/>
      <w:lvlJc w:val="left"/>
      <w:pPr>
        <w:ind w:left="4687" w:hanging="289"/>
      </w:pPr>
    </w:lvl>
    <w:lvl w:ilvl="8">
      <w:numFmt w:val="bullet"/>
      <w:lvlText w:val="•"/>
      <w:lvlJc w:val="left"/>
      <w:pPr>
        <w:ind w:left="5291" w:hanging="289"/>
      </w:pPr>
    </w:lvl>
  </w:abstractNum>
  <w:abstractNum w:abstractNumId="481" w15:restartNumberingAfterBreak="0">
    <w:nsid w:val="79FB5AA0"/>
    <w:multiLevelType w:val="hybridMultilevel"/>
    <w:tmpl w:val="D6F2A7BC"/>
    <w:lvl w:ilvl="0" w:tplc="330CC554">
      <w:start w:val="1"/>
      <w:numFmt w:val="decimal"/>
      <w:lvlText w:val="%1)"/>
      <w:lvlJc w:val="left"/>
      <w:pPr>
        <w:ind w:left="2061" w:hanging="360"/>
      </w:pPr>
      <w:rPr>
        <w:rFonts w:hint="default"/>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482" w15:restartNumberingAfterBreak="0">
    <w:nsid w:val="7A044154"/>
    <w:multiLevelType w:val="hybridMultilevel"/>
    <w:tmpl w:val="201AC912"/>
    <w:lvl w:ilvl="0" w:tplc="1F86B50C">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483" w15:restartNumberingAfterBreak="0">
    <w:nsid w:val="7A492478"/>
    <w:multiLevelType w:val="hybridMultilevel"/>
    <w:tmpl w:val="E924C722"/>
    <w:lvl w:ilvl="0" w:tplc="ECECB1AE">
      <w:start w:val="1"/>
      <w:numFmt w:val="lowerLetter"/>
      <w:lvlText w:val="%1)"/>
      <w:lvlJc w:val="left"/>
      <w:pPr>
        <w:ind w:left="3195" w:hanging="360"/>
      </w:pPr>
      <w:rPr>
        <w:rFonts w:hint="default"/>
      </w:rPr>
    </w:lvl>
    <w:lvl w:ilvl="1" w:tplc="38090019" w:tentative="1">
      <w:start w:val="1"/>
      <w:numFmt w:val="lowerLetter"/>
      <w:lvlText w:val="%2."/>
      <w:lvlJc w:val="left"/>
      <w:pPr>
        <w:ind w:left="3915" w:hanging="360"/>
      </w:pPr>
    </w:lvl>
    <w:lvl w:ilvl="2" w:tplc="3809001B" w:tentative="1">
      <w:start w:val="1"/>
      <w:numFmt w:val="lowerRoman"/>
      <w:lvlText w:val="%3."/>
      <w:lvlJc w:val="right"/>
      <w:pPr>
        <w:ind w:left="4635" w:hanging="180"/>
      </w:pPr>
    </w:lvl>
    <w:lvl w:ilvl="3" w:tplc="3809000F" w:tentative="1">
      <w:start w:val="1"/>
      <w:numFmt w:val="decimal"/>
      <w:lvlText w:val="%4."/>
      <w:lvlJc w:val="left"/>
      <w:pPr>
        <w:ind w:left="5355" w:hanging="360"/>
      </w:pPr>
    </w:lvl>
    <w:lvl w:ilvl="4" w:tplc="38090019" w:tentative="1">
      <w:start w:val="1"/>
      <w:numFmt w:val="lowerLetter"/>
      <w:lvlText w:val="%5."/>
      <w:lvlJc w:val="left"/>
      <w:pPr>
        <w:ind w:left="6075" w:hanging="360"/>
      </w:pPr>
    </w:lvl>
    <w:lvl w:ilvl="5" w:tplc="3809001B" w:tentative="1">
      <w:start w:val="1"/>
      <w:numFmt w:val="lowerRoman"/>
      <w:lvlText w:val="%6."/>
      <w:lvlJc w:val="right"/>
      <w:pPr>
        <w:ind w:left="6795" w:hanging="180"/>
      </w:pPr>
    </w:lvl>
    <w:lvl w:ilvl="6" w:tplc="3809000F" w:tentative="1">
      <w:start w:val="1"/>
      <w:numFmt w:val="decimal"/>
      <w:lvlText w:val="%7."/>
      <w:lvlJc w:val="left"/>
      <w:pPr>
        <w:ind w:left="7515" w:hanging="360"/>
      </w:pPr>
    </w:lvl>
    <w:lvl w:ilvl="7" w:tplc="38090019" w:tentative="1">
      <w:start w:val="1"/>
      <w:numFmt w:val="lowerLetter"/>
      <w:lvlText w:val="%8."/>
      <w:lvlJc w:val="left"/>
      <w:pPr>
        <w:ind w:left="8235" w:hanging="360"/>
      </w:pPr>
    </w:lvl>
    <w:lvl w:ilvl="8" w:tplc="3809001B" w:tentative="1">
      <w:start w:val="1"/>
      <w:numFmt w:val="lowerRoman"/>
      <w:lvlText w:val="%9."/>
      <w:lvlJc w:val="right"/>
      <w:pPr>
        <w:ind w:left="8955" w:hanging="180"/>
      </w:pPr>
    </w:lvl>
  </w:abstractNum>
  <w:abstractNum w:abstractNumId="484" w15:restartNumberingAfterBreak="0">
    <w:nsid w:val="7A5F5987"/>
    <w:multiLevelType w:val="hybridMultilevel"/>
    <w:tmpl w:val="2C867F6A"/>
    <w:lvl w:ilvl="0" w:tplc="A85A2A60">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85" w15:restartNumberingAfterBreak="0">
    <w:nsid w:val="7A7E744B"/>
    <w:multiLevelType w:val="hybridMultilevel"/>
    <w:tmpl w:val="28D25B52"/>
    <w:lvl w:ilvl="0" w:tplc="FFFFFFFF">
      <w:start w:val="1"/>
      <w:numFmt w:val="decimal"/>
      <w:lvlText w:val="%1."/>
      <w:lvlJc w:val="left"/>
      <w:pPr>
        <w:ind w:left="927" w:hanging="360"/>
      </w:pPr>
      <w:rPr>
        <w:rFonts w:hint="default"/>
        <w:color w:val="auto"/>
      </w:rPr>
    </w:lvl>
    <w:lvl w:ilvl="1" w:tplc="FFFFFFFF">
      <w:start w:val="1"/>
      <w:numFmt w:val="lowerLetter"/>
      <w:lvlText w:val="(%2)"/>
      <w:lvlJc w:val="left"/>
      <w:pPr>
        <w:ind w:left="1647" w:hanging="360"/>
      </w:pPr>
      <w:rPr>
        <w:rFonts w:hint="default"/>
      </w:rPr>
    </w:lvl>
    <w:lvl w:ilvl="2" w:tplc="FFFFFFFF">
      <w:start w:val="1"/>
      <w:numFmt w:val="decimal"/>
      <w:lvlText w:val="(%3)"/>
      <w:lvlJc w:val="left"/>
      <w:pPr>
        <w:ind w:left="2547" w:hanging="360"/>
      </w:pPr>
      <w:rPr>
        <w:rFonts w:hint="default"/>
      </w:rPr>
    </w:lvl>
    <w:lvl w:ilvl="3" w:tplc="FFFFFFFF">
      <w:start w:val="1"/>
      <w:numFmt w:val="decimal"/>
      <w:lvlText w:val="(%4)"/>
      <w:lvlJc w:val="left"/>
      <w:pPr>
        <w:ind w:left="3087" w:hanging="360"/>
      </w:pPr>
      <w:rPr>
        <w:rFonts w:hint="default"/>
      </w:rPr>
    </w:lvl>
    <w:lvl w:ilvl="4" w:tplc="FA7853D8">
      <w:start w:val="1"/>
      <w:numFmt w:val="decimal"/>
      <w:lvlText w:val="%5)"/>
      <w:lvlJc w:val="left"/>
      <w:pPr>
        <w:ind w:left="3807" w:hanging="360"/>
      </w:pPr>
      <w:rPr>
        <w:rFonts w:hint="default"/>
        <w:color w:val="000000" w:themeColor="text1"/>
        <w:sz w:val="24"/>
        <w:szCs w:val="24"/>
      </w:rPr>
    </w:lvl>
    <w:lvl w:ilvl="5" w:tplc="F2B82320">
      <w:start w:val="1"/>
      <w:numFmt w:val="lowerLetter"/>
      <w:lvlText w:val="%6)"/>
      <w:lvlJc w:val="left"/>
      <w:pPr>
        <w:ind w:left="4707" w:hanging="360"/>
      </w:pPr>
      <w:rPr>
        <w:rFonts w:hint="default"/>
        <w:sz w:val="24"/>
        <w:szCs w:val="24"/>
      </w:r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86" w15:restartNumberingAfterBreak="0">
    <w:nsid w:val="7A8F1F19"/>
    <w:multiLevelType w:val="multilevel"/>
    <w:tmpl w:val="57281780"/>
    <w:lvl w:ilvl="0">
      <w:start w:val="2"/>
      <w:numFmt w:val="upperLetter"/>
      <w:lvlText w:val="%1."/>
      <w:lvlJc w:val="left"/>
      <w:pPr>
        <w:ind w:left="347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7" w15:restartNumberingAfterBreak="0">
    <w:nsid w:val="7A974E86"/>
    <w:multiLevelType w:val="hybridMultilevel"/>
    <w:tmpl w:val="5EF8ED08"/>
    <w:lvl w:ilvl="0" w:tplc="0DF25D60">
      <w:start w:val="1"/>
      <w:numFmt w:val="decimal"/>
      <w:lvlText w:val="%1."/>
      <w:lvlJc w:val="left"/>
      <w:pPr>
        <w:ind w:left="1287" w:hanging="360"/>
      </w:pPr>
      <w:rPr>
        <w:rFonts w:hint="default"/>
      </w:rPr>
    </w:lvl>
    <w:lvl w:ilvl="1" w:tplc="D6C83DA6">
      <w:start w:val="1"/>
      <w:numFmt w:val="decimal"/>
      <w:lvlText w:val="%2)"/>
      <w:lvlJc w:val="left"/>
      <w:pPr>
        <w:ind w:left="720" w:hanging="360"/>
      </w:pPr>
      <w:rPr>
        <w:strike w:val="0"/>
        <w:sz w:val="24"/>
        <w:szCs w:val="24"/>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88" w15:restartNumberingAfterBreak="0">
    <w:nsid w:val="7ACE737A"/>
    <w:multiLevelType w:val="hybridMultilevel"/>
    <w:tmpl w:val="A96643C2"/>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489" w15:restartNumberingAfterBreak="0">
    <w:nsid w:val="7AF61314"/>
    <w:multiLevelType w:val="hybridMultilevel"/>
    <w:tmpl w:val="B492E110"/>
    <w:lvl w:ilvl="0" w:tplc="7A6CEDC8">
      <w:start w:val="1"/>
      <w:numFmt w:val="lowerLetter"/>
      <w:lvlText w:val="(%1)"/>
      <w:lvlJc w:val="left"/>
      <w:pPr>
        <w:ind w:left="4329" w:hanging="360"/>
      </w:pPr>
      <w:rPr>
        <w:rFonts w:hint="default"/>
      </w:rPr>
    </w:lvl>
    <w:lvl w:ilvl="1" w:tplc="38090019" w:tentative="1">
      <w:start w:val="1"/>
      <w:numFmt w:val="lowerLetter"/>
      <w:lvlText w:val="%2."/>
      <w:lvlJc w:val="left"/>
      <w:pPr>
        <w:ind w:left="5049" w:hanging="360"/>
      </w:pPr>
    </w:lvl>
    <w:lvl w:ilvl="2" w:tplc="3809001B" w:tentative="1">
      <w:start w:val="1"/>
      <w:numFmt w:val="lowerRoman"/>
      <w:lvlText w:val="%3."/>
      <w:lvlJc w:val="right"/>
      <w:pPr>
        <w:ind w:left="5769" w:hanging="180"/>
      </w:pPr>
    </w:lvl>
    <w:lvl w:ilvl="3" w:tplc="3809000F" w:tentative="1">
      <w:start w:val="1"/>
      <w:numFmt w:val="decimal"/>
      <w:lvlText w:val="%4."/>
      <w:lvlJc w:val="left"/>
      <w:pPr>
        <w:ind w:left="6489" w:hanging="360"/>
      </w:pPr>
    </w:lvl>
    <w:lvl w:ilvl="4" w:tplc="38090019" w:tentative="1">
      <w:start w:val="1"/>
      <w:numFmt w:val="lowerLetter"/>
      <w:lvlText w:val="%5."/>
      <w:lvlJc w:val="left"/>
      <w:pPr>
        <w:ind w:left="7209" w:hanging="360"/>
      </w:pPr>
    </w:lvl>
    <w:lvl w:ilvl="5" w:tplc="3809001B" w:tentative="1">
      <w:start w:val="1"/>
      <w:numFmt w:val="lowerRoman"/>
      <w:lvlText w:val="%6."/>
      <w:lvlJc w:val="right"/>
      <w:pPr>
        <w:ind w:left="7929" w:hanging="180"/>
      </w:pPr>
    </w:lvl>
    <w:lvl w:ilvl="6" w:tplc="3809000F" w:tentative="1">
      <w:start w:val="1"/>
      <w:numFmt w:val="decimal"/>
      <w:lvlText w:val="%7."/>
      <w:lvlJc w:val="left"/>
      <w:pPr>
        <w:ind w:left="8649" w:hanging="360"/>
      </w:pPr>
    </w:lvl>
    <w:lvl w:ilvl="7" w:tplc="38090019" w:tentative="1">
      <w:start w:val="1"/>
      <w:numFmt w:val="lowerLetter"/>
      <w:lvlText w:val="%8."/>
      <w:lvlJc w:val="left"/>
      <w:pPr>
        <w:ind w:left="9369" w:hanging="360"/>
      </w:pPr>
    </w:lvl>
    <w:lvl w:ilvl="8" w:tplc="3809001B" w:tentative="1">
      <w:start w:val="1"/>
      <w:numFmt w:val="lowerRoman"/>
      <w:lvlText w:val="%9."/>
      <w:lvlJc w:val="right"/>
      <w:pPr>
        <w:ind w:left="10089" w:hanging="180"/>
      </w:pPr>
    </w:lvl>
  </w:abstractNum>
  <w:abstractNum w:abstractNumId="490" w15:restartNumberingAfterBreak="0">
    <w:nsid w:val="7B555166"/>
    <w:multiLevelType w:val="hybridMultilevel"/>
    <w:tmpl w:val="701ED24A"/>
    <w:lvl w:ilvl="0" w:tplc="DF52D372">
      <w:start w:val="1"/>
      <w:numFmt w:val="lowerLetter"/>
      <w:lvlText w:val="%1)"/>
      <w:lvlJc w:val="left"/>
      <w:pPr>
        <w:ind w:left="3195" w:hanging="360"/>
      </w:pPr>
      <w:rPr>
        <w:rFonts w:hint="default"/>
      </w:rPr>
    </w:lvl>
    <w:lvl w:ilvl="1" w:tplc="38090019" w:tentative="1">
      <w:start w:val="1"/>
      <w:numFmt w:val="lowerLetter"/>
      <w:lvlText w:val="%2."/>
      <w:lvlJc w:val="left"/>
      <w:pPr>
        <w:ind w:left="3915" w:hanging="360"/>
      </w:pPr>
    </w:lvl>
    <w:lvl w:ilvl="2" w:tplc="3809001B" w:tentative="1">
      <w:start w:val="1"/>
      <w:numFmt w:val="lowerRoman"/>
      <w:lvlText w:val="%3."/>
      <w:lvlJc w:val="right"/>
      <w:pPr>
        <w:ind w:left="4635" w:hanging="180"/>
      </w:pPr>
    </w:lvl>
    <w:lvl w:ilvl="3" w:tplc="3809000F" w:tentative="1">
      <w:start w:val="1"/>
      <w:numFmt w:val="decimal"/>
      <w:lvlText w:val="%4."/>
      <w:lvlJc w:val="left"/>
      <w:pPr>
        <w:ind w:left="5355" w:hanging="360"/>
      </w:pPr>
    </w:lvl>
    <w:lvl w:ilvl="4" w:tplc="38090019" w:tentative="1">
      <w:start w:val="1"/>
      <w:numFmt w:val="lowerLetter"/>
      <w:lvlText w:val="%5."/>
      <w:lvlJc w:val="left"/>
      <w:pPr>
        <w:ind w:left="6075" w:hanging="360"/>
      </w:pPr>
    </w:lvl>
    <w:lvl w:ilvl="5" w:tplc="3809001B" w:tentative="1">
      <w:start w:val="1"/>
      <w:numFmt w:val="lowerRoman"/>
      <w:lvlText w:val="%6."/>
      <w:lvlJc w:val="right"/>
      <w:pPr>
        <w:ind w:left="6795" w:hanging="180"/>
      </w:pPr>
    </w:lvl>
    <w:lvl w:ilvl="6" w:tplc="3809000F" w:tentative="1">
      <w:start w:val="1"/>
      <w:numFmt w:val="decimal"/>
      <w:lvlText w:val="%7."/>
      <w:lvlJc w:val="left"/>
      <w:pPr>
        <w:ind w:left="7515" w:hanging="360"/>
      </w:pPr>
    </w:lvl>
    <w:lvl w:ilvl="7" w:tplc="38090019" w:tentative="1">
      <w:start w:val="1"/>
      <w:numFmt w:val="lowerLetter"/>
      <w:lvlText w:val="%8."/>
      <w:lvlJc w:val="left"/>
      <w:pPr>
        <w:ind w:left="8235" w:hanging="360"/>
      </w:pPr>
    </w:lvl>
    <w:lvl w:ilvl="8" w:tplc="3809001B" w:tentative="1">
      <w:start w:val="1"/>
      <w:numFmt w:val="lowerRoman"/>
      <w:lvlText w:val="%9."/>
      <w:lvlJc w:val="right"/>
      <w:pPr>
        <w:ind w:left="8955" w:hanging="180"/>
      </w:pPr>
    </w:lvl>
  </w:abstractNum>
  <w:abstractNum w:abstractNumId="491" w15:restartNumberingAfterBreak="0">
    <w:nsid w:val="7B692DF4"/>
    <w:multiLevelType w:val="hybridMultilevel"/>
    <w:tmpl w:val="BBD458D8"/>
    <w:lvl w:ilvl="0" w:tplc="F11A207C">
      <w:start w:val="1"/>
      <w:numFmt w:val="lowerLetter"/>
      <w:lvlText w:val="(%1)"/>
      <w:lvlJc w:val="left"/>
      <w:pPr>
        <w:ind w:left="4329" w:hanging="360"/>
      </w:pPr>
      <w:rPr>
        <w:rFonts w:hint="default"/>
      </w:rPr>
    </w:lvl>
    <w:lvl w:ilvl="1" w:tplc="38090019" w:tentative="1">
      <w:start w:val="1"/>
      <w:numFmt w:val="lowerLetter"/>
      <w:lvlText w:val="%2."/>
      <w:lvlJc w:val="left"/>
      <w:pPr>
        <w:ind w:left="5049" w:hanging="360"/>
      </w:pPr>
    </w:lvl>
    <w:lvl w:ilvl="2" w:tplc="3809001B" w:tentative="1">
      <w:start w:val="1"/>
      <w:numFmt w:val="lowerRoman"/>
      <w:lvlText w:val="%3."/>
      <w:lvlJc w:val="right"/>
      <w:pPr>
        <w:ind w:left="5769" w:hanging="180"/>
      </w:pPr>
    </w:lvl>
    <w:lvl w:ilvl="3" w:tplc="3809000F" w:tentative="1">
      <w:start w:val="1"/>
      <w:numFmt w:val="decimal"/>
      <w:lvlText w:val="%4."/>
      <w:lvlJc w:val="left"/>
      <w:pPr>
        <w:ind w:left="6489" w:hanging="360"/>
      </w:pPr>
    </w:lvl>
    <w:lvl w:ilvl="4" w:tplc="38090019" w:tentative="1">
      <w:start w:val="1"/>
      <w:numFmt w:val="lowerLetter"/>
      <w:lvlText w:val="%5."/>
      <w:lvlJc w:val="left"/>
      <w:pPr>
        <w:ind w:left="7209" w:hanging="360"/>
      </w:pPr>
    </w:lvl>
    <w:lvl w:ilvl="5" w:tplc="3809001B" w:tentative="1">
      <w:start w:val="1"/>
      <w:numFmt w:val="lowerRoman"/>
      <w:lvlText w:val="%6."/>
      <w:lvlJc w:val="right"/>
      <w:pPr>
        <w:ind w:left="7929" w:hanging="180"/>
      </w:pPr>
    </w:lvl>
    <w:lvl w:ilvl="6" w:tplc="3809000F" w:tentative="1">
      <w:start w:val="1"/>
      <w:numFmt w:val="decimal"/>
      <w:lvlText w:val="%7."/>
      <w:lvlJc w:val="left"/>
      <w:pPr>
        <w:ind w:left="8649" w:hanging="360"/>
      </w:pPr>
    </w:lvl>
    <w:lvl w:ilvl="7" w:tplc="38090019" w:tentative="1">
      <w:start w:val="1"/>
      <w:numFmt w:val="lowerLetter"/>
      <w:lvlText w:val="%8."/>
      <w:lvlJc w:val="left"/>
      <w:pPr>
        <w:ind w:left="9369" w:hanging="360"/>
      </w:pPr>
    </w:lvl>
    <w:lvl w:ilvl="8" w:tplc="3809001B" w:tentative="1">
      <w:start w:val="1"/>
      <w:numFmt w:val="lowerRoman"/>
      <w:lvlText w:val="%9."/>
      <w:lvlJc w:val="right"/>
      <w:pPr>
        <w:ind w:left="10089" w:hanging="180"/>
      </w:pPr>
    </w:lvl>
  </w:abstractNum>
  <w:abstractNum w:abstractNumId="492" w15:restartNumberingAfterBreak="0">
    <w:nsid w:val="7B717239"/>
    <w:multiLevelType w:val="multilevel"/>
    <w:tmpl w:val="0058ABDC"/>
    <w:lvl w:ilvl="0">
      <w:start w:val="1"/>
      <w:numFmt w:val="decimal"/>
      <w:lvlText w:val="%1)"/>
      <w:lvlJc w:val="left"/>
      <w:pPr>
        <w:ind w:left="438" w:hanging="321"/>
      </w:pPr>
      <w:rPr>
        <w:rFonts w:ascii="Bookman Old Style" w:eastAsia="Bookman Old Style" w:hAnsi="Bookman Old Style" w:cs="Bookman Old Style"/>
        <w:sz w:val="24"/>
        <w:szCs w:val="24"/>
      </w:rPr>
    </w:lvl>
    <w:lvl w:ilvl="1">
      <w:numFmt w:val="bullet"/>
      <w:lvlText w:val="•"/>
      <w:lvlJc w:val="left"/>
      <w:pPr>
        <w:ind w:left="1018" w:hanging="321"/>
      </w:pPr>
    </w:lvl>
    <w:lvl w:ilvl="2">
      <w:numFmt w:val="bullet"/>
      <w:lvlText w:val="•"/>
      <w:lvlJc w:val="left"/>
      <w:pPr>
        <w:ind w:left="1597" w:hanging="321"/>
      </w:pPr>
    </w:lvl>
    <w:lvl w:ilvl="3">
      <w:numFmt w:val="bullet"/>
      <w:lvlText w:val="•"/>
      <w:lvlJc w:val="left"/>
      <w:pPr>
        <w:ind w:left="2175" w:hanging="321"/>
      </w:pPr>
    </w:lvl>
    <w:lvl w:ilvl="4">
      <w:numFmt w:val="bullet"/>
      <w:lvlText w:val="•"/>
      <w:lvlJc w:val="left"/>
      <w:pPr>
        <w:ind w:left="2754" w:hanging="321"/>
      </w:pPr>
    </w:lvl>
    <w:lvl w:ilvl="5">
      <w:numFmt w:val="bullet"/>
      <w:lvlText w:val="•"/>
      <w:lvlJc w:val="left"/>
      <w:pPr>
        <w:ind w:left="3333" w:hanging="321"/>
      </w:pPr>
    </w:lvl>
    <w:lvl w:ilvl="6">
      <w:numFmt w:val="bullet"/>
      <w:lvlText w:val="•"/>
      <w:lvlJc w:val="left"/>
      <w:pPr>
        <w:ind w:left="3911" w:hanging="321"/>
      </w:pPr>
    </w:lvl>
    <w:lvl w:ilvl="7">
      <w:numFmt w:val="bullet"/>
      <w:lvlText w:val="•"/>
      <w:lvlJc w:val="left"/>
      <w:pPr>
        <w:ind w:left="4490" w:hanging="321"/>
      </w:pPr>
    </w:lvl>
    <w:lvl w:ilvl="8">
      <w:numFmt w:val="bullet"/>
      <w:lvlText w:val="•"/>
      <w:lvlJc w:val="left"/>
      <w:pPr>
        <w:ind w:left="5068" w:hanging="321"/>
      </w:pPr>
    </w:lvl>
  </w:abstractNum>
  <w:abstractNum w:abstractNumId="493" w15:restartNumberingAfterBreak="0">
    <w:nsid w:val="7B7468A0"/>
    <w:multiLevelType w:val="hybridMultilevel"/>
    <w:tmpl w:val="85EC1948"/>
    <w:lvl w:ilvl="0" w:tplc="D4101CC8">
      <w:start w:val="1"/>
      <w:numFmt w:val="lowerLetter"/>
      <w:lvlText w:val="%1)"/>
      <w:lvlJc w:val="left"/>
      <w:pPr>
        <w:ind w:left="2061" w:hanging="360"/>
      </w:pPr>
      <w:rPr>
        <w:rFonts w:eastAsia="Bookman Old Style" w:cs="Bookman Old Style" w:hint="default"/>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494" w15:restartNumberingAfterBreak="0">
    <w:nsid w:val="7B9132D2"/>
    <w:multiLevelType w:val="multilevel"/>
    <w:tmpl w:val="9C46B5E6"/>
    <w:lvl w:ilvl="0">
      <w:start w:val="1"/>
      <w:numFmt w:val="decimal"/>
      <w:lvlText w:val="%1)"/>
      <w:lvlJc w:val="left"/>
      <w:pPr>
        <w:ind w:left="390" w:hanging="224"/>
      </w:pPr>
      <w:rPr>
        <w:sz w:val="24"/>
        <w:szCs w:val="24"/>
      </w:rPr>
    </w:lvl>
    <w:lvl w:ilvl="1">
      <w:numFmt w:val="bullet"/>
      <w:lvlText w:val="•"/>
      <w:lvlJc w:val="left"/>
      <w:pPr>
        <w:ind w:left="1109" w:hanging="224"/>
      </w:pPr>
    </w:lvl>
    <w:lvl w:ilvl="2">
      <w:numFmt w:val="bullet"/>
      <w:lvlText w:val="•"/>
      <w:lvlJc w:val="left"/>
      <w:pPr>
        <w:ind w:left="1818" w:hanging="224"/>
      </w:pPr>
    </w:lvl>
    <w:lvl w:ilvl="3">
      <w:numFmt w:val="bullet"/>
      <w:lvlText w:val="•"/>
      <w:lvlJc w:val="left"/>
      <w:pPr>
        <w:ind w:left="2527" w:hanging="224"/>
      </w:pPr>
    </w:lvl>
    <w:lvl w:ilvl="4">
      <w:numFmt w:val="bullet"/>
      <w:lvlText w:val="•"/>
      <w:lvlJc w:val="left"/>
      <w:pPr>
        <w:ind w:left="3236" w:hanging="223"/>
      </w:pPr>
    </w:lvl>
    <w:lvl w:ilvl="5">
      <w:numFmt w:val="bullet"/>
      <w:lvlText w:val="•"/>
      <w:lvlJc w:val="left"/>
      <w:pPr>
        <w:ind w:left="3945" w:hanging="224"/>
      </w:pPr>
    </w:lvl>
    <w:lvl w:ilvl="6">
      <w:numFmt w:val="bullet"/>
      <w:lvlText w:val="•"/>
      <w:lvlJc w:val="left"/>
      <w:pPr>
        <w:ind w:left="4654" w:hanging="224"/>
      </w:pPr>
    </w:lvl>
    <w:lvl w:ilvl="7">
      <w:numFmt w:val="bullet"/>
      <w:lvlText w:val="•"/>
      <w:lvlJc w:val="left"/>
      <w:pPr>
        <w:ind w:left="5363" w:hanging="224"/>
      </w:pPr>
    </w:lvl>
    <w:lvl w:ilvl="8">
      <w:numFmt w:val="bullet"/>
      <w:lvlText w:val="•"/>
      <w:lvlJc w:val="left"/>
      <w:pPr>
        <w:ind w:left="6072" w:hanging="223"/>
      </w:pPr>
    </w:lvl>
  </w:abstractNum>
  <w:abstractNum w:abstractNumId="495" w15:restartNumberingAfterBreak="0">
    <w:nsid w:val="7C1E55CB"/>
    <w:multiLevelType w:val="hybridMultilevel"/>
    <w:tmpl w:val="A886B6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6" w15:restartNumberingAfterBreak="0">
    <w:nsid w:val="7C830A5C"/>
    <w:multiLevelType w:val="hybridMultilevel"/>
    <w:tmpl w:val="D5F23874"/>
    <w:lvl w:ilvl="0" w:tplc="165C221E">
      <w:start w:val="1"/>
      <w:numFmt w:val="decimal"/>
      <w:lvlText w:val="(%1)"/>
      <w:lvlJc w:val="left"/>
      <w:pPr>
        <w:ind w:left="3762" w:hanging="360"/>
      </w:pPr>
      <w:rPr>
        <w:rFonts w:hint="default"/>
        <w:color w:val="auto"/>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497" w15:restartNumberingAfterBreak="0">
    <w:nsid w:val="7CEC3E61"/>
    <w:multiLevelType w:val="hybridMultilevel"/>
    <w:tmpl w:val="56464AB0"/>
    <w:lvl w:ilvl="0" w:tplc="FFFFFFFF">
      <w:start w:val="1"/>
      <w:numFmt w:val="upp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98" w15:restartNumberingAfterBreak="0">
    <w:nsid w:val="7D100FC0"/>
    <w:multiLevelType w:val="hybridMultilevel"/>
    <w:tmpl w:val="019CFEB8"/>
    <w:lvl w:ilvl="0" w:tplc="FF24939A">
      <w:start w:val="1"/>
      <w:numFmt w:val="lowerLetter"/>
      <w:lvlText w:val="(%1)"/>
      <w:lvlJc w:val="left"/>
      <w:pPr>
        <w:ind w:left="4329" w:hanging="360"/>
      </w:pPr>
      <w:rPr>
        <w:rFonts w:hint="default"/>
      </w:rPr>
    </w:lvl>
    <w:lvl w:ilvl="1" w:tplc="38090019" w:tentative="1">
      <w:start w:val="1"/>
      <w:numFmt w:val="lowerLetter"/>
      <w:lvlText w:val="%2."/>
      <w:lvlJc w:val="left"/>
      <w:pPr>
        <w:ind w:left="5049" w:hanging="360"/>
      </w:pPr>
    </w:lvl>
    <w:lvl w:ilvl="2" w:tplc="3809001B" w:tentative="1">
      <w:start w:val="1"/>
      <w:numFmt w:val="lowerRoman"/>
      <w:lvlText w:val="%3."/>
      <w:lvlJc w:val="right"/>
      <w:pPr>
        <w:ind w:left="5769" w:hanging="180"/>
      </w:pPr>
    </w:lvl>
    <w:lvl w:ilvl="3" w:tplc="3809000F" w:tentative="1">
      <w:start w:val="1"/>
      <w:numFmt w:val="decimal"/>
      <w:lvlText w:val="%4."/>
      <w:lvlJc w:val="left"/>
      <w:pPr>
        <w:ind w:left="6489" w:hanging="360"/>
      </w:pPr>
    </w:lvl>
    <w:lvl w:ilvl="4" w:tplc="38090019" w:tentative="1">
      <w:start w:val="1"/>
      <w:numFmt w:val="lowerLetter"/>
      <w:lvlText w:val="%5."/>
      <w:lvlJc w:val="left"/>
      <w:pPr>
        <w:ind w:left="7209" w:hanging="360"/>
      </w:pPr>
    </w:lvl>
    <w:lvl w:ilvl="5" w:tplc="3809001B" w:tentative="1">
      <w:start w:val="1"/>
      <w:numFmt w:val="lowerRoman"/>
      <w:lvlText w:val="%6."/>
      <w:lvlJc w:val="right"/>
      <w:pPr>
        <w:ind w:left="7929" w:hanging="180"/>
      </w:pPr>
    </w:lvl>
    <w:lvl w:ilvl="6" w:tplc="3809000F" w:tentative="1">
      <w:start w:val="1"/>
      <w:numFmt w:val="decimal"/>
      <w:lvlText w:val="%7."/>
      <w:lvlJc w:val="left"/>
      <w:pPr>
        <w:ind w:left="8649" w:hanging="360"/>
      </w:pPr>
    </w:lvl>
    <w:lvl w:ilvl="7" w:tplc="38090019" w:tentative="1">
      <w:start w:val="1"/>
      <w:numFmt w:val="lowerLetter"/>
      <w:lvlText w:val="%8."/>
      <w:lvlJc w:val="left"/>
      <w:pPr>
        <w:ind w:left="9369" w:hanging="360"/>
      </w:pPr>
    </w:lvl>
    <w:lvl w:ilvl="8" w:tplc="3809001B" w:tentative="1">
      <w:start w:val="1"/>
      <w:numFmt w:val="lowerRoman"/>
      <w:lvlText w:val="%9."/>
      <w:lvlJc w:val="right"/>
      <w:pPr>
        <w:ind w:left="10089" w:hanging="180"/>
      </w:pPr>
    </w:lvl>
  </w:abstractNum>
  <w:abstractNum w:abstractNumId="499" w15:restartNumberingAfterBreak="0">
    <w:nsid w:val="7D446679"/>
    <w:multiLevelType w:val="hybridMultilevel"/>
    <w:tmpl w:val="D72C2C0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0" w15:restartNumberingAfterBreak="0">
    <w:nsid w:val="7D52090B"/>
    <w:multiLevelType w:val="hybridMultilevel"/>
    <w:tmpl w:val="4D181B88"/>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501" w15:restartNumberingAfterBreak="0">
    <w:nsid w:val="7D5D2A2B"/>
    <w:multiLevelType w:val="hybridMultilevel"/>
    <w:tmpl w:val="D2405F02"/>
    <w:lvl w:ilvl="0" w:tplc="2086201A">
      <w:start w:val="1"/>
      <w:numFmt w:val="lowerLetter"/>
      <w:lvlText w:val="%1."/>
      <w:lvlJc w:val="left"/>
      <w:pPr>
        <w:ind w:left="2061" w:hanging="360"/>
      </w:pPr>
      <w:rPr>
        <w:rFonts w:hint="default"/>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502" w15:restartNumberingAfterBreak="0">
    <w:nsid w:val="7D810962"/>
    <w:multiLevelType w:val="hybridMultilevel"/>
    <w:tmpl w:val="B29C8AD6"/>
    <w:lvl w:ilvl="0" w:tplc="A7B0AD48">
      <w:start w:val="1"/>
      <w:numFmt w:val="decimal"/>
      <w:lvlText w:val="%1)"/>
      <w:lvlJc w:val="left"/>
      <w:pPr>
        <w:ind w:left="467" w:hanging="360"/>
      </w:pPr>
      <w:rPr>
        <w:rFonts w:hint="default"/>
        <w:b w:val="0"/>
        <w:bCs w:val="0"/>
        <w:i w:val="0"/>
        <w:iCs w:val="0"/>
        <w:spacing w:val="0"/>
        <w:w w:val="100"/>
        <w:sz w:val="24"/>
        <w:szCs w:val="24"/>
        <w:lang w:val="id" w:eastAsia="en-US" w:bidi="ar-SA"/>
      </w:rPr>
    </w:lvl>
    <w:lvl w:ilvl="1" w:tplc="FFFFFFFF">
      <w:numFmt w:val="bullet"/>
      <w:lvlText w:val="•"/>
      <w:lvlJc w:val="left"/>
      <w:pPr>
        <w:ind w:left="1215" w:hanging="360"/>
      </w:pPr>
      <w:rPr>
        <w:rFonts w:hint="default"/>
        <w:lang w:val="id" w:eastAsia="en-US" w:bidi="ar-SA"/>
      </w:rPr>
    </w:lvl>
    <w:lvl w:ilvl="2" w:tplc="FFFFFFFF">
      <w:numFmt w:val="bullet"/>
      <w:lvlText w:val="•"/>
      <w:lvlJc w:val="left"/>
      <w:pPr>
        <w:ind w:left="1971" w:hanging="360"/>
      </w:pPr>
      <w:rPr>
        <w:rFonts w:hint="default"/>
        <w:lang w:val="id" w:eastAsia="en-US" w:bidi="ar-SA"/>
      </w:rPr>
    </w:lvl>
    <w:lvl w:ilvl="3" w:tplc="FFFFFFFF">
      <w:numFmt w:val="bullet"/>
      <w:lvlText w:val="•"/>
      <w:lvlJc w:val="left"/>
      <w:pPr>
        <w:ind w:left="2726" w:hanging="360"/>
      </w:pPr>
      <w:rPr>
        <w:rFonts w:hint="default"/>
        <w:lang w:val="id" w:eastAsia="en-US" w:bidi="ar-SA"/>
      </w:rPr>
    </w:lvl>
    <w:lvl w:ilvl="4" w:tplc="FFFFFFFF">
      <w:numFmt w:val="bullet"/>
      <w:lvlText w:val="•"/>
      <w:lvlJc w:val="left"/>
      <w:pPr>
        <w:ind w:left="3482" w:hanging="360"/>
      </w:pPr>
      <w:rPr>
        <w:rFonts w:hint="default"/>
        <w:lang w:val="id" w:eastAsia="en-US" w:bidi="ar-SA"/>
      </w:rPr>
    </w:lvl>
    <w:lvl w:ilvl="5" w:tplc="FFFFFFFF">
      <w:numFmt w:val="bullet"/>
      <w:lvlText w:val="•"/>
      <w:lvlJc w:val="left"/>
      <w:pPr>
        <w:ind w:left="4237" w:hanging="360"/>
      </w:pPr>
      <w:rPr>
        <w:rFonts w:hint="default"/>
        <w:lang w:val="id" w:eastAsia="en-US" w:bidi="ar-SA"/>
      </w:rPr>
    </w:lvl>
    <w:lvl w:ilvl="6" w:tplc="FFFFFFFF">
      <w:numFmt w:val="bullet"/>
      <w:lvlText w:val="•"/>
      <w:lvlJc w:val="left"/>
      <w:pPr>
        <w:ind w:left="4993" w:hanging="360"/>
      </w:pPr>
      <w:rPr>
        <w:rFonts w:hint="default"/>
        <w:lang w:val="id" w:eastAsia="en-US" w:bidi="ar-SA"/>
      </w:rPr>
    </w:lvl>
    <w:lvl w:ilvl="7" w:tplc="FFFFFFFF">
      <w:numFmt w:val="bullet"/>
      <w:lvlText w:val="•"/>
      <w:lvlJc w:val="left"/>
      <w:pPr>
        <w:ind w:left="5748" w:hanging="360"/>
      </w:pPr>
      <w:rPr>
        <w:rFonts w:hint="default"/>
        <w:lang w:val="id" w:eastAsia="en-US" w:bidi="ar-SA"/>
      </w:rPr>
    </w:lvl>
    <w:lvl w:ilvl="8" w:tplc="FFFFFFFF">
      <w:numFmt w:val="bullet"/>
      <w:lvlText w:val="•"/>
      <w:lvlJc w:val="left"/>
      <w:pPr>
        <w:ind w:left="6504" w:hanging="360"/>
      </w:pPr>
      <w:rPr>
        <w:rFonts w:hint="default"/>
        <w:lang w:val="id" w:eastAsia="en-US" w:bidi="ar-SA"/>
      </w:rPr>
    </w:lvl>
  </w:abstractNum>
  <w:abstractNum w:abstractNumId="503" w15:restartNumberingAfterBreak="0">
    <w:nsid w:val="7D934717"/>
    <w:multiLevelType w:val="multilevel"/>
    <w:tmpl w:val="E5885136"/>
    <w:lvl w:ilvl="0">
      <w:numFmt w:val="bullet"/>
      <w:lvlText w:val="●"/>
      <w:lvlJc w:val="left"/>
      <w:pPr>
        <w:ind w:left="566" w:hanging="369"/>
      </w:pPr>
      <w:rPr>
        <w:rFonts w:ascii="Noto Sans Symbols" w:eastAsia="Noto Sans Symbols" w:hAnsi="Noto Sans Symbols" w:cs="Noto Sans Symbols"/>
        <w:sz w:val="22"/>
        <w:szCs w:val="22"/>
      </w:rPr>
    </w:lvl>
    <w:lvl w:ilvl="1">
      <w:numFmt w:val="bullet"/>
      <w:lvlText w:val="•"/>
      <w:lvlJc w:val="left"/>
      <w:pPr>
        <w:ind w:left="1565" w:hanging="369"/>
      </w:pPr>
    </w:lvl>
    <w:lvl w:ilvl="2">
      <w:numFmt w:val="bullet"/>
      <w:lvlText w:val="•"/>
      <w:lvlJc w:val="left"/>
      <w:pPr>
        <w:ind w:left="2571" w:hanging="369"/>
      </w:pPr>
    </w:lvl>
    <w:lvl w:ilvl="3">
      <w:numFmt w:val="bullet"/>
      <w:lvlText w:val="•"/>
      <w:lvlJc w:val="left"/>
      <w:pPr>
        <w:ind w:left="3576" w:hanging="368"/>
      </w:pPr>
    </w:lvl>
    <w:lvl w:ilvl="4">
      <w:numFmt w:val="bullet"/>
      <w:lvlText w:val="•"/>
      <w:lvlJc w:val="left"/>
      <w:pPr>
        <w:ind w:left="4582" w:hanging="369"/>
      </w:pPr>
    </w:lvl>
    <w:lvl w:ilvl="5">
      <w:numFmt w:val="bullet"/>
      <w:lvlText w:val="•"/>
      <w:lvlJc w:val="left"/>
      <w:pPr>
        <w:ind w:left="5587" w:hanging="368"/>
      </w:pPr>
    </w:lvl>
    <w:lvl w:ilvl="6">
      <w:numFmt w:val="bullet"/>
      <w:lvlText w:val="•"/>
      <w:lvlJc w:val="left"/>
      <w:pPr>
        <w:ind w:left="6593" w:hanging="369"/>
      </w:pPr>
    </w:lvl>
    <w:lvl w:ilvl="7">
      <w:numFmt w:val="bullet"/>
      <w:lvlText w:val="•"/>
      <w:lvlJc w:val="left"/>
      <w:pPr>
        <w:ind w:left="7598" w:hanging="369"/>
      </w:pPr>
    </w:lvl>
    <w:lvl w:ilvl="8">
      <w:numFmt w:val="bullet"/>
      <w:lvlText w:val="•"/>
      <w:lvlJc w:val="left"/>
      <w:pPr>
        <w:ind w:left="8604" w:hanging="369"/>
      </w:pPr>
    </w:lvl>
  </w:abstractNum>
  <w:abstractNum w:abstractNumId="504" w15:restartNumberingAfterBreak="0">
    <w:nsid w:val="7DB0114E"/>
    <w:multiLevelType w:val="hybridMultilevel"/>
    <w:tmpl w:val="EE54ABA8"/>
    <w:lvl w:ilvl="0" w:tplc="0CD0C512">
      <w:start w:val="1"/>
      <w:numFmt w:val="decimal"/>
      <w:lvlText w:val="%1)"/>
      <w:lvlJc w:val="left"/>
      <w:pPr>
        <w:ind w:left="2628" w:hanging="360"/>
      </w:pPr>
      <w:rPr>
        <w:rFonts w:hint="default"/>
      </w:rPr>
    </w:lvl>
    <w:lvl w:ilvl="1" w:tplc="38090019" w:tentative="1">
      <w:start w:val="1"/>
      <w:numFmt w:val="lowerLetter"/>
      <w:lvlText w:val="%2."/>
      <w:lvlJc w:val="left"/>
      <w:pPr>
        <w:ind w:left="3348" w:hanging="360"/>
      </w:pPr>
    </w:lvl>
    <w:lvl w:ilvl="2" w:tplc="3809001B" w:tentative="1">
      <w:start w:val="1"/>
      <w:numFmt w:val="lowerRoman"/>
      <w:lvlText w:val="%3."/>
      <w:lvlJc w:val="right"/>
      <w:pPr>
        <w:ind w:left="4068" w:hanging="180"/>
      </w:pPr>
    </w:lvl>
    <w:lvl w:ilvl="3" w:tplc="3809000F" w:tentative="1">
      <w:start w:val="1"/>
      <w:numFmt w:val="decimal"/>
      <w:lvlText w:val="%4."/>
      <w:lvlJc w:val="left"/>
      <w:pPr>
        <w:ind w:left="4788" w:hanging="360"/>
      </w:pPr>
    </w:lvl>
    <w:lvl w:ilvl="4" w:tplc="38090019" w:tentative="1">
      <w:start w:val="1"/>
      <w:numFmt w:val="lowerLetter"/>
      <w:lvlText w:val="%5."/>
      <w:lvlJc w:val="left"/>
      <w:pPr>
        <w:ind w:left="5508" w:hanging="360"/>
      </w:pPr>
    </w:lvl>
    <w:lvl w:ilvl="5" w:tplc="3809001B" w:tentative="1">
      <w:start w:val="1"/>
      <w:numFmt w:val="lowerRoman"/>
      <w:lvlText w:val="%6."/>
      <w:lvlJc w:val="right"/>
      <w:pPr>
        <w:ind w:left="6228" w:hanging="180"/>
      </w:pPr>
    </w:lvl>
    <w:lvl w:ilvl="6" w:tplc="3809000F" w:tentative="1">
      <w:start w:val="1"/>
      <w:numFmt w:val="decimal"/>
      <w:lvlText w:val="%7."/>
      <w:lvlJc w:val="left"/>
      <w:pPr>
        <w:ind w:left="6948" w:hanging="360"/>
      </w:pPr>
    </w:lvl>
    <w:lvl w:ilvl="7" w:tplc="38090019" w:tentative="1">
      <w:start w:val="1"/>
      <w:numFmt w:val="lowerLetter"/>
      <w:lvlText w:val="%8."/>
      <w:lvlJc w:val="left"/>
      <w:pPr>
        <w:ind w:left="7668" w:hanging="360"/>
      </w:pPr>
    </w:lvl>
    <w:lvl w:ilvl="8" w:tplc="3809001B" w:tentative="1">
      <w:start w:val="1"/>
      <w:numFmt w:val="lowerRoman"/>
      <w:lvlText w:val="%9."/>
      <w:lvlJc w:val="right"/>
      <w:pPr>
        <w:ind w:left="8388" w:hanging="180"/>
      </w:pPr>
    </w:lvl>
  </w:abstractNum>
  <w:abstractNum w:abstractNumId="505" w15:restartNumberingAfterBreak="0">
    <w:nsid w:val="7DD51EF1"/>
    <w:multiLevelType w:val="hybridMultilevel"/>
    <w:tmpl w:val="0346082C"/>
    <w:lvl w:ilvl="0" w:tplc="D82A58BA">
      <w:start w:val="1"/>
      <w:numFmt w:val="lowerLetter"/>
      <w:lvlText w:val="%1."/>
      <w:lvlJc w:val="left"/>
      <w:pPr>
        <w:ind w:left="566" w:hanging="425"/>
      </w:pPr>
      <w:rPr>
        <w:rFonts w:hint="default"/>
        <w:b w:val="0"/>
        <w:bCs w:val="0"/>
        <w:i w:val="0"/>
        <w:iCs w:val="0"/>
        <w:spacing w:val="0"/>
        <w:w w:val="100"/>
        <w:sz w:val="24"/>
        <w:szCs w:val="28"/>
        <w:lang w:val="id" w:eastAsia="en-US" w:bidi="ar-SA"/>
      </w:rPr>
    </w:lvl>
    <w:lvl w:ilvl="1" w:tplc="2B92E672">
      <w:numFmt w:val="bullet"/>
      <w:lvlText w:val="•"/>
      <w:lvlJc w:val="left"/>
      <w:pPr>
        <w:ind w:left="1294" w:hanging="425"/>
      </w:pPr>
      <w:rPr>
        <w:rFonts w:hint="default"/>
        <w:lang w:val="id" w:eastAsia="en-US" w:bidi="ar-SA"/>
      </w:rPr>
    </w:lvl>
    <w:lvl w:ilvl="2" w:tplc="63E24848">
      <w:numFmt w:val="bullet"/>
      <w:lvlText w:val="•"/>
      <w:lvlJc w:val="left"/>
      <w:pPr>
        <w:ind w:left="2028" w:hanging="425"/>
      </w:pPr>
      <w:rPr>
        <w:rFonts w:hint="default"/>
        <w:lang w:val="id" w:eastAsia="en-US" w:bidi="ar-SA"/>
      </w:rPr>
    </w:lvl>
    <w:lvl w:ilvl="3" w:tplc="45E01ADA">
      <w:numFmt w:val="bullet"/>
      <w:lvlText w:val="•"/>
      <w:lvlJc w:val="left"/>
      <w:pPr>
        <w:ind w:left="2762" w:hanging="425"/>
      </w:pPr>
      <w:rPr>
        <w:rFonts w:hint="default"/>
        <w:lang w:val="id" w:eastAsia="en-US" w:bidi="ar-SA"/>
      </w:rPr>
    </w:lvl>
    <w:lvl w:ilvl="4" w:tplc="66343F6C">
      <w:numFmt w:val="bullet"/>
      <w:lvlText w:val="•"/>
      <w:lvlJc w:val="left"/>
      <w:pPr>
        <w:ind w:left="3496" w:hanging="425"/>
      </w:pPr>
      <w:rPr>
        <w:rFonts w:hint="default"/>
        <w:lang w:val="id" w:eastAsia="en-US" w:bidi="ar-SA"/>
      </w:rPr>
    </w:lvl>
    <w:lvl w:ilvl="5" w:tplc="811469EE">
      <w:numFmt w:val="bullet"/>
      <w:lvlText w:val="•"/>
      <w:lvlJc w:val="left"/>
      <w:pPr>
        <w:ind w:left="4230" w:hanging="425"/>
      </w:pPr>
      <w:rPr>
        <w:rFonts w:hint="default"/>
        <w:lang w:val="id" w:eastAsia="en-US" w:bidi="ar-SA"/>
      </w:rPr>
    </w:lvl>
    <w:lvl w:ilvl="6" w:tplc="34AC0E6E">
      <w:numFmt w:val="bullet"/>
      <w:lvlText w:val="•"/>
      <w:lvlJc w:val="left"/>
      <w:pPr>
        <w:ind w:left="4964" w:hanging="425"/>
      </w:pPr>
      <w:rPr>
        <w:rFonts w:hint="default"/>
        <w:lang w:val="id" w:eastAsia="en-US" w:bidi="ar-SA"/>
      </w:rPr>
    </w:lvl>
    <w:lvl w:ilvl="7" w:tplc="EAF2EA4C">
      <w:numFmt w:val="bullet"/>
      <w:lvlText w:val="•"/>
      <w:lvlJc w:val="left"/>
      <w:pPr>
        <w:ind w:left="5698" w:hanging="425"/>
      </w:pPr>
      <w:rPr>
        <w:rFonts w:hint="default"/>
        <w:lang w:val="id" w:eastAsia="en-US" w:bidi="ar-SA"/>
      </w:rPr>
    </w:lvl>
    <w:lvl w:ilvl="8" w:tplc="E3A8414C">
      <w:numFmt w:val="bullet"/>
      <w:lvlText w:val="•"/>
      <w:lvlJc w:val="left"/>
      <w:pPr>
        <w:ind w:left="6432" w:hanging="425"/>
      </w:pPr>
      <w:rPr>
        <w:rFonts w:hint="default"/>
        <w:lang w:val="id" w:eastAsia="en-US" w:bidi="ar-SA"/>
      </w:rPr>
    </w:lvl>
  </w:abstractNum>
  <w:abstractNum w:abstractNumId="506" w15:restartNumberingAfterBreak="0">
    <w:nsid w:val="7E066DC6"/>
    <w:multiLevelType w:val="hybridMultilevel"/>
    <w:tmpl w:val="CE16DD48"/>
    <w:lvl w:ilvl="0" w:tplc="734A6B40">
      <w:start w:val="1"/>
      <w:numFmt w:val="decimal"/>
      <w:lvlText w:val="(%1)"/>
      <w:lvlJc w:val="left"/>
      <w:pPr>
        <w:ind w:left="3762" w:hanging="360"/>
      </w:pPr>
      <w:rPr>
        <w:rFonts w:hint="default"/>
      </w:rPr>
    </w:lvl>
    <w:lvl w:ilvl="1" w:tplc="38090019" w:tentative="1">
      <w:start w:val="1"/>
      <w:numFmt w:val="lowerLetter"/>
      <w:lvlText w:val="%2."/>
      <w:lvlJc w:val="left"/>
      <w:pPr>
        <w:ind w:left="4482" w:hanging="360"/>
      </w:pPr>
    </w:lvl>
    <w:lvl w:ilvl="2" w:tplc="3809001B" w:tentative="1">
      <w:start w:val="1"/>
      <w:numFmt w:val="lowerRoman"/>
      <w:lvlText w:val="%3."/>
      <w:lvlJc w:val="right"/>
      <w:pPr>
        <w:ind w:left="5202" w:hanging="180"/>
      </w:pPr>
    </w:lvl>
    <w:lvl w:ilvl="3" w:tplc="3809000F" w:tentative="1">
      <w:start w:val="1"/>
      <w:numFmt w:val="decimal"/>
      <w:lvlText w:val="%4."/>
      <w:lvlJc w:val="left"/>
      <w:pPr>
        <w:ind w:left="5922" w:hanging="360"/>
      </w:pPr>
    </w:lvl>
    <w:lvl w:ilvl="4" w:tplc="38090019" w:tentative="1">
      <w:start w:val="1"/>
      <w:numFmt w:val="lowerLetter"/>
      <w:lvlText w:val="%5."/>
      <w:lvlJc w:val="left"/>
      <w:pPr>
        <w:ind w:left="6642" w:hanging="360"/>
      </w:pPr>
    </w:lvl>
    <w:lvl w:ilvl="5" w:tplc="3809001B" w:tentative="1">
      <w:start w:val="1"/>
      <w:numFmt w:val="lowerRoman"/>
      <w:lvlText w:val="%6."/>
      <w:lvlJc w:val="right"/>
      <w:pPr>
        <w:ind w:left="7362" w:hanging="180"/>
      </w:pPr>
    </w:lvl>
    <w:lvl w:ilvl="6" w:tplc="3809000F" w:tentative="1">
      <w:start w:val="1"/>
      <w:numFmt w:val="decimal"/>
      <w:lvlText w:val="%7."/>
      <w:lvlJc w:val="left"/>
      <w:pPr>
        <w:ind w:left="8082" w:hanging="360"/>
      </w:pPr>
    </w:lvl>
    <w:lvl w:ilvl="7" w:tplc="38090019" w:tentative="1">
      <w:start w:val="1"/>
      <w:numFmt w:val="lowerLetter"/>
      <w:lvlText w:val="%8."/>
      <w:lvlJc w:val="left"/>
      <w:pPr>
        <w:ind w:left="8802" w:hanging="360"/>
      </w:pPr>
    </w:lvl>
    <w:lvl w:ilvl="8" w:tplc="3809001B" w:tentative="1">
      <w:start w:val="1"/>
      <w:numFmt w:val="lowerRoman"/>
      <w:lvlText w:val="%9."/>
      <w:lvlJc w:val="right"/>
      <w:pPr>
        <w:ind w:left="9522" w:hanging="180"/>
      </w:pPr>
    </w:lvl>
  </w:abstractNum>
  <w:abstractNum w:abstractNumId="507" w15:restartNumberingAfterBreak="0">
    <w:nsid w:val="7E141837"/>
    <w:multiLevelType w:val="hybridMultilevel"/>
    <w:tmpl w:val="FE769A4C"/>
    <w:lvl w:ilvl="0" w:tplc="0409000F">
      <w:start w:val="1"/>
      <w:numFmt w:val="decimal"/>
      <w:lvlText w:val="%1."/>
      <w:lvlJc w:val="left"/>
      <w:pPr>
        <w:ind w:left="1126" w:hanging="360"/>
      </w:pPr>
    </w:lvl>
    <w:lvl w:ilvl="1" w:tplc="38090011">
      <w:start w:val="1"/>
      <w:numFmt w:val="decimal"/>
      <w:lvlText w:val="%2)"/>
      <w:lvlJc w:val="left"/>
      <w:pPr>
        <w:ind w:left="720" w:hanging="360"/>
      </w:pPr>
    </w:lvl>
    <w:lvl w:ilvl="2" w:tplc="C9EC1B9C">
      <w:start w:val="1"/>
      <w:numFmt w:val="lowerLetter"/>
      <w:lvlText w:val="%3."/>
      <w:lvlJc w:val="left"/>
      <w:pPr>
        <w:ind w:left="1080" w:hanging="360"/>
      </w:pPr>
      <w:rPr>
        <w:strike w:val="0"/>
      </w:rPr>
    </w:lvl>
    <w:lvl w:ilvl="3" w:tplc="0409000F" w:tentative="1">
      <w:start w:val="1"/>
      <w:numFmt w:val="decimal"/>
      <w:lvlText w:val="%4."/>
      <w:lvlJc w:val="left"/>
      <w:pPr>
        <w:ind w:left="3286" w:hanging="360"/>
      </w:pPr>
    </w:lvl>
    <w:lvl w:ilvl="4" w:tplc="04090019" w:tentative="1">
      <w:start w:val="1"/>
      <w:numFmt w:val="lowerLetter"/>
      <w:lvlText w:val="%5."/>
      <w:lvlJc w:val="left"/>
      <w:pPr>
        <w:ind w:left="4006" w:hanging="360"/>
      </w:pPr>
    </w:lvl>
    <w:lvl w:ilvl="5" w:tplc="0409001B" w:tentative="1">
      <w:start w:val="1"/>
      <w:numFmt w:val="lowerRoman"/>
      <w:lvlText w:val="%6."/>
      <w:lvlJc w:val="right"/>
      <w:pPr>
        <w:ind w:left="4726" w:hanging="180"/>
      </w:pPr>
    </w:lvl>
    <w:lvl w:ilvl="6" w:tplc="0409000F" w:tentative="1">
      <w:start w:val="1"/>
      <w:numFmt w:val="decimal"/>
      <w:lvlText w:val="%7."/>
      <w:lvlJc w:val="left"/>
      <w:pPr>
        <w:ind w:left="5446" w:hanging="360"/>
      </w:pPr>
    </w:lvl>
    <w:lvl w:ilvl="7" w:tplc="04090019" w:tentative="1">
      <w:start w:val="1"/>
      <w:numFmt w:val="lowerLetter"/>
      <w:lvlText w:val="%8."/>
      <w:lvlJc w:val="left"/>
      <w:pPr>
        <w:ind w:left="6166" w:hanging="360"/>
      </w:pPr>
    </w:lvl>
    <w:lvl w:ilvl="8" w:tplc="0409001B" w:tentative="1">
      <w:start w:val="1"/>
      <w:numFmt w:val="lowerRoman"/>
      <w:lvlText w:val="%9."/>
      <w:lvlJc w:val="right"/>
      <w:pPr>
        <w:ind w:left="6886" w:hanging="180"/>
      </w:pPr>
    </w:lvl>
  </w:abstractNum>
  <w:abstractNum w:abstractNumId="508" w15:restartNumberingAfterBreak="0">
    <w:nsid w:val="7E99187C"/>
    <w:multiLevelType w:val="hybridMultilevel"/>
    <w:tmpl w:val="BDE0C7CA"/>
    <w:lvl w:ilvl="0" w:tplc="9C18AEC8">
      <w:start w:val="1"/>
      <w:numFmt w:val="decimal"/>
      <w:lvlText w:val="%1)"/>
      <w:lvlJc w:val="left"/>
      <w:pPr>
        <w:ind w:left="2061" w:hanging="360"/>
      </w:pPr>
      <w:rPr>
        <w:rFonts w:hint="default"/>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509" w15:restartNumberingAfterBreak="0">
    <w:nsid w:val="7EA43CDC"/>
    <w:multiLevelType w:val="hybridMultilevel"/>
    <w:tmpl w:val="7C0AEBB8"/>
    <w:lvl w:ilvl="0" w:tplc="5010DAA4">
      <w:start w:val="1"/>
      <w:numFmt w:val="lowerLetter"/>
      <w:lvlText w:val="(%1)"/>
      <w:lvlJc w:val="left"/>
      <w:pPr>
        <w:ind w:left="4329" w:hanging="360"/>
      </w:pPr>
      <w:rPr>
        <w:rFonts w:hint="default"/>
      </w:rPr>
    </w:lvl>
    <w:lvl w:ilvl="1" w:tplc="38090019" w:tentative="1">
      <w:start w:val="1"/>
      <w:numFmt w:val="lowerLetter"/>
      <w:lvlText w:val="%2."/>
      <w:lvlJc w:val="left"/>
      <w:pPr>
        <w:ind w:left="5049" w:hanging="360"/>
      </w:pPr>
    </w:lvl>
    <w:lvl w:ilvl="2" w:tplc="3809001B" w:tentative="1">
      <w:start w:val="1"/>
      <w:numFmt w:val="lowerRoman"/>
      <w:lvlText w:val="%3."/>
      <w:lvlJc w:val="right"/>
      <w:pPr>
        <w:ind w:left="5769" w:hanging="180"/>
      </w:pPr>
    </w:lvl>
    <w:lvl w:ilvl="3" w:tplc="3809000F" w:tentative="1">
      <w:start w:val="1"/>
      <w:numFmt w:val="decimal"/>
      <w:lvlText w:val="%4."/>
      <w:lvlJc w:val="left"/>
      <w:pPr>
        <w:ind w:left="6489" w:hanging="360"/>
      </w:pPr>
    </w:lvl>
    <w:lvl w:ilvl="4" w:tplc="38090019" w:tentative="1">
      <w:start w:val="1"/>
      <w:numFmt w:val="lowerLetter"/>
      <w:lvlText w:val="%5."/>
      <w:lvlJc w:val="left"/>
      <w:pPr>
        <w:ind w:left="7209" w:hanging="360"/>
      </w:pPr>
    </w:lvl>
    <w:lvl w:ilvl="5" w:tplc="3809001B" w:tentative="1">
      <w:start w:val="1"/>
      <w:numFmt w:val="lowerRoman"/>
      <w:lvlText w:val="%6."/>
      <w:lvlJc w:val="right"/>
      <w:pPr>
        <w:ind w:left="7929" w:hanging="180"/>
      </w:pPr>
    </w:lvl>
    <w:lvl w:ilvl="6" w:tplc="3809000F" w:tentative="1">
      <w:start w:val="1"/>
      <w:numFmt w:val="decimal"/>
      <w:lvlText w:val="%7."/>
      <w:lvlJc w:val="left"/>
      <w:pPr>
        <w:ind w:left="8649" w:hanging="360"/>
      </w:pPr>
    </w:lvl>
    <w:lvl w:ilvl="7" w:tplc="38090019" w:tentative="1">
      <w:start w:val="1"/>
      <w:numFmt w:val="lowerLetter"/>
      <w:lvlText w:val="%8."/>
      <w:lvlJc w:val="left"/>
      <w:pPr>
        <w:ind w:left="9369" w:hanging="360"/>
      </w:pPr>
    </w:lvl>
    <w:lvl w:ilvl="8" w:tplc="3809001B" w:tentative="1">
      <w:start w:val="1"/>
      <w:numFmt w:val="lowerRoman"/>
      <w:lvlText w:val="%9."/>
      <w:lvlJc w:val="right"/>
      <w:pPr>
        <w:ind w:left="10089" w:hanging="180"/>
      </w:pPr>
    </w:lvl>
  </w:abstractNum>
  <w:abstractNum w:abstractNumId="510" w15:restartNumberingAfterBreak="0">
    <w:nsid w:val="7EB07FD0"/>
    <w:multiLevelType w:val="multilevel"/>
    <w:tmpl w:val="36105CFA"/>
    <w:lvl w:ilvl="0">
      <w:start w:val="1"/>
      <w:numFmt w:val="lowerLetter"/>
      <w:lvlText w:val="%1."/>
      <w:lvlJc w:val="left"/>
      <w:pPr>
        <w:ind w:left="2912" w:hanging="360"/>
      </w:pPr>
    </w:lvl>
    <w:lvl w:ilvl="1">
      <w:start w:val="1"/>
      <w:numFmt w:val="lowerLetter"/>
      <w:lvlText w:val="%2."/>
      <w:lvlJc w:val="left"/>
      <w:pPr>
        <w:ind w:left="3632" w:hanging="360"/>
      </w:pPr>
    </w:lvl>
    <w:lvl w:ilvl="2">
      <w:start w:val="1"/>
      <w:numFmt w:val="lowerRoman"/>
      <w:lvlText w:val="%3."/>
      <w:lvlJc w:val="right"/>
      <w:pPr>
        <w:ind w:left="4352" w:hanging="180"/>
      </w:pPr>
    </w:lvl>
    <w:lvl w:ilvl="3">
      <w:start w:val="1"/>
      <w:numFmt w:val="decimal"/>
      <w:lvlText w:val="%4."/>
      <w:lvlJc w:val="left"/>
      <w:pPr>
        <w:ind w:left="5072" w:hanging="360"/>
      </w:pPr>
    </w:lvl>
    <w:lvl w:ilvl="4">
      <w:start w:val="1"/>
      <w:numFmt w:val="lowerLetter"/>
      <w:lvlText w:val="%5."/>
      <w:lvlJc w:val="left"/>
      <w:pPr>
        <w:ind w:left="5792" w:hanging="360"/>
      </w:pPr>
    </w:lvl>
    <w:lvl w:ilvl="5">
      <w:start w:val="1"/>
      <w:numFmt w:val="lowerRoman"/>
      <w:lvlText w:val="%6."/>
      <w:lvlJc w:val="right"/>
      <w:pPr>
        <w:ind w:left="6512" w:hanging="180"/>
      </w:pPr>
    </w:lvl>
    <w:lvl w:ilvl="6">
      <w:start w:val="1"/>
      <w:numFmt w:val="decimal"/>
      <w:lvlText w:val="%7."/>
      <w:lvlJc w:val="left"/>
      <w:pPr>
        <w:ind w:left="7232" w:hanging="360"/>
      </w:pPr>
    </w:lvl>
    <w:lvl w:ilvl="7">
      <w:start w:val="1"/>
      <w:numFmt w:val="lowerLetter"/>
      <w:lvlText w:val="%8."/>
      <w:lvlJc w:val="left"/>
      <w:pPr>
        <w:ind w:left="7952" w:hanging="360"/>
      </w:pPr>
    </w:lvl>
    <w:lvl w:ilvl="8">
      <w:start w:val="1"/>
      <w:numFmt w:val="lowerRoman"/>
      <w:lvlText w:val="%9."/>
      <w:lvlJc w:val="right"/>
      <w:pPr>
        <w:ind w:left="8672" w:hanging="180"/>
      </w:pPr>
    </w:lvl>
  </w:abstractNum>
  <w:abstractNum w:abstractNumId="511" w15:restartNumberingAfterBreak="0">
    <w:nsid w:val="7F1C2FF1"/>
    <w:multiLevelType w:val="multilevel"/>
    <w:tmpl w:val="8486878A"/>
    <w:lvl w:ilvl="0">
      <w:start w:val="1"/>
      <w:numFmt w:val="decimal"/>
      <w:lvlText w:val="%1)"/>
      <w:lvlJc w:val="left"/>
      <w:pPr>
        <w:ind w:left="438" w:hanging="321"/>
      </w:pPr>
      <w:rPr>
        <w:rFonts w:ascii="Bookman Old Style" w:eastAsia="Bookman Old Style" w:hAnsi="Bookman Old Style" w:cs="Bookman Old Style"/>
        <w:sz w:val="24"/>
        <w:szCs w:val="24"/>
      </w:rPr>
    </w:lvl>
    <w:lvl w:ilvl="1">
      <w:numFmt w:val="bullet"/>
      <w:lvlText w:val="•"/>
      <w:lvlJc w:val="left"/>
      <w:pPr>
        <w:ind w:left="1018" w:hanging="321"/>
      </w:pPr>
    </w:lvl>
    <w:lvl w:ilvl="2">
      <w:numFmt w:val="bullet"/>
      <w:lvlText w:val="•"/>
      <w:lvlJc w:val="left"/>
      <w:pPr>
        <w:ind w:left="1597" w:hanging="321"/>
      </w:pPr>
    </w:lvl>
    <w:lvl w:ilvl="3">
      <w:numFmt w:val="bullet"/>
      <w:lvlText w:val="•"/>
      <w:lvlJc w:val="left"/>
      <w:pPr>
        <w:ind w:left="2175" w:hanging="321"/>
      </w:pPr>
    </w:lvl>
    <w:lvl w:ilvl="4">
      <w:numFmt w:val="bullet"/>
      <w:lvlText w:val="•"/>
      <w:lvlJc w:val="left"/>
      <w:pPr>
        <w:ind w:left="2754" w:hanging="321"/>
      </w:pPr>
    </w:lvl>
    <w:lvl w:ilvl="5">
      <w:numFmt w:val="bullet"/>
      <w:lvlText w:val="•"/>
      <w:lvlJc w:val="left"/>
      <w:pPr>
        <w:ind w:left="3333" w:hanging="321"/>
      </w:pPr>
    </w:lvl>
    <w:lvl w:ilvl="6">
      <w:numFmt w:val="bullet"/>
      <w:lvlText w:val="•"/>
      <w:lvlJc w:val="left"/>
      <w:pPr>
        <w:ind w:left="3911" w:hanging="321"/>
      </w:pPr>
    </w:lvl>
    <w:lvl w:ilvl="7">
      <w:numFmt w:val="bullet"/>
      <w:lvlText w:val="•"/>
      <w:lvlJc w:val="left"/>
      <w:pPr>
        <w:ind w:left="4490" w:hanging="321"/>
      </w:pPr>
    </w:lvl>
    <w:lvl w:ilvl="8">
      <w:numFmt w:val="bullet"/>
      <w:lvlText w:val="•"/>
      <w:lvlJc w:val="left"/>
      <w:pPr>
        <w:ind w:left="5068" w:hanging="321"/>
      </w:pPr>
    </w:lvl>
  </w:abstractNum>
  <w:abstractNum w:abstractNumId="512" w15:restartNumberingAfterBreak="0">
    <w:nsid w:val="7FAF437D"/>
    <w:multiLevelType w:val="hybridMultilevel"/>
    <w:tmpl w:val="B03A2B88"/>
    <w:lvl w:ilvl="0" w:tplc="38090011">
      <w:start w:val="1"/>
      <w:numFmt w:val="decimal"/>
      <w:lvlText w:val="%1)"/>
      <w:lvlJc w:val="left"/>
      <w:pPr>
        <w:ind w:left="144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3" w15:restartNumberingAfterBreak="0">
    <w:nsid w:val="7FBC264D"/>
    <w:multiLevelType w:val="hybridMultilevel"/>
    <w:tmpl w:val="10DC0DE0"/>
    <w:lvl w:ilvl="0" w:tplc="C2C82808">
      <w:start w:val="1"/>
      <w:numFmt w:val="lowerLetter"/>
      <w:lvlText w:val="(%1)"/>
      <w:lvlJc w:val="left"/>
      <w:pPr>
        <w:ind w:left="4329" w:hanging="360"/>
      </w:pPr>
      <w:rPr>
        <w:rFonts w:hint="default"/>
      </w:rPr>
    </w:lvl>
    <w:lvl w:ilvl="1" w:tplc="38090019" w:tentative="1">
      <w:start w:val="1"/>
      <w:numFmt w:val="lowerLetter"/>
      <w:lvlText w:val="%2."/>
      <w:lvlJc w:val="left"/>
      <w:pPr>
        <w:ind w:left="5049" w:hanging="360"/>
      </w:pPr>
    </w:lvl>
    <w:lvl w:ilvl="2" w:tplc="3809001B" w:tentative="1">
      <w:start w:val="1"/>
      <w:numFmt w:val="lowerRoman"/>
      <w:lvlText w:val="%3."/>
      <w:lvlJc w:val="right"/>
      <w:pPr>
        <w:ind w:left="5769" w:hanging="180"/>
      </w:pPr>
    </w:lvl>
    <w:lvl w:ilvl="3" w:tplc="3809000F" w:tentative="1">
      <w:start w:val="1"/>
      <w:numFmt w:val="decimal"/>
      <w:lvlText w:val="%4."/>
      <w:lvlJc w:val="left"/>
      <w:pPr>
        <w:ind w:left="6489" w:hanging="360"/>
      </w:pPr>
    </w:lvl>
    <w:lvl w:ilvl="4" w:tplc="38090019" w:tentative="1">
      <w:start w:val="1"/>
      <w:numFmt w:val="lowerLetter"/>
      <w:lvlText w:val="%5."/>
      <w:lvlJc w:val="left"/>
      <w:pPr>
        <w:ind w:left="7209" w:hanging="360"/>
      </w:pPr>
    </w:lvl>
    <w:lvl w:ilvl="5" w:tplc="3809001B" w:tentative="1">
      <w:start w:val="1"/>
      <w:numFmt w:val="lowerRoman"/>
      <w:lvlText w:val="%6."/>
      <w:lvlJc w:val="right"/>
      <w:pPr>
        <w:ind w:left="7929" w:hanging="180"/>
      </w:pPr>
    </w:lvl>
    <w:lvl w:ilvl="6" w:tplc="3809000F" w:tentative="1">
      <w:start w:val="1"/>
      <w:numFmt w:val="decimal"/>
      <w:lvlText w:val="%7."/>
      <w:lvlJc w:val="left"/>
      <w:pPr>
        <w:ind w:left="8649" w:hanging="360"/>
      </w:pPr>
    </w:lvl>
    <w:lvl w:ilvl="7" w:tplc="38090019" w:tentative="1">
      <w:start w:val="1"/>
      <w:numFmt w:val="lowerLetter"/>
      <w:lvlText w:val="%8."/>
      <w:lvlJc w:val="left"/>
      <w:pPr>
        <w:ind w:left="9369" w:hanging="360"/>
      </w:pPr>
    </w:lvl>
    <w:lvl w:ilvl="8" w:tplc="3809001B" w:tentative="1">
      <w:start w:val="1"/>
      <w:numFmt w:val="lowerRoman"/>
      <w:lvlText w:val="%9."/>
      <w:lvlJc w:val="right"/>
      <w:pPr>
        <w:ind w:left="10089" w:hanging="180"/>
      </w:pPr>
    </w:lvl>
  </w:abstractNum>
  <w:num w:numId="1" w16cid:durableId="1240599051">
    <w:abstractNumId w:val="438"/>
  </w:num>
  <w:num w:numId="2" w16cid:durableId="841089109">
    <w:abstractNumId w:val="419"/>
  </w:num>
  <w:num w:numId="3" w16cid:durableId="355085992">
    <w:abstractNumId w:val="229"/>
  </w:num>
  <w:num w:numId="4" w16cid:durableId="1909535916">
    <w:abstractNumId w:val="403"/>
  </w:num>
  <w:num w:numId="5" w16cid:durableId="872838976">
    <w:abstractNumId w:val="90"/>
  </w:num>
  <w:num w:numId="6" w16cid:durableId="1628968861">
    <w:abstractNumId w:val="361"/>
  </w:num>
  <w:num w:numId="7" w16cid:durableId="193077902">
    <w:abstractNumId w:val="270"/>
  </w:num>
  <w:num w:numId="8" w16cid:durableId="1098791386">
    <w:abstractNumId w:val="471"/>
  </w:num>
  <w:num w:numId="9" w16cid:durableId="305866694">
    <w:abstractNumId w:val="210"/>
  </w:num>
  <w:num w:numId="10" w16cid:durableId="171143738">
    <w:abstractNumId w:val="161"/>
  </w:num>
  <w:num w:numId="11" w16cid:durableId="1698433443">
    <w:abstractNumId w:val="445"/>
  </w:num>
  <w:num w:numId="12" w16cid:durableId="721907064">
    <w:abstractNumId w:val="485"/>
  </w:num>
  <w:num w:numId="13" w16cid:durableId="685595073">
    <w:abstractNumId w:val="481"/>
  </w:num>
  <w:num w:numId="14" w16cid:durableId="544296820">
    <w:abstractNumId w:val="508"/>
  </w:num>
  <w:num w:numId="15" w16cid:durableId="211966719">
    <w:abstractNumId w:val="212"/>
  </w:num>
  <w:num w:numId="16" w16cid:durableId="1704206307">
    <w:abstractNumId w:val="325"/>
  </w:num>
  <w:num w:numId="17" w16cid:durableId="513302651">
    <w:abstractNumId w:val="166"/>
  </w:num>
  <w:num w:numId="18" w16cid:durableId="112558030">
    <w:abstractNumId w:val="38"/>
  </w:num>
  <w:num w:numId="19" w16cid:durableId="2074546447">
    <w:abstractNumId w:val="357"/>
  </w:num>
  <w:num w:numId="20" w16cid:durableId="1018653623">
    <w:abstractNumId w:val="452"/>
  </w:num>
  <w:num w:numId="21" w16cid:durableId="1657028521">
    <w:abstractNumId w:val="196"/>
  </w:num>
  <w:num w:numId="22" w16cid:durableId="1017388185">
    <w:abstractNumId w:val="168"/>
  </w:num>
  <w:num w:numId="23" w16cid:durableId="37750674">
    <w:abstractNumId w:val="394"/>
  </w:num>
  <w:num w:numId="24" w16cid:durableId="1730497693">
    <w:abstractNumId w:val="308"/>
  </w:num>
  <w:num w:numId="25" w16cid:durableId="929235232">
    <w:abstractNumId w:val="106"/>
  </w:num>
  <w:num w:numId="26" w16cid:durableId="438331788">
    <w:abstractNumId w:val="259"/>
  </w:num>
  <w:num w:numId="27" w16cid:durableId="1033919769">
    <w:abstractNumId w:val="95"/>
  </w:num>
  <w:num w:numId="28" w16cid:durableId="154882908">
    <w:abstractNumId w:val="112"/>
  </w:num>
  <w:num w:numId="29" w16cid:durableId="1047802766">
    <w:abstractNumId w:val="104"/>
  </w:num>
  <w:num w:numId="30" w16cid:durableId="503129699">
    <w:abstractNumId w:val="426"/>
  </w:num>
  <w:num w:numId="31" w16cid:durableId="1606226676">
    <w:abstractNumId w:val="347"/>
  </w:num>
  <w:num w:numId="32" w16cid:durableId="1567763375">
    <w:abstractNumId w:val="153"/>
  </w:num>
  <w:num w:numId="33" w16cid:durableId="1972709430">
    <w:abstractNumId w:val="286"/>
  </w:num>
  <w:num w:numId="34" w16cid:durableId="839193619">
    <w:abstractNumId w:val="329"/>
  </w:num>
  <w:num w:numId="35" w16cid:durableId="1312489973">
    <w:abstractNumId w:val="203"/>
  </w:num>
  <w:num w:numId="36" w16cid:durableId="517236330">
    <w:abstractNumId w:val="391"/>
  </w:num>
  <w:num w:numId="37" w16cid:durableId="450711964">
    <w:abstractNumId w:val="362"/>
  </w:num>
  <w:num w:numId="38" w16cid:durableId="679703677">
    <w:abstractNumId w:val="404"/>
  </w:num>
  <w:num w:numId="39" w16cid:durableId="864753952">
    <w:abstractNumId w:val="254"/>
  </w:num>
  <w:num w:numId="40" w16cid:durableId="1494757261">
    <w:abstractNumId w:val="198"/>
  </w:num>
  <w:num w:numId="41" w16cid:durableId="1201044596">
    <w:abstractNumId w:val="18"/>
  </w:num>
  <w:num w:numId="42" w16cid:durableId="1196426414">
    <w:abstractNumId w:val="245"/>
  </w:num>
  <w:num w:numId="43" w16cid:durableId="1831410824">
    <w:abstractNumId w:val="358"/>
  </w:num>
  <w:num w:numId="44" w16cid:durableId="1027826127">
    <w:abstractNumId w:val="265"/>
  </w:num>
  <w:num w:numId="45" w16cid:durableId="358626460">
    <w:abstractNumId w:val="250"/>
  </w:num>
  <w:num w:numId="46" w16cid:durableId="480191553">
    <w:abstractNumId w:val="135"/>
  </w:num>
  <w:num w:numId="47" w16cid:durableId="1350178176">
    <w:abstractNumId w:val="147"/>
  </w:num>
  <w:num w:numId="48" w16cid:durableId="895825072">
    <w:abstractNumId w:val="82"/>
  </w:num>
  <w:num w:numId="49" w16cid:durableId="2016416776">
    <w:abstractNumId w:val="10"/>
  </w:num>
  <w:num w:numId="50" w16cid:durableId="24673001">
    <w:abstractNumId w:val="396"/>
  </w:num>
  <w:num w:numId="51" w16cid:durableId="369721088">
    <w:abstractNumId w:val="63"/>
  </w:num>
  <w:num w:numId="52" w16cid:durableId="1763799470">
    <w:abstractNumId w:val="252"/>
  </w:num>
  <w:num w:numId="53" w16cid:durableId="1710061440">
    <w:abstractNumId w:val="272"/>
  </w:num>
  <w:num w:numId="54" w16cid:durableId="1065833423">
    <w:abstractNumId w:val="39"/>
  </w:num>
  <w:num w:numId="55" w16cid:durableId="1548298356">
    <w:abstractNumId w:val="56"/>
  </w:num>
  <w:num w:numId="56" w16cid:durableId="330530166">
    <w:abstractNumId w:val="247"/>
  </w:num>
  <w:num w:numId="57" w16cid:durableId="1668746503">
    <w:abstractNumId w:val="331"/>
  </w:num>
  <w:num w:numId="58" w16cid:durableId="382680490">
    <w:abstractNumId w:val="228"/>
  </w:num>
  <w:num w:numId="59" w16cid:durableId="273635654">
    <w:abstractNumId w:val="176"/>
  </w:num>
  <w:num w:numId="60" w16cid:durableId="1229995872">
    <w:abstractNumId w:val="504"/>
  </w:num>
  <w:num w:numId="61" w16cid:durableId="1380086648">
    <w:abstractNumId w:val="160"/>
  </w:num>
  <w:num w:numId="62" w16cid:durableId="325015273">
    <w:abstractNumId w:val="145"/>
  </w:num>
  <w:num w:numId="63" w16cid:durableId="1080247773">
    <w:abstractNumId w:val="303"/>
  </w:num>
  <w:num w:numId="64" w16cid:durableId="906382908">
    <w:abstractNumId w:val="127"/>
  </w:num>
  <w:num w:numId="65" w16cid:durableId="2106146251">
    <w:abstractNumId w:val="346"/>
  </w:num>
  <w:num w:numId="66" w16cid:durableId="1918398178">
    <w:abstractNumId w:val="213"/>
  </w:num>
  <w:num w:numId="67" w16cid:durableId="1077704024">
    <w:abstractNumId w:val="289"/>
  </w:num>
  <w:num w:numId="68" w16cid:durableId="1545022565">
    <w:abstractNumId w:val="353"/>
  </w:num>
  <w:num w:numId="69" w16cid:durableId="1783306731">
    <w:abstractNumId w:val="483"/>
  </w:num>
  <w:num w:numId="70" w16cid:durableId="47343588">
    <w:abstractNumId w:val="132"/>
  </w:num>
  <w:num w:numId="71" w16cid:durableId="611978435">
    <w:abstractNumId w:val="13"/>
  </w:num>
  <w:num w:numId="72" w16cid:durableId="2105609219">
    <w:abstractNumId w:val="359"/>
  </w:num>
  <w:num w:numId="73" w16cid:durableId="1375501782">
    <w:abstractNumId w:val="6"/>
  </w:num>
  <w:num w:numId="74" w16cid:durableId="2140954146">
    <w:abstractNumId w:val="354"/>
  </w:num>
  <w:num w:numId="75" w16cid:durableId="635181033">
    <w:abstractNumId w:val="462"/>
  </w:num>
  <w:num w:numId="76" w16cid:durableId="554006269">
    <w:abstractNumId w:val="501"/>
  </w:num>
  <w:num w:numId="77" w16cid:durableId="238297597">
    <w:abstractNumId w:val="110"/>
  </w:num>
  <w:num w:numId="78" w16cid:durableId="1681422725">
    <w:abstractNumId w:val="171"/>
  </w:num>
  <w:num w:numId="79" w16cid:durableId="1404332505">
    <w:abstractNumId w:val="318"/>
  </w:num>
  <w:num w:numId="80" w16cid:durableId="857815746">
    <w:abstractNumId w:val="401"/>
  </w:num>
  <w:num w:numId="81" w16cid:durableId="102380381">
    <w:abstractNumId w:val="238"/>
  </w:num>
  <w:num w:numId="82" w16cid:durableId="719014322">
    <w:abstractNumId w:val="54"/>
  </w:num>
  <w:num w:numId="83" w16cid:durableId="360012792">
    <w:abstractNumId w:val="302"/>
  </w:num>
  <w:num w:numId="84" w16cid:durableId="240217910">
    <w:abstractNumId w:val="395"/>
  </w:num>
  <w:num w:numId="85" w16cid:durableId="1172187259">
    <w:abstractNumId w:val="137"/>
  </w:num>
  <w:num w:numId="86" w16cid:durableId="552885126">
    <w:abstractNumId w:val="293"/>
  </w:num>
  <w:num w:numId="87" w16cid:durableId="1336884438">
    <w:abstractNumId w:val="343"/>
  </w:num>
  <w:num w:numId="88" w16cid:durableId="126749510">
    <w:abstractNumId w:val="192"/>
  </w:num>
  <w:num w:numId="89" w16cid:durableId="2050107268">
    <w:abstractNumId w:val="53"/>
  </w:num>
  <w:num w:numId="90" w16cid:durableId="1503083964">
    <w:abstractNumId w:val="88"/>
  </w:num>
  <w:num w:numId="91" w16cid:durableId="275335294">
    <w:abstractNumId w:val="1"/>
  </w:num>
  <w:num w:numId="92" w16cid:durableId="822702508">
    <w:abstractNumId w:val="400"/>
  </w:num>
  <w:num w:numId="93" w16cid:durableId="130557815">
    <w:abstractNumId w:val="340"/>
  </w:num>
  <w:num w:numId="94" w16cid:durableId="839655716">
    <w:abstractNumId w:val="177"/>
  </w:num>
  <w:num w:numId="95" w16cid:durableId="361899383">
    <w:abstractNumId w:val="273"/>
  </w:num>
  <w:num w:numId="96" w16cid:durableId="235167054">
    <w:abstractNumId w:val="421"/>
  </w:num>
  <w:num w:numId="97" w16cid:durableId="1466854483">
    <w:abstractNumId w:val="24"/>
  </w:num>
  <w:num w:numId="98" w16cid:durableId="248850308">
    <w:abstractNumId w:val="220"/>
  </w:num>
  <w:num w:numId="99" w16cid:durableId="672877102">
    <w:abstractNumId w:val="314"/>
  </w:num>
  <w:num w:numId="100" w16cid:durableId="748305478">
    <w:abstractNumId w:val="9"/>
  </w:num>
  <w:num w:numId="101" w16cid:durableId="145098512">
    <w:abstractNumId w:val="217"/>
  </w:num>
  <w:num w:numId="102" w16cid:durableId="213809110">
    <w:abstractNumId w:val="37"/>
  </w:num>
  <w:num w:numId="103" w16cid:durableId="2007857335">
    <w:abstractNumId w:val="274"/>
  </w:num>
  <w:num w:numId="104" w16cid:durableId="1499347578">
    <w:abstractNumId w:val="459"/>
  </w:num>
  <w:num w:numId="105" w16cid:durableId="1201549623">
    <w:abstractNumId w:val="263"/>
  </w:num>
  <w:num w:numId="106" w16cid:durableId="1786340513">
    <w:abstractNumId w:val="72"/>
  </w:num>
  <w:num w:numId="107" w16cid:durableId="1667707999">
    <w:abstractNumId w:val="7"/>
  </w:num>
  <w:num w:numId="108" w16cid:durableId="617107219">
    <w:abstractNumId w:val="327"/>
  </w:num>
  <w:num w:numId="109" w16cid:durableId="335886097">
    <w:abstractNumId w:val="460"/>
  </w:num>
  <w:num w:numId="110" w16cid:durableId="1245333952">
    <w:abstractNumId w:val="498"/>
  </w:num>
  <w:num w:numId="111" w16cid:durableId="1938980100">
    <w:abstractNumId w:val="278"/>
  </w:num>
  <w:num w:numId="112" w16cid:durableId="1225290782">
    <w:abstractNumId w:val="170"/>
  </w:num>
  <w:num w:numId="113" w16cid:durableId="1160120845">
    <w:abstractNumId w:val="285"/>
  </w:num>
  <w:num w:numId="114" w16cid:durableId="386488658">
    <w:abstractNumId w:val="182"/>
  </w:num>
  <w:num w:numId="115" w16cid:durableId="1937789486">
    <w:abstractNumId w:val="133"/>
  </w:num>
  <w:num w:numId="116" w16cid:durableId="129440307">
    <w:abstractNumId w:val="195"/>
  </w:num>
  <w:num w:numId="117" w16cid:durableId="1261061374">
    <w:abstractNumId w:val="310"/>
  </w:num>
  <w:num w:numId="118" w16cid:durableId="1971127580">
    <w:abstractNumId w:val="235"/>
  </w:num>
  <w:num w:numId="119" w16cid:durableId="1629781695">
    <w:abstractNumId w:val="246"/>
  </w:num>
  <w:num w:numId="120" w16cid:durableId="18511179">
    <w:abstractNumId w:val="144"/>
  </w:num>
  <w:num w:numId="121" w16cid:durableId="994844537">
    <w:abstractNumId w:val="335"/>
  </w:num>
  <w:num w:numId="122" w16cid:durableId="1527448985">
    <w:abstractNumId w:val="299"/>
  </w:num>
  <w:num w:numId="123" w16cid:durableId="1017853749">
    <w:abstractNumId w:val="57"/>
  </w:num>
  <w:num w:numId="124" w16cid:durableId="2007051565">
    <w:abstractNumId w:val="434"/>
  </w:num>
  <w:num w:numId="125" w16cid:durableId="761225435">
    <w:abstractNumId w:val="372"/>
  </w:num>
  <w:num w:numId="126" w16cid:durableId="861431082">
    <w:abstractNumId w:val="496"/>
  </w:num>
  <w:num w:numId="127" w16cid:durableId="1842507722">
    <w:abstractNumId w:val="513"/>
  </w:num>
  <w:num w:numId="128" w16cid:durableId="201015628">
    <w:abstractNumId w:val="366"/>
  </w:num>
  <w:num w:numId="129" w16cid:durableId="2065251914">
    <w:abstractNumId w:val="374"/>
  </w:num>
  <w:num w:numId="130" w16cid:durableId="926615712">
    <w:abstractNumId w:val="86"/>
  </w:num>
  <w:num w:numId="131" w16cid:durableId="2139908451">
    <w:abstractNumId w:val="288"/>
  </w:num>
  <w:num w:numId="132" w16cid:durableId="45958208">
    <w:abstractNumId w:val="479"/>
  </w:num>
  <w:num w:numId="133" w16cid:durableId="647591535">
    <w:abstractNumId w:val="148"/>
  </w:num>
  <w:num w:numId="134" w16cid:durableId="1164392893">
    <w:abstractNumId w:val="319"/>
  </w:num>
  <w:num w:numId="135" w16cid:durableId="1656564811">
    <w:abstractNumId w:val="202"/>
  </w:num>
  <w:num w:numId="136" w16cid:durableId="1129859331">
    <w:abstractNumId w:val="489"/>
  </w:num>
  <w:num w:numId="137" w16cid:durableId="154348553">
    <w:abstractNumId w:val="121"/>
  </w:num>
  <w:num w:numId="138" w16cid:durableId="1186484122">
    <w:abstractNumId w:val="269"/>
  </w:num>
  <w:num w:numId="139" w16cid:durableId="1106267112">
    <w:abstractNumId w:val="322"/>
  </w:num>
  <w:num w:numId="140" w16cid:durableId="761223513">
    <w:abstractNumId w:val="172"/>
  </w:num>
  <w:num w:numId="141" w16cid:durableId="1335575686">
    <w:abstractNumId w:val="402"/>
  </w:num>
  <w:num w:numId="142" w16cid:durableId="1677876969">
    <w:abstractNumId w:val="215"/>
  </w:num>
  <w:num w:numId="143" w16cid:durableId="101993225">
    <w:abstractNumId w:val="296"/>
  </w:num>
  <w:num w:numId="144" w16cid:durableId="1465004227">
    <w:abstractNumId w:val="105"/>
  </w:num>
  <w:num w:numId="145" w16cid:durableId="148596768">
    <w:abstractNumId w:val="83"/>
  </w:num>
  <w:num w:numId="146" w16cid:durableId="1885093964">
    <w:abstractNumId w:val="351"/>
  </w:num>
  <w:num w:numId="147" w16cid:durableId="923998224">
    <w:abstractNumId w:val="32"/>
  </w:num>
  <w:num w:numId="148" w16cid:durableId="1106342942">
    <w:abstractNumId w:val="99"/>
  </w:num>
  <w:num w:numId="149" w16cid:durableId="34474764">
    <w:abstractNumId w:val="61"/>
  </w:num>
  <w:num w:numId="150" w16cid:durableId="1323658748">
    <w:abstractNumId w:val="30"/>
  </w:num>
  <w:num w:numId="151" w16cid:durableId="280264680">
    <w:abstractNumId w:val="287"/>
  </w:num>
  <w:num w:numId="152" w16cid:durableId="1000503409">
    <w:abstractNumId w:val="98"/>
  </w:num>
  <w:num w:numId="153" w16cid:durableId="229002948">
    <w:abstractNumId w:val="207"/>
  </w:num>
  <w:num w:numId="154" w16cid:durableId="1355956988">
    <w:abstractNumId w:val="382"/>
  </w:num>
  <w:num w:numId="155" w16cid:durableId="753471828">
    <w:abstractNumId w:val="114"/>
  </w:num>
  <w:num w:numId="156" w16cid:durableId="1729647478">
    <w:abstractNumId w:val="385"/>
  </w:num>
  <w:num w:numId="157" w16cid:durableId="1769807752">
    <w:abstractNumId w:val="408"/>
  </w:num>
  <w:num w:numId="158" w16cid:durableId="504319135">
    <w:abstractNumId w:val="468"/>
  </w:num>
  <w:num w:numId="159" w16cid:durableId="2007779829">
    <w:abstractNumId w:val="442"/>
  </w:num>
  <w:num w:numId="160" w16cid:durableId="854655471">
    <w:abstractNumId w:val="363"/>
  </w:num>
  <w:num w:numId="161" w16cid:durableId="1537305760">
    <w:abstractNumId w:val="482"/>
  </w:num>
  <w:num w:numId="162" w16cid:durableId="68385728">
    <w:abstractNumId w:val="35"/>
  </w:num>
  <w:num w:numId="163" w16cid:durableId="382488428">
    <w:abstractNumId w:val="136"/>
  </w:num>
  <w:num w:numId="164" w16cid:durableId="1528913301">
    <w:abstractNumId w:val="281"/>
  </w:num>
  <w:num w:numId="165" w16cid:durableId="722405682">
    <w:abstractNumId w:val="173"/>
  </w:num>
  <w:num w:numId="166" w16cid:durableId="2075272340">
    <w:abstractNumId w:val="417"/>
  </w:num>
  <w:num w:numId="167" w16cid:durableId="107480839">
    <w:abstractNumId w:val="115"/>
  </w:num>
  <w:num w:numId="168" w16cid:durableId="134224547">
    <w:abstractNumId w:val="369"/>
  </w:num>
  <w:num w:numId="169" w16cid:durableId="1722627272">
    <w:abstractNumId w:val="230"/>
  </w:num>
  <w:num w:numId="170" w16cid:durableId="274336581">
    <w:abstractNumId w:val="315"/>
  </w:num>
  <w:num w:numId="171" w16cid:durableId="542250170">
    <w:abstractNumId w:val="292"/>
  </w:num>
  <w:num w:numId="172" w16cid:durableId="891892984">
    <w:abstractNumId w:val="344"/>
  </w:num>
  <w:num w:numId="173" w16cid:durableId="1554541825">
    <w:abstractNumId w:val="219"/>
  </w:num>
  <w:num w:numId="174" w16cid:durableId="770667592">
    <w:abstractNumId w:val="120"/>
  </w:num>
  <w:num w:numId="175" w16cid:durableId="1206452324">
    <w:abstractNumId w:val="179"/>
  </w:num>
  <w:num w:numId="176" w16cid:durableId="1596160339">
    <w:abstractNumId w:val="423"/>
  </w:num>
  <w:num w:numId="177" w16cid:durableId="1259480186">
    <w:abstractNumId w:val="21"/>
  </w:num>
  <w:num w:numId="178" w16cid:durableId="871309023">
    <w:abstractNumId w:val="42"/>
  </w:num>
  <w:num w:numId="179" w16cid:durableId="1744912343">
    <w:abstractNumId w:val="258"/>
  </w:num>
  <w:num w:numId="180" w16cid:durableId="1225407572">
    <w:abstractNumId w:val="33"/>
  </w:num>
  <w:num w:numId="181" w16cid:durableId="528031078">
    <w:abstractNumId w:val="156"/>
  </w:num>
  <w:num w:numId="182" w16cid:durableId="1480686472">
    <w:abstractNumId w:val="413"/>
  </w:num>
  <w:num w:numId="183" w16cid:durableId="1408921307">
    <w:abstractNumId w:val="509"/>
  </w:num>
  <w:num w:numId="184" w16cid:durableId="857498903">
    <w:abstractNumId w:val="449"/>
  </w:num>
  <w:num w:numId="185" w16cid:durableId="1376924174">
    <w:abstractNumId w:val="431"/>
  </w:num>
  <w:num w:numId="186" w16cid:durableId="1371343105">
    <w:abstractNumId w:val="158"/>
  </w:num>
  <w:num w:numId="187" w16cid:durableId="501242487">
    <w:abstractNumId w:val="87"/>
  </w:num>
  <w:num w:numId="188" w16cid:durableId="2004550405">
    <w:abstractNumId w:val="360"/>
  </w:num>
  <w:num w:numId="189" w16cid:durableId="1206021050">
    <w:abstractNumId w:val="227"/>
  </w:num>
  <w:num w:numId="190" w16cid:durableId="664213637">
    <w:abstractNumId w:val="470"/>
  </w:num>
  <w:num w:numId="191" w16cid:durableId="1664503614">
    <w:abstractNumId w:val="26"/>
  </w:num>
  <w:num w:numId="192" w16cid:durableId="329987034">
    <w:abstractNumId w:val="268"/>
  </w:num>
  <w:num w:numId="193" w16cid:durableId="191067761">
    <w:abstractNumId w:val="75"/>
  </w:num>
  <w:num w:numId="194" w16cid:durableId="1928612284">
    <w:abstractNumId w:val="491"/>
  </w:num>
  <w:num w:numId="195" w16cid:durableId="818764380">
    <w:abstractNumId w:val="165"/>
  </w:num>
  <w:num w:numId="196" w16cid:durableId="2068912204">
    <w:abstractNumId w:val="291"/>
  </w:num>
  <w:num w:numId="197" w16cid:durableId="1951932571">
    <w:abstractNumId w:val="71"/>
  </w:num>
  <w:num w:numId="198" w16cid:durableId="567426939">
    <w:abstractNumId w:val="123"/>
  </w:num>
  <w:num w:numId="199" w16cid:durableId="373307854">
    <w:abstractNumId w:val="119"/>
  </w:num>
  <w:num w:numId="200" w16cid:durableId="1926568999">
    <w:abstractNumId w:val="392"/>
  </w:num>
  <w:num w:numId="201" w16cid:durableId="118838505">
    <w:abstractNumId w:val="309"/>
  </w:num>
  <w:num w:numId="202" w16cid:durableId="895554839">
    <w:abstractNumId w:val="352"/>
  </w:num>
  <w:num w:numId="203" w16cid:durableId="1235824338">
    <w:abstractNumId w:val="65"/>
  </w:num>
  <w:num w:numId="204" w16cid:durableId="2825026">
    <w:abstractNumId w:val="236"/>
  </w:num>
  <w:num w:numId="205" w16cid:durableId="917714485">
    <w:abstractNumId w:val="197"/>
  </w:num>
  <w:num w:numId="206" w16cid:durableId="2078627844">
    <w:abstractNumId w:val="377"/>
  </w:num>
  <w:num w:numId="207" w16cid:durableId="1811705085">
    <w:abstractNumId w:val="255"/>
  </w:num>
  <w:num w:numId="208" w16cid:durableId="1724908185">
    <w:abstractNumId w:val="458"/>
  </w:num>
  <w:num w:numId="209" w16cid:durableId="1956908321">
    <w:abstractNumId w:val="447"/>
  </w:num>
  <w:num w:numId="210" w16cid:durableId="411440197">
    <w:abstractNumId w:val="429"/>
  </w:num>
  <w:num w:numId="211" w16cid:durableId="1728453294">
    <w:abstractNumId w:val="466"/>
  </w:num>
  <w:num w:numId="212" w16cid:durableId="1737238229">
    <w:abstractNumId w:val="490"/>
  </w:num>
  <w:num w:numId="213" w16cid:durableId="1448505844">
    <w:abstractNumId w:val="149"/>
  </w:num>
  <w:num w:numId="214" w16cid:durableId="948203462">
    <w:abstractNumId w:val="222"/>
  </w:num>
  <w:num w:numId="215" w16cid:durableId="717244075">
    <w:abstractNumId w:val="111"/>
  </w:num>
  <w:num w:numId="216" w16cid:durableId="829520209">
    <w:abstractNumId w:val="231"/>
  </w:num>
  <w:num w:numId="217" w16cid:durableId="1207252336">
    <w:abstractNumId w:val="339"/>
  </w:num>
  <w:num w:numId="218" w16cid:durableId="721952406">
    <w:abstractNumId w:val="262"/>
  </w:num>
  <w:num w:numId="219" w16cid:durableId="144516724">
    <w:abstractNumId w:val="261"/>
  </w:num>
  <w:num w:numId="220" w16cid:durableId="668945586">
    <w:abstractNumId w:val="5"/>
  </w:num>
  <w:num w:numId="221" w16cid:durableId="360740064">
    <w:abstractNumId w:val="97"/>
  </w:num>
  <w:num w:numId="222" w16cid:durableId="1419592014">
    <w:abstractNumId w:val="174"/>
  </w:num>
  <w:num w:numId="223" w16cid:durableId="1160195973">
    <w:abstractNumId w:val="506"/>
  </w:num>
  <w:num w:numId="224" w16cid:durableId="573320652">
    <w:abstractNumId w:val="280"/>
  </w:num>
  <w:num w:numId="225" w16cid:durableId="1646081244">
    <w:abstractNumId w:val="324"/>
  </w:num>
  <w:num w:numId="226" w16cid:durableId="1171723175">
    <w:abstractNumId w:val="448"/>
  </w:num>
  <w:num w:numId="227" w16cid:durableId="1665546975">
    <w:abstractNumId w:val="425"/>
  </w:num>
  <w:num w:numId="228" w16cid:durableId="1456296349">
    <w:abstractNumId w:val="266"/>
  </w:num>
  <w:num w:numId="229" w16cid:durableId="1129325998">
    <w:abstractNumId w:val="345"/>
  </w:num>
  <w:num w:numId="230" w16cid:durableId="1362631249">
    <w:abstractNumId w:val="41"/>
  </w:num>
  <w:num w:numId="231" w16cid:durableId="310526426">
    <w:abstractNumId w:val="77"/>
  </w:num>
  <w:num w:numId="232" w16cid:durableId="1432509566">
    <w:abstractNumId w:val="66"/>
  </w:num>
  <w:num w:numId="233" w16cid:durableId="349723669">
    <w:abstractNumId w:val="74"/>
  </w:num>
  <w:num w:numId="234" w16cid:durableId="1183008591">
    <w:abstractNumId w:val="249"/>
  </w:num>
  <w:num w:numId="235" w16cid:durableId="631449548">
    <w:abstractNumId w:val="338"/>
  </w:num>
  <w:num w:numId="236" w16cid:durableId="718406201">
    <w:abstractNumId w:val="200"/>
  </w:num>
  <w:num w:numId="237" w16cid:durableId="296764801">
    <w:abstractNumId w:val="108"/>
  </w:num>
  <w:num w:numId="238" w16cid:durableId="53739926">
    <w:abstractNumId w:val="436"/>
  </w:num>
  <w:num w:numId="239" w16cid:durableId="1660421049">
    <w:abstractNumId w:val="150"/>
  </w:num>
  <w:num w:numId="240" w16cid:durableId="1150361992">
    <w:abstractNumId w:val="103"/>
  </w:num>
  <w:num w:numId="241" w16cid:durableId="2025477689">
    <w:abstractNumId w:val="437"/>
  </w:num>
  <w:num w:numId="242" w16cid:durableId="39213943">
    <w:abstractNumId w:val="169"/>
  </w:num>
  <w:num w:numId="243" w16cid:durableId="1482965087">
    <w:abstractNumId w:val="102"/>
  </w:num>
  <w:num w:numId="244" w16cid:durableId="48042786">
    <w:abstractNumId w:val="472"/>
  </w:num>
  <w:num w:numId="245" w16cid:durableId="1121341867">
    <w:abstractNumId w:val="398"/>
  </w:num>
  <w:num w:numId="246" w16cid:durableId="596985268">
    <w:abstractNumId w:val="60"/>
  </w:num>
  <w:num w:numId="247" w16cid:durableId="296182084">
    <w:abstractNumId w:val="341"/>
  </w:num>
  <w:num w:numId="248" w16cid:durableId="729034434">
    <w:abstractNumId w:val="36"/>
  </w:num>
  <w:num w:numId="249" w16cid:durableId="1335844775">
    <w:abstractNumId w:val="412"/>
  </w:num>
  <w:num w:numId="250" w16cid:durableId="1554004465">
    <w:abstractNumId w:val="20"/>
  </w:num>
  <w:num w:numId="251" w16cid:durableId="923345061">
    <w:abstractNumId w:val="141"/>
  </w:num>
  <w:num w:numId="252" w16cid:durableId="68382786">
    <w:abstractNumId w:val="424"/>
  </w:num>
  <w:num w:numId="253" w16cid:durableId="1506093123">
    <w:abstractNumId w:val="283"/>
  </w:num>
  <w:num w:numId="254" w16cid:durableId="1892304211">
    <w:abstractNumId w:val="48"/>
  </w:num>
  <w:num w:numId="255" w16cid:durableId="339740406">
    <w:abstractNumId w:val="126"/>
  </w:num>
  <w:num w:numId="256" w16cid:durableId="1655523614">
    <w:abstractNumId w:val="282"/>
  </w:num>
  <w:num w:numId="257" w16cid:durableId="1647778479">
    <w:abstractNumId w:val="304"/>
  </w:num>
  <w:num w:numId="258" w16cid:durableId="1877699656">
    <w:abstractNumId w:val="450"/>
  </w:num>
  <w:num w:numId="259" w16cid:durableId="1576814421">
    <w:abstractNumId w:val="49"/>
  </w:num>
  <w:num w:numId="260" w16cid:durableId="1126653956">
    <w:abstractNumId w:val="443"/>
  </w:num>
  <w:num w:numId="261" w16cid:durableId="1248149948">
    <w:abstractNumId w:val="455"/>
  </w:num>
  <w:num w:numId="262" w16cid:durableId="134376639">
    <w:abstractNumId w:val="305"/>
  </w:num>
  <w:num w:numId="263" w16cid:durableId="850073839">
    <w:abstractNumId w:val="8"/>
  </w:num>
  <w:num w:numId="264" w16cid:durableId="553389309">
    <w:abstractNumId w:val="454"/>
  </w:num>
  <w:num w:numId="265" w16cid:durableId="629559649">
    <w:abstractNumId w:val="234"/>
  </w:num>
  <w:num w:numId="266" w16cid:durableId="766005313">
    <w:abstractNumId w:val="130"/>
  </w:num>
  <w:num w:numId="267" w16cid:durableId="841047652">
    <w:abstractNumId w:val="461"/>
  </w:num>
  <w:num w:numId="268" w16cid:durableId="1560091680">
    <w:abstractNumId w:val="122"/>
  </w:num>
  <w:num w:numId="269" w16cid:durableId="1612781110">
    <w:abstractNumId w:val="224"/>
  </w:num>
  <w:num w:numId="270" w16cid:durableId="1570000452">
    <w:abstractNumId w:val="188"/>
  </w:num>
  <w:num w:numId="271" w16cid:durableId="1011681270">
    <w:abstractNumId w:val="503"/>
  </w:num>
  <w:num w:numId="272" w16cid:durableId="1483155309">
    <w:abstractNumId w:val="497"/>
  </w:num>
  <w:num w:numId="273" w16cid:durableId="640037988">
    <w:abstractNumId w:val="409"/>
  </w:num>
  <w:num w:numId="274" w16cid:durableId="800878638">
    <w:abstractNumId w:val="139"/>
  </w:num>
  <w:num w:numId="275" w16cid:durableId="1623685544">
    <w:abstractNumId w:val="486"/>
  </w:num>
  <w:num w:numId="276" w16cid:durableId="876427605">
    <w:abstractNumId w:val="23"/>
  </w:num>
  <w:num w:numId="277" w16cid:durableId="721486685">
    <w:abstractNumId w:val="300"/>
  </w:num>
  <w:num w:numId="278" w16cid:durableId="1715159408">
    <w:abstractNumId w:val="233"/>
  </w:num>
  <w:num w:numId="279" w16cid:durableId="1035693724">
    <w:abstractNumId w:val="208"/>
  </w:num>
  <w:num w:numId="280" w16cid:durableId="881670408">
    <w:abstractNumId w:val="463"/>
  </w:num>
  <w:num w:numId="281" w16cid:durableId="387533040">
    <w:abstractNumId w:val="316"/>
  </w:num>
  <w:num w:numId="282" w16cid:durableId="1861434108">
    <w:abstractNumId w:val="416"/>
  </w:num>
  <w:num w:numId="283" w16cid:durableId="167185526">
    <w:abstractNumId w:val="510"/>
  </w:num>
  <w:num w:numId="284" w16cid:durableId="411631954">
    <w:abstractNumId w:val="128"/>
  </w:num>
  <w:num w:numId="285" w16cid:durableId="1251618531">
    <w:abstractNumId w:val="218"/>
  </w:num>
  <w:num w:numId="286" w16cid:durableId="1151798963">
    <w:abstractNumId w:val="47"/>
  </w:num>
  <w:num w:numId="287" w16cid:durableId="1510170346">
    <w:abstractNumId w:val="59"/>
  </w:num>
  <w:num w:numId="288" w16cid:durableId="699822221">
    <w:abstractNumId w:val="320"/>
  </w:num>
  <w:num w:numId="289" w16cid:durableId="331294890">
    <w:abstractNumId w:val="467"/>
  </w:num>
  <w:num w:numId="290" w16cid:durableId="105083504">
    <w:abstractNumId w:val="73"/>
  </w:num>
  <w:num w:numId="291" w16cid:durableId="1159075659">
    <w:abstractNumId w:val="17"/>
  </w:num>
  <w:num w:numId="292" w16cid:durableId="762842973">
    <w:abstractNumId w:val="478"/>
  </w:num>
  <w:num w:numId="293" w16cid:durableId="1858890043">
    <w:abstractNumId w:val="2"/>
  </w:num>
  <w:num w:numId="294" w16cid:durableId="1150367471">
    <w:abstractNumId w:val="143"/>
  </w:num>
  <w:num w:numId="295" w16cid:durableId="1916622559">
    <w:abstractNumId w:val="284"/>
  </w:num>
  <w:num w:numId="296" w16cid:durableId="400446630">
    <w:abstractNumId w:val="492"/>
  </w:num>
  <w:num w:numId="297" w16cid:durableId="1235045202">
    <w:abstractNumId w:val="384"/>
  </w:num>
  <w:num w:numId="298" w16cid:durableId="985664829">
    <w:abstractNumId w:val="251"/>
  </w:num>
  <w:num w:numId="299" w16cid:durableId="395124782">
    <w:abstractNumId w:val="418"/>
  </w:num>
  <w:num w:numId="300" w16cid:durableId="640158586">
    <w:abstractNumId w:val="11"/>
  </w:num>
  <w:num w:numId="301" w16cid:durableId="613170730">
    <w:abstractNumId w:val="244"/>
  </w:num>
  <w:num w:numId="302" w16cid:durableId="1245531751">
    <w:abstractNumId w:val="129"/>
  </w:num>
  <w:num w:numId="303" w16cid:durableId="1261060830">
    <w:abstractNumId w:val="184"/>
  </w:num>
  <w:num w:numId="304" w16cid:durableId="625283076">
    <w:abstractNumId w:val="464"/>
  </w:num>
  <w:num w:numId="305" w16cid:durableId="851142239">
    <w:abstractNumId w:val="68"/>
  </w:num>
  <w:num w:numId="306" w16cid:durableId="1459101590">
    <w:abstractNumId w:val="422"/>
  </w:num>
  <w:num w:numId="307" w16cid:durableId="1345353085">
    <w:abstractNumId w:val="480"/>
  </w:num>
  <w:num w:numId="308" w16cid:durableId="155845864">
    <w:abstractNumId w:val="406"/>
  </w:num>
  <w:num w:numId="309" w16cid:durableId="647904024">
    <w:abstractNumId w:val="92"/>
  </w:num>
  <w:num w:numId="310" w16cid:durableId="980426413">
    <w:abstractNumId w:val="22"/>
  </w:num>
  <w:num w:numId="311" w16cid:durableId="250742565">
    <w:abstractNumId w:val="367"/>
  </w:num>
  <w:num w:numId="312" w16cid:durableId="1255436561">
    <w:abstractNumId w:val="81"/>
  </w:num>
  <w:num w:numId="313" w16cid:durableId="1786850425">
    <w:abstractNumId w:val="191"/>
  </w:num>
  <w:num w:numId="314" w16cid:durableId="892935012">
    <w:abstractNumId w:val="19"/>
  </w:num>
  <w:num w:numId="315" w16cid:durableId="1679578027">
    <w:abstractNumId w:val="494"/>
  </w:num>
  <w:num w:numId="316" w16cid:durableId="1957061273">
    <w:abstractNumId w:val="378"/>
  </w:num>
  <w:num w:numId="317" w16cid:durableId="305665673">
    <w:abstractNumId w:val="189"/>
  </w:num>
  <w:num w:numId="318" w16cid:durableId="1966890721">
    <w:abstractNumId w:val="64"/>
  </w:num>
  <w:num w:numId="319" w16cid:durableId="551499732">
    <w:abstractNumId w:val="214"/>
  </w:num>
  <w:num w:numId="320" w16cid:durableId="891965033">
    <w:abstractNumId w:val="31"/>
  </w:num>
  <w:num w:numId="321" w16cid:durableId="1609897608">
    <w:abstractNumId w:val="138"/>
  </w:num>
  <w:num w:numId="322" w16cid:durableId="766996239">
    <w:abstractNumId w:val="428"/>
  </w:num>
  <w:num w:numId="323" w16cid:durableId="709185852">
    <w:abstractNumId w:val="209"/>
  </w:num>
  <w:num w:numId="324" w16cid:durableId="875392546">
    <w:abstractNumId w:val="67"/>
  </w:num>
  <w:num w:numId="325" w16cid:durableId="92212273">
    <w:abstractNumId w:val="337"/>
  </w:num>
  <w:num w:numId="326" w16cid:durableId="1433820741">
    <w:abstractNumId w:val="241"/>
  </w:num>
  <w:num w:numId="327" w16cid:durableId="1523283136">
    <w:abstractNumId w:val="107"/>
  </w:num>
  <w:num w:numId="328" w16cid:durableId="638078055">
    <w:abstractNumId w:val="253"/>
  </w:num>
  <w:num w:numId="329" w16cid:durableId="1203861413">
    <w:abstractNumId w:val="290"/>
  </w:num>
  <w:num w:numId="330" w16cid:durableId="1462309030">
    <w:abstractNumId w:val="140"/>
  </w:num>
  <w:num w:numId="331" w16cid:durableId="1643079777">
    <w:abstractNumId w:val="14"/>
  </w:num>
  <w:num w:numId="332" w16cid:durableId="656619171">
    <w:abstractNumId w:val="373"/>
  </w:num>
  <w:num w:numId="333" w16cid:durableId="657686404">
    <w:abstractNumId w:val="502"/>
  </w:num>
  <w:num w:numId="334" w16cid:durableId="623001955">
    <w:abstractNumId w:val="225"/>
  </w:num>
  <w:num w:numId="335" w16cid:durableId="1024936727">
    <w:abstractNumId w:val="164"/>
  </w:num>
  <w:num w:numId="336" w16cid:durableId="1356270393">
    <w:abstractNumId w:val="487"/>
  </w:num>
  <w:num w:numId="337" w16cid:durableId="720790523">
    <w:abstractNumId w:val="79"/>
  </w:num>
  <w:num w:numId="338" w16cid:durableId="470943929">
    <w:abstractNumId w:val="175"/>
  </w:num>
  <w:num w:numId="339" w16cid:durableId="1781486325">
    <w:abstractNumId w:val="62"/>
  </w:num>
  <w:num w:numId="340" w16cid:durableId="199247836">
    <w:abstractNumId w:val="383"/>
  </w:num>
  <w:num w:numId="341" w16cid:durableId="1123622486">
    <w:abstractNumId w:val="93"/>
  </w:num>
  <w:num w:numId="342" w16cid:durableId="1010449965">
    <w:abstractNumId w:val="28"/>
  </w:num>
  <w:num w:numId="343" w16cid:durableId="1391541321">
    <w:abstractNumId w:val="275"/>
  </w:num>
  <w:num w:numId="344" w16cid:durableId="119806833">
    <w:abstractNumId w:val="323"/>
  </w:num>
  <w:num w:numId="345" w16cid:durableId="1956322961">
    <w:abstractNumId w:val="211"/>
  </w:num>
  <w:num w:numId="346" w16cid:durableId="1259411499">
    <w:abstractNumId w:val="326"/>
  </w:num>
  <w:num w:numId="347" w16cid:durableId="1026053518">
    <w:abstractNumId w:val="89"/>
  </w:num>
  <w:num w:numId="348" w16cid:durableId="1836068166">
    <w:abstractNumId w:val="221"/>
  </w:num>
  <w:num w:numId="349" w16cid:durableId="1129785978">
    <w:abstractNumId w:val="76"/>
  </w:num>
  <w:num w:numId="350" w16cid:durableId="2004891263">
    <w:abstractNumId w:val="364"/>
  </w:num>
  <w:num w:numId="351" w16cid:durableId="865409306">
    <w:abstractNumId w:val="159"/>
  </w:num>
  <w:num w:numId="352" w16cid:durableId="1784765364">
    <w:abstractNumId w:val="183"/>
  </w:num>
  <w:num w:numId="353" w16cid:durableId="674575790">
    <w:abstractNumId w:val="43"/>
  </w:num>
  <w:num w:numId="354" w16cid:durableId="1164784593">
    <w:abstractNumId w:val="297"/>
  </w:num>
  <w:num w:numId="355" w16cid:durableId="1298415539">
    <w:abstractNumId w:val="205"/>
  </w:num>
  <w:num w:numId="356" w16cid:durableId="178741458">
    <w:abstractNumId w:val="420"/>
  </w:num>
  <w:num w:numId="357" w16cid:durableId="1561134684">
    <w:abstractNumId w:val="433"/>
  </w:num>
  <w:num w:numId="358" w16cid:durableId="1118139891">
    <w:abstractNumId w:val="301"/>
  </w:num>
  <w:num w:numId="359" w16cid:durableId="563564882">
    <w:abstractNumId w:val="477"/>
  </w:num>
  <w:num w:numId="360" w16cid:durableId="1226068165">
    <w:abstractNumId w:val="473"/>
  </w:num>
  <w:num w:numId="361" w16cid:durableId="1494028813">
    <w:abstractNumId w:val="180"/>
  </w:num>
  <w:num w:numId="362" w16cid:durableId="1860388819">
    <w:abstractNumId w:val="243"/>
  </w:num>
  <w:num w:numId="363" w16cid:durableId="55710690">
    <w:abstractNumId w:val="237"/>
  </w:num>
  <w:num w:numId="364" w16cid:durableId="1633292664">
    <w:abstractNumId w:val="100"/>
  </w:num>
  <w:num w:numId="365" w16cid:durableId="795681059">
    <w:abstractNumId w:val="146"/>
  </w:num>
  <w:num w:numId="366" w16cid:durableId="251741056">
    <w:abstractNumId w:val="453"/>
  </w:num>
  <w:num w:numId="367" w16cid:durableId="1660034324">
    <w:abstractNumId w:val="96"/>
  </w:num>
  <w:num w:numId="368" w16cid:durableId="874929672">
    <w:abstractNumId w:val="451"/>
  </w:num>
  <w:num w:numId="369" w16cid:durableId="1623728756">
    <w:abstractNumId w:val="29"/>
  </w:num>
  <w:num w:numId="370" w16cid:durableId="1516575062">
    <w:abstractNumId w:val="163"/>
  </w:num>
  <w:num w:numId="371" w16cid:durableId="1014111892">
    <w:abstractNumId w:val="379"/>
  </w:num>
  <w:num w:numId="372" w16cid:durableId="515656848">
    <w:abstractNumId w:val="507"/>
  </w:num>
  <w:num w:numId="373" w16cid:durableId="847211988">
    <w:abstractNumId w:val="414"/>
  </w:num>
  <w:num w:numId="374" w16cid:durableId="2138914435">
    <w:abstractNumId w:val="328"/>
  </w:num>
  <w:num w:numId="375" w16cid:durableId="1258908177">
    <w:abstractNumId w:val="260"/>
  </w:num>
  <w:num w:numId="376" w16cid:durableId="1860000488">
    <w:abstractNumId w:val="91"/>
  </w:num>
  <w:num w:numId="377" w16cid:durableId="1318343015">
    <w:abstractNumId w:val="80"/>
  </w:num>
  <w:num w:numId="378" w16cid:durableId="1256478482">
    <w:abstractNumId w:val="411"/>
  </w:num>
  <w:num w:numId="379" w16cid:durableId="1639728465">
    <w:abstractNumId w:val="167"/>
  </w:num>
  <w:num w:numId="380" w16cid:durableId="125860107">
    <w:abstractNumId w:val="356"/>
  </w:num>
  <w:num w:numId="381" w16cid:durableId="1972398249">
    <w:abstractNumId w:val="499"/>
  </w:num>
  <w:num w:numId="382" w16cid:durableId="1562863324">
    <w:abstractNumId w:val="193"/>
  </w:num>
  <w:num w:numId="383" w16cid:durableId="1322925785">
    <w:abstractNumId w:val="34"/>
  </w:num>
  <w:num w:numId="384" w16cid:durableId="1110785300">
    <w:abstractNumId w:val="381"/>
  </w:num>
  <w:num w:numId="385" w16cid:durableId="1864632960">
    <w:abstractNumId w:val="474"/>
  </w:num>
  <w:num w:numId="386" w16cid:durableId="1711344745">
    <w:abstractNumId w:val="444"/>
  </w:num>
  <w:num w:numId="387" w16cid:durableId="1864513222">
    <w:abstractNumId w:val="44"/>
  </w:num>
  <w:num w:numId="388" w16cid:durableId="1191576226">
    <w:abstractNumId w:val="435"/>
  </w:num>
  <w:num w:numId="389" w16cid:durableId="904560005">
    <w:abstractNumId w:val="399"/>
  </w:num>
  <w:num w:numId="390" w16cid:durableId="1618442674">
    <w:abstractNumId w:val="277"/>
  </w:num>
  <w:num w:numId="391" w16cid:durableId="115223162">
    <w:abstractNumId w:val="306"/>
  </w:num>
  <w:num w:numId="392" w16cid:durableId="715471609">
    <w:abstractNumId w:val="368"/>
  </w:num>
  <w:num w:numId="393" w16cid:durableId="273176516">
    <w:abstractNumId w:val="430"/>
  </w:num>
  <w:num w:numId="394" w16cid:durableId="1682196752">
    <w:abstractNumId w:val="84"/>
  </w:num>
  <w:num w:numId="395" w16cid:durableId="2040013034">
    <w:abstractNumId w:val="512"/>
  </w:num>
  <w:num w:numId="396" w16cid:durableId="1859586199">
    <w:abstractNumId w:val="0"/>
  </w:num>
  <w:num w:numId="397" w16cid:durableId="213009615">
    <w:abstractNumId w:val="12"/>
  </w:num>
  <w:num w:numId="398" w16cid:durableId="809253058">
    <w:abstractNumId w:val="199"/>
  </w:num>
  <w:num w:numId="399" w16cid:durableId="1882857294">
    <w:abstractNumId w:val="216"/>
  </w:num>
  <w:num w:numId="400" w16cid:durableId="2007319595">
    <w:abstractNumId w:val="109"/>
  </w:num>
  <w:num w:numId="401" w16cid:durableId="743331470">
    <w:abstractNumId w:val="313"/>
  </w:num>
  <w:num w:numId="402" w16cid:durableId="550459589">
    <w:abstractNumId w:val="333"/>
  </w:num>
  <w:num w:numId="403" w16cid:durableId="2052531484">
    <w:abstractNumId w:val="190"/>
  </w:num>
  <w:num w:numId="404" w16cid:durableId="1403987495">
    <w:abstractNumId w:val="185"/>
  </w:num>
  <w:num w:numId="405" w16cid:durableId="2029718073">
    <w:abstractNumId w:val="152"/>
  </w:num>
  <w:num w:numId="406" w16cid:durableId="919601608">
    <w:abstractNumId w:val="154"/>
  </w:num>
  <w:num w:numId="407" w16cid:durableId="393237397">
    <w:abstractNumId w:val="206"/>
  </w:num>
  <w:num w:numId="408" w16cid:durableId="374817557">
    <w:abstractNumId w:val="427"/>
  </w:num>
  <w:num w:numId="409" w16cid:durableId="2135442929">
    <w:abstractNumId w:val="58"/>
  </w:num>
  <w:num w:numId="410" w16cid:durableId="173152722">
    <w:abstractNumId w:val="257"/>
  </w:num>
  <w:num w:numId="411" w16cid:durableId="941959256">
    <w:abstractNumId w:val="317"/>
  </w:num>
  <w:num w:numId="412" w16cid:durableId="1632976250">
    <w:abstractNumId w:val="194"/>
  </w:num>
  <w:num w:numId="413" w16cid:durableId="1400590032">
    <w:abstractNumId w:val="201"/>
  </w:num>
  <w:num w:numId="414" w16cid:durableId="710809464">
    <w:abstractNumId w:val="294"/>
  </w:num>
  <w:num w:numId="415" w16cid:durableId="143939100">
    <w:abstractNumId w:val="371"/>
  </w:num>
  <w:num w:numId="416" w16cid:durableId="1058359512">
    <w:abstractNumId w:val="439"/>
  </w:num>
  <w:num w:numId="417" w16cid:durableId="1546674227">
    <w:abstractNumId w:val="393"/>
  </w:num>
  <w:num w:numId="418" w16cid:durableId="814178928">
    <w:abstractNumId w:val="116"/>
  </w:num>
  <w:num w:numId="419" w16cid:durableId="1527064086">
    <w:abstractNumId w:val="4"/>
  </w:num>
  <w:num w:numId="420" w16cid:durableId="517744191">
    <w:abstractNumId w:val="505"/>
  </w:num>
  <w:num w:numId="421" w16cid:durableId="244846766">
    <w:abstractNumId w:val="40"/>
  </w:num>
  <w:num w:numId="422" w16cid:durableId="332152032">
    <w:abstractNumId w:val="187"/>
  </w:num>
  <w:num w:numId="423" w16cid:durableId="1560555175">
    <w:abstractNumId w:val="446"/>
  </w:num>
  <w:num w:numId="424" w16cid:durableId="51781579">
    <w:abstractNumId w:val="469"/>
  </w:num>
  <w:num w:numId="425" w16cid:durableId="76832018">
    <w:abstractNumId w:val="242"/>
  </w:num>
  <w:num w:numId="426" w16cid:durableId="1164782124">
    <w:abstractNumId w:val="348"/>
  </w:num>
  <w:num w:numId="427" w16cid:durableId="85621020">
    <w:abstractNumId w:val="124"/>
  </w:num>
  <w:num w:numId="428" w16cid:durableId="1436711560">
    <w:abstractNumId w:val="94"/>
  </w:num>
  <w:num w:numId="429" w16cid:durableId="526986700">
    <w:abstractNumId w:val="457"/>
  </w:num>
  <w:num w:numId="430" w16cid:durableId="1747535419">
    <w:abstractNumId w:val="78"/>
  </w:num>
  <w:num w:numId="431" w16cid:durableId="1931036749">
    <w:abstractNumId w:val="493"/>
  </w:num>
  <w:num w:numId="432" w16cid:durableId="845679605">
    <w:abstractNumId w:val="298"/>
  </w:num>
  <w:num w:numId="433" w16cid:durableId="2102413035">
    <w:abstractNumId w:val="376"/>
  </w:num>
  <w:num w:numId="434" w16cid:durableId="1315061016">
    <w:abstractNumId w:val="355"/>
  </w:num>
  <w:num w:numId="435" w16cid:durableId="662045004">
    <w:abstractNumId w:val="85"/>
  </w:num>
  <w:num w:numId="436" w16cid:durableId="425926158">
    <w:abstractNumId w:val="142"/>
  </w:num>
  <w:num w:numId="437" w16cid:durableId="1076711365">
    <w:abstractNumId w:val="181"/>
  </w:num>
  <w:num w:numId="438" w16cid:durableId="1682078885">
    <w:abstractNumId w:val="475"/>
  </w:num>
  <w:num w:numId="439" w16cid:durableId="400565432">
    <w:abstractNumId w:val="69"/>
  </w:num>
  <w:num w:numId="440" w16cid:durableId="866068789">
    <w:abstractNumId w:val="134"/>
  </w:num>
  <w:num w:numId="441" w16cid:durableId="609092342">
    <w:abstractNumId w:val="295"/>
  </w:num>
  <w:num w:numId="442" w16cid:durableId="1581519550">
    <w:abstractNumId w:val="178"/>
  </w:num>
  <w:num w:numId="443" w16cid:durableId="2144616773">
    <w:abstractNumId w:val="113"/>
  </w:num>
  <w:num w:numId="444" w16cid:durableId="375860905">
    <w:abstractNumId w:val="350"/>
  </w:num>
  <w:num w:numId="445" w16cid:durableId="770659386">
    <w:abstractNumId w:val="465"/>
  </w:num>
  <w:num w:numId="446" w16cid:durableId="792023201">
    <w:abstractNumId w:val="25"/>
  </w:num>
  <w:num w:numId="447" w16cid:durableId="463084811">
    <w:abstractNumId w:val="441"/>
  </w:num>
  <w:num w:numId="448" w16cid:durableId="718171256">
    <w:abstractNumId w:val="16"/>
  </w:num>
  <w:num w:numId="449" w16cid:durableId="1830831159">
    <w:abstractNumId w:val="232"/>
  </w:num>
  <w:num w:numId="450" w16cid:durableId="1839269778">
    <w:abstractNumId w:val="157"/>
  </w:num>
  <w:num w:numId="451" w16cid:durableId="195317478">
    <w:abstractNumId w:val="55"/>
  </w:num>
  <w:num w:numId="452" w16cid:durableId="169881114">
    <w:abstractNumId w:val="330"/>
  </w:num>
  <w:num w:numId="453" w16cid:durableId="1357537190">
    <w:abstractNumId w:val="307"/>
  </w:num>
  <w:num w:numId="454" w16cid:durableId="892038860">
    <w:abstractNumId w:val="117"/>
  </w:num>
  <w:num w:numId="455" w16cid:durableId="1029598542">
    <w:abstractNumId w:val="223"/>
  </w:num>
  <w:num w:numId="456" w16cid:durableId="372655546">
    <w:abstractNumId w:val="279"/>
  </w:num>
  <w:num w:numId="457" w16cid:durableId="784231654">
    <w:abstractNumId w:val="467"/>
    <w:lvlOverride w:ilvl="0"/>
    <w:lvlOverride w:ilvl="1">
      <w:startOverride w:val="1"/>
    </w:lvlOverride>
    <w:lvlOverride w:ilvl="2"/>
    <w:lvlOverride w:ilvl="3"/>
    <w:lvlOverride w:ilvl="4"/>
    <w:lvlOverride w:ilvl="5"/>
    <w:lvlOverride w:ilvl="6"/>
    <w:lvlOverride w:ilvl="7"/>
    <w:lvlOverride w:ilvl="8"/>
  </w:num>
  <w:num w:numId="458" w16cid:durableId="25721868">
    <w:abstractNumId w:val="162"/>
  </w:num>
  <w:num w:numId="459" w16cid:durableId="309408006">
    <w:abstractNumId w:val="432"/>
  </w:num>
  <w:num w:numId="460" w16cid:durableId="1244025460">
    <w:abstractNumId w:val="380"/>
  </w:num>
  <w:num w:numId="461" w16cid:durableId="1626426174">
    <w:abstractNumId w:val="256"/>
  </w:num>
  <w:num w:numId="462" w16cid:durableId="693461056">
    <w:abstractNumId w:val="239"/>
  </w:num>
  <w:num w:numId="463" w16cid:durableId="120003790">
    <w:abstractNumId w:val="267"/>
  </w:num>
  <w:num w:numId="464" w16cid:durableId="16978141">
    <w:abstractNumId w:val="125"/>
  </w:num>
  <w:num w:numId="465" w16cid:durableId="208297847">
    <w:abstractNumId w:val="45"/>
  </w:num>
  <w:num w:numId="466" w16cid:durableId="57096642">
    <w:abstractNumId w:val="500"/>
  </w:num>
  <w:num w:numId="467" w16cid:durableId="1532378038">
    <w:abstractNumId w:val="410"/>
  </w:num>
  <w:num w:numId="468" w16cid:durableId="585842298">
    <w:abstractNumId w:val="131"/>
  </w:num>
  <w:num w:numId="469" w16cid:durableId="37096090">
    <w:abstractNumId w:val="334"/>
  </w:num>
  <w:num w:numId="470" w16cid:durableId="238368166">
    <w:abstractNumId w:val="405"/>
  </w:num>
  <w:num w:numId="471" w16cid:durableId="1162702186">
    <w:abstractNumId w:val="388"/>
  </w:num>
  <w:num w:numId="472" w16cid:durableId="472144173">
    <w:abstractNumId w:val="370"/>
  </w:num>
  <w:num w:numId="473" w16cid:durableId="591626133">
    <w:abstractNumId w:val="375"/>
  </w:num>
  <w:num w:numId="474" w16cid:durableId="2068215135">
    <w:abstractNumId w:val="3"/>
  </w:num>
  <w:num w:numId="475" w16cid:durableId="1453283739">
    <w:abstractNumId w:val="387"/>
  </w:num>
  <w:num w:numId="476" w16cid:durableId="998462520">
    <w:abstractNumId w:val="248"/>
  </w:num>
  <w:num w:numId="477" w16cid:durableId="1581599785">
    <w:abstractNumId w:val="456"/>
  </w:num>
  <w:num w:numId="478" w16cid:durableId="1996448423">
    <w:abstractNumId w:val="440"/>
  </w:num>
  <w:num w:numId="479" w16cid:durableId="1561018232">
    <w:abstractNumId w:val="511"/>
  </w:num>
  <w:num w:numId="480" w16cid:durableId="983894125">
    <w:abstractNumId w:val="488"/>
  </w:num>
  <w:num w:numId="481" w16cid:durableId="1353991080">
    <w:abstractNumId w:val="332"/>
  </w:num>
  <w:num w:numId="482" w16cid:durableId="1822308607">
    <w:abstractNumId w:val="342"/>
  </w:num>
  <w:num w:numId="483" w16cid:durableId="420878005">
    <w:abstractNumId w:val="349"/>
  </w:num>
  <w:num w:numId="484" w16cid:durableId="1404988811">
    <w:abstractNumId w:val="186"/>
  </w:num>
  <w:num w:numId="485" w16cid:durableId="153181070">
    <w:abstractNumId w:val="495"/>
  </w:num>
  <w:num w:numId="486" w16cid:durableId="852886659">
    <w:abstractNumId w:val="321"/>
  </w:num>
  <w:num w:numId="487" w16cid:durableId="861632042">
    <w:abstractNumId w:val="386"/>
  </w:num>
  <w:num w:numId="488" w16cid:durableId="950943023">
    <w:abstractNumId w:val="476"/>
  </w:num>
  <w:num w:numId="489" w16cid:durableId="1194609663">
    <w:abstractNumId w:val="389"/>
  </w:num>
  <w:num w:numId="490" w16cid:durableId="1574848941">
    <w:abstractNumId w:val="276"/>
  </w:num>
  <w:num w:numId="491" w16cid:durableId="534662787">
    <w:abstractNumId w:val="240"/>
  </w:num>
  <w:num w:numId="492" w16cid:durableId="930233820">
    <w:abstractNumId w:val="390"/>
  </w:num>
  <w:num w:numId="493" w16cid:durableId="1345205471">
    <w:abstractNumId w:val="51"/>
  </w:num>
  <w:num w:numId="494" w16cid:durableId="419569506">
    <w:abstractNumId w:val="271"/>
  </w:num>
  <w:num w:numId="495" w16cid:durableId="851457280">
    <w:abstractNumId w:val="70"/>
  </w:num>
  <w:num w:numId="496" w16cid:durableId="692805746">
    <w:abstractNumId w:val="226"/>
  </w:num>
  <w:num w:numId="497" w16cid:durableId="2110809565">
    <w:abstractNumId w:val="52"/>
  </w:num>
  <w:num w:numId="498" w16cid:durableId="1219826121">
    <w:abstractNumId w:val="46"/>
  </w:num>
  <w:num w:numId="499" w16cid:durableId="139230867">
    <w:abstractNumId w:val="151"/>
  </w:num>
  <w:num w:numId="500" w16cid:durableId="1498880404">
    <w:abstractNumId w:val="15"/>
  </w:num>
  <w:num w:numId="501" w16cid:durableId="1412048272">
    <w:abstractNumId w:val="312"/>
  </w:num>
  <w:num w:numId="502" w16cid:durableId="1189610490">
    <w:abstractNumId w:val="204"/>
  </w:num>
  <w:num w:numId="503" w16cid:durableId="1187449780">
    <w:abstractNumId w:val="415"/>
  </w:num>
  <w:num w:numId="504" w16cid:durableId="637304303">
    <w:abstractNumId w:val="365"/>
  </w:num>
  <w:num w:numId="505" w16cid:durableId="1602641904">
    <w:abstractNumId w:val="336"/>
  </w:num>
  <w:num w:numId="506" w16cid:durableId="430584438">
    <w:abstractNumId w:val="50"/>
  </w:num>
  <w:num w:numId="507" w16cid:durableId="1764450378">
    <w:abstractNumId w:val="101"/>
  </w:num>
  <w:num w:numId="508" w16cid:durableId="1013187266">
    <w:abstractNumId w:val="397"/>
  </w:num>
  <w:num w:numId="509" w16cid:durableId="486090269">
    <w:abstractNumId w:val="27"/>
  </w:num>
  <w:num w:numId="510" w16cid:durableId="310789468">
    <w:abstractNumId w:val="407"/>
  </w:num>
  <w:num w:numId="511" w16cid:durableId="1668291669">
    <w:abstractNumId w:val="118"/>
  </w:num>
  <w:num w:numId="512" w16cid:durableId="1703675669">
    <w:abstractNumId w:val="484"/>
  </w:num>
  <w:num w:numId="513" w16cid:durableId="1571043762">
    <w:abstractNumId w:val="155"/>
  </w:num>
  <w:num w:numId="514" w16cid:durableId="1565413431">
    <w:abstractNumId w:val="264"/>
  </w:num>
  <w:num w:numId="515" w16cid:durableId="263651832">
    <w:abstractNumId w:val="403"/>
  </w:num>
  <w:num w:numId="516" w16cid:durableId="2061594188">
    <w:abstractNumId w:val="403"/>
  </w:num>
  <w:num w:numId="517" w16cid:durableId="884829468">
    <w:abstractNumId w:val="403"/>
  </w:num>
  <w:num w:numId="518" w16cid:durableId="1417750978">
    <w:abstractNumId w:val="311"/>
  </w:num>
  <w:numIdMacAtCleanup w:val="5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hideSpellingErrors/>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3A6"/>
    <w:rsid w:val="000005C5"/>
    <w:rsid w:val="00000889"/>
    <w:rsid w:val="00000C10"/>
    <w:rsid w:val="00000E1D"/>
    <w:rsid w:val="000012C7"/>
    <w:rsid w:val="00001535"/>
    <w:rsid w:val="00001A01"/>
    <w:rsid w:val="00001DA4"/>
    <w:rsid w:val="0000220E"/>
    <w:rsid w:val="000023D0"/>
    <w:rsid w:val="00002B03"/>
    <w:rsid w:val="00002B85"/>
    <w:rsid w:val="00002CBF"/>
    <w:rsid w:val="00002CD1"/>
    <w:rsid w:val="00002CFA"/>
    <w:rsid w:val="00002FB4"/>
    <w:rsid w:val="00003569"/>
    <w:rsid w:val="000035C8"/>
    <w:rsid w:val="000036BE"/>
    <w:rsid w:val="0000375C"/>
    <w:rsid w:val="000037FC"/>
    <w:rsid w:val="00003E42"/>
    <w:rsid w:val="00003EB8"/>
    <w:rsid w:val="00003FD7"/>
    <w:rsid w:val="000044CC"/>
    <w:rsid w:val="00004BD5"/>
    <w:rsid w:val="00005224"/>
    <w:rsid w:val="000054EB"/>
    <w:rsid w:val="00006B52"/>
    <w:rsid w:val="00006E56"/>
    <w:rsid w:val="0000710D"/>
    <w:rsid w:val="000079C9"/>
    <w:rsid w:val="00007ACF"/>
    <w:rsid w:val="00007B6B"/>
    <w:rsid w:val="00007E1A"/>
    <w:rsid w:val="00010008"/>
    <w:rsid w:val="0001013D"/>
    <w:rsid w:val="0001027F"/>
    <w:rsid w:val="0001080B"/>
    <w:rsid w:val="00010988"/>
    <w:rsid w:val="00010C32"/>
    <w:rsid w:val="0001107A"/>
    <w:rsid w:val="0001107F"/>
    <w:rsid w:val="00011D3E"/>
    <w:rsid w:val="00011D61"/>
    <w:rsid w:val="00012B33"/>
    <w:rsid w:val="00012C5C"/>
    <w:rsid w:val="00012DCE"/>
    <w:rsid w:val="00012E2D"/>
    <w:rsid w:val="000131C7"/>
    <w:rsid w:val="00013519"/>
    <w:rsid w:val="00013FA3"/>
    <w:rsid w:val="00014427"/>
    <w:rsid w:val="0001445B"/>
    <w:rsid w:val="000146DC"/>
    <w:rsid w:val="00014A9F"/>
    <w:rsid w:val="00014FB0"/>
    <w:rsid w:val="00015261"/>
    <w:rsid w:val="000152DD"/>
    <w:rsid w:val="00015A7C"/>
    <w:rsid w:val="00015D19"/>
    <w:rsid w:val="0001619B"/>
    <w:rsid w:val="0001644C"/>
    <w:rsid w:val="00016FE8"/>
    <w:rsid w:val="00017042"/>
    <w:rsid w:val="0001753A"/>
    <w:rsid w:val="000175A7"/>
    <w:rsid w:val="00017C62"/>
    <w:rsid w:val="00020668"/>
    <w:rsid w:val="000207F6"/>
    <w:rsid w:val="00020946"/>
    <w:rsid w:val="00020BFA"/>
    <w:rsid w:val="00021122"/>
    <w:rsid w:val="0002184C"/>
    <w:rsid w:val="00021909"/>
    <w:rsid w:val="00021A3A"/>
    <w:rsid w:val="00021E5B"/>
    <w:rsid w:val="00021F5C"/>
    <w:rsid w:val="00022143"/>
    <w:rsid w:val="00022177"/>
    <w:rsid w:val="00022179"/>
    <w:rsid w:val="000222B8"/>
    <w:rsid w:val="000226E0"/>
    <w:rsid w:val="00022BA7"/>
    <w:rsid w:val="00022F5C"/>
    <w:rsid w:val="000238AE"/>
    <w:rsid w:val="00023943"/>
    <w:rsid w:val="00023F6B"/>
    <w:rsid w:val="00024C9C"/>
    <w:rsid w:val="00025308"/>
    <w:rsid w:val="00025EB9"/>
    <w:rsid w:val="000262AB"/>
    <w:rsid w:val="000262B7"/>
    <w:rsid w:val="00026703"/>
    <w:rsid w:val="00026A78"/>
    <w:rsid w:val="00026D9B"/>
    <w:rsid w:val="00027814"/>
    <w:rsid w:val="00027C97"/>
    <w:rsid w:val="00027F67"/>
    <w:rsid w:val="000301D3"/>
    <w:rsid w:val="000303CB"/>
    <w:rsid w:val="000305DF"/>
    <w:rsid w:val="0003090C"/>
    <w:rsid w:val="000312C6"/>
    <w:rsid w:val="0003133A"/>
    <w:rsid w:val="0003184C"/>
    <w:rsid w:val="00031E5B"/>
    <w:rsid w:val="00032319"/>
    <w:rsid w:val="00032559"/>
    <w:rsid w:val="000327D3"/>
    <w:rsid w:val="00032BEB"/>
    <w:rsid w:val="000331B9"/>
    <w:rsid w:val="00033C9E"/>
    <w:rsid w:val="00033E85"/>
    <w:rsid w:val="000341CD"/>
    <w:rsid w:val="0003429A"/>
    <w:rsid w:val="00035073"/>
    <w:rsid w:val="00035885"/>
    <w:rsid w:val="00035CFD"/>
    <w:rsid w:val="00035DBA"/>
    <w:rsid w:val="000360D8"/>
    <w:rsid w:val="00036343"/>
    <w:rsid w:val="000368F5"/>
    <w:rsid w:val="00036AF5"/>
    <w:rsid w:val="000376C2"/>
    <w:rsid w:val="00037BFD"/>
    <w:rsid w:val="0004088F"/>
    <w:rsid w:val="00040B42"/>
    <w:rsid w:val="00040B44"/>
    <w:rsid w:val="00040B8A"/>
    <w:rsid w:val="000412DC"/>
    <w:rsid w:val="00041394"/>
    <w:rsid w:val="000419C8"/>
    <w:rsid w:val="00041A0B"/>
    <w:rsid w:val="00041B10"/>
    <w:rsid w:val="00041BDF"/>
    <w:rsid w:val="00041E0D"/>
    <w:rsid w:val="00041EF3"/>
    <w:rsid w:val="000428A1"/>
    <w:rsid w:val="00042CD9"/>
    <w:rsid w:val="000434E1"/>
    <w:rsid w:val="00043556"/>
    <w:rsid w:val="00043A16"/>
    <w:rsid w:val="00043B71"/>
    <w:rsid w:val="00044022"/>
    <w:rsid w:val="000443DB"/>
    <w:rsid w:val="00044411"/>
    <w:rsid w:val="00044574"/>
    <w:rsid w:val="0004469E"/>
    <w:rsid w:val="00044BDB"/>
    <w:rsid w:val="00044CB9"/>
    <w:rsid w:val="00044F35"/>
    <w:rsid w:val="00045016"/>
    <w:rsid w:val="00045108"/>
    <w:rsid w:val="00045477"/>
    <w:rsid w:val="00045653"/>
    <w:rsid w:val="000456F6"/>
    <w:rsid w:val="00045A4A"/>
    <w:rsid w:val="00045A64"/>
    <w:rsid w:val="00045D38"/>
    <w:rsid w:val="000467C6"/>
    <w:rsid w:val="000467CC"/>
    <w:rsid w:val="00047271"/>
    <w:rsid w:val="000474C4"/>
    <w:rsid w:val="0004773A"/>
    <w:rsid w:val="00047876"/>
    <w:rsid w:val="0005012C"/>
    <w:rsid w:val="000502B3"/>
    <w:rsid w:val="000506C0"/>
    <w:rsid w:val="00050F1F"/>
    <w:rsid w:val="00050F2E"/>
    <w:rsid w:val="00050F81"/>
    <w:rsid w:val="00051414"/>
    <w:rsid w:val="0005171A"/>
    <w:rsid w:val="00051808"/>
    <w:rsid w:val="00051A83"/>
    <w:rsid w:val="00051C7B"/>
    <w:rsid w:val="00051EEC"/>
    <w:rsid w:val="000528E6"/>
    <w:rsid w:val="00052930"/>
    <w:rsid w:val="0005303F"/>
    <w:rsid w:val="0005370A"/>
    <w:rsid w:val="000537EE"/>
    <w:rsid w:val="00053DD4"/>
    <w:rsid w:val="00054A4C"/>
    <w:rsid w:val="00054A89"/>
    <w:rsid w:val="00054AFD"/>
    <w:rsid w:val="00054B51"/>
    <w:rsid w:val="00054C6B"/>
    <w:rsid w:val="00055209"/>
    <w:rsid w:val="000556D9"/>
    <w:rsid w:val="00055E45"/>
    <w:rsid w:val="00056084"/>
    <w:rsid w:val="00056806"/>
    <w:rsid w:val="00056E4B"/>
    <w:rsid w:val="00057130"/>
    <w:rsid w:val="0005727B"/>
    <w:rsid w:val="00057930"/>
    <w:rsid w:val="000605B9"/>
    <w:rsid w:val="00060D13"/>
    <w:rsid w:val="00060F36"/>
    <w:rsid w:val="0006118A"/>
    <w:rsid w:val="000614BC"/>
    <w:rsid w:val="000619BD"/>
    <w:rsid w:val="00061EB4"/>
    <w:rsid w:val="000625C3"/>
    <w:rsid w:val="00062BA5"/>
    <w:rsid w:val="00062BE2"/>
    <w:rsid w:val="00063182"/>
    <w:rsid w:val="00063845"/>
    <w:rsid w:val="00063BBD"/>
    <w:rsid w:val="000642E7"/>
    <w:rsid w:val="000646DC"/>
    <w:rsid w:val="00064715"/>
    <w:rsid w:val="0006496C"/>
    <w:rsid w:val="00064E94"/>
    <w:rsid w:val="00065280"/>
    <w:rsid w:val="0006530A"/>
    <w:rsid w:val="000655D2"/>
    <w:rsid w:val="0006568D"/>
    <w:rsid w:val="0006590E"/>
    <w:rsid w:val="00065D20"/>
    <w:rsid w:val="00065D45"/>
    <w:rsid w:val="00065DA8"/>
    <w:rsid w:val="00065F0B"/>
    <w:rsid w:val="00066107"/>
    <w:rsid w:val="0006631D"/>
    <w:rsid w:val="0006696F"/>
    <w:rsid w:val="00066BBB"/>
    <w:rsid w:val="00066DFB"/>
    <w:rsid w:val="000672BD"/>
    <w:rsid w:val="000675E4"/>
    <w:rsid w:val="00067AA5"/>
    <w:rsid w:val="00070304"/>
    <w:rsid w:val="00070423"/>
    <w:rsid w:val="00070537"/>
    <w:rsid w:val="00070988"/>
    <w:rsid w:val="00070994"/>
    <w:rsid w:val="000709EF"/>
    <w:rsid w:val="00070A19"/>
    <w:rsid w:val="00070AA6"/>
    <w:rsid w:val="00070D35"/>
    <w:rsid w:val="00070FF6"/>
    <w:rsid w:val="000710AA"/>
    <w:rsid w:val="00071777"/>
    <w:rsid w:val="00072574"/>
    <w:rsid w:val="0007271B"/>
    <w:rsid w:val="000733D2"/>
    <w:rsid w:val="00073521"/>
    <w:rsid w:val="000738D1"/>
    <w:rsid w:val="00073B30"/>
    <w:rsid w:val="00073D65"/>
    <w:rsid w:val="00074296"/>
    <w:rsid w:val="000745EB"/>
    <w:rsid w:val="000749EB"/>
    <w:rsid w:val="00074B2E"/>
    <w:rsid w:val="00074B57"/>
    <w:rsid w:val="00074B5E"/>
    <w:rsid w:val="00074CCC"/>
    <w:rsid w:val="00075605"/>
    <w:rsid w:val="000758D4"/>
    <w:rsid w:val="00075A04"/>
    <w:rsid w:val="00076706"/>
    <w:rsid w:val="000768DE"/>
    <w:rsid w:val="00076919"/>
    <w:rsid w:val="00076C48"/>
    <w:rsid w:val="00076E1C"/>
    <w:rsid w:val="00076FC8"/>
    <w:rsid w:val="00077277"/>
    <w:rsid w:val="000775F2"/>
    <w:rsid w:val="000778A6"/>
    <w:rsid w:val="00077F73"/>
    <w:rsid w:val="00077F8F"/>
    <w:rsid w:val="00080030"/>
    <w:rsid w:val="000800E2"/>
    <w:rsid w:val="000802C3"/>
    <w:rsid w:val="00080645"/>
    <w:rsid w:val="0008067C"/>
    <w:rsid w:val="00080857"/>
    <w:rsid w:val="00081249"/>
    <w:rsid w:val="0008241C"/>
    <w:rsid w:val="00082B5D"/>
    <w:rsid w:val="00082CE0"/>
    <w:rsid w:val="0008306F"/>
    <w:rsid w:val="0008351D"/>
    <w:rsid w:val="0008376F"/>
    <w:rsid w:val="00084151"/>
    <w:rsid w:val="000844BD"/>
    <w:rsid w:val="000846A9"/>
    <w:rsid w:val="000849E9"/>
    <w:rsid w:val="00084AB9"/>
    <w:rsid w:val="00084CAE"/>
    <w:rsid w:val="00084DCD"/>
    <w:rsid w:val="00084E78"/>
    <w:rsid w:val="00084EFD"/>
    <w:rsid w:val="00085747"/>
    <w:rsid w:val="00085ECD"/>
    <w:rsid w:val="00085FE3"/>
    <w:rsid w:val="000860C9"/>
    <w:rsid w:val="000866AF"/>
    <w:rsid w:val="000866CA"/>
    <w:rsid w:val="00086805"/>
    <w:rsid w:val="000868A4"/>
    <w:rsid w:val="00087295"/>
    <w:rsid w:val="00087343"/>
    <w:rsid w:val="000874B1"/>
    <w:rsid w:val="00087615"/>
    <w:rsid w:val="00087682"/>
    <w:rsid w:val="00087E74"/>
    <w:rsid w:val="00090172"/>
    <w:rsid w:val="0009091C"/>
    <w:rsid w:val="000909C3"/>
    <w:rsid w:val="00091626"/>
    <w:rsid w:val="000918D7"/>
    <w:rsid w:val="0009196D"/>
    <w:rsid w:val="000923EF"/>
    <w:rsid w:val="000924AE"/>
    <w:rsid w:val="00092FC6"/>
    <w:rsid w:val="00093379"/>
    <w:rsid w:val="000937B6"/>
    <w:rsid w:val="00093B65"/>
    <w:rsid w:val="00093D1B"/>
    <w:rsid w:val="00093D9D"/>
    <w:rsid w:val="0009409C"/>
    <w:rsid w:val="00094146"/>
    <w:rsid w:val="000941A2"/>
    <w:rsid w:val="00094758"/>
    <w:rsid w:val="000953AB"/>
    <w:rsid w:val="00095BF0"/>
    <w:rsid w:val="00095C8A"/>
    <w:rsid w:val="00095CEF"/>
    <w:rsid w:val="00095E37"/>
    <w:rsid w:val="00095F1E"/>
    <w:rsid w:val="00095FA0"/>
    <w:rsid w:val="00096208"/>
    <w:rsid w:val="00096D42"/>
    <w:rsid w:val="00096F20"/>
    <w:rsid w:val="00097239"/>
    <w:rsid w:val="000972B9"/>
    <w:rsid w:val="00097617"/>
    <w:rsid w:val="00097AE8"/>
    <w:rsid w:val="00097B6B"/>
    <w:rsid w:val="00097DB6"/>
    <w:rsid w:val="00097F1F"/>
    <w:rsid w:val="00097FFB"/>
    <w:rsid w:val="000A01D4"/>
    <w:rsid w:val="000A0230"/>
    <w:rsid w:val="000A026B"/>
    <w:rsid w:val="000A0403"/>
    <w:rsid w:val="000A0F9C"/>
    <w:rsid w:val="000A1390"/>
    <w:rsid w:val="000A14EA"/>
    <w:rsid w:val="000A1822"/>
    <w:rsid w:val="000A18F9"/>
    <w:rsid w:val="000A19A8"/>
    <w:rsid w:val="000A1F45"/>
    <w:rsid w:val="000A1F7D"/>
    <w:rsid w:val="000A2D1A"/>
    <w:rsid w:val="000A33AE"/>
    <w:rsid w:val="000A3597"/>
    <w:rsid w:val="000A36B9"/>
    <w:rsid w:val="000A4388"/>
    <w:rsid w:val="000A4723"/>
    <w:rsid w:val="000A4D29"/>
    <w:rsid w:val="000A55C6"/>
    <w:rsid w:val="000A5719"/>
    <w:rsid w:val="000A5A9D"/>
    <w:rsid w:val="000A5B5C"/>
    <w:rsid w:val="000A5D39"/>
    <w:rsid w:val="000A5F87"/>
    <w:rsid w:val="000A61CD"/>
    <w:rsid w:val="000A61F0"/>
    <w:rsid w:val="000A6375"/>
    <w:rsid w:val="000A66CC"/>
    <w:rsid w:val="000A67FC"/>
    <w:rsid w:val="000A6B25"/>
    <w:rsid w:val="000A7161"/>
    <w:rsid w:val="000A71E9"/>
    <w:rsid w:val="000A7491"/>
    <w:rsid w:val="000A74D2"/>
    <w:rsid w:val="000A75BB"/>
    <w:rsid w:val="000A7607"/>
    <w:rsid w:val="000A7C73"/>
    <w:rsid w:val="000A7D6F"/>
    <w:rsid w:val="000B020D"/>
    <w:rsid w:val="000B03FD"/>
    <w:rsid w:val="000B0940"/>
    <w:rsid w:val="000B0AD3"/>
    <w:rsid w:val="000B0B5A"/>
    <w:rsid w:val="000B0C5C"/>
    <w:rsid w:val="000B1140"/>
    <w:rsid w:val="000B1AF8"/>
    <w:rsid w:val="000B1FF8"/>
    <w:rsid w:val="000B2ACC"/>
    <w:rsid w:val="000B2D17"/>
    <w:rsid w:val="000B2FDB"/>
    <w:rsid w:val="000B3137"/>
    <w:rsid w:val="000B329A"/>
    <w:rsid w:val="000B3625"/>
    <w:rsid w:val="000B37B3"/>
    <w:rsid w:val="000B39AC"/>
    <w:rsid w:val="000B3F36"/>
    <w:rsid w:val="000B41D5"/>
    <w:rsid w:val="000B430D"/>
    <w:rsid w:val="000B43F7"/>
    <w:rsid w:val="000B48A2"/>
    <w:rsid w:val="000B49A4"/>
    <w:rsid w:val="000B4A01"/>
    <w:rsid w:val="000B4A5F"/>
    <w:rsid w:val="000B4C06"/>
    <w:rsid w:val="000B4C19"/>
    <w:rsid w:val="000B4EAE"/>
    <w:rsid w:val="000B554A"/>
    <w:rsid w:val="000B5ABD"/>
    <w:rsid w:val="000B5B72"/>
    <w:rsid w:val="000B5C6C"/>
    <w:rsid w:val="000B619A"/>
    <w:rsid w:val="000B61E7"/>
    <w:rsid w:val="000B6620"/>
    <w:rsid w:val="000B72C0"/>
    <w:rsid w:val="000B772D"/>
    <w:rsid w:val="000B7A9C"/>
    <w:rsid w:val="000B7F18"/>
    <w:rsid w:val="000C087D"/>
    <w:rsid w:val="000C0C1B"/>
    <w:rsid w:val="000C0C86"/>
    <w:rsid w:val="000C0D02"/>
    <w:rsid w:val="000C0E59"/>
    <w:rsid w:val="000C0F0B"/>
    <w:rsid w:val="000C0F5C"/>
    <w:rsid w:val="000C11FF"/>
    <w:rsid w:val="000C1337"/>
    <w:rsid w:val="000C1E70"/>
    <w:rsid w:val="000C20E6"/>
    <w:rsid w:val="000C26F0"/>
    <w:rsid w:val="000C27CB"/>
    <w:rsid w:val="000C2D16"/>
    <w:rsid w:val="000C30B6"/>
    <w:rsid w:val="000C30B7"/>
    <w:rsid w:val="000C339A"/>
    <w:rsid w:val="000C35CA"/>
    <w:rsid w:val="000C37B0"/>
    <w:rsid w:val="000C3B27"/>
    <w:rsid w:val="000C3CEA"/>
    <w:rsid w:val="000C3DCB"/>
    <w:rsid w:val="000C3E82"/>
    <w:rsid w:val="000C449C"/>
    <w:rsid w:val="000C46EB"/>
    <w:rsid w:val="000C47C4"/>
    <w:rsid w:val="000C4E2B"/>
    <w:rsid w:val="000C4EBC"/>
    <w:rsid w:val="000C50CC"/>
    <w:rsid w:val="000C5231"/>
    <w:rsid w:val="000C5391"/>
    <w:rsid w:val="000C580A"/>
    <w:rsid w:val="000C58E3"/>
    <w:rsid w:val="000C5A21"/>
    <w:rsid w:val="000C5E96"/>
    <w:rsid w:val="000C60D9"/>
    <w:rsid w:val="000C615D"/>
    <w:rsid w:val="000C6318"/>
    <w:rsid w:val="000C6370"/>
    <w:rsid w:val="000C68EC"/>
    <w:rsid w:val="000C698B"/>
    <w:rsid w:val="000C6ABF"/>
    <w:rsid w:val="000C730C"/>
    <w:rsid w:val="000C7F85"/>
    <w:rsid w:val="000D06A8"/>
    <w:rsid w:val="000D08F0"/>
    <w:rsid w:val="000D0977"/>
    <w:rsid w:val="000D1039"/>
    <w:rsid w:val="000D1049"/>
    <w:rsid w:val="000D110B"/>
    <w:rsid w:val="000D1B13"/>
    <w:rsid w:val="000D2C80"/>
    <w:rsid w:val="000D32D0"/>
    <w:rsid w:val="000D3325"/>
    <w:rsid w:val="000D37DA"/>
    <w:rsid w:val="000D3837"/>
    <w:rsid w:val="000D3BD9"/>
    <w:rsid w:val="000D3C59"/>
    <w:rsid w:val="000D3CD0"/>
    <w:rsid w:val="000D3D91"/>
    <w:rsid w:val="000D3E47"/>
    <w:rsid w:val="000D44AA"/>
    <w:rsid w:val="000D47AE"/>
    <w:rsid w:val="000D49A6"/>
    <w:rsid w:val="000D4B1C"/>
    <w:rsid w:val="000D5141"/>
    <w:rsid w:val="000D5760"/>
    <w:rsid w:val="000D587E"/>
    <w:rsid w:val="000D5907"/>
    <w:rsid w:val="000D5D1C"/>
    <w:rsid w:val="000D6A99"/>
    <w:rsid w:val="000D6C51"/>
    <w:rsid w:val="000D6CFD"/>
    <w:rsid w:val="000D6D8B"/>
    <w:rsid w:val="000D7321"/>
    <w:rsid w:val="000D77CD"/>
    <w:rsid w:val="000D7940"/>
    <w:rsid w:val="000D7EA6"/>
    <w:rsid w:val="000E01A0"/>
    <w:rsid w:val="000E0CD4"/>
    <w:rsid w:val="000E0E2F"/>
    <w:rsid w:val="000E13E8"/>
    <w:rsid w:val="000E144A"/>
    <w:rsid w:val="000E14EC"/>
    <w:rsid w:val="000E1593"/>
    <w:rsid w:val="000E1682"/>
    <w:rsid w:val="000E213A"/>
    <w:rsid w:val="000E27AF"/>
    <w:rsid w:val="000E2E72"/>
    <w:rsid w:val="000E3036"/>
    <w:rsid w:val="000E37C4"/>
    <w:rsid w:val="000E37C9"/>
    <w:rsid w:val="000E3BE5"/>
    <w:rsid w:val="000E3DFC"/>
    <w:rsid w:val="000E4007"/>
    <w:rsid w:val="000E419B"/>
    <w:rsid w:val="000E427F"/>
    <w:rsid w:val="000E464B"/>
    <w:rsid w:val="000E498B"/>
    <w:rsid w:val="000E5134"/>
    <w:rsid w:val="000E545A"/>
    <w:rsid w:val="000E57F4"/>
    <w:rsid w:val="000E5800"/>
    <w:rsid w:val="000E5B89"/>
    <w:rsid w:val="000E5BB7"/>
    <w:rsid w:val="000E5BCB"/>
    <w:rsid w:val="000E5D06"/>
    <w:rsid w:val="000E5DD7"/>
    <w:rsid w:val="000E62EB"/>
    <w:rsid w:val="000E6371"/>
    <w:rsid w:val="000E707A"/>
    <w:rsid w:val="000E777C"/>
    <w:rsid w:val="000E7800"/>
    <w:rsid w:val="000F07B2"/>
    <w:rsid w:val="000F0B2A"/>
    <w:rsid w:val="000F0E45"/>
    <w:rsid w:val="000F0FB4"/>
    <w:rsid w:val="000F1132"/>
    <w:rsid w:val="000F155B"/>
    <w:rsid w:val="000F1B6B"/>
    <w:rsid w:val="000F2517"/>
    <w:rsid w:val="000F25A0"/>
    <w:rsid w:val="000F263E"/>
    <w:rsid w:val="000F270F"/>
    <w:rsid w:val="000F293E"/>
    <w:rsid w:val="000F2E23"/>
    <w:rsid w:val="000F2EC6"/>
    <w:rsid w:val="000F312C"/>
    <w:rsid w:val="000F339B"/>
    <w:rsid w:val="000F3403"/>
    <w:rsid w:val="000F353F"/>
    <w:rsid w:val="000F3696"/>
    <w:rsid w:val="000F36BC"/>
    <w:rsid w:val="000F389D"/>
    <w:rsid w:val="000F3B12"/>
    <w:rsid w:val="000F4279"/>
    <w:rsid w:val="000F47BB"/>
    <w:rsid w:val="000F4B53"/>
    <w:rsid w:val="000F50B1"/>
    <w:rsid w:val="000F5476"/>
    <w:rsid w:val="000F57B1"/>
    <w:rsid w:val="000F5B0B"/>
    <w:rsid w:val="000F5FE7"/>
    <w:rsid w:val="000F61CB"/>
    <w:rsid w:val="000F6A51"/>
    <w:rsid w:val="000F6D34"/>
    <w:rsid w:val="000F711D"/>
    <w:rsid w:val="000F72F4"/>
    <w:rsid w:val="000F7463"/>
    <w:rsid w:val="000F7933"/>
    <w:rsid w:val="000F7F1B"/>
    <w:rsid w:val="00100120"/>
    <w:rsid w:val="0010013E"/>
    <w:rsid w:val="00100205"/>
    <w:rsid w:val="001003F3"/>
    <w:rsid w:val="0010076D"/>
    <w:rsid w:val="001008B5"/>
    <w:rsid w:val="0010134C"/>
    <w:rsid w:val="00101647"/>
    <w:rsid w:val="00101F66"/>
    <w:rsid w:val="00101FAE"/>
    <w:rsid w:val="00102012"/>
    <w:rsid w:val="00102151"/>
    <w:rsid w:val="001021E2"/>
    <w:rsid w:val="001022FA"/>
    <w:rsid w:val="00102523"/>
    <w:rsid w:val="00102623"/>
    <w:rsid w:val="00102A19"/>
    <w:rsid w:val="00102C83"/>
    <w:rsid w:val="00102F22"/>
    <w:rsid w:val="0010315F"/>
    <w:rsid w:val="001033BA"/>
    <w:rsid w:val="001034D5"/>
    <w:rsid w:val="001038B8"/>
    <w:rsid w:val="00103C59"/>
    <w:rsid w:val="00104312"/>
    <w:rsid w:val="001045A4"/>
    <w:rsid w:val="001047AA"/>
    <w:rsid w:val="00105316"/>
    <w:rsid w:val="00105760"/>
    <w:rsid w:val="0010590A"/>
    <w:rsid w:val="001059A4"/>
    <w:rsid w:val="00105BB2"/>
    <w:rsid w:val="00105D4C"/>
    <w:rsid w:val="00106414"/>
    <w:rsid w:val="001065AA"/>
    <w:rsid w:val="00106815"/>
    <w:rsid w:val="001069D0"/>
    <w:rsid w:val="00106E60"/>
    <w:rsid w:val="001071AC"/>
    <w:rsid w:val="001071C7"/>
    <w:rsid w:val="00107FE4"/>
    <w:rsid w:val="00110605"/>
    <w:rsid w:val="00110C09"/>
    <w:rsid w:val="00110C40"/>
    <w:rsid w:val="00110C67"/>
    <w:rsid w:val="00110F9A"/>
    <w:rsid w:val="00111771"/>
    <w:rsid w:val="001118C2"/>
    <w:rsid w:val="00111D31"/>
    <w:rsid w:val="0011207B"/>
    <w:rsid w:val="00112312"/>
    <w:rsid w:val="001123E1"/>
    <w:rsid w:val="00112615"/>
    <w:rsid w:val="00112E41"/>
    <w:rsid w:val="00112ED2"/>
    <w:rsid w:val="0011310E"/>
    <w:rsid w:val="0011335A"/>
    <w:rsid w:val="00114BCF"/>
    <w:rsid w:val="00115127"/>
    <w:rsid w:val="00115A2E"/>
    <w:rsid w:val="00115C41"/>
    <w:rsid w:val="00116A43"/>
    <w:rsid w:val="00116C0D"/>
    <w:rsid w:val="00116C26"/>
    <w:rsid w:val="00117807"/>
    <w:rsid w:val="001200A0"/>
    <w:rsid w:val="001200B6"/>
    <w:rsid w:val="00120297"/>
    <w:rsid w:val="001207D1"/>
    <w:rsid w:val="00120830"/>
    <w:rsid w:val="00121826"/>
    <w:rsid w:val="00121E6C"/>
    <w:rsid w:val="00121FA2"/>
    <w:rsid w:val="001224AD"/>
    <w:rsid w:val="00122A27"/>
    <w:rsid w:val="00122BEB"/>
    <w:rsid w:val="00122C22"/>
    <w:rsid w:val="00122EB3"/>
    <w:rsid w:val="00123278"/>
    <w:rsid w:val="0012375D"/>
    <w:rsid w:val="001237EE"/>
    <w:rsid w:val="00123A66"/>
    <w:rsid w:val="00124295"/>
    <w:rsid w:val="0012469D"/>
    <w:rsid w:val="001254EE"/>
    <w:rsid w:val="001255A0"/>
    <w:rsid w:val="001258E5"/>
    <w:rsid w:val="00125EBC"/>
    <w:rsid w:val="00126306"/>
    <w:rsid w:val="00126868"/>
    <w:rsid w:val="00126DE1"/>
    <w:rsid w:val="001270A4"/>
    <w:rsid w:val="001272CC"/>
    <w:rsid w:val="00127497"/>
    <w:rsid w:val="00127B8B"/>
    <w:rsid w:val="00127BC3"/>
    <w:rsid w:val="00127BD3"/>
    <w:rsid w:val="00130183"/>
    <w:rsid w:val="00130223"/>
    <w:rsid w:val="00130806"/>
    <w:rsid w:val="00130B2C"/>
    <w:rsid w:val="00130C5F"/>
    <w:rsid w:val="001311A5"/>
    <w:rsid w:val="0013144B"/>
    <w:rsid w:val="00131464"/>
    <w:rsid w:val="00131477"/>
    <w:rsid w:val="0013197A"/>
    <w:rsid w:val="00131B89"/>
    <w:rsid w:val="00131D5D"/>
    <w:rsid w:val="0013242E"/>
    <w:rsid w:val="0013267E"/>
    <w:rsid w:val="00132A22"/>
    <w:rsid w:val="00132B30"/>
    <w:rsid w:val="00132C4C"/>
    <w:rsid w:val="0013336D"/>
    <w:rsid w:val="00133703"/>
    <w:rsid w:val="0013373E"/>
    <w:rsid w:val="0013384D"/>
    <w:rsid w:val="00133B98"/>
    <w:rsid w:val="00133C66"/>
    <w:rsid w:val="00133DCF"/>
    <w:rsid w:val="00133E98"/>
    <w:rsid w:val="0013423E"/>
    <w:rsid w:val="0013426C"/>
    <w:rsid w:val="001346A6"/>
    <w:rsid w:val="0013470C"/>
    <w:rsid w:val="00134D38"/>
    <w:rsid w:val="00134DA0"/>
    <w:rsid w:val="00134DC4"/>
    <w:rsid w:val="00134F11"/>
    <w:rsid w:val="00134F72"/>
    <w:rsid w:val="0013583E"/>
    <w:rsid w:val="001358DC"/>
    <w:rsid w:val="00135A67"/>
    <w:rsid w:val="00136964"/>
    <w:rsid w:val="00137385"/>
    <w:rsid w:val="0013782A"/>
    <w:rsid w:val="00137859"/>
    <w:rsid w:val="0014010E"/>
    <w:rsid w:val="0014033B"/>
    <w:rsid w:val="001408D5"/>
    <w:rsid w:val="00140E9F"/>
    <w:rsid w:val="00141700"/>
    <w:rsid w:val="001419DC"/>
    <w:rsid w:val="001421C7"/>
    <w:rsid w:val="00142385"/>
    <w:rsid w:val="00142606"/>
    <w:rsid w:val="00142964"/>
    <w:rsid w:val="00142C70"/>
    <w:rsid w:val="00142DA6"/>
    <w:rsid w:val="00142DB4"/>
    <w:rsid w:val="0014302E"/>
    <w:rsid w:val="0014336D"/>
    <w:rsid w:val="001437A9"/>
    <w:rsid w:val="00143D19"/>
    <w:rsid w:val="00143FEA"/>
    <w:rsid w:val="00144143"/>
    <w:rsid w:val="0014446C"/>
    <w:rsid w:val="00144616"/>
    <w:rsid w:val="001449E6"/>
    <w:rsid w:val="00144FD4"/>
    <w:rsid w:val="0014504B"/>
    <w:rsid w:val="001453F5"/>
    <w:rsid w:val="001454F7"/>
    <w:rsid w:val="00145504"/>
    <w:rsid w:val="00145801"/>
    <w:rsid w:val="001465CE"/>
    <w:rsid w:val="00146BF2"/>
    <w:rsid w:val="001470A4"/>
    <w:rsid w:val="0014729E"/>
    <w:rsid w:val="00147944"/>
    <w:rsid w:val="00147EE9"/>
    <w:rsid w:val="00150131"/>
    <w:rsid w:val="001503CC"/>
    <w:rsid w:val="001509F6"/>
    <w:rsid w:val="00151002"/>
    <w:rsid w:val="00151128"/>
    <w:rsid w:val="00151194"/>
    <w:rsid w:val="00152631"/>
    <w:rsid w:val="00152770"/>
    <w:rsid w:val="001528D6"/>
    <w:rsid w:val="00152BB5"/>
    <w:rsid w:val="001530CE"/>
    <w:rsid w:val="00153658"/>
    <w:rsid w:val="001538C4"/>
    <w:rsid w:val="001538E8"/>
    <w:rsid w:val="00153A35"/>
    <w:rsid w:val="00153B23"/>
    <w:rsid w:val="00153BF7"/>
    <w:rsid w:val="001543F2"/>
    <w:rsid w:val="001545D7"/>
    <w:rsid w:val="00154F2D"/>
    <w:rsid w:val="00154F63"/>
    <w:rsid w:val="00155579"/>
    <w:rsid w:val="00155A55"/>
    <w:rsid w:val="00155CAC"/>
    <w:rsid w:val="00156104"/>
    <w:rsid w:val="00156FC7"/>
    <w:rsid w:val="001571F0"/>
    <w:rsid w:val="0015782C"/>
    <w:rsid w:val="00157BE9"/>
    <w:rsid w:val="00160E7A"/>
    <w:rsid w:val="00160F06"/>
    <w:rsid w:val="00161604"/>
    <w:rsid w:val="00162304"/>
    <w:rsid w:val="001626BE"/>
    <w:rsid w:val="001627E9"/>
    <w:rsid w:val="00162938"/>
    <w:rsid w:val="00162A27"/>
    <w:rsid w:val="0016322C"/>
    <w:rsid w:val="0016395A"/>
    <w:rsid w:val="00163C4F"/>
    <w:rsid w:val="00163D6C"/>
    <w:rsid w:val="00163DC8"/>
    <w:rsid w:val="00164070"/>
    <w:rsid w:val="00164429"/>
    <w:rsid w:val="00164D99"/>
    <w:rsid w:val="00164E39"/>
    <w:rsid w:val="00165778"/>
    <w:rsid w:val="00165BBD"/>
    <w:rsid w:val="00165D7D"/>
    <w:rsid w:val="00166085"/>
    <w:rsid w:val="00166087"/>
    <w:rsid w:val="001661D4"/>
    <w:rsid w:val="00166411"/>
    <w:rsid w:val="0016653F"/>
    <w:rsid w:val="0016683D"/>
    <w:rsid w:val="00166A08"/>
    <w:rsid w:val="00166C28"/>
    <w:rsid w:val="00167211"/>
    <w:rsid w:val="00167245"/>
    <w:rsid w:val="00167260"/>
    <w:rsid w:val="0016780F"/>
    <w:rsid w:val="00170AFA"/>
    <w:rsid w:val="00170BFE"/>
    <w:rsid w:val="00170D4E"/>
    <w:rsid w:val="0017165B"/>
    <w:rsid w:val="001718A6"/>
    <w:rsid w:val="00171B48"/>
    <w:rsid w:val="00171F01"/>
    <w:rsid w:val="0017271C"/>
    <w:rsid w:val="00173C87"/>
    <w:rsid w:val="00173D04"/>
    <w:rsid w:val="0017400D"/>
    <w:rsid w:val="001743A0"/>
    <w:rsid w:val="00174817"/>
    <w:rsid w:val="00174998"/>
    <w:rsid w:val="00174FA8"/>
    <w:rsid w:val="00175439"/>
    <w:rsid w:val="001758BD"/>
    <w:rsid w:val="00175ECF"/>
    <w:rsid w:val="00176084"/>
    <w:rsid w:val="00176270"/>
    <w:rsid w:val="001764AE"/>
    <w:rsid w:val="0017667A"/>
    <w:rsid w:val="00176762"/>
    <w:rsid w:val="001768EB"/>
    <w:rsid w:val="00176EDF"/>
    <w:rsid w:val="00176FC5"/>
    <w:rsid w:val="00177526"/>
    <w:rsid w:val="00177B47"/>
    <w:rsid w:val="00177CD2"/>
    <w:rsid w:val="00177E1A"/>
    <w:rsid w:val="001804F8"/>
    <w:rsid w:val="00180524"/>
    <w:rsid w:val="00180905"/>
    <w:rsid w:val="00180C0E"/>
    <w:rsid w:val="001811EB"/>
    <w:rsid w:val="001816CE"/>
    <w:rsid w:val="00181804"/>
    <w:rsid w:val="00181E66"/>
    <w:rsid w:val="00181ECE"/>
    <w:rsid w:val="001820EE"/>
    <w:rsid w:val="0018211E"/>
    <w:rsid w:val="0018289F"/>
    <w:rsid w:val="001828C0"/>
    <w:rsid w:val="00182EA6"/>
    <w:rsid w:val="00183489"/>
    <w:rsid w:val="00183677"/>
    <w:rsid w:val="0018385F"/>
    <w:rsid w:val="0018399D"/>
    <w:rsid w:val="00183A8B"/>
    <w:rsid w:val="00183B25"/>
    <w:rsid w:val="00183D7D"/>
    <w:rsid w:val="0018423E"/>
    <w:rsid w:val="00184315"/>
    <w:rsid w:val="0018499B"/>
    <w:rsid w:val="00184A1C"/>
    <w:rsid w:val="001850B1"/>
    <w:rsid w:val="001851C3"/>
    <w:rsid w:val="0018569F"/>
    <w:rsid w:val="00185821"/>
    <w:rsid w:val="001860CA"/>
    <w:rsid w:val="001862F7"/>
    <w:rsid w:val="00186403"/>
    <w:rsid w:val="001864BA"/>
    <w:rsid w:val="001866E5"/>
    <w:rsid w:val="001867B4"/>
    <w:rsid w:val="001868E1"/>
    <w:rsid w:val="0018694E"/>
    <w:rsid w:val="00187615"/>
    <w:rsid w:val="001879CE"/>
    <w:rsid w:val="00187B21"/>
    <w:rsid w:val="00187D98"/>
    <w:rsid w:val="00190535"/>
    <w:rsid w:val="00190844"/>
    <w:rsid w:val="001910F6"/>
    <w:rsid w:val="00191302"/>
    <w:rsid w:val="0019164A"/>
    <w:rsid w:val="001918F3"/>
    <w:rsid w:val="00191B8D"/>
    <w:rsid w:val="001920E1"/>
    <w:rsid w:val="00192244"/>
    <w:rsid w:val="001922F7"/>
    <w:rsid w:val="00192832"/>
    <w:rsid w:val="0019296C"/>
    <w:rsid w:val="001929AF"/>
    <w:rsid w:val="00192BF4"/>
    <w:rsid w:val="00192DAF"/>
    <w:rsid w:val="00192F4C"/>
    <w:rsid w:val="00193204"/>
    <w:rsid w:val="00193706"/>
    <w:rsid w:val="00193740"/>
    <w:rsid w:val="00193B33"/>
    <w:rsid w:val="001940EF"/>
    <w:rsid w:val="001943C6"/>
    <w:rsid w:val="001945E8"/>
    <w:rsid w:val="0019474E"/>
    <w:rsid w:val="00194AA0"/>
    <w:rsid w:val="00194C83"/>
    <w:rsid w:val="001950CE"/>
    <w:rsid w:val="00195520"/>
    <w:rsid w:val="00195523"/>
    <w:rsid w:val="001956A9"/>
    <w:rsid w:val="00195E84"/>
    <w:rsid w:val="00196940"/>
    <w:rsid w:val="00196A6A"/>
    <w:rsid w:val="00196A9A"/>
    <w:rsid w:val="00196BD8"/>
    <w:rsid w:val="00196C02"/>
    <w:rsid w:val="00196CC4"/>
    <w:rsid w:val="001970BD"/>
    <w:rsid w:val="001972A6"/>
    <w:rsid w:val="001974C3"/>
    <w:rsid w:val="0019756F"/>
    <w:rsid w:val="00197589"/>
    <w:rsid w:val="00197C91"/>
    <w:rsid w:val="00197FCF"/>
    <w:rsid w:val="001A00A2"/>
    <w:rsid w:val="001A094C"/>
    <w:rsid w:val="001A0A9B"/>
    <w:rsid w:val="001A0BF3"/>
    <w:rsid w:val="001A11ED"/>
    <w:rsid w:val="001A1FD3"/>
    <w:rsid w:val="001A20A5"/>
    <w:rsid w:val="001A23D2"/>
    <w:rsid w:val="001A2544"/>
    <w:rsid w:val="001A2930"/>
    <w:rsid w:val="001A2BB5"/>
    <w:rsid w:val="001A2E53"/>
    <w:rsid w:val="001A2FED"/>
    <w:rsid w:val="001A3375"/>
    <w:rsid w:val="001A3644"/>
    <w:rsid w:val="001A4035"/>
    <w:rsid w:val="001A416F"/>
    <w:rsid w:val="001A4377"/>
    <w:rsid w:val="001A45D8"/>
    <w:rsid w:val="001A4672"/>
    <w:rsid w:val="001A4680"/>
    <w:rsid w:val="001A46F1"/>
    <w:rsid w:val="001A479C"/>
    <w:rsid w:val="001A4F7E"/>
    <w:rsid w:val="001A5954"/>
    <w:rsid w:val="001A6CE7"/>
    <w:rsid w:val="001A709F"/>
    <w:rsid w:val="001A70F4"/>
    <w:rsid w:val="001A731A"/>
    <w:rsid w:val="001A74BF"/>
    <w:rsid w:val="001A77E7"/>
    <w:rsid w:val="001A7A48"/>
    <w:rsid w:val="001B0074"/>
    <w:rsid w:val="001B0479"/>
    <w:rsid w:val="001B05AC"/>
    <w:rsid w:val="001B0AEB"/>
    <w:rsid w:val="001B0D45"/>
    <w:rsid w:val="001B0DC2"/>
    <w:rsid w:val="001B0E36"/>
    <w:rsid w:val="001B0FEB"/>
    <w:rsid w:val="001B13EB"/>
    <w:rsid w:val="001B1737"/>
    <w:rsid w:val="001B20B9"/>
    <w:rsid w:val="001B2626"/>
    <w:rsid w:val="001B26EE"/>
    <w:rsid w:val="001B28F7"/>
    <w:rsid w:val="001B2E46"/>
    <w:rsid w:val="001B2F9F"/>
    <w:rsid w:val="001B3176"/>
    <w:rsid w:val="001B351E"/>
    <w:rsid w:val="001B3564"/>
    <w:rsid w:val="001B3A71"/>
    <w:rsid w:val="001B4765"/>
    <w:rsid w:val="001B4808"/>
    <w:rsid w:val="001B4816"/>
    <w:rsid w:val="001B4CF4"/>
    <w:rsid w:val="001B50F8"/>
    <w:rsid w:val="001B52E8"/>
    <w:rsid w:val="001B56D4"/>
    <w:rsid w:val="001B58D5"/>
    <w:rsid w:val="001B5F31"/>
    <w:rsid w:val="001B660B"/>
    <w:rsid w:val="001B6737"/>
    <w:rsid w:val="001B6F1B"/>
    <w:rsid w:val="001B7DC7"/>
    <w:rsid w:val="001B7EF4"/>
    <w:rsid w:val="001C003F"/>
    <w:rsid w:val="001C0454"/>
    <w:rsid w:val="001C065E"/>
    <w:rsid w:val="001C0F74"/>
    <w:rsid w:val="001C131A"/>
    <w:rsid w:val="001C17C3"/>
    <w:rsid w:val="001C1AFA"/>
    <w:rsid w:val="001C1B3E"/>
    <w:rsid w:val="001C1F84"/>
    <w:rsid w:val="001C2757"/>
    <w:rsid w:val="001C2B36"/>
    <w:rsid w:val="001C30D6"/>
    <w:rsid w:val="001C318C"/>
    <w:rsid w:val="001C3A6C"/>
    <w:rsid w:val="001C404F"/>
    <w:rsid w:val="001C4270"/>
    <w:rsid w:val="001C4C1E"/>
    <w:rsid w:val="001C503F"/>
    <w:rsid w:val="001C5480"/>
    <w:rsid w:val="001C56A0"/>
    <w:rsid w:val="001C5DEC"/>
    <w:rsid w:val="001C63ED"/>
    <w:rsid w:val="001C6816"/>
    <w:rsid w:val="001C6A00"/>
    <w:rsid w:val="001C6F8D"/>
    <w:rsid w:val="001C759B"/>
    <w:rsid w:val="001C7746"/>
    <w:rsid w:val="001C790C"/>
    <w:rsid w:val="001C7934"/>
    <w:rsid w:val="001C7C1B"/>
    <w:rsid w:val="001C7C98"/>
    <w:rsid w:val="001D02EC"/>
    <w:rsid w:val="001D067E"/>
    <w:rsid w:val="001D0A8C"/>
    <w:rsid w:val="001D0C9A"/>
    <w:rsid w:val="001D12D2"/>
    <w:rsid w:val="001D1A62"/>
    <w:rsid w:val="001D1A64"/>
    <w:rsid w:val="001D1EE7"/>
    <w:rsid w:val="001D2139"/>
    <w:rsid w:val="001D267D"/>
    <w:rsid w:val="001D279E"/>
    <w:rsid w:val="001D2999"/>
    <w:rsid w:val="001D2B80"/>
    <w:rsid w:val="001D3249"/>
    <w:rsid w:val="001D4581"/>
    <w:rsid w:val="001D45EA"/>
    <w:rsid w:val="001D4A9F"/>
    <w:rsid w:val="001D4D28"/>
    <w:rsid w:val="001D4F04"/>
    <w:rsid w:val="001D508B"/>
    <w:rsid w:val="001D51B8"/>
    <w:rsid w:val="001D5883"/>
    <w:rsid w:val="001D5C7A"/>
    <w:rsid w:val="001D5E06"/>
    <w:rsid w:val="001D5F37"/>
    <w:rsid w:val="001D61FF"/>
    <w:rsid w:val="001D6289"/>
    <w:rsid w:val="001D6C35"/>
    <w:rsid w:val="001D6FB3"/>
    <w:rsid w:val="001D7AE1"/>
    <w:rsid w:val="001D7AEC"/>
    <w:rsid w:val="001E0153"/>
    <w:rsid w:val="001E0472"/>
    <w:rsid w:val="001E09D5"/>
    <w:rsid w:val="001E09FB"/>
    <w:rsid w:val="001E0BA8"/>
    <w:rsid w:val="001E0EC6"/>
    <w:rsid w:val="001E10FA"/>
    <w:rsid w:val="001E11E4"/>
    <w:rsid w:val="001E12CE"/>
    <w:rsid w:val="001E1452"/>
    <w:rsid w:val="001E1604"/>
    <w:rsid w:val="001E1985"/>
    <w:rsid w:val="001E1BEA"/>
    <w:rsid w:val="001E1E02"/>
    <w:rsid w:val="001E2215"/>
    <w:rsid w:val="001E2303"/>
    <w:rsid w:val="001E3237"/>
    <w:rsid w:val="001E3813"/>
    <w:rsid w:val="001E3951"/>
    <w:rsid w:val="001E443B"/>
    <w:rsid w:val="001E460F"/>
    <w:rsid w:val="001E48A6"/>
    <w:rsid w:val="001E4D5F"/>
    <w:rsid w:val="001E4DE9"/>
    <w:rsid w:val="001E4F94"/>
    <w:rsid w:val="001E55B0"/>
    <w:rsid w:val="001E55B7"/>
    <w:rsid w:val="001E5F7F"/>
    <w:rsid w:val="001E730D"/>
    <w:rsid w:val="001E76A6"/>
    <w:rsid w:val="001E771F"/>
    <w:rsid w:val="001E7802"/>
    <w:rsid w:val="001E794D"/>
    <w:rsid w:val="001E7E32"/>
    <w:rsid w:val="001E7E81"/>
    <w:rsid w:val="001E7ED6"/>
    <w:rsid w:val="001F00AE"/>
    <w:rsid w:val="001F0318"/>
    <w:rsid w:val="001F0773"/>
    <w:rsid w:val="001F0D4B"/>
    <w:rsid w:val="001F1285"/>
    <w:rsid w:val="001F135B"/>
    <w:rsid w:val="001F1674"/>
    <w:rsid w:val="001F19A2"/>
    <w:rsid w:val="001F1B1C"/>
    <w:rsid w:val="001F2072"/>
    <w:rsid w:val="001F2469"/>
    <w:rsid w:val="001F2572"/>
    <w:rsid w:val="001F28E6"/>
    <w:rsid w:val="001F2DD7"/>
    <w:rsid w:val="001F39D3"/>
    <w:rsid w:val="001F41CD"/>
    <w:rsid w:val="001F4670"/>
    <w:rsid w:val="001F4922"/>
    <w:rsid w:val="001F4A95"/>
    <w:rsid w:val="001F4E8E"/>
    <w:rsid w:val="001F57EA"/>
    <w:rsid w:val="001F5C53"/>
    <w:rsid w:val="001F62C9"/>
    <w:rsid w:val="001F64AC"/>
    <w:rsid w:val="001F6554"/>
    <w:rsid w:val="001F6779"/>
    <w:rsid w:val="001F69FB"/>
    <w:rsid w:val="001F6AE0"/>
    <w:rsid w:val="001F6EFF"/>
    <w:rsid w:val="001F762D"/>
    <w:rsid w:val="001F7B6D"/>
    <w:rsid w:val="001F7D04"/>
    <w:rsid w:val="0020054F"/>
    <w:rsid w:val="00200A16"/>
    <w:rsid w:val="002014E1"/>
    <w:rsid w:val="00201683"/>
    <w:rsid w:val="00201A1F"/>
    <w:rsid w:val="00201F7E"/>
    <w:rsid w:val="00202090"/>
    <w:rsid w:val="00202296"/>
    <w:rsid w:val="00202505"/>
    <w:rsid w:val="00202994"/>
    <w:rsid w:val="00202B9F"/>
    <w:rsid w:val="00202D71"/>
    <w:rsid w:val="0020331D"/>
    <w:rsid w:val="002036A7"/>
    <w:rsid w:val="00203F2B"/>
    <w:rsid w:val="00204278"/>
    <w:rsid w:val="002045B7"/>
    <w:rsid w:val="00204A73"/>
    <w:rsid w:val="002052B9"/>
    <w:rsid w:val="00205350"/>
    <w:rsid w:val="00205F32"/>
    <w:rsid w:val="0020622E"/>
    <w:rsid w:val="002063E8"/>
    <w:rsid w:val="0020648C"/>
    <w:rsid w:val="002068FE"/>
    <w:rsid w:val="00206A75"/>
    <w:rsid w:val="002071A4"/>
    <w:rsid w:val="00207254"/>
    <w:rsid w:val="00207522"/>
    <w:rsid w:val="00207721"/>
    <w:rsid w:val="002079A0"/>
    <w:rsid w:val="00207CB7"/>
    <w:rsid w:val="00207F3A"/>
    <w:rsid w:val="0021015D"/>
    <w:rsid w:val="0021024B"/>
    <w:rsid w:val="00210427"/>
    <w:rsid w:val="00211037"/>
    <w:rsid w:val="002117F7"/>
    <w:rsid w:val="00211842"/>
    <w:rsid w:val="002119F6"/>
    <w:rsid w:val="00211A14"/>
    <w:rsid w:val="00211BCA"/>
    <w:rsid w:val="00211E68"/>
    <w:rsid w:val="00212538"/>
    <w:rsid w:val="002127E2"/>
    <w:rsid w:val="00212C1A"/>
    <w:rsid w:val="0021338D"/>
    <w:rsid w:val="00213DF2"/>
    <w:rsid w:val="00213E83"/>
    <w:rsid w:val="00213F95"/>
    <w:rsid w:val="00214262"/>
    <w:rsid w:val="00214654"/>
    <w:rsid w:val="00214B35"/>
    <w:rsid w:val="00214F76"/>
    <w:rsid w:val="00214FBD"/>
    <w:rsid w:val="002153AD"/>
    <w:rsid w:val="00215737"/>
    <w:rsid w:val="00215F7A"/>
    <w:rsid w:val="002162DE"/>
    <w:rsid w:val="002163A3"/>
    <w:rsid w:val="00216B92"/>
    <w:rsid w:val="002177B3"/>
    <w:rsid w:val="00217980"/>
    <w:rsid w:val="00217A5F"/>
    <w:rsid w:val="0022099C"/>
    <w:rsid w:val="00220F26"/>
    <w:rsid w:val="00220FDA"/>
    <w:rsid w:val="002212D9"/>
    <w:rsid w:val="00221480"/>
    <w:rsid w:val="002216F2"/>
    <w:rsid w:val="0022184B"/>
    <w:rsid w:val="00221D9C"/>
    <w:rsid w:val="00221F84"/>
    <w:rsid w:val="00221FDD"/>
    <w:rsid w:val="002221F6"/>
    <w:rsid w:val="0022291E"/>
    <w:rsid w:val="00222B19"/>
    <w:rsid w:val="00223166"/>
    <w:rsid w:val="002238C8"/>
    <w:rsid w:val="00223CA2"/>
    <w:rsid w:val="00223DD3"/>
    <w:rsid w:val="002244CD"/>
    <w:rsid w:val="002245BE"/>
    <w:rsid w:val="00224831"/>
    <w:rsid w:val="00225296"/>
    <w:rsid w:val="00225357"/>
    <w:rsid w:val="0022566B"/>
    <w:rsid w:val="00225835"/>
    <w:rsid w:val="00225D6C"/>
    <w:rsid w:val="00226057"/>
    <w:rsid w:val="002261EA"/>
    <w:rsid w:val="00226423"/>
    <w:rsid w:val="00226535"/>
    <w:rsid w:val="0022686C"/>
    <w:rsid w:val="00226EB0"/>
    <w:rsid w:val="00226ED3"/>
    <w:rsid w:val="002270A0"/>
    <w:rsid w:val="00227121"/>
    <w:rsid w:val="002272E4"/>
    <w:rsid w:val="002273D6"/>
    <w:rsid w:val="0022741E"/>
    <w:rsid w:val="00227593"/>
    <w:rsid w:val="0022783B"/>
    <w:rsid w:val="00227874"/>
    <w:rsid w:val="002303D7"/>
    <w:rsid w:val="00230AA0"/>
    <w:rsid w:val="002315D1"/>
    <w:rsid w:val="002318B8"/>
    <w:rsid w:val="00231C27"/>
    <w:rsid w:val="0023219D"/>
    <w:rsid w:val="0023244E"/>
    <w:rsid w:val="00232FA6"/>
    <w:rsid w:val="0023320F"/>
    <w:rsid w:val="002334B2"/>
    <w:rsid w:val="00233F7C"/>
    <w:rsid w:val="002346E2"/>
    <w:rsid w:val="002347AB"/>
    <w:rsid w:val="00235479"/>
    <w:rsid w:val="002355C4"/>
    <w:rsid w:val="002356EC"/>
    <w:rsid w:val="00236143"/>
    <w:rsid w:val="00236415"/>
    <w:rsid w:val="002366DD"/>
    <w:rsid w:val="00236974"/>
    <w:rsid w:val="00236F3D"/>
    <w:rsid w:val="00236FBF"/>
    <w:rsid w:val="00237348"/>
    <w:rsid w:val="00237406"/>
    <w:rsid w:val="002377EA"/>
    <w:rsid w:val="002377EE"/>
    <w:rsid w:val="00237D23"/>
    <w:rsid w:val="00237EB0"/>
    <w:rsid w:val="0024091E"/>
    <w:rsid w:val="00240D50"/>
    <w:rsid w:val="00240F34"/>
    <w:rsid w:val="00240FFC"/>
    <w:rsid w:val="00241356"/>
    <w:rsid w:val="00241E11"/>
    <w:rsid w:val="00241EB4"/>
    <w:rsid w:val="002420C9"/>
    <w:rsid w:val="00242371"/>
    <w:rsid w:val="002423ED"/>
    <w:rsid w:val="002426B4"/>
    <w:rsid w:val="002427E8"/>
    <w:rsid w:val="00242998"/>
    <w:rsid w:val="00242A7A"/>
    <w:rsid w:val="00243051"/>
    <w:rsid w:val="0024321E"/>
    <w:rsid w:val="0024333B"/>
    <w:rsid w:val="002433F5"/>
    <w:rsid w:val="0024347D"/>
    <w:rsid w:val="002435DC"/>
    <w:rsid w:val="00243EC8"/>
    <w:rsid w:val="00243FE1"/>
    <w:rsid w:val="00244071"/>
    <w:rsid w:val="002442CB"/>
    <w:rsid w:val="002449B1"/>
    <w:rsid w:val="00244A3D"/>
    <w:rsid w:val="00244B66"/>
    <w:rsid w:val="00244ECE"/>
    <w:rsid w:val="002454AA"/>
    <w:rsid w:val="00246040"/>
    <w:rsid w:val="002461B4"/>
    <w:rsid w:val="002462FC"/>
    <w:rsid w:val="00246BF5"/>
    <w:rsid w:val="00246D55"/>
    <w:rsid w:val="0024718C"/>
    <w:rsid w:val="002473AF"/>
    <w:rsid w:val="002473D4"/>
    <w:rsid w:val="002475E9"/>
    <w:rsid w:val="00247966"/>
    <w:rsid w:val="00247C6A"/>
    <w:rsid w:val="00247CA6"/>
    <w:rsid w:val="00247DCD"/>
    <w:rsid w:val="00250387"/>
    <w:rsid w:val="002505BA"/>
    <w:rsid w:val="00250862"/>
    <w:rsid w:val="002508E7"/>
    <w:rsid w:val="00250970"/>
    <w:rsid w:val="00250979"/>
    <w:rsid w:val="00250A1F"/>
    <w:rsid w:val="00250AE4"/>
    <w:rsid w:val="00250D2E"/>
    <w:rsid w:val="00250D8B"/>
    <w:rsid w:val="00251122"/>
    <w:rsid w:val="002517E2"/>
    <w:rsid w:val="00251A0A"/>
    <w:rsid w:val="00251AFD"/>
    <w:rsid w:val="00252126"/>
    <w:rsid w:val="002524F8"/>
    <w:rsid w:val="00252577"/>
    <w:rsid w:val="002526B0"/>
    <w:rsid w:val="00254587"/>
    <w:rsid w:val="00254D75"/>
    <w:rsid w:val="0025525C"/>
    <w:rsid w:val="002554BE"/>
    <w:rsid w:val="0025572E"/>
    <w:rsid w:val="00255C0D"/>
    <w:rsid w:val="00256224"/>
    <w:rsid w:val="002566B3"/>
    <w:rsid w:val="002568CB"/>
    <w:rsid w:val="002568F8"/>
    <w:rsid w:val="00257215"/>
    <w:rsid w:val="002572D5"/>
    <w:rsid w:val="002601DE"/>
    <w:rsid w:val="00260659"/>
    <w:rsid w:val="002616DB"/>
    <w:rsid w:val="00261B99"/>
    <w:rsid w:val="00262211"/>
    <w:rsid w:val="0026258E"/>
    <w:rsid w:val="002626D4"/>
    <w:rsid w:val="00262B6E"/>
    <w:rsid w:val="002630A3"/>
    <w:rsid w:val="002631BD"/>
    <w:rsid w:val="00263617"/>
    <w:rsid w:val="00263647"/>
    <w:rsid w:val="0026368F"/>
    <w:rsid w:val="00263C62"/>
    <w:rsid w:val="00264090"/>
    <w:rsid w:val="00264275"/>
    <w:rsid w:val="002647BA"/>
    <w:rsid w:val="0026499C"/>
    <w:rsid w:val="00264B92"/>
    <w:rsid w:val="00264DC4"/>
    <w:rsid w:val="00264E1C"/>
    <w:rsid w:val="00264F9C"/>
    <w:rsid w:val="00265609"/>
    <w:rsid w:val="00265D8E"/>
    <w:rsid w:val="00265DFF"/>
    <w:rsid w:val="002661F7"/>
    <w:rsid w:val="002670DF"/>
    <w:rsid w:val="002672F6"/>
    <w:rsid w:val="002678D8"/>
    <w:rsid w:val="00267EFF"/>
    <w:rsid w:val="002701F9"/>
    <w:rsid w:val="00270874"/>
    <w:rsid w:val="00270896"/>
    <w:rsid w:val="002708C8"/>
    <w:rsid w:val="00270C05"/>
    <w:rsid w:val="002710CD"/>
    <w:rsid w:val="00271240"/>
    <w:rsid w:val="00271538"/>
    <w:rsid w:val="00271A9E"/>
    <w:rsid w:val="00271EA2"/>
    <w:rsid w:val="00272192"/>
    <w:rsid w:val="00272F45"/>
    <w:rsid w:val="002734E3"/>
    <w:rsid w:val="00273651"/>
    <w:rsid w:val="00273D70"/>
    <w:rsid w:val="00273DCA"/>
    <w:rsid w:val="00273EA0"/>
    <w:rsid w:val="00275221"/>
    <w:rsid w:val="00275C31"/>
    <w:rsid w:val="002760C6"/>
    <w:rsid w:val="002762C4"/>
    <w:rsid w:val="00276462"/>
    <w:rsid w:val="0027679A"/>
    <w:rsid w:val="00276A2B"/>
    <w:rsid w:val="0027740D"/>
    <w:rsid w:val="00277C77"/>
    <w:rsid w:val="00277CC5"/>
    <w:rsid w:val="00280053"/>
    <w:rsid w:val="002810FF"/>
    <w:rsid w:val="002816EE"/>
    <w:rsid w:val="00281A85"/>
    <w:rsid w:val="00281C66"/>
    <w:rsid w:val="00281E3C"/>
    <w:rsid w:val="0028211F"/>
    <w:rsid w:val="00282377"/>
    <w:rsid w:val="0028242A"/>
    <w:rsid w:val="00282D5D"/>
    <w:rsid w:val="00282D8F"/>
    <w:rsid w:val="0028359E"/>
    <w:rsid w:val="0028363F"/>
    <w:rsid w:val="00283701"/>
    <w:rsid w:val="002839D4"/>
    <w:rsid w:val="00283AC7"/>
    <w:rsid w:val="0028449E"/>
    <w:rsid w:val="00285206"/>
    <w:rsid w:val="00285787"/>
    <w:rsid w:val="002860CD"/>
    <w:rsid w:val="0028610D"/>
    <w:rsid w:val="0028688E"/>
    <w:rsid w:val="00286C51"/>
    <w:rsid w:val="00286D73"/>
    <w:rsid w:val="00286DE4"/>
    <w:rsid w:val="00286EAD"/>
    <w:rsid w:val="00286F36"/>
    <w:rsid w:val="0028713B"/>
    <w:rsid w:val="0028739A"/>
    <w:rsid w:val="00287862"/>
    <w:rsid w:val="0028798E"/>
    <w:rsid w:val="00287C0C"/>
    <w:rsid w:val="002905F4"/>
    <w:rsid w:val="00290742"/>
    <w:rsid w:val="002908B1"/>
    <w:rsid w:val="002909DB"/>
    <w:rsid w:val="00290E80"/>
    <w:rsid w:val="00290F9F"/>
    <w:rsid w:val="0029145E"/>
    <w:rsid w:val="00291AE5"/>
    <w:rsid w:val="00291B1A"/>
    <w:rsid w:val="00291B8B"/>
    <w:rsid w:val="002920CD"/>
    <w:rsid w:val="002921DB"/>
    <w:rsid w:val="002926FA"/>
    <w:rsid w:val="0029271B"/>
    <w:rsid w:val="00293174"/>
    <w:rsid w:val="002934F6"/>
    <w:rsid w:val="00293AE1"/>
    <w:rsid w:val="00293B14"/>
    <w:rsid w:val="00293C33"/>
    <w:rsid w:val="00294017"/>
    <w:rsid w:val="00294752"/>
    <w:rsid w:val="0029563E"/>
    <w:rsid w:val="00296074"/>
    <w:rsid w:val="002961BC"/>
    <w:rsid w:val="00296329"/>
    <w:rsid w:val="00296950"/>
    <w:rsid w:val="00296BF1"/>
    <w:rsid w:val="00296F53"/>
    <w:rsid w:val="002971A5"/>
    <w:rsid w:val="0029731F"/>
    <w:rsid w:val="0029735A"/>
    <w:rsid w:val="00297CF3"/>
    <w:rsid w:val="002A00A1"/>
    <w:rsid w:val="002A02FB"/>
    <w:rsid w:val="002A0648"/>
    <w:rsid w:val="002A092E"/>
    <w:rsid w:val="002A0C7B"/>
    <w:rsid w:val="002A1370"/>
    <w:rsid w:val="002A18C2"/>
    <w:rsid w:val="002A1DE3"/>
    <w:rsid w:val="002A2B0B"/>
    <w:rsid w:val="002A2D0D"/>
    <w:rsid w:val="002A2D16"/>
    <w:rsid w:val="002A2F27"/>
    <w:rsid w:val="002A2F83"/>
    <w:rsid w:val="002A32C4"/>
    <w:rsid w:val="002A33BF"/>
    <w:rsid w:val="002A362F"/>
    <w:rsid w:val="002A39B4"/>
    <w:rsid w:val="002A3BBA"/>
    <w:rsid w:val="002A414E"/>
    <w:rsid w:val="002A44BE"/>
    <w:rsid w:val="002A4575"/>
    <w:rsid w:val="002A4832"/>
    <w:rsid w:val="002A4EE7"/>
    <w:rsid w:val="002A5ABD"/>
    <w:rsid w:val="002A5B00"/>
    <w:rsid w:val="002A5BFD"/>
    <w:rsid w:val="002A5DF8"/>
    <w:rsid w:val="002A602E"/>
    <w:rsid w:val="002A6127"/>
    <w:rsid w:val="002A6286"/>
    <w:rsid w:val="002A6301"/>
    <w:rsid w:val="002A638B"/>
    <w:rsid w:val="002A67D6"/>
    <w:rsid w:val="002A68DE"/>
    <w:rsid w:val="002A70B5"/>
    <w:rsid w:val="002A7230"/>
    <w:rsid w:val="002A73BD"/>
    <w:rsid w:val="002A749D"/>
    <w:rsid w:val="002A7768"/>
    <w:rsid w:val="002A779A"/>
    <w:rsid w:val="002A78BA"/>
    <w:rsid w:val="002A7A13"/>
    <w:rsid w:val="002B02BA"/>
    <w:rsid w:val="002B0715"/>
    <w:rsid w:val="002B0858"/>
    <w:rsid w:val="002B09C2"/>
    <w:rsid w:val="002B0B00"/>
    <w:rsid w:val="002B0F32"/>
    <w:rsid w:val="002B1034"/>
    <w:rsid w:val="002B1531"/>
    <w:rsid w:val="002B1A2D"/>
    <w:rsid w:val="002B1CFE"/>
    <w:rsid w:val="002B1F52"/>
    <w:rsid w:val="002B2064"/>
    <w:rsid w:val="002B24E3"/>
    <w:rsid w:val="002B288F"/>
    <w:rsid w:val="002B2AE0"/>
    <w:rsid w:val="002B2C7B"/>
    <w:rsid w:val="002B2CF2"/>
    <w:rsid w:val="002B2D93"/>
    <w:rsid w:val="002B2F63"/>
    <w:rsid w:val="002B33CC"/>
    <w:rsid w:val="002B3503"/>
    <w:rsid w:val="002B3D0D"/>
    <w:rsid w:val="002B4493"/>
    <w:rsid w:val="002B4B43"/>
    <w:rsid w:val="002B4ED3"/>
    <w:rsid w:val="002B520B"/>
    <w:rsid w:val="002B527D"/>
    <w:rsid w:val="002B5356"/>
    <w:rsid w:val="002B5A53"/>
    <w:rsid w:val="002B5ACC"/>
    <w:rsid w:val="002B5ED5"/>
    <w:rsid w:val="002B6433"/>
    <w:rsid w:val="002B6E97"/>
    <w:rsid w:val="002B7A4C"/>
    <w:rsid w:val="002B7B49"/>
    <w:rsid w:val="002B7EDD"/>
    <w:rsid w:val="002B7F6D"/>
    <w:rsid w:val="002C055D"/>
    <w:rsid w:val="002C0E21"/>
    <w:rsid w:val="002C1FC9"/>
    <w:rsid w:val="002C1FD5"/>
    <w:rsid w:val="002C218F"/>
    <w:rsid w:val="002C2253"/>
    <w:rsid w:val="002C22AC"/>
    <w:rsid w:val="002C25F9"/>
    <w:rsid w:val="002C2E52"/>
    <w:rsid w:val="002C2ECA"/>
    <w:rsid w:val="002C3670"/>
    <w:rsid w:val="002C38EA"/>
    <w:rsid w:val="002C408C"/>
    <w:rsid w:val="002C4149"/>
    <w:rsid w:val="002C4307"/>
    <w:rsid w:val="002C4342"/>
    <w:rsid w:val="002C4345"/>
    <w:rsid w:val="002C4B03"/>
    <w:rsid w:val="002C5001"/>
    <w:rsid w:val="002C5C26"/>
    <w:rsid w:val="002C610B"/>
    <w:rsid w:val="002C6556"/>
    <w:rsid w:val="002C67DF"/>
    <w:rsid w:val="002C74A6"/>
    <w:rsid w:val="002C780D"/>
    <w:rsid w:val="002C787E"/>
    <w:rsid w:val="002C7D7B"/>
    <w:rsid w:val="002C7D82"/>
    <w:rsid w:val="002D0273"/>
    <w:rsid w:val="002D070F"/>
    <w:rsid w:val="002D0D8D"/>
    <w:rsid w:val="002D0F4F"/>
    <w:rsid w:val="002D1038"/>
    <w:rsid w:val="002D1308"/>
    <w:rsid w:val="002D1F5C"/>
    <w:rsid w:val="002D233C"/>
    <w:rsid w:val="002D233D"/>
    <w:rsid w:val="002D2559"/>
    <w:rsid w:val="002D255A"/>
    <w:rsid w:val="002D27AD"/>
    <w:rsid w:val="002D2D5A"/>
    <w:rsid w:val="002D30C6"/>
    <w:rsid w:val="002D32E5"/>
    <w:rsid w:val="002D3B5C"/>
    <w:rsid w:val="002D3C68"/>
    <w:rsid w:val="002D4521"/>
    <w:rsid w:val="002D46F1"/>
    <w:rsid w:val="002D4A7C"/>
    <w:rsid w:val="002D5896"/>
    <w:rsid w:val="002D58EC"/>
    <w:rsid w:val="002D5BDD"/>
    <w:rsid w:val="002D5DC0"/>
    <w:rsid w:val="002D5E3A"/>
    <w:rsid w:val="002D619B"/>
    <w:rsid w:val="002D624A"/>
    <w:rsid w:val="002D6A68"/>
    <w:rsid w:val="002D7184"/>
    <w:rsid w:val="002D7345"/>
    <w:rsid w:val="002D734D"/>
    <w:rsid w:val="002D74F9"/>
    <w:rsid w:val="002D761D"/>
    <w:rsid w:val="002D765B"/>
    <w:rsid w:val="002D79E6"/>
    <w:rsid w:val="002D7A76"/>
    <w:rsid w:val="002D7DB1"/>
    <w:rsid w:val="002E0016"/>
    <w:rsid w:val="002E03A4"/>
    <w:rsid w:val="002E0423"/>
    <w:rsid w:val="002E0432"/>
    <w:rsid w:val="002E070C"/>
    <w:rsid w:val="002E0BAA"/>
    <w:rsid w:val="002E0D4C"/>
    <w:rsid w:val="002E0E89"/>
    <w:rsid w:val="002E18D1"/>
    <w:rsid w:val="002E1DC2"/>
    <w:rsid w:val="002E2020"/>
    <w:rsid w:val="002E229D"/>
    <w:rsid w:val="002E299F"/>
    <w:rsid w:val="002E2B1D"/>
    <w:rsid w:val="002E3812"/>
    <w:rsid w:val="002E4344"/>
    <w:rsid w:val="002E495D"/>
    <w:rsid w:val="002E49C9"/>
    <w:rsid w:val="002E4B45"/>
    <w:rsid w:val="002E4D6B"/>
    <w:rsid w:val="002E500B"/>
    <w:rsid w:val="002E53F9"/>
    <w:rsid w:val="002E5479"/>
    <w:rsid w:val="002E5622"/>
    <w:rsid w:val="002E5C4D"/>
    <w:rsid w:val="002E5EFA"/>
    <w:rsid w:val="002E6281"/>
    <w:rsid w:val="002E659F"/>
    <w:rsid w:val="002E6A7A"/>
    <w:rsid w:val="002E6CA9"/>
    <w:rsid w:val="002E6FB2"/>
    <w:rsid w:val="002E731A"/>
    <w:rsid w:val="002E748E"/>
    <w:rsid w:val="002E7540"/>
    <w:rsid w:val="002E75F4"/>
    <w:rsid w:val="002E7EBF"/>
    <w:rsid w:val="002F0400"/>
    <w:rsid w:val="002F079D"/>
    <w:rsid w:val="002F0B76"/>
    <w:rsid w:val="002F0CF8"/>
    <w:rsid w:val="002F0F54"/>
    <w:rsid w:val="002F1E0F"/>
    <w:rsid w:val="002F1E63"/>
    <w:rsid w:val="002F1FAC"/>
    <w:rsid w:val="002F20B2"/>
    <w:rsid w:val="002F2182"/>
    <w:rsid w:val="002F24E0"/>
    <w:rsid w:val="002F2AB9"/>
    <w:rsid w:val="002F2D98"/>
    <w:rsid w:val="002F3095"/>
    <w:rsid w:val="002F31C2"/>
    <w:rsid w:val="002F3551"/>
    <w:rsid w:val="002F3BC0"/>
    <w:rsid w:val="002F4137"/>
    <w:rsid w:val="002F464C"/>
    <w:rsid w:val="002F46F8"/>
    <w:rsid w:val="002F5615"/>
    <w:rsid w:val="002F5BC3"/>
    <w:rsid w:val="002F5D0A"/>
    <w:rsid w:val="002F5D9E"/>
    <w:rsid w:val="002F61E8"/>
    <w:rsid w:val="002F6607"/>
    <w:rsid w:val="002F66FB"/>
    <w:rsid w:val="002F698F"/>
    <w:rsid w:val="002F755A"/>
    <w:rsid w:val="002F7915"/>
    <w:rsid w:val="002F7979"/>
    <w:rsid w:val="002F7F10"/>
    <w:rsid w:val="00300142"/>
    <w:rsid w:val="00300220"/>
    <w:rsid w:val="003006F9"/>
    <w:rsid w:val="00300AEB"/>
    <w:rsid w:val="00300D90"/>
    <w:rsid w:val="00300EC7"/>
    <w:rsid w:val="00301021"/>
    <w:rsid w:val="0030142C"/>
    <w:rsid w:val="003016CD"/>
    <w:rsid w:val="00301B70"/>
    <w:rsid w:val="00301FAD"/>
    <w:rsid w:val="00302174"/>
    <w:rsid w:val="003021A3"/>
    <w:rsid w:val="0030258F"/>
    <w:rsid w:val="00302923"/>
    <w:rsid w:val="00302EBC"/>
    <w:rsid w:val="00303062"/>
    <w:rsid w:val="00303270"/>
    <w:rsid w:val="003039A6"/>
    <w:rsid w:val="00304098"/>
    <w:rsid w:val="00304C95"/>
    <w:rsid w:val="00304D44"/>
    <w:rsid w:val="00304DAA"/>
    <w:rsid w:val="00304F61"/>
    <w:rsid w:val="0030561A"/>
    <w:rsid w:val="00305649"/>
    <w:rsid w:val="00305749"/>
    <w:rsid w:val="003059C7"/>
    <w:rsid w:val="00305FCB"/>
    <w:rsid w:val="00306115"/>
    <w:rsid w:val="0030623E"/>
    <w:rsid w:val="003065A2"/>
    <w:rsid w:val="00306FE1"/>
    <w:rsid w:val="0030739E"/>
    <w:rsid w:val="00307440"/>
    <w:rsid w:val="003075C4"/>
    <w:rsid w:val="003075CF"/>
    <w:rsid w:val="0030769A"/>
    <w:rsid w:val="00307947"/>
    <w:rsid w:val="00307C1A"/>
    <w:rsid w:val="00307D7F"/>
    <w:rsid w:val="00310030"/>
    <w:rsid w:val="00310250"/>
    <w:rsid w:val="00310841"/>
    <w:rsid w:val="003108F4"/>
    <w:rsid w:val="00310F34"/>
    <w:rsid w:val="00310FBB"/>
    <w:rsid w:val="00311224"/>
    <w:rsid w:val="00311E16"/>
    <w:rsid w:val="0031275D"/>
    <w:rsid w:val="00312806"/>
    <w:rsid w:val="00312875"/>
    <w:rsid w:val="00312C68"/>
    <w:rsid w:val="00313E49"/>
    <w:rsid w:val="0031455A"/>
    <w:rsid w:val="003147AC"/>
    <w:rsid w:val="00314801"/>
    <w:rsid w:val="00314F78"/>
    <w:rsid w:val="00314F8F"/>
    <w:rsid w:val="00315187"/>
    <w:rsid w:val="00315B93"/>
    <w:rsid w:val="00316491"/>
    <w:rsid w:val="00316763"/>
    <w:rsid w:val="00316CF0"/>
    <w:rsid w:val="00316DB1"/>
    <w:rsid w:val="00317310"/>
    <w:rsid w:val="00317FB0"/>
    <w:rsid w:val="00320403"/>
    <w:rsid w:val="0032064C"/>
    <w:rsid w:val="003208D5"/>
    <w:rsid w:val="0032153B"/>
    <w:rsid w:val="00321DAF"/>
    <w:rsid w:val="00321E73"/>
    <w:rsid w:val="00321F05"/>
    <w:rsid w:val="00321F09"/>
    <w:rsid w:val="00321F9D"/>
    <w:rsid w:val="0032215C"/>
    <w:rsid w:val="0032261D"/>
    <w:rsid w:val="00322796"/>
    <w:rsid w:val="003228AC"/>
    <w:rsid w:val="003229A2"/>
    <w:rsid w:val="00322D4C"/>
    <w:rsid w:val="00322F3A"/>
    <w:rsid w:val="00323192"/>
    <w:rsid w:val="00323366"/>
    <w:rsid w:val="003236F2"/>
    <w:rsid w:val="003238CB"/>
    <w:rsid w:val="0032428E"/>
    <w:rsid w:val="0032437E"/>
    <w:rsid w:val="00324914"/>
    <w:rsid w:val="00324C40"/>
    <w:rsid w:val="00324CA7"/>
    <w:rsid w:val="00324D44"/>
    <w:rsid w:val="0032516D"/>
    <w:rsid w:val="00326178"/>
    <w:rsid w:val="0032619C"/>
    <w:rsid w:val="00326553"/>
    <w:rsid w:val="0032679A"/>
    <w:rsid w:val="00326FD1"/>
    <w:rsid w:val="00327C41"/>
    <w:rsid w:val="00327D7E"/>
    <w:rsid w:val="00330650"/>
    <w:rsid w:val="00330EC1"/>
    <w:rsid w:val="00331453"/>
    <w:rsid w:val="00331488"/>
    <w:rsid w:val="003316C1"/>
    <w:rsid w:val="003319E5"/>
    <w:rsid w:val="00331B7B"/>
    <w:rsid w:val="00331BE3"/>
    <w:rsid w:val="00331C18"/>
    <w:rsid w:val="00331D00"/>
    <w:rsid w:val="0033253F"/>
    <w:rsid w:val="00332825"/>
    <w:rsid w:val="003329A3"/>
    <w:rsid w:val="00333637"/>
    <w:rsid w:val="0033378E"/>
    <w:rsid w:val="00333F14"/>
    <w:rsid w:val="003342DA"/>
    <w:rsid w:val="00334325"/>
    <w:rsid w:val="00334640"/>
    <w:rsid w:val="00334644"/>
    <w:rsid w:val="00334854"/>
    <w:rsid w:val="00334E55"/>
    <w:rsid w:val="00335512"/>
    <w:rsid w:val="00335B7D"/>
    <w:rsid w:val="00336295"/>
    <w:rsid w:val="0033633C"/>
    <w:rsid w:val="00336669"/>
    <w:rsid w:val="0033687B"/>
    <w:rsid w:val="00336B2F"/>
    <w:rsid w:val="00337084"/>
    <w:rsid w:val="003372A1"/>
    <w:rsid w:val="00337491"/>
    <w:rsid w:val="00340380"/>
    <w:rsid w:val="00340830"/>
    <w:rsid w:val="0034086B"/>
    <w:rsid w:val="00340B07"/>
    <w:rsid w:val="00340C04"/>
    <w:rsid w:val="00341C7B"/>
    <w:rsid w:val="00341E9E"/>
    <w:rsid w:val="00342180"/>
    <w:rsid w:val="003423BA"/>
    <w:rsid w:val="00342A3F"/>
    <w:rsid w:val="00342D42"/>
    <w:rsid w:val="00342FBC"/>
    <w:rsid w:val="00343217"/>
    <w:rsid w:val="003435DD"/>
    <w:rsid w:val="00343738"/>
    <w:rsid w:val="003437F5"/>
    <w:rsid w:val="003440A1"/>
    <w:rsid w:val="003443BD"/>
    <w:rsid w:val="003443E6"/>
    <w:rsid w:val="003445BB"/>
    <w:rsid w:val="003445F0"/>
    <w:rsid w:val="00344CA8"/>
    <w:rsid w:val="00344D86"/>
    <w:rsid w:val="00344DDB"/>
    <w:rsid w:val="00344FB5"/>
    <w:rsid w:val="003452AB"/>
    <w:rsid w:val="003453C3"/>
    <w:rsid w:val="00345441"/>
    <w:rsid w:val="00345695"/>
    <w:rsid w:val="00345898"/>
    <w:rsid w:val="00345ADB"/>
    <w:rsid w:val="00345E87"/>
    <w:rsid w:val="00345F52"/>
    <w:rsid w:val="00346521"/>
    <w:rsid w:val="00346AD6"/>
    <w:rsid w:val="00346E37"/>
    <w:rsid w:val="003471CD"/>
    <w:rsid w:val="0034739B"/>
    <w:rsid w:val="003479AB"/>
    <w:rsid w:val="003479FE"/>
    <w:rsid w:val="00347AC9"/>
    <w:rsid w:val="00347F11"/>
    <w:rsid w:val="00347FF8"/>
    <w:rsid w:val="00350C3F"/>
    <w:rsid w:val="003515C5"/>
    <w:rsid w:val="003519CB"/>
    <w:rsid w:val="00351D94"/>
    <w:rsid w:val="00351E65"/>
    <w:rsid w:val="0035209A"/>
    <w:rsid w:val="003520F8"/>
    <w:rsid w:val="00352218"/>
    <w:rsid w:val="00352340"/>
    <w:rsid w:val="00352613"/>
    <w:rsid w:val="0035266A"/>
    <w:rsid w:val="00352DBB"/>
    <w:rsid w:val="003531A2"/>
    <w:rsid w:val="003532E8"/>
    <w:rsid w:val="00353375"/>
    <w:rsid w:val="00353472"/>
    <w:rsid w:val="00353ACD"/>
    <w:rsid w:val="00354297"/>
    <w:rsid w:val="00354631"/>
    <w:rsid w:val="003548AD"/>
    <w:rsid w:val="00354C46"/>
    <w:rsid w:val="003554DB"/>
    <w:rsid w:val="0035572B"/>
    <w:rsid w:val="00355799"/>
    <w:rsid w:val="00355A3D"/>
    <w:rsid w:val="00355FC3"/>
    <w:rsid w:val="003560F7"/>
    <w:rsid w:val="003564E0"/>
    <w:rsid w:val="00356864"/>
    <w:rsid w:val="003574BD"/>
    <w:rsid w:val="003575FE"/>
    <w:rsid w:val="00357FB2"/>
    <w:rsid w:val="00360533"/>
    <w:rsid w:val="00360770"/>
    <w:rsid w:val="00360A64"/>
    <w:rsid w:val="00360B16"/>
    <w:rsid w:val="00360B50"/>
    <w:rsid w:val="00360B5D"/>
    <w:rsid w:val="00360F3A"/>
    <w:rsid w:val="0036121A"/>
    <w:rsid w:val="00361575"/>
    <w:rsid w:val="003617CB"/>
    <w:rsid w:val="0036205D"/>
    <w:rsid w:val="00362B44"/>
    <w:rsid w:val="00362E2E"/>
    <w:rsid w:val="00363A6D"/>
    <w:rsid w:val="003642B3"/>
    <w:rsid w:val="003645A5"/>
    <w:rsid w:val="003648CD"/>
    <w:rsid w:val="00364C27"/>
    <w:rsid w:val="00366090"/>
    <w:rsid w:val="00366488"/>
    <w:rsid w:val="003669CC"/>
    <w:rsid w:val="00366CA7"/>
    <w:rsid w:val="00366D2F"/>
    <w:rsid w:val="00366E5E"/>
    <w:rsid w:val="0036749E"/>
    <w:rsid w:val="003677D0"/>
    <w:rsid w:val="00367873"/>
    <w:rsid w:val="003678FB"/>
    <w:rsid w:val="003679DF"/>
    <w:rsid w:val="00367A6D"/>
    <w:rsid w:val="00367E19"/>
    <w:rsid w:val="00370644"/>
    <w:rsid w:val="003709E7"/>
    <w:rsid w:val="00371004"/>
    <w:rsid w:val="0037175E"/>
    <w:rsid w:val="003718EC"/>
    <w:rsid w:val="003721E3"/>
    <w:rsid w:val="0037261D"/>
    <w:rsid w:val="00372947"/>
    <w:rsid w:val="00372ADD"/>
    <w:rsid w:val="0037310A"/>
    <w:rsid w:val="00373E1A"/>
    <w:rsid w:val="00374174"/>
    <w:rsid w:val="00374367"/>
    <w:rsid w:val="00374F44"/>
    <w:rsid w:val="00375286"/>
    <w:rsid w:val="00375714"/>
    <w:rsid w:val="00375D09"/>
    <w:rsid w:val="003760C8"/>
    <w:rsid w:val="003762B9"/>
    <w:rsid w:val="00376AC1"/>
    <w:rsid w:val="00376BC5"/>
    <w:rsid w:val="003770DF"/>
    <w:rsid w:val="00377177"/>
    <w:rsid w:val="00377281"/>
    <w:rsid w:val="003775B9"/>
    <w:rsid w:val="00377768"/>
    <w:rsid w:val="0037786D"/>
    <w:rsid w:val="0037798F"/>
    <w:rsid w:val="00377CF7"/>
    <w:rsid w:val="00377E4C"/>
    <w:rsid w:val="00380162"/>
    <w:rsid w:val="00380278"/>
    <w:rsid w:val="003807AA"/>
    <w:rsid w:val="00380994"/>
    <w:rsid w:val="00380B26"/>
    <w:rsid w:val="00380B4E"/>
    <w:rsid w:val="00380E81"/>
    <w:rsid w:val="0038111C"/>
    <w:rsid w:val="0038128E"/>
    <w:rsid w:val="0038194B"/>
    <w:rsid w:val="003819AB"/>
    <w:rsid w:val="00381A31"/>
    <w:rsid w:val="003823F3"/>
    <w:rsid w:val="00382CC1"/>
    <w:rsid w:val="00383066"/>
    <w:rsid w:val="00383E58"/>
    <w:rsid w:val="00383F57"/>
    <w:rsid w:val="00383FB0"/>
    <w:rsid w:val="003842C9"/>
    <w:rsid w:val="00384D41"/>
    <w:rsid w:val="00385392"/>
    <w:rsid w:val="00385508"/>
    <w:rsid w:val="00385868"/>
    <w:rsid w:val="00385A0B"/>
    <w:rsid w:val="00385FC6"/>
    <w:rsid w:val="003862B7"/>
    <w:rsid w:val="003862C9"/>
    <w:rsid w:val="00386D70"/>
    <w:rsid w:val="003870CD"/>
    <w:rsid w:val="003871A3"/>
    <w:rsid w:val="00387576"/>
    <w:rsid w:val="003877D9"/>
    <w:rsid w:val="00390A6D"/>
    <w:rsid w:val="00390CAB"/>
    <w:rsid w:val="00390E55"/>
    <w:rsid w:val="00390F58"/>
    <w:rsid w:val="003910B7"/>
    <w:rsid w:val="00391126"/>
    <w:rsid w:val="003911C4"/>
    <w:rsid w:val="0039165D"/>
    <w:rsid w:val="0039192A"/>
    <w:rsid w:val="00391C41"/>
    <w:rsid w:val="00391CF9"/>
    <w:rsid w:val="00391FCD"/>
    <w:rsid w:val="003925F8"/>
    <w:rsid w:val="003926CC"/>
    <w:rsid w:val="00392D0A"/>
    <w:rsid w:val="00392F2E"/>
    <w:rsid w:val="0039309F"/>
    <w:rsid w:val="00393412"/>
    <w:rsid w:val="00393481"/>
    <w:rsid w:val="0039351F"/>
    <w:rsid w:val="00393619"/>
    <w:rsid w:val="00393D6C"/>
    <w:rsid w:val="00393EB9"/>
    <w:rsid w:val="00394133"/>
    <w:rsid w:val="00394150"/>
    <w:rsid w:val="00394546"/>
    <w:rsid w:val="0039486D"/>
    <w:rsid w:val="003950BC"/>
    <w:rsid w:val="0039523A"/>
    <w:rsid w:val="003956C5"/>
    <w:rsid w:val="003958DC"/>
    <w:rsid w:val="0039600E"/>
    <w:rsid w:val="00396CC4"/>
    <w:rsid w:val="00397262"/>
    <w:rsid w:val="003A08AE"/>
    <w:rsid w:val="003A0A55"/>
    <w:rsid w:val="003A0B34"/>
    <w:rsid w:val="003A0C67"/>
    <w:rsid w:val="003A0D8B"/>
    <w:rsid w:val="003A1481"/>
    <w:rsid w:val="003A1C0B"/>
    <w:rsid w:val="003A1F0B"/>
    <w:rsid w:val="003A1F25"/>
    <w:rsid w:val="003A2002"/>
    <w:rsid w:val="003A21AB"/>
    <w:rsid w:val="003A2729"/>
    <w:rsid w:val="003A274D"/>
    <w:rsid w:val="003A285B"/>
    <w:rsid w:val="003A2B2C"/>
    <w:rsid w:val="003A2EAF"/>
    <w:rsid w:val="003A312A"/>
    <w:rsid w:val="003A36EA"/>
    <w:rsid w:val="003A3967"/>
    <w:rsid w:val="003A3AB1"/>
    <w:rsid w:val="003A3D4A"/>
    <w:rsid w:val="003A3EA1"/>
    <w:rsid w:val="003A4088"/>
    <w:rsid w:val="003A40F2"/>
    <w:rsid w:val="003A4C86"/>
    <w:rsid w:val="003A5447"/>
    <w:rsid w:val="003A55FF"/>
    <w:rsid w:val="003A5888"/>
    <w:rsid w:val="003A593E"/>
    <w:rsid w:val="003A5BB0"/>
    <w:rsid w:val="003A5C33"/>
    <w:rsid w:val="003A613E"/>
    <w:rsid w:val="003A629A"/>
    <w:rsid w:val="003A63CF"/>
    <w:rsid w:val="003A6529"/>
    <w:rsid w:val="003A656C"/>
    <w:rsid w:val="003A6B43"/>
    <w:rsid w:val="003A6D41"/>
    <w:rsid w:val="003A6D96"/>
    <w:rsid w:val="003A70CF"/>
    <w:rsid w:val="003A7111"/>
    <w:rsid w:val="003A7B0A"/>
    <w:rsid w:val="003B0271"/>
    <w:rsid w:val="003B06F9"/>
    <w:rsid w:val="003B07C2"/>
    <w:rsid w:val="003B08C5"/>
    <w:rsid w:val="003B154A"/>
    <w:rsid w:val="003B17AD"/>
    <w:rsid w:val="003B19FC"/>
    <w:rsid w:val="003B1E4F"/>
    <w:rsid w:val="003B1F16"/>
    <w:rsid w:val="003B2030"/>
    <w:rsid w:val="003B216D"/>
    <w:rsid w:val="003B24A7"/>
    <w:rsid w:val="003B2560"/>
    <w:rsid w:val="003B2793"/>
    <w:rsid w:val="003B2A52"/>
    <w:rsid w:val="003B2CF2"/>
    <w:rsid w:val="003B2FEC"/>
    <w:rsid w:val="003B30D9"/>
    <w:rsid w:val="003B3905"/>
    <w:rsid w:val="003B4617"/>
    <w:rsid w:val="003B4652"/>
    <w:rsid w:val="003B4B65"/>
    <w:rsid w:val="003B50DA"/>
    <w:rsid w:val="003B510C"/>
    <w:rsid w:val="003B5B22"/>
    <w:rsid w:val="003B5DE3"/>
    <w:rsid w:val="003B6040"/>
    <w:rsid w:val="003B64B4"/>
    <w:rsid w:val="003B6692"/>
    <w:rsid w:val="003B67CF"/>
    <w:rsid w:val="003B6933"/>
    <w:rsid w:val="003B6BFC"/>
    <w:rsid w:val="003B7173"/>
    <w:rsid w:val="003B72BD"/>
    <w:rsid w:val="003B7CDB"/>
    <w:rsid w:val="003B7DD5"/>
    <w:rsid w:val="003C06AA"/>
    <w:rsid w:val="003C06B7"/>
    <w:rsid w:val="003C06ED"/>
    <w:rsid w:val="003C0A72"/>
    <w:rsid w:val="003C1012"/>
    <w:rsid w:val="003C1202"/>
    <w:rsid w:val="003C178E"/>
    <w:rsid w:val="003C1E0A"/>
    <w:rsid w:val="003C2129"/>
    <w:rsid w:val="003C25F5"/>
    <w:rsid w:val="003C28BA"/>
    <w:rsid w:val="003C3D4B"/>
    <w:rsid w:val="003C4616"/>
    <w:rsid w:val="003C49DB"/>
    <w:rsid w:val="003C50D4"/>
    <w:rsid w:val="003C51AD"/>
    <w:rsid w:val="003C51D5"/>
    <w:rsid w:val="003C5364"/>
    <w:rsid w:val="003C53D6"/>
    <w:rsid w:val="003C53F7"/>
    <w:rsid w:val="003C57A4"/>
    <w:rsid w:val="003C5BDF"/>
    <w:rsid w:val="003C60E8"/>
    <w:rsid w:val="003C6399"/>
    <w:rsid w:val="003C6452"/>
    <w:rsid w:val="003C6599"/>
    <w:rsid w:val="003C6683"/>
    <w:rsid w:val="003C6D03"/>
    <w:rsid w:val="003C7149"/>
    <w:rsid w:val="003C79AB"/>
    <w:rsid w:val="003C7A75"/>
    <w:rsid w:val="003C7B3B"/>
    <w:rsid w:val="003D0291"/>
    <w:rsid w:val="003D0550"/>
    <w:rsid w:val="003D05A2"/>
    <w:rsid w:val="003D0A4E"/>
    <w:rsid w:val="003D122F"/>
    <w:rsid w:val="003D16E8"/>
    <w:rsid w:val="003D19BE"/>
    <w:rsid w:val="003D20D7"/>
    <w:rsid w:val="003D20E3"/>
    <w:rsid w:val="003D217B"/>
    <w:rsid w:val="003D23CA"/>
    <w:rsid w:val="003D2655"/>
    <w:rsid w:val="003D2CA6"/>
    <w:rsid w:val="003D2E9F"/>
    <w:rsid w:val="003D302E"/>
    <w:rsid w:val="003D315A"/>
    <w:rsid w:val="003D3593"/>
    <w:rsid w:val="003D36A5"/>
    <w:rsid w:val="003D37F8"/>
    <w:rsid w:val="003D3C5B"/>
    <w:rsid w:val="003D3F3A"/>
    <w:rsid w:val="003D4259"/>
    <w:rsid w:val="003D4AFE"/>
    <w:rsid w:val="003D4BFB"/>
    <w:rsid w:val="003D4EF3"/>
    <w:rsid w:val="003D55A1"/>
    <w:rsid w:val="003D5DC8"/>
    <w:rsid w:val="003D60C6"/>
    <w:rsid w:val="003D6AD9"/>
    <w:rsid w:val="003D6FB8"/>
    <w:rsid w:val="003D72E8"/>
    <w:rsid w:val="003D76AA"/>
    <w:rsid w:val="003D7810"/>
    <w:rsid w:val="003D7877"/>
    <w:rsid w:val="003D7894"/>
    <w:rsid w:val="003D7C13"/>
    <w:rsid w:val="003D7C57"/>
    <w:rsid w:val="003E0697"/>
    <w:rsid w:val="003E0716"/>
    <w:rsid w:val="003E0C78"/>
    <w:rsid w:val="003E1096"/>
    <w:rsid w:val="003E1147"/>
    <w:rsid w:val="003E18B8"/>
    <w:rsid w:val="003E1C77"/>
    <w:rsid w:val="003E2139"/>
    <w:rsid w:val="003E2B82"/>
    <w:rsid w:val="003E2C38"/>
    <w:rsid w:val="003E3342"/>
    <w:rsid w:val="003E379E"/>
    <w:rsid w:val="003E39C1"/>
    <w:rsid w:val="003E3A64"/>
    <w:rsid w:val="003E3C7E"/>
    <w:rsid w:val="003E42B3"/>
    <w:rsid w:val="003E434D"/>
    <w:rsid w:val="003E4655"/>
    <w:rsid w:val="003E47A0"/>
    <w:rsid w:val="003E47CF"/>
    <w:rsid w:val="003E4804"/>
    <w:rsid w:val="003E4CF2"/>
    <w:rsid w:val="003E58B6"/>
    <w:rsid w:val="003E592A"/>
    <w:rsid w:val="003E5B93"/>
    <w:rsid w:val="003E5DBF"/>
    <w:rsid w:val="003E625E"/>
    <w:rsid w:val="003E6D2A"/>
    <w:rsid w:val="003E709B"/>
    <w:rsid w:val="003E7833"/>
    <w:rsid w:val="003E7834"/>
    <w:rsid w:val="003E7ADF"/>
    <w:rsid w:val="003E7DEA"/>
    <w:rsid w:val="003E7DFC"/>
    <w:rsid w:val="003F0355"/>
    <w:rsid w:val="003F0D9E"/>
    <w:rsid w:val="003F0DA3"/>
    <w:rsid w:val="003F0F71"/>
    <w:rsid w:val="003F1027"/>
    <w:rsid w:val="003F13EF"/>
    <w:rsid w:val="003F148E"/>
    <w:rsid w:val="003F15AC"/>
    <w:rsid w:val="003F19D9"/>
    <w:rsid w:val="003F19F7"/>
    <w:rsid w:val="003F1F1E"/>
    <w:rsid w:val="003F20CD"/>
    <w:rsid w:val="003F233D"/>
    <w:rsid w:val="003F2348"/>
    <w:rsid w:val="003F291B"/>
    <w:rsid w:val="003F3019"/>
    <w:rsid w:val="003F3117"/>
    <w:rsid w:val="003F31A9"/>
    <w:rsid w:val="003F31E3"/>
    <w:rsid w:val="003F34A0"/>
    <w:rsid w:val="003F3872"/>
    <w:rsid w:val="003F3A7A"/>
    <w:rsid w:val="003F4136"/>
    <w:rsid w:val="003F4193"/>
    <w:rsid w:val="003F4646"/>
    <w:rsid w:val="003F53E0"/>
    <w:rsid w:val="003F5628"/>
    <w:rsid w:val="003F5E39"/>
    <w:rsid w:val="003F60DD"/>
    <w:rsid w:val="003F6190"/>
    <w:rsid w:val="003F637F"/>
    <w:rsid w:val="003F642C"/>
    <w:rsid w:val="003F6673"/>
    <w:rsid w:val="003F69AD"/>
    <w:rsid w:val="003F6BAB"/>
    <w:rsid w:val="003F7EF5"/>
    <w:rsid w:val="003F7F7D"/>
    <w:rsid w:val="0040006D"/>
    <w:rsid w:val="004000F9"/>
    <w:rsid w:val="004001D7"/>
    <w:rsid w:val="004003AD"/>
    <w:rsid w:val="00400421"/>
    <w:rsid w:val="004006C4"/>
    <w:rsid w:val="00400C4D"/>
    <w:rsid w:val="00400DFA"/>
    <w:rsid w:val="00401140"/>
    <w:rsid w:val="004013F1"/>
    <w:rsid w:val="00401AB6"/>
    <w:rsid w:val="00401B7A"/>
    <w:rsid w:val="00401F20"/>
    <w:rsid w:val="00401F45"/>
    <w:rsid w:val="0040204A"/>
    <w:rsid w:val="004021E6"/>
    <w:rsid w:val="004024A8"/>
    <w:rsid w:val="004024E8"/>
    <w:rsid w:val="00402A42"/>
    <w:rsid w:val="0040325B"/>
    <w:rsid w:val="00403328"/>
    <w:rsid w:val="00403410"/>
    <w:rsid w:val="00403696"/>
    <w:rsid w:val="00403DFA"/>
    <w:rsid w:val="00404313"/>
    <w:rsid w:val="0040462D"/>
    <w:rsid w:val="00404912"/>
    <w:rsid w:val="00404A9E"/>
    <w:rsid w:val="00404C4C"/>
    <w:rsid w:val="00404CEC"/>
    <w:rsid w:val="004061CC"/>
    <w:rsid w:val="0040623A"/>
    <w:rsid w:val="00406492"/>
    <w:rsid w:val="00406692"/>
    <w:rsid w:val="00406BAA"/>
    <w:rsid w:val="00406CC7"/>
    <w:rsid w:val="00406D5C"/>
    <w:rsid w:val="00407631"/>
    <w:rsid w:val="0040797C"/>
    <w:rsid w:val="00410069"/>
    <w:rsid w:val="00410380"/>
    <w:rsid w:val="004103C1"/>
    <w:rsid w:val="00410829"/>
    <w:rsid w:val="0041128F"/>
    <w:rsid w:val="004116E0"/>
    <w:rsid w:val="004117D4"/>
    <w:rsid w:val="00411A1B"/>
    <w:rsid w:val="00411B89"/>
    <w:rsid w:val="00412AC7"/>
    <w:rsid w:val="004135F9"/>
    <w:rsid w:val="00413D50"/>
    <w:rsid w:val="004142B5"/>
    <w:rsid w:val="004142B6"/>
    <w:rsid w:val="004148CE"/>
    <w:rsid w:val="004149E4"/>
    <w:rsid w:val="00414D83"/>
    <w:rsid w:val="0041502E"/>
    <w:rsid w:val="00415517"/>
    <w:rsid w:val="00415C10"/>
    <w:rsid w:val="00415F50"/>
    <w:rsid w:val="00416F7B"/>
    <w:rsid w:val="0041787D"/>
    <w:rsid w:val="00417DFB"/>
    <w:rsid w:val="00417E4D"/>
    <w:rsid w:val="0042071F"/>
    <w:rsid w:val="00420B17"/>
    <w:rsid w:val="00420E11"/>
    <w:rsid w:val="00420E5E"/>
    <w:rsid w:val="00420F7D"/>
    <w:rsid w:val="004216F8"/>
    <w:rsid w:val="0042192D"/>
    <w:rsid w:val="0042193D"/>
    <w:rsid w:val="00421A0C"/>
    <w:rsid w:val="00421DDC"/>
    <w:rsid w:val="00422093"/>
    <w:rsid w:val="004222AC"/>
    <w:rsid w:val="004223FD"/>
    <w:rsid w:val="0042242F"/>
    <w:rsid w:val="004227F9"/>
    <w:rsid w:val="0042319D"/>
    <w:rsid w:val="0042342B"/>
    <w:rsid w:val="004236AE"/>
    <w:rsid w:val="004238E4"/>
    <w:rsid w:val="00424096"/>
    <w:rsid w:val="00424521"/>
    <w:rsid w:val="004247F5"/>
    <w:rsid w:val="00424A69"/>
    <w:rsid w:val="00424C46"/>
    <w:rsid w:val="0042560A"/>
    <w:rsid w:val="004259BD"/>
    <w:rsid w:val="00425B32"/>
    <w:rsid w:val="00425B5C"/>
    <w:rsid w:val="00425CB7"/>
    <w:rsid w:val="00425E85"/>
    <w:rsid w:val="00426177"/>
    <w:rsid w:val="0042618D"/>
    <w:rsid w:val="00426229"/>
    <w:rsid w:val="004264AF"/>
    <w:rsid w:val="004265C1"/>
    <w:rsid w:val="00426747"/>
    <w:rsid w:val="00426779"/>
    <w:rsid w:val="00426997"/>
    <w:rsid w:val="00426E81"/>
    <w:rsid w:val="00426EEA"/>
    <w:rsid w:val="00427020"/>
    <w:rsid w:val="00427C44"/>
    <w:rsid w:val="0043025E"/>
    <w:rsid w:val="004305E3"/>
    <w:rsid w:val="0043088E"/>
    <w:rsid w:val="004309B6"/>
    <w:rsid w:val="00430B9B"/>
    <w:rsid w:val="0043138E"/>
    <w:rsid w:val="00432374"/>
    <w:rsid w:val="004324AD"/>
    <w:rsid w:val="004326F6"/>
    <w:rsid w:val="00432A87"/>
    <w:rsid w:val="00432E58"/>
    <w:rsid w:val="00432F09"/>
    <w:rsid w:val="004332E8"/>
    <w:rsid w:val="00433437"/>
    <w:rsid w:val="0043354F"/>
    <w:rsid w:val="004336FB"/>
    <w:rsid w:val="0043429A"/>
    <w:rsid w:val="00434907"/>
    <w:rsid w:val="00434BA0"/>
    <w:rsid w:val="00435F59"/>
    <w:rsid w:val="004360B7"/>
    <w:rsid w:val="004360C8"/>
    <w:rsid w:val="00436108"/>
    <w:rsid w:val="004361EB"/>
    <w:rsid w:val="004367DA"/>
    <w:rsid w:val="00437506"/>
    <w:rsid w:val="00437815"/>
    <w:rsid w:val="00437948"/>
    <w:rsid w:val="00440B94"/>
    <w:rsid w:val="0044123F"/>
    <w:rsid w:val="00441751"/>
    <w:rsid w:val="00441854"/>
    <w:rsid w:val="0044188A"/>
    <w:rsid w:val="004418D8"/>
    <w:rsid w:val="00441912"/>
    <w:rsid w:val="00441D74"/>
    <w:rsid w:val="00441F21"/>
    <w:rsid w:val="00441F4C"/>
    <w:rsid w:val="00442368"/>
    <w:rsid w:val="00442642"/>
    <w:rsid w:val="00442849"/>
    <w:rsid w:val="00442AD5"/>
    <w:rsid w:val="0044301C"/>
    <w:rsid w:val="00443E4E"/>
    <w:rsid w:val="004440AD"/>
    <w:rsid w:val="00444623"/>
    <w:rsid w:val="00444D09"/>
    <w:rsid w:val="0044560B"/>
    <w:rsid w:val="004456EB"/>
    <w:rsid w:val="00446795"/>
    <w:rsid w:val="00446D18"/>
    <w:rsid w:val="004470CF"/>
    <w:rsid w:val="0045019B"/>
    <w:rsid w:val="00450633"/>
    <w:rsid w:val="00450968"/>
    <w:rsid w:val="00450A03"/>
    <w:rsid w:val="004515F4"/>
    <w:rsid w:val="004517FC"/>
    <w:rsid w:val="00451E35"/>
    <w:rsid w:val="00451E74"/>
    <w:rsid w:val="00452177"/>
    <w:rsid w:val="0045223F"/>
    <w:rsid w:val="00452377"/>
    <w:rsid w:val="00452465"/>
    <w:rsid w:val="00452545"/>
    <w:rsid w:val="00452928"/>
    <w:rsid w:val="00452BA2"/>
    <w:rsid w:val="00452BC4"/>
    <w:rsid w:val="00452C72"/>
    <w:rsid w:val="00452D93"/>
    <w:rsid w:val="00452E5D"/>
    <w:rsid w:val="00452EFD"/>
    <w:rsid w:val="00452FAA"/>
    <w:rsid w:val="00453A89"/>
    <w:rsid w:val="00454071"/>
    <w:rsid w:val="00454115"/>
    <w:rsid w:val="0045419E"/>
    <w:rsid w:val="00454224"/>
    <w:rsid w:val="00454BE6"/>
    <w:rsid w:val="00454CFE"/>
    <w:rsid w:val="00454D71"/>
    <w:rsid w:val="00454F67"/>
    <w:rsid w:val="0045507C"/>
    <w:rsid w:val="004550B1"/>
    <w:rsid w:val="00455240"/>
    <w:rsid w:val="004552B3"/>
    <w:rsid w:val="00455916"/>
    <w:rsid w:val="0045597F"/>
    <w:rsid w:val="004560C2"/>
    <w:rsid w:val="00456809"/>
    <w:rsid w:val="00456C60"/>
    <w:rsid w:val="004577D7"/>
    <w:rsid w:val="00457D14"/>
    <w:rsid w:val="004600B8"/>
    <w:rsid w:val="00460330"/>
    <w:rsid w:val="004603FE"/>
    <w:rsid w:val="00460582"/>
    <w:rsid w:val="00460622"/>
    <w:rsid w:val="00460ED0"/>
    <w:rsid w:val="00460EE3"/>
    <w:rsid w:val="00461BF7"/>
    <w:rsid w:val="00462341"/>
    <w:rsid w:val="00462819"/>
    <w:rsid w:val="00462C78"/>
    <w:rsid w:val="00462F89"/>
    <w:rsid w:val="00463667"/>
    <w:rsid w:val="004639D1"/>
    <w:rsid w:val="0046471D"/>
    <w:rsid w:val="004647CC"/>
    <w:rsid w:val="00464951"/>
    <w:rsid w:val="00464CF1"/>
    <w:rsid w:val="00464DB3"/>
    <w:rsid w:val="00464EDB"/>
    <w:rsid w:val="004650D0"/>
    <w:rsid w:val="004650E4"/>
    <w:rsid w:val="00465815"/>
    <w:rsid w:val="00465B1F"/>
    <w:rsid w:val="00466132"/>
    <w:rsid w:val="0046623B"/>
    <w:rsid w:val="004663FC"/>
    <w:rsid w:val="00466651"/>
    <w:rsid w:val="00466E92"/>
    <w:rsid w:val="00467287"/>
    <w:rsid w:val="00467518"/>
    <w:rsid w:val="004675AF"/>
    <w:rsid w:val="004706E4"/>
    <w:rsid w:val="004708BB"/>
    <w:rsid w:val="00471045"/>
    <w:rsid w:val="00471369"/>
    <w:rsid w:val="004718C2"/>
    <w:rsid w:val="00471DF9"/>
    <w:rsid w:val="00472898"/>
    <w:rsid w:val="00472BC5"/>
    <w:rsid w:val="00472CDF"/>
    <w:rsid w:val="00473634"/>
    <w:rsid w:val="00473644"/>
    <w:rsid w:val="00473728"/>
    <w:rsid w:val="004737B2"/>
    <w:rsid w:val="0047391A"/>
    <w:rsid w:val="00473B59"/>
    <w:rsid w:val="00473F2D"/>
    <w:rsid w:val="00473F64"/>
    <w:rsid w:val="00473FFE"/>
    <w:rsid w:val="004744A7"/>
    <w:rsid w:val="004744E5"/>
    <w:rsid w:val="004746E9"/>
    <w:rsid w:val="00474EAB"/>
    <w:rsid w:val="00474EE3"/>
    <w:rsid w:val="00474F8E"/>
    <w:rsid w:val="00474FA4"/>
    <w:rsid w:val="004751E1"/>
    <w:rsid w:val="004751EB"/>
    <w:rsid w:val="00475A9A"/>
    <w:rsid w:val="00475D19"/>
    <w:rsid w:val="0047625E"/>
    <w:rsid w:val="00476CF5"/>
    <w:rsid w:val="00477066"/>
    <w:rsid w:val="004773AC"/>
    <w:rsid w:val="004778BB"/>
    <w:rsid w:val="00477C7F"/>
    <w:rsid w:val="00477D62"/>
    <w:rsid w:val="0048052C"/>
    <w:rsid w:val="0048056C"/>
    <w:rsid w:val="00480934"/>
    <w:rsid w:val="00480A3D"/>
    <w:rsid w:val="00480DFB"/>
    <w:rsid w:val="00481CC7"/>
    <w:rsid w:val="00481E7D"/>
    <w:rsid w:val="00482E6A"/>
    <w:rsid w:val="00483640"/>
    <w:rsid w:val="00483C61"/>
    <w:rsid w:val="00483C72"/>
    <w:rsid w:val="00483FBD"/>
    <w:rsid w:val="00484064"/>
    <w:rsid w:val="0048423C"/>
    <w:rsid w:val="004842C0"/>
    <w:rsid w:val="00484340"/>
    <w:rsid w:val="00484C11"/>
    <w:rsid w:val="00485182"/>
    <w:rsid w:val="00485EB9"/>
    <w:rsid w:val="0048666B"/>
    <w:rsid w:val="004867B6"/>
    <w:rsid w:val="00486C79"/>
    <w:rsid w:val="0048742D"/>
    <w:rsid w:val="004874C8"/>
    <w:rsid w:val="0048780C"/>
    <w:rsid w:val="0048792F"/>
    <w:rsid w:val="00487A70"/>
    <w:rsid w:val="00487AFB"/>
    <w:rsid w:val="00490984"/>
    <w:rsid w:val="004909A9"/>
    <w:rsid w:val="00490A4E"/>
    <w:rsid w:val="004915A5"/>
    <w:rsid w:val="00491AA6"/>
    <w:rsid w:val="00492873"/>
    <w:rsid w:val="0049290F"/>
    <w:rsid w:val="00492A40"/>
    <w:rsid w:val="0049352E"/>
    <w:rsid w:val="00493855"/>
    <w:rsid w:val="0049385F"/>
    <w:rsid w:val="00493A76"/>
    <w:rsid w:val="00493E3C"/>
    <w:rsid w:val="00493FF7"/>
    <w:rsid w:val="00494468"/>
    <w:rsid w:val="00494A10"/>
    <w:rsid w:val="00495066"/>
    <w:rsid w:val="004956FF"/>
    <w:rsid w:val="004960CB"/>
    <w:rsid w:val="00496381"/>
    <w:rsid w:val="00496F3D"/>
    <w:rsid w:val="00497226"/>
    <w:rsid w:val="004973DA"/>
    <w:rsid w:val="00497D71"/>
    <w:rsid w:val="00497F9A"/>
    <w:rsid w:val="004A03BA"/>
    <w:rsid w:val="004A0860"/>
    <w:rsid w:val="004A11A1"/>
    <w:rsid w:val="004A13DB"/>
    <w:rsid w:val="004A14CD"/>
    <w:rsid w:val="004A18AC"/>
    <w:rsid w:val="004A1D97"/>
    <w:rsid w:val="004A2091"/>
    <w:rsid w:val="004A2F1F"/>
    <w:rsid w:val="004A30EE"/>
    <w:rsid w:val="004A363A"/>
    <w:rsid w:val="004A365D"/>
    <w:rsid w:val="004A3C00"/>
    <w:rsid w:val="004A4490"/>
    <w:rsid w:val="004A4C3B"/>
    <w:rsid w:val="004A52E5"/>
    <w:rsid w:val="004A537B"/>
    <w:rsid w:val="004A5539"/>
    <w:rsid w:val="004A5A6A"/>
    <w:rsid w:val="004A5E24"/>
    <w:rsid w:val="004A5EA0"/>
    <w:rsid w:val="004A6119"/>
    <w:rsid w:val="004A62A7"/>
    <w:rsid w:val="004A6C88"/>
    <w:rsid w:val="004A7222"/>
    <w:rsid w:val="004A7274"/>
    <w:rsid w:val="004A72F3"/>
    <w:rsid w:val="004A7402"/>
    <w:rsid w:val="004A7705"/>
    <w:rsid w:val="004A7C08"/>
    <w:rsid w:val="004A7C7B"/>
    <w:rsid w:val="004A7FA3"/>
    <w:rsid w:val="004B0390"/>
    <w:rsid w:val="004B0B2D"/>
    <w:rsid w:val="004B0D62"/>
    <w:rsid w:val="004B0EC6"/>
    <w:rsid w:val="004B16E6"/>
    <w:rsid w:val="004B1801"/>
    <w:rsid w:val="004B1CDD"/>
    <w:rsid w:val="004B1D3B"/>
    <w:rsid w:val="004B1D68"/>
    <w:rsid w:val="004B20FC"/>
    <w:rsid w:val="004B2181"/>
    <w:rsid w:val="004B21A9"/>
    <w:rsid w:val="004B2794"/>
    <w:rsid w:val="004B2C3E"/>
    <w:rsid w:val="004B3225"/>
    <w:rsid w:val="004B3564"/>
    <w:rsid w:val="004B3864"/>
    <w:rsid w:val="004B3BF4"/>
    <w:rsid w:val="004B3E77"/>
    <w:rsid w:val="004B3ECA"/>
    <w:rsid w:val="004B46D4"/>
    <w:rsid w:val="004B4785"/>
    <w:rsid w:val="004B53E3"/>
    <w:rsid w:val="004B550B"/>
    <w:rsid w:val="004B5549"/>
    <w:rsid w:val="004B5A54"/>
    <w:rsid w:val="004B6290"/>
    <w:rsid w:val="004B6556"/>
    <w:rsid w:val="004B6B48"/>
    <w:rsid w:val="004B6EB0"/>
    <w:rsid w:val="004B7145"/>
    <w:rsid w:val="004B718C"/>
    <w:rsid w:val="004B7714"/>
    <w:rsid w:val="004B7947"/>
    <w:rsid w:val="004B7A9D"/>
    <w:rsid w:val="004C0214"/>
    <w:rsid w:val="004C0526"/>
    <w:rsid w:val="004C0A37"/>
    <w:rsid w:val="004C0A44"/>
    <w:rsid w:val="004C0C13"/>
    <w:rsid w:val="004C0DA9"/>
    <w:rsid w:val="004C142E"/>
    <w:rsid w:val="004C1470"/>
    <w:rsid w:val="004C19DE"/>
    <w:rsid w:val="004C1C8A"/>
    <w:rsid w:val="004C25D7"/>
    <w:rsid w:val="004C2AAC"/>
    <w:rsid w:val="004C2BA6"/>
    <w:rsid w:val="004C2E4F"/>
    <w:rsid w:val="004C2EC5"/>
    <w:rsid w:val="004C327D"/>
    <w:rsid w:val="004C3944"/>
    <w:rsid w:val="004C3A45"/>
    <w:rsid w:val="004C3BF0"/>
    <w:rsid w:val="004C3F8E"/>
    <w:rsid w:val="004C3FF7"/>
    <w:rsid w:val="004C4089"/>
    <w:rsid w:val="004C42C2"/>
    <w:rsid w:val="004C442E"/>
    <w:rsid w:val="004C4511"/>
    <w:rsid w:val="004C46D4"/>
    <w:rsid w:val="004C4E44"/>
    <w:rsid w:val="004C4F29"/>
    <w:rsid w:val="004C4F85"/>
    <w:rsid w:val="004C52DF"/>
    <w:rsid w:val="004C5398"/>
    <w:rsid w:val="004C55FB"/>
    <w:rsid w:val="004C5755"/>
    <w:rsid w:val="004C5A44"/>
    <w:rsid w:val="004C5EAE"/>
    <w:rsid w:val="004C634B"/>
    <w:rsid w:val="004C67B2"/>
    <w:rsid w:val="004C6EA6"/>
    <w:rsid w:val="004C74FB"/>
    <w:rsid w:val="004C7586"/>
    <w:rsid w:val="004C7744"/>
    <w:rsid w:val="004C7998"/>
    <w:rsid w:val="004C7B22"/>
    <w:rsid w:val="004D00E1"/>
    <w:rsid w:val="004D03EB"/>
    <w:rsid w:val="004D0595"/>
    <w:rsid w:val="004D0900"/>
    <w:rsid w:val="004D0DF1"/>
    <w:rsid w:val="004D0E48"/>
    <w:rsid w:val="004D0EF6"/>
    <w:rsid w:val="004D1535"/>
    <w:rsid w:val="004D1BEF"/>
    <w:rsid w:val="004D1C9D"/>
    <w:rsid w:val="004D207E"/>
    <w:rsid w:val="004D2177"/>
    <w:rsid w:val="004D23AF"/>
    <w:rsid w:val="004D2E6C"/>
    <w:rsid w:val="004D311C"/>
    <w:rsid w:val="004D318B"/>
    <w:rsid w:val="004D3457"/>
    <w:rsid w:val="004D3504"/>
    <w:rsid w:val="004D37BE"/>
    <w:rsid w:val="004D39E8"/>
    <w:rsid w:val="004D3A52"/>
    <w:rsid w:val="004D449B"/>
    <w:rsid w:val="004D45AF"/>
    <w:rsid w:val="004D4788"/>
    <w:rsid w:val="004D497A"/>
    <w:rsid w:val="004D5487"/>
    <w:rsid w:val="004D55C1"/>
    <w:rsid w:val="004D5699"/>
    <w:rsid w:val="004D585F"/>
    <w:rsid w:val="004D58A7"/>
    <w:rsid w:val="004D5C2D"/>
    <w:rsid w:val="004D5CD9"/>
    <w:rsid w:val="004D60F2"/>
    <w:rsid w:val="004D643D"/>
    <w:rsid w:val="004D679E"/>
    <w:rsid w:val="004D6875"/>
    <w:rsid w:val="004D6A22"/>
    <w:rsid w:val="004D6E5E"/>
    <w:rsid w:val="004D70C2"/>
    <w:rsid w:val="004D710D"/>
    <w:rsid w:val="004D753B"/>
    <w:rsid w:val="004D76D3"/>
    <w:rsid w:val="004D7BA1"/>
    <w:rsid w:val="004E0157"/>
    <w:rsid w:val="004E018B"/>
    <w:rsid w:val="004E0661"/>
    <w:rsid w:val="004E073D"/>
    <w:rsid w:val="004E09C7"/>
    <w:rsid w:val="004E1175"/>
    <w:rsid w:val="004E216D"/>
    <w:rsid w:val="004E261B"/>
    <w:rsid w:val="004E2B58"/>
    <w:rsid w:val="004E2E30"/>
    <w:rsid w:val="004E3068"/>
    <w:rsid w:val="004E3567"/>
    <w:rsid w:val="004E37A7"/>
    <w:rsid w:val="004E3CC0"/>
    <w:rsid w:val="004E4390"/>
    <w:rsid w:val="004E4838"/>
    <w:rsid w:val="004E48B5"/>
    <w:rsid w:val="004E4EB1"/>
    <w:rsid w:val="004E5474"/>
    <w:rsid w:val="004E58E7"/>
    <w:rsid w:val="004E5A92"/>
    <w:rsid w:val="004E5D09"/>
    <w:rsid w:val="004E5E64"/>
    <w:rsid w:val="004E615F"/>
    <w:rsid w:val="004E68C7"/>
    <w:rsid w:val="004E6A7C"/>
    <w:rsid w:val="004E6ED5"/>
    <w:rsid w:val="004E71C4"/>
    <w:rsid w:val="004E771B"/>
    <w:rsid w:val="004E77C6"/>
    <w:rsid w:val="004E7F42"/>
    <w:rsid w:val="004F0322"/>
    <w:rsid w:val="004F041C"/>
    <w:rsid w:val="004F0494"/>
    <w:rsid w:val="004F0EBA"/>
    <w:rsid w:val="004F1106"/>
    <w:rsid w:val="004F1495"/>
    <w:rsid w:val="004F15F3"/>
    <w:rsid w:val="004F1F61"/>
    <w:rsid w:val="004F22FF"/>
    <w:rsid w:val="004F289A"/>
    <w:rsid w:val="004F2B6C"/>
    <w:rsid w:val="004F2D08"/>
    <w:rsid w:val="004F2DA0"/>
    <w:rsid w:val="004F2E16"/>
    <w:rsid w:val="004F30CB"/>
    <w:rsid w:val="004F34AE"/>
    <w:rsid w:val="004F37BA"/>
    <w:rsid w:val="004F38A5"/>
    <w:rsid w:val="004F3C69"/>
    <w:rsid w:val="004F3F11"/>
    <w:rsid w:val="004F4187"/>
    <w:rsid w:val="004F4241"/>
    <w:rsid w:val="004F4443"/>
    <w:rsid w:val="004F4729"/>
    <w:rsid w:val="004F4843"/>
    <w:rsid w:val="004F4AFA"/>
    <w:rsid w:val="004F4C54"/>
    <w:rsid w:val="004F4D78"/>
    <w:rsid w:val="004F4E0B"/>
    <w:rsid w:val="004F51F3"/>
    <w:rsid w:val="004F541E"/>
    <w:rsid w:val="004F5B45"/>
    <w:rsid w:val="004F63E5"/>
    <w:rsid w:val="004F67FC"/>
    <w:rsid w:val="004F6D08"/>
    <w:rsid w:val="004F7359"/>
    <w:rsid w:val="004F7500"/>
    <w:rsid w:val="004F752B"/>
    <w:rsid w:val="004F7B06"/>
    <w:rsid w:val="004F7C75"/>
    <w:rsid w:val="004F7E20"/>
    <w:rsid w:val="00500077"/>
    <w:rsid w:val="00501850"/>
    <w:rsid w:val="00501B35"/>
    <w:rsid w:val="00501B64"/>
    <w:rsid w:val="0050224E"/>
    <w:rsid w:val="00503078"/>
    <w:rsid w:val="00503661"/>
    <w:rsid w:val="005037FF"/>
    <w:rsid w:val="005041BD"/>
    <w:rsid w:val="0050432A"/>
    <w:rsid w:val="00504439"/>
    <w:rsid w:val="005045D8"/>
    <w:rsid w:val="005045E9"/>
    <w:rsid w:val="00504D5B"/>
    <w:rsid w:val="005051F7"/>
    <w:rsid w:val="005052D8"/>
    <w:rsid w:val="00505C84"/>
    <w:rsid w:val="00505D38"/>
    <w:rsid w:val="00506143"/>
    <w:rsid w:val="00506D1A"/>
    <w:rsid w:val="00507361"/>
    <w:rsid w:val="005073A0"/>
    <w:rsid w:val="005079AA"/>
    <w:rsid w:val="00507BBB"/>
    <w:rsid w:val="005100C8"/>
    <w:rsid w:val="00510272"/>
    <w:rsid w:val="0051043F"/>
    <w:rsid w:val="00510A25"/>
    <w:rsid w:val="00511555"/>
    <w:rsid w:val="00511745"/>
    <w:rsid w:val="00511812"/>
    <w:rsid w:val="00511B3A"/>
    <w:rsid w:val="00511E00"/>
    <w:rsid w:val="00511FFC"/>
    <w:rsid w:val="005120B8"/>
    <w:rsid w:val="00512283"/>
    <w:rsid w:val="005124A8"/>
    <w:rsid w:val="00512782"/>
    <w:rsid w:val="005131C7"/>
    <w:rsid w:val="005134E7"/>
    <w:rsid w:val="00513BCE"/>
    <w:rsid w:val="005141C0"/>
    <w:rsid w:val="0051459E"/>
    <w:rsid w:val="0051473B"/>
    <w:rsid w:val="00514843"/>
    <w:rsid w:val="005148D9"/>
    <w:rsid w:val="00514EB8"/>
    <w:rsid w:val="00515657"/>
    <w:rsid w:val="00515667"/>
    <w:rsid w:val="00515B85"/>
    <w:rsid w:val="00515CD2"/>
    <w:rsid w:val="00516497"/>
    <w:rsid w:val="00516C07"/>
    <w:rsid w:val="00516D93"/>
    <w:rsid w:val="00517300"/>
    <w:rsid w:val="005177D8"/>
    <w:rsid w:val="00517A9E"/>
    <w:rsid w:val="00520115"/>
    <w:rsid w:val="0052041E"/>
    <w:rsid w:val="00520440"/>
    <w:rsid w:val="0052045D"/>
    <w:rsid w:val="00520554"/>
    <w:rsid w:val="005206D7"/>
    <w:rsid w:val="00520DC3"/>
    <w:rsid w:val="00520DD9"/>
    <w:rsid w:val="00520F43"/>
    <w:rsid w:val="00520FE7"/>
    <w:rsid w:val="00521BEA"/>
    <w:rsid w:val="00521BF2"/>
    <w:rsid w:val="00522120"/>
    <w:rsid w:val="0052278B"/>
    <w:rsid w:val="00522898"/>
    <w:rsid w:val="00522D6B"/>
    <w:rsid w:val="0052384A"/>
    <w:rsid w:val="00523AB5"/>
    <w:rsid w:val="00523D47"/>
    <w:rsid w:val="00523FE3"/>
    <w:rsid w:val="00524441"/>
    <w:rsid w:val="005247E3"/>
    <w:rsid w:val="00524991"/>
    <w:rsid w:val="00524CBB"/>
    <w:rsid w:val="00524D71"/>
    <w:rsid w:val="005254DA"/>
    <w:rsid w:val="0052558F"/>
    <w:rsid w:val="0052562C"/>
    <w:rsid w:val="00525A4C"/>
    <w:rsid w:val="00525B35"/>
    <w:rsid w:val="00525E14"/>
    <w:rsid w:val="00525F42"/>
    <w:rsid w:val="00525FB5"/>
    <w:rsid w:val="00526109"/>
    <w:rsid w:val="005262F1"/>
    <w:rsid w:val="00526407"/>
    <w:rsid w:val="00526643"/>
    <w:rsid w:val="005271AD"/>
    <w:rsid w:val="005276FB"/>
    <w:rsid w:val="00527990"/>
    <w:rsid w:val="00527D7F"/>
    <w:rsid w:val="00527F7B"/>
    <w:rsid w:val="0053087F"/>
    <w:rsid w:val="00530C05"/>
    <w:rsid w:val="00530CC4"/>
    <w:rsid w:val="00530DB3"/>
    <w:rsid w:val="005311D8"/>
    <w:rsid w:val="005318A8"/>
    <w:rsid w:val="00531CF9"/>
    <w:rsid w:val="00531D30"/>
    <w:rsid w:val="00531D82"/>
    <w:rsid w:val="00532B61"/>
    <w:rsid w:val="00532E7E"/>
    <w:rsid w:val="00533086"/>
    <w:rsid w:val="00533562"/>
    <w:rsid w:val="005337EA"/>
    <w:rsid w:val="00533B53"/>
    <w:rsid w:val="00533F50"/>
    <w:rsid w:val="00533F79"/>
    <w:rsid w:val="00533FE6"/>
    <w:rsid w:val="00534806"/>
    <w:rsid w:val="00534990"/>
    <w:rsid w:val="00534BBE"/>
    <w:rsid w:val="005355EC"/>
    <w:rsid w:val="0053586A"/>
    <w:rsid w:val="00536544"/>
    <w:rsid w:val="0053657A"/>
    <w:rsid w:val="00536F7F"/>
    <w:rsid w:val="0053714C"/>
    <w:rsid w:val="00537A3F"/>
    <w:rsid w:val="005402D5"/>
    <w:rsid w:val="005403F1"/>
    <w:rsid w:val="005408DF"/>
    <w:rsid w:val="005408FA"/>
    <w:rsid w:val="00540F72"/>
    <w:rsid w:val="00540F84"/>
    <w:rsid w:val="00540F86"/>
    <w:rsid w:val="00541448"/>
    <w:rsid w:val="0054175F"/>
    <w:rsid w:val="00541E09"/>
    <w:rsid w:val="00541FBD"/>
    <w:rsid w:val="00542348"/>
    <w:rsid w:val="00542A5E"/>
    <w:rsid w:val="00542C34"/>
    <w:rsid w:val="00542CCC"/>
    <w:rsid w:val="00543A86"/>
    <w:rsid w:val="00543BD0"/>
    <w:rsid w:val="00544217"/>
    <w:rsid w:val="00544509"/>
    <w:rsid w:val="00544811"/>
    <w:rsid w:val="00544BC3"/>
    <w:rsid w:val="00544ECB"/>
    <w:rsid w:val="0054520E"/>
    <w:rsid w:val="005453A4"/>
    <w:rsid w:val="005453C4"/>
    <w:rsid w:val="005453EA"/>
    <w:rsid w:val="005454DA"/>
    <w:rsid w:val="00545A22"/>
    <w:rsid w:val="005460EE"/>
    <w:rsid w:val="00546CBF"/>
    <w:rsid w:val="00546DA3"/>
    <w:rsid w:val="00546E0B"/>
    <w:rsid w:val="00547000"/>
    <w:rsid w:val="0054701F"/>
    <w:rsid w:val="005472F7"/>
    <w:rsid w:val="00547884"/>
    <w:rsid w:val="00550877"/>
    <w:rsid w:val="0055096D"/>
    <w:rsid w:val="00551676"/>
    <w:rsid w:val="00551FDE"/>
    <w:rsid w:val="00552071"/>
    <w:rsid w:val="00552140"/>
    <w:rsid w:val="00552278"/>
    <w:rsid w:val="00553603"/>
    <w:rsid w:val="00553740"/>
    <w:rsid w:val="00553AD4"/>
    <w:rsid w:val="00553BC2"/>
    <w:rsid w:val="00553E13"/>
    <w:rsid w:val="00553F37"/>
    <w:rsid w:val="0055402C"/>
    <w:rsid w:val="0055436B"/>
    <w:rsid w:val="00554489"/>
    <w:rsid w:val="0055481E"/>
    <w:rsid w:val="0055497A"/>
    <w:rsid w:val="005550A1"/>
    <w:rsid w:val="00555399"/>
    <w:rsid w:val="005560C6"/>
    <w:rsid w:val="0055620F"/>
    <w:rsid w:val="00556FDC"/>
    <w:rsid w:val="00557446"/>
    <w:rsid w:val="00557870"/>
    <w:rsid w:val="00557A6D"/>
    <w:rsid w:val="00557D7D"/>
    <w:rsid w:val="005602C1"/>
    <w:rsid w:val="005602F0"/>
    <w:rsid w:val="00560330"/>
    <w:rsid w:val="00560834"/>
    <w:rsid w:val="00560AD7"/>
    <w:rsid w:val="00560CB3"/>
    <w:rsid w:val="00561817"/>
    <w:rsid w:val="00561A81"/>
    <w:rsid w:val="00562016"/>
    <w:rsid w:val="0056216F"/>
    <w:rsid w:val="00562324"/>
    <w:rsid w:val="00562DD5"/>
    <w:rsid w:val="005631A4"/>
    <w:rsid w:val="005633B9"/>
    <w:rsid w:val="00563772"/>
    <w:rsid w:val="0056392B"/>
    <w:rsid w:val="00563938"/>
    <w:rsid w:val="005643DB"/>
    <w:rsid w:val="0056443E"/>
    <w:rsid w:val="005645A9"/>
    <w:rsid w:val="005648A8"/>
    <w:rsid w:val="0056494E"/>
    <w:rsid w:val="00564953"/>
    <w:rsid w:val="00564AAC"/>
    <w:rsid w:val="00564CCB"/>
    <w:rsid w:val="00564E25"/>
    <w:rsid w:val="00564F43"/>
    <w:rsid w:val="00565405"/>
    <w:rsid w:val="005659D9"/>
    <w:rsid w:val="00565ACB"/>
    <w:rsid w:val="00565B6C"/>
    <w:rsid w:val="0056603D"/>
    <w:rsid w:val="00566081"/>
    <w:rsid w:val="0056626C"/>
    <w:rsid w:val="00566A5F"/>
    <w:rsid w:val="00566A74"/>
    <w:rsid w:val="00566F48"/>
    <w:rsid w:val="00566F8A"/>
    <w:rsid w:val="00566FF2"/>
    <w:rsid w:val="0056784D"/>
    <w:rsid w:val="00567F24"/>
    <w:rsid w:val="00567FB9"/>
    <w:rsid w:val="0057029A"/>
    <w:rsid w:val="005703C0"/>
    <w:rsid w:val="005704F9"/>
    <w:rsid w:val="00570800"/>
    <w:rsid w:val="005709A5"/>
    <w:rsid w:val="00570BE6"/>
    <w:rsid w:val="00570CC9"/>
    <w:rsid w:val="005710C7"/>
    <w:rsid w:val="005711E1"/>
    <w:rsid w:val="00571963"/>
    <w:rsid w:val="00572016"/>
    <w:rsid w:val="005721BD"/>
    <w:rsid w:val="00572250"/>
    <w:rsid w:val="00572257"/>
    <w:rsid w:val="00572B6D"/>
    <w:rsid w:val="00573948"/>
    <w:rsid w:val="00574406"/>
    <w:rsid w:val="005746F5"/>
    <w:rsid w:val="00574763"/>
    <w:rsid w:val="00574FB5"/>
    <w:rsid w:val="00575235"/>
    <w:rsid w:val="0057569A"/>
    <w:rsid w:val="005758C9"/>
    <w:rsid w:val="00575D87"/>
    <w:rsid w:val="0057627A"/>
    <w:rsid w:val="0057645F"/>
    <w:rsid w:val="00576809"/>
    <w:rsid w:val="00577699"/>
    <w:rsid w:val="00577897"/>
    <w:rsid w:val="00580A17"/>
    <w:rsid w:val="00580BAF"/>
    <w:rsid w:val="005810CC"/>
    <w:rsid w:val="00581B22"/>
    <w:rsid w:val="005826A6"/>
    <w:rsid w:val="00582D4A"/>
    <w:rsid w:val="0058303B"/>
    <w:rsid w:val="0058333E"/>
    <w:rsid w:val="00583887"/>
    <w:rsid w:val="00583B3E"/>
    <w:rsid w:val="00583C67"/>
    <w:rsid w:val="00583E53"/>
    <w:rsid w:val="0058441A"/>
    <w:rsid w:val="0058444A"/>
    <w:rsid w:val="005847C1"/>
    <w:rsid w:val="00584B4E"/>
    <w:rsid w:val="00584CA4"/>
    <w:rsid w:val="00584FF7"/>
    <w:rsid w:val="00585567"/>
    <w:rsid w:val="0058573A"/>
    <w:rsid w:val="00585DFC"/>
    <w:rsid w:val="00586063"/>
    <w:rsid w:val="005860A3"/>
    <w:rsid w:val="0058620C"/>
    <w:rsid w:val="0058643F"/>
    <w:rsid w:val="005867FB"/>
    <w:rsid w:val="00586B64"/>
    <w:rsid w:val="00586C2A"/>
    <w:rsid w:val="0058791F"/>
    <w:rsid w:val="00587B7C"/>
    <w:rsid w:val="00587F22"/>
    <w:rsid w:val="00590BF3"/>
    <w:rsid w:val="00590C9C"/>
    <w:rsid w:val="00590D6F"/>
    <w:rsid w:val="00591232"/>
    <w:rsid w:val="0059135E"/>
    <w:rsid w:val="005916AC"/>
    <w:rsid w:val="005916E8"/>
    <w:rsid w:val="00591759"/>
    <w:rsid w:val="0059195C"/>
    <w:rsid w:val="00591F48"/>
    <w:rsid w:val="0059273A"/>
    <w:rsid w:val="00593603"/>
    <w:rsid w:val="00594500"/>
    <w:rsid w:val="00595B06"/>
    <w:rsid w:val="00595E34"/>
    <w:rsid w:val="00596040"/>
    <w:rsid w:val="00596157"/>
    <w:rsid w:val="00596276"/>
    <w:rsid w:val="005964D4"/>
    <w:rsid w:val="005966F8"/>
    <w:rsid w:val="00596776"/>
    <w:rsid w:val="00596936"/>
    <w:rsid w:val="00596C5E"/>
    <w:rsid w:val="00597401"/>
    <w:rsid w:val="00597493"/>
    <w:rsid w:val="00597579"/>
    <w:rsid w:val="005A0889"/>
    <w:rsid w:val="005A0A58"/>
    <w:rsid w:val="005A0B78"/>
    <w:rsid w:val="005A0BAC"/>
    <w:rsid w:val="005A0F28"/>
    <w:rsid w:val="005A10AE"/>
    <w:rsid w:val="005A14BC"/>
    <w:rsid w:val="005A1910"/>
    <w:rsid w:val="005A191B"/>
    <w:rsid w:val="005A2180"/>
    <w:rsid w:val="005A2326"/>
    <w:rsid w:val="005A2786"/>
    <w:rsid w:val="005A2C46"/>
    <w:rsid w:val="005A3517"/>
    <w:rsid w:val="005A3758"/>
    <w:rsid w:val="005A39E1"/>
    <w:rsid w:val="005A3DC2"/>
    <w:rsid w:val="005A3FFF"/>
    <w:rsid w:val="005A42A1"/>
    <w:rsid w:val="005A4309"/>
    <w:rsid w:val="005A4877"/>
    <w:rsid w:val="005A4B13"/>
    <w:rsid w:val="005A4E54"/>
    <w:rsid w:val="005A50C3"/>
    <w:rsid w:val="005A5504"/>
    <w:rsid w:val="005A5592"/>
    <w:rsid w:val="005A58A0"/>
    <w:rsid w:val="005A59A2"/>
    <w:rsid w:val="005A60F7"/>
    <w:rsid w:val="005A63D8"/>
    <w:rsid w:val="005A6704"/>
    <w:rsid w:val="005A69C9"/>
    <w:rsid w:val="005A6CE2"/>
    <w:rsid w:val="005A6ECF"/>
    <w:rsid w:val="005A707A"/>
    <w:rsid w:val="005A7150"/>
    <w:rsid w:val="005A739D"/>
    <w:rsid w:val="005A7934"/>
    <w:rsid w:val="005B0424"/>
    <w:rsid w:val="005B044A"/>
    <w:rsid w:val="005B048F"/>
    <w:rsid w:val="005B0694"/>
    <w:rsid w:val="005B06EA"/>
    <w:rsid w:val="005B07F3"/>
    <w:rsid w:val="005B09C1"/>
    <w:rsid w:val="005B1445"/>
    <w:rsid w:val="005B1F86"/>
    <w:rsid w:val="005B23CB"/>
    <w:rsid w:val="005B25C0"/>
    <w:rsid w:val="005B263F"/>
    <w:rsid w:val="005B26D8"/>
    <w:rsid w:val="005B27BB"/>
    <w:rsid w:val="005B2858"/>
    <w:rsid w:val="005B30AD"/>
    <w:rsid w:val="005B3221"/>
    <w:rsid w:val="005B413B"/>
    <w:rsid w:val="005B425F"/>
    <w:rsid w:val="005B44D4"/>
    <w:rsid w:val="005B47F7"/>
    <w:rsid w:val="005B49D4"/>
    <w:rsid w:val="005B4FE8"/>
    <w:rsid w:val="005B522D"/>
    <w:rsid w:val="005B524D"/>
    <w:rsid w:val="005B561F"/>
    <w:rsid w:val="005B5630"/>
    <w:rsid w:val="005B564D"/>
    <w:rsid w:val="005B5AB2"/>
    <w:rsid w:val="005B5CA4"/>
    <w:rsid w:val="005B5EB1"/>
    <w:rsid w:val="005B655C"/>
    <w:rsid w:val="005B69C4"/>
    <w:rsid w:val="005B6AA5"/>
    <w:rsid w:val="005B764B"/>
    <w:rsid w:val="005B7EDE"/>
    <w:rsid w:val="005C07BD"/>
    <w:rsid w:val="005C0917"/>
    <w:rsid w:val="005C105C"/>
    <w:rsid w:val="005C11D1"/>
    <w:rsid w:val="005C1DD0"/>
    <w:rsid w:val="005C1E46"/>
    <w:rsid w:val="005C286A"/>
    <w:rsid w:val="005C36E1"/>
    <w:rsid w:val="005C37EA"/>
    <w:rsid w:val="005C38BB"/>
    <w:rsid w:val="005C3C90"/>
    <w:rsid w:val="005C41B4"/>
    <w:rsid w:val="005C44D7"/>
    <w:rsid w:val="005C4AEA"/>
    <w:rsid w:val="005C50C3"/>
    <w:rsid w:val="005C57CD"/>
    <w:rsid w:val="005C5F91"/>
    <w:rsid w:val="005C6011"/>
    <w:rsid w:val="005C62FF"/>
    <w:rsid w:val="005C66E3"/>
    <w:rsid w:val="005C66E5"/>
    <w:rsid w:val="005C6AFF"/>
    <w:rsid w:val="005C6FA8"/>
    <w:rsid w:val="005C73C0"/>
    <w:rsid w:val="005C749C"/>
    <w:rsid w:val="005C7E35"/>
    <w:rsid w:val="005C7EF1"/>
    <w:rsid w:val="005D002A"/>
    <w:rsid w:val="005D00F3"/>
    <w:rsid w:val="005D0537"/>
    <w:rsid w:val="005D0D36"/>
    <w:rsid w:val="005D125B"/>
    <w:rsid w:val="005D147F"/>
    <w:rsid w:val="005D1EB0"/>
    <w:rsid w:val="005D1EEE"/>
    <w:rsid w:val="005D24D6"/>
    <w:rsid w:val="005D25B0"/>
    <w:rsid w:val="005D2819"/>
    <w:rsid w:val="005D295E"/>
    <w:rsid w:val="005D2EC2"/>
    <w:rsid w:val="005D2FE7"/>
    <w:rsid w:val="005D31C9"/>
    <w:rsid w:val="005D375C"/>
    <w:rsid w:val="005D3B19"/>
    <w:rsid w:val="005D43A6"/>
    <w:rsid w:val="005D452E"/>
    <w:rsid w:val="005D48A0"/>
    <w:rsid w:val="005D51DD"/>
    <w:rsid w:val="005D5709"/>
    <w:rsid w:val="005D5D3B"/>
    <w:rsid w:val="005D5FED"/>
    <w:rsid w:val="005D675D"/>
    <w:rsid w:val="005D6E10"/>
    <w:rsid w:val="005D6F1E"/>
    <w:rsid w:val="005D6FBC"/>
    <w:rsid w:val="005D711D"/>
    <w:rsid w:val="005D748D"/>
    <w:rsid w:val="005D7CB0"/>
    <w:rsid w:val="005D7CD4"/>
    <w:rsid w:val="005D7D25"/>
    <w:rsid w:val="005D7D92"/>
    <w:rsid w:val="005E00C8"/>
    <w:rsid w:val="005E0B03"/>
    <w:rsid w:val="005E0B12"/>
    <w:rsid w:val="005E0CBE"/>
    <w:rsid w:val="005E0DAB"/>
    <w:rsid w:val="005E12F6"/>
    <w:rsid w:val="005E1742"/>
    <w:rsid w:val="005E1A46"/>
    <w:rsid w:val="005E1AB5"/>
    <w:rsid w:val="005E1D73"/>
    <w:rsid w:val="005E2286"/>
    <w:rsid w:val="005E236F"/>
    <w:rsid w:val="005E253D"/>
    <w:rsid w:val="005E2DD7"/>
    <w:rsid w:val="005E2F96"/>
    <w:rsid w:val="005E3AA6"/>
    <w:rsid w:val="005E4511"/>
    <w:rsid w:val="005E50C0"/>
    <w:rsid w:val="005E5481"/>
    <w:rsid w:val="005E61FC"/>
    <w:rsid w:val="005E657E"/>
    <w:rsid w:val="005E6604"/>
    <w:rsid w:val="005E6623"/>
    <w:rsid w:val="005E682E"/>
    <w:rsid w:val="005E6994"/>
    <w:rsid w:val="005E7024"/>
    <w:rsid w:val="005E74FB"/>
    <w:rsid w:val="005E7AFD"/>
    <w:rsid w:val="005E7BB7"/>
    <w:rsid w:val="005E7C16"/>
    <w:rsid w:val="005E7E53"/>
    <w:rsid w:val="005F0341"/>
    <w:rsid w:val="005F05AA"/>
    <w:rsid w:val="005F0807"/>
    <w:rsid w:val="005F0A0F"/>
    <w:rsid w:val="005F0A90"/>
    <w:rsid w:val="005F1686"/>
    <w:rsid w:val="005F1C1D"/>
    <w:rsid w:val="005F23F8"/>
    <w:rsid w:val="005F2599"/>
    <w:rsid w:val="005F2A10"/>
    <w:rsid w:val="005F2B6A"/>
    <w:rsid w:val="005F2C06"/>
    <w:rsid w:val="005F2F6D"/>
    <w:rsid w:val="005F3757"/>
    <w:rsid w:val="005F378C"/>
    <w:rsid w:val="005F3BFB"/>
    <w:rsid w:val="005F3CA5"/>
    <w:rsid w:val="005F3EDE"/>
    <w:rsid w:val="005F421B"/>
    <w:rsid w:val="005F434F"/>
    <w:rsid w:val="005F4983"/>
    <w:rsid w:val="005F4A07"/>
    <w:rsid w:val="005F4B1B"/>
    <w:rsid w:val="005F50B2"/>
    <w:rsid w:val="005F5497"/>
    <w:rsid w:val="005F5549"/>
    <w:rsid w:val="005F573A"/>
    <w:rsid w:val="005F5813"/>
    <w:rsid w:val="005F5858"/>
    <w:rsid w:val="005F58E5"/>
    <w:rsid w:val="005F6045"/>
    <w:rsid w:val="005F661A"/>
    <w:rsid w:val="005F666A"/>
    <w:rsid w:val="005F695E"/>
    <w:rsid w:val="005F6F99"/>
    <w:rsid w:val="005F722B"/>
    <w:rsid w:val="005F73C9"/>
    <w:rsid w:val="005F754B"/>
    <w:rsid w:val="005F77A7"/>
    <w:rsid w:val="005F7AD1"/>
    <w:rsid w:val="005F7DF2"/>
    <w:rsid w:val="00600681"/>
    <w:rsid w:val="006008C6"/>
    <w:rsid w:val="00600905"/>
    <w:rsid w:val="00600C2C"/>
    <w:rsid w:val="00600E78"/>
    <w:rsid w:val="00601105"/>
    <w:rsid w:val="006012FE"/>
    <w:rsid w:val="00601473"/>
    <w:rsid w:val="006014E8"/>
    <w:rsid w:val="0060187B"/>
    <w:rsid w:val="00601A85"/>
    <w:rsid w:val="00601CFC"/>
    <w:rsid w:val="00602420"/>
    <w:rsid w:val="00602567"/>
    <w:rsid w:val="00602AF7"/>
    <w:rsid w:val="0060310C"/>
    <w:rsid w:val="006032F9"/>
    <w:rsid w:val="006036E0"/>
    <w:rsid w:val="00603B28"/>
    <w:rsid w:val="00604227"/>
    <w:rsid w:val="00604432"/>
    <w:rsid w:val="00604784"/>
    <w:rsid w:val="00605899"/>
    <w:rsid w:val="00605D1F"/>
    <w:rsid w:val="0060600D"/>
    <w:rsid w:val="0060634F"/>
    <w:rsid w:val="006063C9"/>
    <w:rsid w:val="006065D2"/>
    <w:rsid w:val="0060667B"/>
    <w:rsid w:val="00606681"/>
    <w:rsid w:val="00606851"/>
    <w:rsid w:val="00606C40"/>
    <w:rsid w:val="00607159"/>
    <w:rsid w:val="006071CB"/>
    <w:rsid w:val="006073E6"/>
    <w:rsid w:val="00607421"/>
    <w:rsid w:val="00607935"/>
    <w:rsid w:val="00610043"/>
    <w:rsid w:val="00610106"/>
    <w:rsid w:val="006102B0"/>
    <w:rsid w:val="0061030D"/>
    <w:rsid w:val="0061046C"/>
    <w:rsid w:val="00610733"/>
    <w:rsid w:val="006108CC"/>
    <w:rsid w:val="006116C3"/>
    <w:rsid w:val="00612963"/>
    <w:rsid w:val="00613240"/>
    <w:rsid w:val="006132E9"/>
    <w:rsid w:val="00613A92"/>
    <w:rsid w:val="00614B98"/>
    <w:rsid w:val="006151F1"/>
    <w:rsid w:val="0061530C"/>
    <w:rsid w:val="00615399"/>
    <w:rsid w:val="006154FB"/>
    <w:rsid w:val="0061585B"/>
    <w:rsid w:val="00615DA5"/>
    <w:rsid w:val="00616498"/>
    <w:rsid w:val="00616589"/>
    <w:rsid w:val="0061676C"/>
    <w:rsid w:val="00616917"/>
    <w:rsid w:val="00616C0D"/>
    <w:rsid w:val="00616D34"/>
    <w:rsid w:val="00616E6B"/>
    <w:rsid w:val="00617144"/>
    <w:rsid w:val="00617427"/>
    <w:rsid w:val="00617508"/>
    <w:rsid w:val="0061793F"/>
    <w:rsid w:val="00617BFD"/>
    <w:rsid w:val="00617F1D"/>
    <w:rsid w:val="006207B5"/>
    <w:rsid w:val="006208D5"/>
    <w:rsid w:val="006209CB"/>
    <w:rsid w:val="00620BAE"/>
    <w:rsid w:val="00620D6C"/>
    <w:rsid w:val="00620F5C"/>
    <w:rsid w:val="00620F9B"/>
    <w:rsid w:val="006215FD"/>
    <w:rsid w:val="00621915"/>
    <w:rsid w:val="00621921"/>
    <w:rsid w:val="00621E68"/>
    <w:rsid w:val="006220C2"/>
    <w:rsid w:val="006227B5"/>
    <w:rsid w:val="00622904"/>
    <w:rsid w:val="00622C72"/>
    <w:rsid w:val="00623089"/>
    <w:rsid w:val="006234B9"/>
    <w:rsid w:val="0062374C"/>
    <w:rsid w:val="00624195"/>
    <w:rsid w:val="00624AB8"/>
    <w:rsid w:val="00624F0F"/>
    <w:rsid w:val="006250FE"/>
    <w:rsid w:val="00625510"/>
    <w:rsid w:val="00625A26"/>
    <w:rsid w:val="00626008"/>
    <w:rsid w:val="0062618D"/>
    <w:rsid w:val="00626355"/>
    <w:rsid w:val="0062639C"/>
    <w:rsid w:val="0062652E"/>
    <w:rsid w:val="00626793"/>
    <w:rsid w:val="00626C33"/>
    <w:rsid w:val="00627153"/>
    <w:rsid w:val="0062748F"/>
    <w:rsid w:val="006275B8"/>
    <w:rsid w:val="0062777D"/>
    <w:rsid w:val="00627B9D"/>
    <w:rsid w:val="00630144"/>
    <w:rsid w:val="006303A1"/>
    <w:rsid w:val="006308D4"/>
    <w:rsid w:val="006309E4"/>
    <w:rsid w:val="00630C5B"/>
    <w:rsid w:val="00631BB1"/>
    <w:rsid w:val="00631DF1"/>
    <w:rsid w:val="00631FC9"/>
    <w:rsid w:val="00632139"/>
    <w:rsid w:val="006321D9"/>
    <w:rsid w:val="006329C7"/>
    <w:rsid w:val="00632A63"/>
    <w:rsid w:val="00632D4F"/>
    <w:rsid w:val="006335AC"/>
    <w:rsid w:val="006336A9"/>
    <w:rsid w:val="00633C9E"/>
    <w:rsid w:val="00633DE7"/>
    <w:rsid w:val="00634BB7"/>
    <w:rsid w:val="00634DB8"/>
    <w:rsid w:val="00634E12"/>
    <w:rsid w:val="00634F3A"/>
    <w:rsid w:val="00635698"/>
    <w:rsid w:val="006356A0"/>
    <w:rsid w:val="00635952"/>
    <w:rsid w:val="006360FC"/>
    <w:rsid w:val="00636A0D"/>
    <w:rsid w:val="00636E15"/>
    <w:rsid w:val="00636F87"/>
    <w:rsid w:val="0063705A"/>
    <w:rsid w:val="0064014E"/>
    <w:rsid w:val="0064028E"/>
    <w:rsid w:val="006403FC"/>
    <w:rsid w:val="006409C5"/>
    <w:rsid w:val="00640EBE"/>
    <w:rsid w:val="0064144E"/>
    <w:rsid w:val="006415F1"/>
    <w:rsid w:val="00641E22"/>
    <w:rsid w:val="00641FEC"/>
    <w:rsid w:val="00642044"/>
    <w:rsid w:val="006425B1"/>
    <w:rsid w:val="006428AF"/>
    <w:rsid w:val="00642991"/>
    <w:rsid w:val="00642A78"/>
    <w:rsid w:val="00642B36"/>
    <w:rsid w:val="00642CA3"/>
    <w:rsid w:val="0064305E"/>
    <w:rsid w:val="00643199"/>
    <w:rsid w:val="00643724"/>
    <w:rsid w:val="00643918"/>
    <w:rsid w:val="00643A81"/>
    <w:rsid w:val="00643DA6"/>
    <w:rsid w:val="00644011"/>
    <w:rsid w:val="006444E0"/>
    <w:rsid w:val="00644EA7"/>
    <w:rsid w:val="0064503B"/>
    <w:rsid w:val="00646382"/>
    <w:rsid w:val="00646704"/>
    <w:rsid w:val="006468D7"/>
    <w:rsid w:val="00646A92"/>
    <w:rsid w:val="00646F67"/>
    <w:rsid w:val="006471EB"/>
    <w:rsid w:val="00647667"/>
    <w:rsid w:val="006476C7"/>
    <w:rsid w:val="00647962"/>
    <w:rsid w:val="00647B32"/>
    <w:rsid w:val="00647C9F"/>
    <w:rsid w:val="0065015F"/>
    <w:rsid w:val="006502E8"/>
    <w:rsid w:val="00650EAE"/>
    <w:rsid w:val="0065115E"/>
    <w:rsid w:val="00651C0A"/>
    <w:rsid w:val="00651E06"/>
    <w:rsid w:val="00651EA9"/>
    <w:rsid w:val="00651FDB"/>
    <w:rsid w:val="006524B9"/>
    <w:rsid w:val="0065264E"/>
    <w:rsid w:val="00652A04"/>
    <w:rsid w:val="00652B44"/>
    <w:rsid w:val="00652D04"/>
    <w:rsid w:val="00652F7C"/>
    <w:rsid w:val="0065304E"/>
    <w:rsid w:val="006531F3"/>
    <w:rsid w:val="00653292"/>
    <w:rsid w:val="00653857"/>
    <w:rsid w:val="00653DEC"/>
    <w:rsid w:val="006541D9"/>
    <w:rsid w:val="006541EC"/>
    <w:rsid w:val="006542C2"/>
    <w:rsid w:val="00654633"/>
    <w:rsid w:val="0065481C"/>
    <w:rsid w:val="00654C31"/>
    <w:rsid w:val="006551DD"/>
    <w:rsid w:val="00655261"/>
    <w:rsid w:val="00655992"/>
    <w:rsid w:val="00655AF0"/>
    <w:rsid w:val="00655CBE"/>
    <w:rsid w:val="00655D27"/>
    <w:rsid w:val="00655D7B"/>
    <w:rsid w:val="006566B6"/>
    <w:rsid w:val="00656911"/>
    <w:rsid w:val="006569B3"/>
    <w:rsid w:val="00656EB3"/>
    <w:rsid w:val="006576B3"/>
    <w:rsid w:val="00657978"/>
    <w:rsid w:val="00657AF9"/>
    <w:rsid w:val="00660199"/>
    <w:rsid w:val="00660A89"/>
    <w:rsid w:val="00661161"/>
    <w:rsid w:val="00661419"/>
    <w:rsid w:val="00661A50"/>
    <w:rsid w:val="00661AAB"/>
    <w:rsid w:val="00661C11"/>
    <w:rsid w:val="006624D7"/>
    <w:rsid w:val="006626CC"/>
    <w:rsid w:val="00662A7E"/>
    <w:rsid w:val="00662E0D"/>
    <w:rsid w:val="00663823"/>
    <w:rsid w:val="00663897"/>
    <w:rsid w:val="0066439E"/>
    <w:rsid w:val="00664440"/>
    <w:rsid w:val="006644DB"/>
    <w:rsid w:val="00664A6F"/>
    <w:rsid w:val="00664B54"/>
    <w:rsid w:val="00664FD8"/>
    <w:rsid w:val="006657C7"/>
    <w:rsid w:val="006658B4"/>
    <w:rsid w:val="00665AD2"/>
    <w:rsid w:val="00666153"/>
    <w:rsid w:val="006667A8"/>
    <w:rsid w:val="0066691C"/>
    <w:rsid w:val="00666DBC"/>
    <w:rsid w:val="00667D03"/>
    <w:rsid w:val="00667E2B"/>
    <w:rsid w:val="00670127"/>
    <w:rsid w:val="006710A6"/>
    <w:rsid w:val="00671176"/>
    <w:rsid w:val="0067141C"/>
    <w:rsid w:val="006714BE"/>
    <w:rsid w:val="00671A90"/>
    <w:rsid w:val="00671F93"/>
    <w:rsid w:val="006720A1"/>
    <w:rsid w:val="006720A7"/>
    <w:rsid w:val="00672A53"/>
    <w:rsid w:val="0067347F"/>
    <w:rsid w:val="00673568"/>
    <w:rsid w:val="00673720"/>
    <w:rsid w:val="006737EC"/>
    <w:rsid w:val="00673851"/>
    <w:rsid w:val="0067392A"/>
    <w:rsid w:val="00673CA8"/>
    <w:rsid w:val="00673D85"/>
    <w:rsid w:val="00673EE1"/>
    <w:rsid w:val="00673EF8"/>
    <w:rsid w:val="00674321"/>
    <w:rsid w:val="006745A5"/>
    <w:rsid w:val="00674623"/>
    <w:rsid w:val="00674998"/>
    <w:rsid w:val="006749B6"/>
    <w:rsid w:val="006752B2"/>
    <w:rsid w:val="00675335"/>
    <w:rsid w:val="0067555D"/>
    <w:rsid w:val="006757DE"/>
    <w:rsid w:val="00675F17"/>
    <w:rsid w:val="0067660E"/>
    <w:rsid w:val="006767D5"/>
    <w:rsid w:val="0067691F"/>
    <w:rsid w:val="00676B2F"/>
    <w:rsid w:val="00677A63"/>
    <w:rsid w:val="00680098"/>
    <w:rsid w:val="0068021E"/>
    <w:rsid w:val="006803D3"/>
    <w:rsid w:val="00680A04"/>
    <w:rsid w:val="00681000"/>
    <w:rsid w:val="00681475"/>
    <w:rsid w:val="006815D8"/>
    <w:rsid w:val="00681C39"/>
    <w:rsid w:val="00682176"/>
    <w:rsid w:val="006821B7"/>
    <w:rsid w:val="006822B0"/>
    <w:rsid w:val="00682714"/>
    <w:rsid w:val="006829FF"/>
    <w:rsid w:val="00682ADF"/>
    <w:rsid w:val="00682BC8"/>
    <w:rsid w:val="00683263"/>
    <w:rsid w:val="006832FA"/>
    <w:rsid w:val="00683B70"/>
    <w:rsid w:val="00683EF6"/>
    <w:rsid w:val="00684028"/>
    <w:rsid w:val="006840A4"/>
    <w:rsid w:val="006841FE"/>
    <w:rsid w:val="00685335"/>
    <w:rsid w:val="0068560D"/>
    <w:rsid w:val="00685663"/>
    <w:rsid w:val="0068590E"/>
    <w:rsid w:val="00685DD3"/>
    <w:rsid w:val="006866FC"/>
    <w:rsid w:val="00686CA5"/>
    <w:rsid w:val="00686CE2"/>
    <w:rsid w:val="00687222"/>
    <w:rsid w:val="00687449"/>
    <w:rsid w:val="006875C7"/>
    <w:rsid w:val="00687835"/>
    <w:rsid w:val="00687AA6"/>
    <w:rsid w:val="00687C26"/>
    <w:rsid w:val="0069014D"/>
    <w:rsid w:val="0069027B"/>
    <w:rsid w:val="0069061E"/>
    <w:rsid w:val="006906FE"/>
    <w:rsid w:val="0069090F"/>
    <w:rsid w:val="00690A70"/>
    <w:rsid w:val="0069128C"/>
    <w:rsid w:val="006912FB"/>
    <w:rsid w:val="00691FC7"/>
    <w:rsid w:val="006929EE"/>
    <w:rsid w:val="00692A3E"/>
    <w:rsid w:val="00693214"/>
    <w:rsid w:val="00693294"/>
    <w:rsid w:val="00693584"/>
    <w:rsid w:val="006937D9"/>
    <w:rsid w:val="00693BD7"/>
    <w:rsid w:val="00694088"/>
    <w:rsid w:val="00694470"/>
    <w:rsid w:val="00694545"/>
    <w:rsid w:val="0069517D"/>
    <w:rsid w:val="006951CA"/>
    <w:rsid w:val="006955E0"/>
    <w:rsid w:val="006955F6"/>
    <w:rsid w:val="00695632"/>
    <w:rsid w:val="00695709"/>
    <w:rsid w:val="006959A4"/>
    <w:rsid w:val="00695AF5"/>
    <w:rsid w:val="00695C5F"/>
    <w:rsid w:val="00696046"/>
    <w:rsid w:val="006965FC"/>
    <w:rsid w:val="00696789"/>
    <w:rsid w:val="00696C99"/>
    <w:rsid w:val="0069715C"/>
    <w:rsid w:val="006971F8"/>
    <w:rsid w:val="006972B1"/>
    <w:rsid w:val="00697DC2"/>
    <w:rsid w:val="00697F21"/>
    <w:rsid w:val="00697F47"/>
    <w:rsid w:val="00697FF9"/>
    <w:rsid w:val="006A042E"/>
    <w:rsid w:val="006A052B"/>
    <w:rsid w:val="006A08FC"/>
    <w:rsid w:val="006A0D60"/>
    <w:rsid w:val="006A0F91"/>
    <w:rsid w:val="006A1095"/>
    <w:rsid w:val="006A10BD"/>
    <w:rsid w:val="006A18AD"/>
    <w:rsid w:val="006A1B87"/>
    <w:rsid w:val="006A1C18"/>
    <w:rsid w:val="006A1C76"/>
    <w:rsid w:val="006A1DA3"/>
    <w:rsid w:val="006A1DC1"/>
    <w:rsid w:val="006A2194"/>
    <w:rsid w:val="006A26D4"/>
    <w:rsid w:val="006A282E"/>
    <w:rsid w:val="006A2885"/>
    <w:rsid w:val="006A2D1A"/>
    <w:rsid w:val="006A32FA"/>
    <w:rsid w:val="006A333F"/>
    <w:rsid w:val="006A3561"/>
    <w:rsid w:val="006A3A0C"/>
    <w:rsid w:val="006A3D18"/>
    <w:rsid w:val="006A44CF"/>
    <w:rsid w:val="006A48F6"/>
    <w:rsid w:val="006A4A50"/>
    <w:rsid w:val="006A4C12"/>
    <w:rsid w:val="006A4E23"/>
    <w:rsid w:val="006A5278"/>
    <w:rsid w:val="006A5DDD"/>
    <w:rsid w:val="006A609D"/>
    <w:rsid w:val="006A6355"/>
    <w:rsid w:val="006A6C56"/>
    <w:rsid w:val="006A744A"/>
    <w:rsid w:val="006A7D23"/>
    <w:rsid w:val="006B00CF"/>
    <w:rsid w:val="006B00FF"/>
    <w:rsid w:val="006B028F"/>
    <w:rsid w:val="006B0409"/>
    <w:rsid w:val="006B0995"/>
    <w:rsid w:val="006B18B9"/>
    <w:rsid w:val="006B1DD4"/>
    <w:rsid w:val="006B1EBB"/>
    <w:rsid w:val="006B1FE5"/>
    <w:rsid w:val="006B2468"/>
    <w:rsid w:val="006B2B67"/>
    <w:rsid w:val="006B2BC4"/>
    <w:rsid w:val="006B2EB4"/>
    <w:rsid w:val="006B3098"/>
    <w:rsid w:val="006B340A"/>
    <w:rsid w:val="006B35A9"/>
    <w:rsid w:val="006B3612"/>
    <w:rsid w:val="006B3772"/>
    <w:rsid w:val="006B3A36"/>
    <w:rsid w:val="006B4234"/>
    <w:rsid w:val="006B440E"/>
    <w:rsid w:val="006B452D"/>
    <w:rsid w:val="006B48F7"/>
    <w:rsid w:val="006B4BB2"/>
    <w:rsid w:val="006B513F"/>
    <w:rsid w:val="006B52CA"/>
    <w:rsid w:val="006B53DB"/>
    <w:rsid w:val="006B5711"/>
    <w:rsid w:val="006B5F02"/>
    <w:rsid w:val="006B600D"/>
    <w:rsid w:val="006B604F"/>
    <w:rsid w:val="006B63E1"/>
    <w:rsid w:val="006B6842"/>
    <w:rsid w:val="006B6F7A"/>
    <w:rsid w:val="006B6FD0"/>
    <w:rsid w:val="006B7926"/>
    <w:rsid w:val="006C01B5"/>
    <w:rsid w:val="006C04AD"/>
    <w:rsid w:val="006C0BFC"/>
    <w:rsid w:val="006C1015"/>
    <w:rsid w:val="006C1129"/>
    <w:rsid w:val="006C11E9"/>
    <w:rsid w:val="006C18B0"/>
    <w:rsid w:val="006C1A27"/>
    <w:rsid w:val="006C1CEF"/>
    <w:rsid w:val="006C2300"/>
    <w:rsid w:val="006C250F"/>
    <w:rsid w:val="006C25C4"/>
    <w:rsid w:val="006C2672"/>
    <w:rsid w:val="006C279B"/>
    <w:rsid w:val="006C2DB0"/>
    <w:rsid w:val="006C36B8"/>
    <w:rsid w:val="006C3C32"/>
    <w:rsid w:val="006C3F72"/>
    <w:rsid w:val="006C47B4"/>
    <w:rsid w:val="006C488B"/>
    <w:rsid w:val="006C5032"/>
    <w:rsid w:val="006C6056"/>
    <w:rsid w:val="006C6B17"/>
    <w:rsid w:val="006C709E"/>
    <w:rsid w:val="006C76B1"/>
    <w:rsid w:val="006C7899"/>
    <w:rsid w:val="006C78DB"/>
    <w:rsid w:val="006C7B6F"/>
    <w:rsid w:val="006C7D2A"/>
    <w:rsid w:val="006D0565"/>
    <w:rsid w:val="006D0731"/>
    <w:rsid w:val="006D0AC5"/>
    <w:rsid w:val="006D19A7"/>
    <w:rsid w:val="006D1D94"/>
    <w:rsid w:val="006D2089"/>
    <w:rsid w:val="006D2952"/>
    <w:rsid w:val="006D2BDA"/>
    <w:rsid w:val="006D2C2D"/>
    <w:rsid w:val="006D2C35"/>
    <w:rsid w:val="006D3C81"/>
    <w:rsid w:val="006D3D52"/>
    <w:rsid w:val="006D4905"/>
    <w:rsid w:val="006D497F"/>
    <w:rsid w:val="006D4BA7"/>
    <w:rsid w:val="006D528B"/>
    <w:rsid w:val="006D56A7"/>
    <w:rsid w:val="006D5882"/>
    <w:rsid w:val="006D5A03"/>
    <w:rsid w:val="006D5B76"/>
    <w:rsid w:val="006D60F4"/>
    <w:rsid w:val="006D6264"/>
    <w:rsid w:val="006D63C8"/>
    <w:rsid w:val="006D6C08"/>
    <w:rsid w:val="006D6C22"/>
    <w:rsid w:val="006D7292"/>
    <w:rsid w:val="006D74E4"/>
    <w:rsid w:val="006D754E"/>
    <w:rsid w:val="006D7608"/>
    <w:rsid w:val="006D7B38"/>
    <w:rsid w:val="006D7E6D"/>
    <w:rsid w:val="006D7EE5"/>
    <w:rsid w:val="006E08C6"/>
    <w:rsid w:val="006E0BA5"/>
    <w:rsid w:val="006E0BAD"/>
    <w:rsid w:val="006E0DA7"/>
    <w:rsid w:val="006E0F73"/>
    <w:rsid w:val="006E0FD2"/>
    <w:rsid w:val="006E1175"/>
    <w:rsid w:val="006E16D4"/>
    <w:rsid w:val="006E1979"/>
    <w:rsid w:val="006E1BAE"/>
    <w:rsid w:val="006E1BF9"/>
    <w:rsid w:val="006E27F3"/>
    <w:rsid w:val="006E28F7"/>
    <w:rsid w:val="006E2D2C"/>
    <w:rsid w:val="006E2E2C"/>
    <w:rsid w:val="006E300C"/>
    <w:rsid w:val="006E3477"/>
    <w:rsid w:val="006E4558"/>
    <w:rsid w:val="006E4587"/>
    <w:rsid w:val="006E4598"/>
    <w:rsid w:val="006E46E5"/>
    <w:rsid w:val="006E4836"/>
    <w:rsid w:val="006E4B7A"/>
    <w:rsid w:val="006E52FD"/>
    <w:rsid w:val="006E61BE"/>
    <w:rsid w:val="006E6291"/>
    <w:rsid w:val="006E64DA"/>
    <w:rsid w:val="006E6D27"/>
    <w:rsid w:val="006E7151"/>
    <w:rsid w:val="006E7397"/>
    <w:rsid w:val="006E76C2"/>
    <w:rsid w:val="006E7802"/>
    <w:rsid w:val="006E7970"/>
    <w:rsid w:val="006F021E"/>
    <w:rsid w:val="006F0650"/>
    <w:rsid w:val="006F0692"/>
    <w:rsid w:val="006F0A2B"/>
    <w:rsid w:val="006F0C1B"/>
    <w:rsid w:val="006F0CD9"/>
    <w:rsid w:val="006F0E12"/>
    <w:rsid w:val="006F0ECD"/>
    <w:rsid w:val="006F0F15"/>
    <w:rsid w:val="006F156E"/>
    <w:rsid w:val="006F1B20"/>
    <w:rsid w:val="006F1F46"/>
    <w:rsid w:val="006F1F8D"/>
    <w:rsid w:val="006F2345"/>
    <w:rsid w:val="006F29A7"/>
    <w:rsid w:val="006F2AA5"/>
    <w:rsid w:val="006F2D35"/>
    <w:rsid w:val="006F3100"/>
    <w:rsid w:val="006F311C"/>
    <w:rsid w:val="006F32B3"/>
    <w:rsid w:val="006F33B1"/>
    <w:rsid w:val="006F3788"/>
    <w:rsid w:val="006F38CC"/>
    <w:rsid w:val="006F3FB3"/>
    <w:rsid w:val="006F4094"/>
    <w:rsid w:val="006F4108"/>
    <w:rsid w:val="006F4465"/>
    <w:rsid w:val="006F478F"/>
    <w:rsid w:val="006F4BC7"/>
    <w:rsid w:val="006F4D21"/>
    <w:rsid w:val="006F4E75"/>
    <w:rsid w:val="006F514A"/>
    <w:rsid w:val="006F564F"/>
    <w:rsid w:val="006F569D"/>
    <w:rsid w:val="006F577F"/>
    <w:rsid w:val="006F61A9"/>
    <w:rsid w:val="006F640C"/>
    <w:rsid w:val="006F6739"/>
    <w:rsid w:val="006F67A0"/>
    <w:rsid w:val="006F6917"/>
    <w:rsid w:val="006F7692"/>
    <w:rsid w:val="006F7DB5"/>
    <w:rsid w:val="00700082"/>
    <w:rsid w:val="00700191"/>
    <w:rsid w:val="00700662"/>
    <w:rsid w:val="00700AC8"/>
    <w:rsid w:val="00700C03"/>
    <w:rsid w:val="00700DFA"/>
    <w:rsid w:val="007011A0"/>
    <w:rsid w:val="007015EC"/>
    <w:rsid w:val="00701806"/>
    <w:rsid w:val="00701994"/>
    <w:rsid w:val="00701A7A"/>
    <w:rsid w:val="00701B82"/>
    <w:rsid w:val="00702025"/>
    <w:rsid w:val="00702558"/>
    <w:rsid w:val="00702944"/>
    <w:rsid w:val="00702B7E"/>
    <w:rsid w:val="00702EB6"/>
    <w:rsid w:val="00702ECA"/>
    <w:rsid w:val="007030C8"/>
    <w:rsid w:val="0070323F"/>
    <w:rsid w:val="0070367C"/>
    <w:rsid w:val="007037A3"/>
    <w:rsid w:val="00703EB5"/>
    <w:rsid w:val="00704257"/>
    <w:rsid w:val="007044A3"/>
    <w:rsid w:val="00704697"/>
    <w:rsid w:val="00704A00"/>
    <w:rsid w:val="00705CFF"/>
    <w:rsid w:val="00705D2C"/>
    <w:rsid w:val="00705DBD"/>
    <w:rsid w:val="00705EA9"/>
    <w:rsid w:val="007063BE"/>
    <w:rsid w:val="00706862"/>
    <w:rsid w:val="007069A1"/>
    <w:rsid w:val="00706FBE"/>
    <w:rsid w:val="0070716F"/>
    <w:rsid w:val="00707228"/>
    <w:rsid w:val="0070730C"/>
    <w:rsid w:val="00707B46"/>
    <w:rsid w:val="00707DAE"/>
    <w:rsid w:val="00707DAF"/>
    <w:rsid w:val="00707FDE"/>
    <w:rsid w:val="00710538"/>
    <w:rsid w:val="0071082C"/>
    <w:rsid w:val="00710A2F"/>
    <w:rsid w:val="00710A6B"/>
    <w:rsid w:val="00710C32"/>
    <w:rsid w:val="00710C54"/>
    <w:rsid w:val="007112AD"/>
    <w:rsid w:val="007118B8"/>
    <w:rsid w:val="00711E44"/>
    <w:rsid w:val="00712A7C"/>
    <w:rsid w:val="00712C11"/>
    <w:rsid w:val="00712E1D"/>
    <w:rsid w:val="00712E94"/>
    <w:rsid w:val="00712FEB"/>
    <w:rsid w:val="007132D9"/>
    <w:rsid w:val="007134DD"/>
    <w:rsid w:val="00713610"/>
    <w:rsid w:val="00713A72"/>
    <w:rsid w:val="00713EFD"/>
    <w:rsid w:val="007140D2"/>
    <w:rsid w:val="00714234"/>
    <w:rsid w:val="00714A9A"/>
    <w:rsid w:val="00714E67"/>
    <w:rsid w:val="0071517D"/>
    <w:rsid w:val="00715387"/>
    <w:rsid w:val="007158D3"/>
    <w:rsid w:val="00715C7D"/>
    <w:rsid w:val="00716761"/>
    <w:rsid w:val="00716999"/>
    <w:rsid w:val="00716D8B"/>
    <w:rsid w:val="0071738B"/>
    <w:rsid w:val="007175BB"/>
    <w:rsid w:val="00717610"/>
    <w:rsid w:val="00717937"/>
    <w:rsid w:val="00717A79"/>
    <w:rsid w:val="00717A87"/>
    <w:rsid w:val="00717DAA"/>
    <w:rsid w:val="00717FD9"/>
    <w:rsid w:val="007201B5"/>
    <w:rsid w:val="007203B6"/>
    <w:rsid w:val="00720586"/>
    <w:rsid w:val="007205DF"/>
    <w:rsid w:val="007206BD"/>
    <w:rsid w:val="00720781"/>
    <w:rsid w:val="0072096B"/>
    <w:rsid w:val="00720F38"/>
    <w:rsid w:val="00721227"/>
    <w:rsid w:val="007214C5"/>
    <w:rsid w:val="007214F6"/>
    <w:rsid w:val="007217FE"/>
    <w:rsid w:val="00721A01"/>
    <w:rsid w:val="00721B68"/>
    <w:rsid w:val="00721BA1"/>
    <w:rsid w:val="00721CAE"/>
    <w:rsid w:val="00721F1A"/>
    <w:rsid w:val="00721FCE"/>
    <w:rsid w:val="007223B0"/>
    <w:rsid w:val="0072283D"/>
    <w:rsid w:val="00722970"/>
    <w:rsid w:val="00722CA5"/>
    <w:rsid w:val="00722F75"/>
    <w:rsid w:val="007230FD"/>
    <w:rsid w:val="0072320E"/>
    <w:rsid w:val="00723790"/>
    <w:rsid w:val="0072390B"/>
    <w:rsid w:val="007239DA"/>
    <w:rsid w:val="00723E47"/>
    <w:rsid w:val="0072417B"/>
    <w:rsid w:val="00724250"/>
    <w:rsid w:val="00724606"/>
    <w:rsid w:val="00724916"/>
    <w:rsid w:val="00724C7E"/>
    <w:rsid w:val="007250C5"/>
    <w:rsid w:val="00725747"/>
    <w:rsid w:val="00725C9A"/>
    <w:rsid w:val="00725DB7"/>
    <w:rsid w:val="007262E8"/>
    <w:rsid w:val="007265AF"/>
    <w:rsid w:val="0072665B"/>
    <w:rsid w:val="0072671B"/>
    <w:rsid w:val="00727004"/>
    <w:rsid w:val="007273B2"/>
    <w:rsid w:val="00727BC7"/>
    <w:rsid w:val="00730147"/>
    <w:rsid w:val="00730FB3"/>
    <w:rsid w:val="007310C0"/>
    <w:rsid w:val="00731D35"/>
    <w:rsid w:val="00731D48"/>
    <w:rsid w:val="007324CA"/>
    <w:rsid w:val="0073259D"/>
    <w:rsid w:val="007325D8"/>
    <w:rsid w:val="0073269B"/>
    <w:rsid w:val="00732F19"/>
    <w:rsid w:val="007337A9"/>
    <w:rsid w:val="00733BFA"/>
    <w:rsid w:val="0073438A"/>
    <w:rsid w:val="007343C6"/>
    <w:rsid w:val="0073457E"/>
    <w:rsid w:val="00734B5D"/>
    <w:rsid w:val="00734BBB"/>
    <w:rsid w:val="00734E94"/>
    <w:rsid w:val="00734EDD"/>
    <w:rsid w:val="00735170"/>
    <w:rsid w:val="00735861"/>
    <w:rsid w:val="007358F9"/>
    <w:rsid w:val="00735A97"/>
    <w:rsid w:val="00735FBC"/>
    <w:rsid w:val="0073618B"/>
    <w:rsid w:val="00736CBE"/>
    <w:rsid w:val="00737416"/>
    <w:rsid w:val="00737765"/>
    <w:rsid w:val="00737E48"/>
    <w:rsid w:val="00737F2F"/>
    <w:rsid w:val="00740724"/>
    <w:rsid w:val="00740E31"/>
    <w:rsid w:val="00740E54"/>
    <w:rsid w:val="00740E62"/>
    <w:rsid w:val="007410BF"/>
    <w:rsid w:val="007410CD"/>
    <w:rsid w:val="00741CD8"/>
    <w:rsid w:val="00741D43"/>
    <w:rsid w:val="00741FD1"/>
    <w:rsid w:val="00742081"/>
    <w:rsid w:val="0074220F"/>
    <w:rsid w:val="00742253"/>
    <w:rsid w:val="0074280E"/>
    <w:rsid w:val="00742FC3"/>
    <w:rsid w:val="0074312B"/>
    <w:rsid w:val="0074321F"/>
    <w:rsid w:val="00743439"/>
    <w:rsid w:val="007435FB"/>
    <w:rsid w:val="00743952"/>
    <w:rsid w:val="00743BDB"/>
    <w:rsid w:val="00744235"/>
    <w:rsid w:val="00744766"/>
    <w:rsid w:val="007451C7"/>
    <w:rsid w:val="00745619"/>
    <w:rsid w:val="00745694"/>
    <w:rsid w:val="00745A38"/>
    <w:rsid w:val="00745E3D"/>
    <w:rsid w:val="00745F87"/>
    <w:rsid w:val="007460B0"/>
    <w:rsid w:val="00746203"/>
    <w:rsid w:val="007464EF"/>
    <w:rsid w:val="00746732"/>
    <w:rsid w:val="0074686D"/>
    <w:rsid w:val="00746A50"/>
    <w:rsid w:val="00746F24"/>
    <w:rsid w:val="007473FD"/>
    <w:rsid w:val="00747966"/>
    <w:rsid w:val="00747B48"/>
    <w:rsid w:val="00747D35"/>
    <w:rsid w:val="00747DD4"/>
    <w:rsid w:val="00747FE0"/>
    <w:rsid w:val="0075040C"/>
    <w:rsid w:val="0075040E"/>
    <w:rsid w:val="00750482"/>
    <w:rsid w:val="00750610"/>
    <w:rsid w:val="007507AE"/>
    <w:rsid w:val="007517E1"/>
    <w:rsid w:val="00751A53"/>
    <w:rsid w:val="00751AD2"/>
    <w:rsid w:val="00751AE0"/>
    <w:rsid w:val="00751B3D"/>
    <w:rsid w:val="00751B64"/>
    <w:rsid w:val="00751E73"/>
    <w:rsid w:val="0075201F"/>
    <w:rsid w:val="00752059"/>
    <w:rsid w:val="007526B3"/>
    <w:rsid w:val="0075272D"/>
    <w:rsid w:val="00752B93"/>
    <w:rsid w:val="00752FB9"/>
    <w:rsid w:val="0075331B"/>
    <w:rsid w:val="00753FFE"/>
    <w:rsid w:val="00754529"/>
    <w:rsid w:val="007549BE"/>
    <w:rsid w:val="00754CFD"/>
    <w:rsid w:val="00754DDF"/>
    <w:rsid w:val="00754E52"/>
    <w:rsid w:val="007553DD"/>
    <w:rsid w:val="00756061"/>
    <w:rsid w:val="00756640"/>
    <w:rsid w:val="0075676B"/>
    <w:rsid w:val="0075695D"/>
    <w:rsid w:val="0075714A"/>
    <w:rsid w:val="0075718B"/>
    <w:rsid w:val="00757B1D"/>
    <w:rsid w:val="00757E73"/>
    <w:rsid w:val="00757FDD"/>
    <w:rsid w:val="00760050"/>
    <w:rsid w:val="007603F0"/>
    <w:rsid w:val="00760415"/>
    <w:rsid w:val="0076057F"/>
    <w:rsid w:val="0076058D"/>
    <w:rsid w:val="007607B4"/>
    <w:rsid w:val="00760A3A"/>
    <w:rsid w:val="007614D7"/>
    <w:rsid w:val="0076171B"/>
    <w:rsid w:val="0076184B"/>
    <w:rsid w:val="0076192F"/>
    <w:rsid w:val="0076198B"/>
    <w:rsid w:val="00761F1C"/>
    <w:rsid w:val="0076243B"/>
    <w:rsid w:val="00762502"/>
    <w:rsid w:val="00762513"/>
    <w:rsid w:val="00762B28"/>
    <w:rsid w:val="00762B59"/>
    <w:rsid w:val="00762DF5"/>
    <w:rsid w:val="00763153"/>
    <w:rsid w:val="0076341F"/>
    <w:rsid w:val="00763915"/>
    <w:rsid w:val="00763D89"/>
    <w:rsid w:val="00763DCC"/>
    <w:rsid w:val="007648FD"/>
    <w:rsid w:val="00764C83"/>
    <w:rsid w:val="00764CDE"/>
    <w:rsid w:val="00764ECF"/>
    <w:rsid w:val="007652E8"/>
    <w:rsid w:val="0076530A"/>
    <w:rsid w:val="00765367"/>
    <w:rsid w:val="0076559B"/>
    <w:rsid w:val="00765E0B"/>
    <w:rsid w:val="00765F8C"/>
    <w:rsid w:val="007662DC"/>
    <w:rsid w:val="0076649C"/>
    <w:rsid w:val="0076656D"/>
    <w:rsid w:val="0076677D"/>
    <w:rsid w:val="0076687D"/>
    <w:rsid w:val="00766983"/>
    <w:rsid w:val="0076742C"/>
    <w:rsid w:val="007675E2"/>
    <w:rsid w:val="00767813"/>
    <w:rsid w:val="00767A1B"/>
    <w:rsid w:val="0077009B"/>
    <w:rsid w:val="00770250"/>
    <w:rsid w:val="00770336"/>
    <w:rsid w:val="007710CB"/>
    <w:rsid w:val="0077154A"/>
    <w:rsid w:val="00771570"/>
    <w:rsid w:val="00771D05"/>
    <w:rsid w:val="00771DE5"/>
    <w:rsid w:val="0077200F"/>
    <w:rsid w:val="0077227A"/>
    <w:rsid w:val="007722F5"/>
    <w:rsid w:val="00772398"/>
    <w:rsid w:val="0077257D"/>
    <w:rsid w:val="00772E94"/>
    <w:rsid w:val="00773433"/>
    <w:rsid w:val="0077345D"/>
    <w:rsid w:val="00773472"/>
    <w:rsid w:val="007735FF"/>
    <w:rsid w:val="00773B66"/>
    <w:rsid w:val="00773BF1"/>
    <w:rsid w:val="00774420"/>
    <w:rsid w:val="00774BC1"/>
    <w:rsid w:val="00774C65"/>
    <w:rsid w:val="0077561E"/>
    <w:rsid w:val="00775DA6"/>
    <w:rsid w:val="00775E32"/>
    <w:rsid w:val="00775FC3"/>
    <w:rsid w:val="007764C4"/>
    <w:rsid w:val="007765DC"/>
    <w:rsid w:val="00776660"/>
    <w:rsid w:val="007766B6"/>
    <w:rsid w:val="00777569"/>
    <w:rsid w:val="00777B57"/>
    <w:rsid w:val="00777F87"/>
    <w:rsid w:val="00777FC3"/>
    <w:rsid w:val="00780B75"/>
    <w:rsid w:val="00780BF5"/>
    <w:rsid w:val="00780DF7"/>
    <w:rsid w:val="00781337"/>
    <w:rsid w:val="0078166B"/>
    <w:rsid w:val="00781BF5"/>
    <w:rsid w:val="00782175"/>
    <w:rsid w:val="0078222B"/>
    <w:rsid w:val="007828BF"/>
    <w:rsid w:val="00783143"/>
    <w:rsid w:val="00783840"/>
    <w:rsid w:val="00783B77"/>
    <w:rsid w:val="00784037"/>
    <w:rsid w:val="0078444F"/>
    <w:rsid w:val="0078486C"/>
    <w:rsid w:val="007848AA"/>
    <w:rsid w:val="00784F86"/>
    <w:rsid w:val="00785116"/>
    <w:rsid w:val="00785F99"/>
    <w:rsid w:val="00786B76"/>
    <w:rsid w:val="0078787E"/>
    <w:rsid w:val="00787E31"/>
    <w:rsid w:val="00787EA9"/>
    <w:rsid w:val="00787F37"/>
    <w:rsid w:val="00787FF7"/>
    <w:rsid w:val="00790364"/>
    <w:rsid w:val="007905EB"/>
    <w:rsid w:val="00790820"/>
    <w:rsid w:val="007909FE"/>
    <w:rsid w:val="00791233"/>
    <w:rsid w:val="00791C7B"/>
    <w:rsid w:val="00791E8D"/>
    <w:rsid w:val="00791F76"/>
    <w:rsid w:val="00792049"/>
    <w:rsid w:val="00792197"/>
    <w:rsid w:val="0079262C"/>
    <w:rsid w:val="00792699"/>
    <w:rsid w:val="00792B2F"/>
    <w:rsid w:val="00792DFB"/>
    <w:rsid w:val="0079319D"/>
    <w:rsid w:val="007932C3"/>
    <w:rsid w:val="00793717"/>
    <w:rsid w:val="0079390E"/>
    <w:rsid w:val="00793BB1"/>
    <w:rsid w:val="00793D89"/>
    <w:rsid w:val="00793F9F"/>
    <w:rsid w:val="00794371"/>
    <w:rsid w:val="00794875"/>
    <w:rsid w:val="00794F87"/>
    <w:rsid w:val="00795571"/>
    <w:rsid w:val="00795AF5"/>
    <w:rsid w:val="00795B5F"/>
    <w:rsid w:val="00795E36"/>
    <w:rsid w:val="00795EF4"/>
    <w:rsid w:val="00796EE7"/>
    <w:rsid w:val="00796F6F"/>
    <w:rsid w:val="007970A6"/>
    <w:rsid w:val="007979DB"/>
    <w:rsid w:val="00797F16"/>
    <w:rsid w:val="007A007E"/>
    <w:rsid w:val="007A0B3B"/>
    <w:rsid w:val="007A0BA6"/>
    <w:rsid w:val="007A0D82"/>
    <w:rsid w:val="007A1181"/>
    <w:rsid w:val="007A131F"/>
    <w:rsid w:val="007A1388"/>
    <w:rsid w:val="007A15CD"/>
    <w:rsid w:val="007A171B"/>
    <w:rsid w:val="007A1960"/>
    <w:rsid w:val="007A25BE"/>
    <w:rsid w:val="007A2FBD"/>
    <w:rsid w:val="007A3065"/>
    <w:rsid w:val="007A3379"/>
    <w:rsid w:val="007A3461"/>
    <w:rsid w:val="007A36DC"/>
    <w:rsid w:val="007A3B70"/>
    <w:rsid w:val="007A3CE6"/>
    <w:rsid w:val="007A4659"/>
    <w:rsid w:val="007A4E6D"/>
    <w:rsid w:val="007A528A"/>
    <w:rsid w:val="007A5B79"/>
    <w:rsid w:val="007A5BEE"/>
    <w:rsid w:val="007A5DDC"/>
    <w:rsid w:val="007A60BF"/>
    <w:rsid w:val="007A60F9"/>
    <w:rsid w:val="007A618D"/>
    <w:rsid w:val="007A653A"/>
    <w:rsid w:val="007A687B"/>
    <w:rsid w:val="007A69BA"/>
    <w:rsid w:val="007A712F"/>
    <w:rsid w:val="007A718A"/>
    <w:rsid w:val="007A726A"/>
    <w:rsid w:val="007A72E3"/>
    <w:rsid w:val="007A7485"/>
    <w:rsid w:val="007A7CA5"/>
    <w:rsid w:val="007A7F66"/>
    <w:rsid w:val="007B01C9"/>
    <w:rsid w:val="007B02EF"/>
    <w:rsid w:val="007B0434"/>
    <w:rsid w:val="007B0851"/>
    <w:rsid w:val="007B0915"/>
    <w:rsid w:val="007B0AD2"/>
    <w:rsid w:val="007B1404"/>
    <w:rsid w:val="007B1865"/>
    <w:rsid w:val="007B1BBA"/>
    <w:rsid w:val="007B1E00"/>
    <w:rsid w:val="007B1EF3"/>
    <w:rsid w:val="007B22E6"/>
    <w:rsid w:val="007B2396"/>
    <w:rsid w:val="007B2572"/>
    <w:rsid w:val="007B2903"/>
    <w:rsid w:val="007B2960"/>
    <w:rsid w:val="007B2F14"/>
    <w:rsid w:val="007B3238"/>
    <w:rsid w:val="007B3853"/>
    <w:rsid w:val="007B3903"/>
    <w:rsid w:val="007B3D05"/>
    <w:rsid w:val="007B3EB9"/>
    <w:rsid w:val="007B40BF"/>
    <w:rsid w:val="007B4213"/>
    <w:rsid w:val="007B4276"/>
    <w:rsid w:val="007B4C66"/>
    <w:rsid w:val="007B4E5B"/>
    <w:rsid w:val="007B4F7F"/>
    <w:rsid w:val="007B532F"/>
    <w:rsid w:val="007B5429"/>
    <w:rsid w:val="007B57D2"/>
    <w:rsid w:val="007B57DE"/>
    <w:rsid w:val="007B5A06"/>
    <w:rsid w:val="007B5C36"/>
    <w:rsid w:val="007B66C8"/>
    <w:rsid w:val="007B6945"/>
    <w:rsid w:val="007B6947"/>
    <w:rsid w:val="007B695F"/>
    <w:rsid w:val="007B69D6"/>
    <w:rsid w:val="007B6C3A"/>
    <w:rsid w:val="007B6E3B"/>
    <w:rsid w:val="007B73AD"/>
    <w:rsid w:val="007B75DC"/>
    <w:rsid w:val="007B797D"/>
    <w:rsid w:val="007B7F06"/>
    <w:rsid w:val="007B7F16"/>
    <w:rsid w:val="007C0167"/>
    <w:rsid w:val="007C03DD"/>
    <w:rsid w:val="007C0645"/>
    <w:rsid w:val="007C07DA"/>
    <w:rsid w:val="007C08A9"/>
    <w:rsid w:val="007C0B4A"/>
    <w:rsid w:val="007C0E60"/>
    <w:rsid w:val="007C12D6"/>
    <w:rsid w:val="007C14FE"/>
    <w:rsid w:val="007C19E0"/>
    <w:rsid w:val="007C1BC4"/>
    <w:rsid w:val="007C1C70"/>
    <w:rsid w:val="007C21D7"/>
    <w:rsid w:val="007C2E1A"/>
    <w:rsid w:val="007C3037"/>
    <w:rsid w:val="007C307B"/>
    <w:rsid w:val="007C310E"/>
    <w:rsid w:val="007C326D"/>
    <w:rsid w:val="007C3AC2"/>
    <w:rsid w:val="007C3CBE"/>
    <w:rsid w:val="007C44F9"/>
    <w:rsid w:val="007C4BD1"/>
    <w:rsid w:val="007C52A4"/>
    <w:rsid w:val="007C53B2"/>
    <w:rsid w:val="007C5633"/>
    <w:rsid w:val="007C5EDF"/>
    <w:rsid w:val="007C60A0"/>
    <w:rsid w:val="007C6380"/>
    <w:rsid w:val="007C73B3"/>
    <w:rsid w:val="007C7554"/>
    <w:rsid w:val="007D04BB"/>
    <w:rsid w:val="007D0530"/>
    <w:rsid w:val="007D076F"/>
    <w:rsid w:val="007D0B30"/>
    <w:rsid w:val="007D0BFA"/>
    <w:rsid w:val="007D0D56"/>
    <w:rsid w:val="007D0F22"/>
    <w:rsid w:val="007D1170"/>
    <w:rsid w:val="007D1295"/>
    <w:rsid w:val="007D1877"/>
    <w:rsid w:val="007D232E"/>
    <w:rsid w:val="007D28D7"/>
    <w:rsid w:val="007D31D3"/>
    <w:rsid w:val="007D3206"/>
    <w:rsid w:val="007D32D6"/>
    <w:rsid w:val="007D332D"/>
    <w:rsid w:val="007D3381"/>
    <w:rsid w:val="007D395E"/>
    <w:rsid w:val="007D3973"/>
    <w:rsid w:val="007D3A29"/>
    <w:rsid w:val="007D3D74"/>
    <w:rsid w:val="007D3E94"/>
    <w:rsid w:val="007D3FB2"/>
    <w:rsid w:val="007D4884"/>
    <w:rsid w:val="007D48B8"/>
    <w:rsid w:val="007D4B3A"/>
    <w:rsid w:val="007D4E10"/>
    <w:rsid w:val="007D5281"/>
    <w:rsid w:val="007D52E6"/>
    <w:rsid w:val="007D5397"/>
    <w:rsid w:val="007D572C"/>
    <w:rsid w:val="007D5A8D"/>
    <w:rsid w:val="007D5BA0"/>
    <w:rsid w:val="007D5EEF"/>
    <w:rsid w:val="007D5F49"/>
    <w:rsid w:val="007D6218"/>
    <w:rsid w:val="007D6876"/>
    <w:rsid w:val="007D695F"/>
    <w:rsid w:val="007D6E20"/>
    <w:rsid w:val="007D7708"/>
    <w:rsid w:val="007D7AF3"/>
    <w:rsid w:val="007D7EBD"/>
    <w:rsid w:val="007E036E"/>
    <w:rsid w:val="007E0920"/>
    <w:rsid w:val="007E0969"/>
    <w:rsid w:val="007E1152"/>
    <w:rsid w:val="007E12CD"/>
    <w:rsid w:val="007E140A"/>
    <w:rsid w:val="007E146D"/>
    <w:rsid w:val="007E16D6"/>
    <w:rsid w:val="007E192D"/>
    <w:rsid w:val="007E1CBA"/>
    <w:rsid w:val="007E1D28"/>
    <w:rsid w:val="007E1E5D"/>
    <w:rsid w:val="007E2555"/>
    <w:rsid w:val="007E3083"/>
    <w:rsid w:val="007E312E"/>
    <w:rsid w:val="007E3205"/>
    <w:rsid w:val="007E33EB"/>
    <w:rsid w:val="007E37CE"/>
    <w:rsid w:val="007E3B3B"/>
    <w:rsid w:val="007E3CBD"/>
    <w:rsid w:val="007E3F4F"/>
    <w:rsid w:val="007E46BD"/>
    <w:rsid w:val="007E473D"/>
    <w:rsid w:val="007E4E4A"/>
    <w:rsid w:val="007E5133"/>
    <w:rsid w:val="007E51AB"/>
    <w:rsid w:val="007E554F"/>
    <w:rsid w:val="007E57A5"/>
    <w:rsid w:val="007E5B92"/>
    <w:rsid w:val="007E5BD8"/>
    <w:rsid w:val="007E6121"/>
    <w:rsid w:val="007E621E"/>
    <w:rsid w:val="007E626A"/>
    <w:rsid w:val="007E6433"/>
    <w:rsid w:val="007E650F"/>
    <w:rsid w:val="007E65A9"/>
    <w:rsid w:val="007E6720"/>
    <w:rsid w:val="007E673C"/>
    <w:rsid w:val="007E744C"/>
    <w:rsid w:val="007E7764"/>
    <w:rsid w:val="007E7C23"/>
    <w:rsid w:val="007E7D6C"/>
    <w:rsid w:val="007E7EAE"/>
    <w:rsid w:val="007E7F09"/>
    <w:rsid w:val="007F098E"/>
    <w:rsid w:val="007F10EB"/>
    <w:rsid w:val="007F1366"/>
    <w:rsid w:val="007F1613"/>
    <w:rsid w:val="007F166F"/>
    <w:rsid w:val="007F1A74"/>
    <w:rsid w:val="007F1AAF"/>
    <w:rsid w:val="007F1F3A"/>
    <w:rsid w:val="007F2184"/>
    <w:rsid w:val="007F2744"/>
    <w:rsid w:val="007F28B6"/>
    <w:rsid w:val="007F2B78"/>
    <w:rsid w:val="007F316F"/>
    <w:rsid w:val="007F32E7"/>
    <w:rsid w:val="007F35B1"/>
    <w:rsid w:val="007F395B"/>
    <w:rsid w:val="007F3977"/>
    <w:rsid w:val="007F3D72"/>
    <w:rsid w:val="007F4125"/>
    <w:rsid w:val="007F4BA1"/>
    <w:rsid w:val="007F4BDE"/>
    <w:rsid w:val="007F50CD"/>
    <w:rsid w:val="007F512F"/>
    <w:rsid w:val="007F5642"/>
    <w:rsid w:val="007F597F"/>
    <w:rsid w:val="007F5C44"/>
    <w:rsid w:val="007F6024"/>
    <w:rsid w:val="007F6032"/>
    <w:rsid w:val="007F6088"/>
    <w:rsid w:val="007F6204"/>
    <w:rsid w:val="007F62CF"/>
    <w:rsid w:val="007F644E"/>
    <w:rsid w:val="007F64F5"/>
    <w:rsid w:val="007F67C9"/>
    <w:rsid w:val="007F6A61"/>
    <w:rsid w:val="007F76E7"/>
    <w:rsid w:val="007F7E00"/>
    <w:rsid w:val="008003E4"/>
    <w:rsid w:val="008005D7"/>
    <w:rsid w:val="008006F6"/>
    <w:rsid w:val="0080093D"/>
    <w:rsid w:val="00800DCC"/>
    <w:rsid w:val="00801004"/>
    <w:rsid w:val="008018AD"/>
    <w:rsid w:val="00801CDF"/>
    <w:rsid w:val="00801E38"/>
    <w:rsid w:val="00801F7B"/>
    <w:rsid w:val="00802155"/>
    <w:rsid w:val="00802CB3"/>
    <w:rsid w:val="00802D11"/>
    <w:rsid w:val="00802D53"/>
    <w:rsid w:val="008035E5"/>
    <w:rsid w:val="008036E8"/>
    <w:rsid w:val="00804466"/>
    <w:rsid w:val="00804C08"/>
    <w:rsid w:val="00805140"/>
    <w:rsid w:val="00805591"/>
    <w:rsid w:val="00805B3A"/>
    <w:rsid w:val="008060C4"/>
    <w:rsid w:val="00806B8C"/>
    <w:rsid w:val="00806BB5"/>
    <w:rsid w:val="00806D2C"/>
    <w:rsid w:val="00806EC0"/>
    <w:rsid w:val="00806F7A"/>
    <w:rsid w:val="00807ABF"/>
    <w:rsid w:val="00807EA3"/>
    <w:rsid w:val="0081056B"/>
    <w:rsid w:val="008105C2"/>
    <w:rsid w:val="008106C0"/>
    <w:rsid w:val="008109BB"/>
    <w:rsid w:val="0081117F"/>
    <w:rsid w:val="00811409"/>
    <w:rsid w:val="0081147B"/>
    <w:rsid w:val="00811669"/>
    <w:rsid w:val="008116AD"/>
    <w:rsid w:val="00812381"/>
    <w:rsid w:val="00813266"/>
    <w:rsid w:val="00813530"/>
    <w:rsid w:val="008138AB"/>
    <w:rsid w:val="008143C2"/>
    <w:rsid w:val="008149EB"/>
    <w:rsid w:val="008152A5"/>
    <w:rsid w:val="008153B1"/>
    <w:rsid w:val="00815515"/>
    <w:rsid w:val="00815B7B"/>
    <w:rsid w:val="00815C4B"/>
    <w:rsid w:val="00815C87"/>
    <w:rsid w:val="00815D65"/>
    <w:rsid w:val="00815D85"/>
    <w:rsid w:val="00815FCA"/>
    <w:rsid w:val="00816117"/>
    <w:rsid w:val="008165AA"/>
    <w:rsid w:val="008165F2"/>
    <w:rsid w:val="0081677E"/>
    <w:rsid w:val="008168BD"/>
    <w:rsid w:val="008172ED"/>
    <w:rsid w:val="008175C8"/>
    <w:rsid w:val="008175F5"/>
    <w:rsid w:val="008177A6"/>
    <w:rsid w:val="00817914"/>
    <w:rsid w:val="00817A5D"/>
    <w:rsid w:val="00817E64"/>
    <w:rsid w:val="00820602"/>
    <w:rsid w:val="00820A23"/>
    <w:rsid w:val="00820C7B"/>
    <w:rsid w:val="00821141"/>
    <w:rsid w:val="008211A7"/>
    <w:rsid w:val="00821241"/>
    <w:rsid w:val="00821570"/>
    <w:rsid w:val="0082169E"/>
    <w:rsid w:val="00821736"/>
    <w:rsid w:val="00821751"/>
    <w:rsid w:val="008217F7"/>
    <w:rsid w:val="00821844"/>
    <w:rsid w:val="0082192D"/>
    <w:rsid w:val="00821E89"/>
    <w:rsid w:val="00822003"/>
    <w:rsid w:val="00822690"/>
    <w:rsid w:val="0082278E"/>
    <w:rsid w:val="008227CD"/>
    <w:rsid w:val="00822A20"/>
    <w:rsid w:val="00822D7A"/>
    <w:rsid w:val="008231A5"/>
    <w:rsid w:val="008238A2"/>
    <w:rsid w:val="00823AC5"/>
    <w:rsid w:val="00823B99"/>
    <w:rsid w:val="00823F6E"/>
    <w:rsid w:val="0082439E"/>
    <w:rsid w:val="008243F2"/>
    <w:rsid w:val="008247A9"/>
    <w:rsid w:val="00824DFF"/>
    <w:rsid w:val="00825ED0"/>
    <w:rsid w:val="00826065"/>
    <w:rsid w:val="0082613E"/>
    <w:rsid w:val="00826307"/>
    <w:rsid w:val="008267E6"/>
    <w:rsid w:val="00826983"/>
    <w:rsid w:val="00826E7B"/>
    <w:rsid w:val="00826FF3"/>
    <w:rsid w:val="008277FE"/>
    <w:rsid w:val="0082791F"/>
    <w:rsid w:val="00827DB5"/>
    <w:rsid w:val="00830548"/>
    <w:rsid w:val="0083060C"/>
    <w:rsid w:val="0083086A"/>
    <w:rsid w:val="0083094B"/>
    <w:rsid w:val="00830AA2"/>
    <w:rsid w:val="00830E11"/>
    <w:rsid w:val="00830FB0"/>
    <w:rsid w:val="008310AD"/>
    <w:rsid w:val="008313BF"/>
    <w:rsid w:val="008313CD"/>
    <w:rsid w:val="0083184F"/>
    <w:rsid w:val="00831FDC"/>
    <w:rsid w:val="00832885"/>
    <w:rsid w:val="00832EE6"/>
    <w:rsid w:val="00833079"/>
    <w:rsid w:val="0083317C"/>
    <w:rsid w:val="0083368A"/>
    <w:rsid w:val="008336E3"/>
    <w:rsid w:val="00834001"/>
    <w:rsid w:val="0083409A"/>
    <w:rsid w:val="008342FB"/>
    <w:rsid w:val="00834882"/>
    <w:rsid w:val="008355F9"/>
    <w:rsid w:val="00835C82"/>
    <w:rsid w:val="00835E0D"/>
    <w:rsid w:val="00835EB0"/>
    <w:rsid w:val="00836286"/>
    <w:rsid w:val="00836760"/>
    <w:rsid w:val="00836969"/>
    <w:rsid w:val="00836AE3"/>
    <w:rsid w:val="00836BA4"/>
    <w:rsid w:val="00836DDA"/>
    <w:rsid w:val="00840667"/>
    <w:rsid w:val="00840DF7"/>
    <w:rsid w:val="00841013"/>
    <w:rsid w:val="00841259"/>
    <w:rsid w:val="008413A6"/>
    <w:rsid w:val="0084144D"/>
    <w:rsid w:val="00841A36"/>
    <w:rsid w:val="00841D10"/>
    <w:rsid w:val="00841F2F"/>
    <w:rsid w:val="00841F97"/>
    <w:rsid w:val="0084208A"/>
    <w:rsid w:val="008420DA"/>
    <w:rsid w:val="0084235E"/>
    <w:rsid w:val="008425A6"/>
    <w:rsid w:val="00842B40"/>
    <w:rsid w:val="00842C1A"/>
    <w:rsid w:val="00842F2D"/>
    <w:rsid w:val="00843331"/>
    <w:rsid w:val="00843A21"/>
    <w:rsid w:val="008440D7"/>
    <w:rsid w:val="008448DF"/>
    <w:rsid w:val="00844C88"/>
    <w:rsid w:val="00844EEB"/>
    <w:rsid w:val="008451B8"/>
    <w:rsid w:val="0084550A"/>
    <w:rsid w:val="00845AD9"/>
    <w:rsid w:val="008466C1"/>
    <w:rsid w:val="008466CF"/>
    <w:rsid w:val="008469D8"/>
    <w:rsid w:val="00846FF2"/>
    <w:rsid w:val="00847063"/>
    <w:rsid w:val="0084737C"/>
    <w:rsid w:val="00847539"/>
    <w:rsid w:val="00847F5F"/>
    <w:rsid w:val="00850FB2"/>
    <w:rsid w:val="00851659"/>
    <w:rsid w:val="008517A1"/>
    <w:rsid w:val="008519A6"/>
    <w:rsid w:val="00851B10"/>
    <w:rsid w:val="00851CAE"/>
    <w:rsid w:val="008528A8"/>
    <w:rsid w:val="0085299E"/>
    <w:rsid w:val="00852BFE"/>
    <w:rsid w:val="00852DC2"/>
    <w:rsid w:val="00852EFF"/>
    <w:rsid w:val="00853147"/>
    <w:rsid w:val="00853162"/>
    <w:rsid w:val="00853283"/>
    <w:rsid w:val="00853D32"/>
    <w:rsid w:val="00853EC7"/>
    <w:rsid w:val="0085482D"/>
    <w:rsid w:val="00855703"/>
    <w:rsid w:val="00855706"/>
    <w:rsid w:val="00855FB0"/>
    <w:rsid w:val="008566FE"/>
    <w:rsid w:val="0085674A"/>
    <w:rsid w:val="00857DC3"/>
    <w:rsid w:val="008606BE"/>
    <w:rsid w:val="00860D2F"/>
    <w:rsid w:val="00860D57"/>
    <w:rsid w:val="00861272"/>
    <w:rsid w:val="00861796"/>
    <w:rsid w:val="00861AAE"/>
    <w:rsid w:val="00861DD5"/>
    <w:rsid w:val="008620F6"/>
    <w:rsid w:val="00862322"/>
    <w:rsid w:val="00862418"/>
    <w:rsid w:val="008625A5"/>
    <w:rsid w:val="008626A6"/>
    <w:rsid w:val="00862CA6"/>
    <w:rsid w:val="00862D7E"/>
    <w:rsid w:val="0086305C"/>
    <w:rsid w:val="00863065"/>
    <w:rsid w:val="00863213"/>
    <w:rsid w:val="00864298"/>
    <w:rsid w:val="0086462B"/>
    <w:rsid w:val="00864736"/>
    <w:rsid w:val="00864774"/>
    <w:rsid w:val="00864ADD"/>
    <w:rsid w:val="00864BA7"/>
    <w:rsid w:val="00864CCA"/>
    <w:rsid w:val="00864DDD"/>
    <w:rsid w:val="00864EA3"/>
    <w:rsid w:val="00865939"/>
    <w:rsid w:val="00865BCE"/>
    <w:rsid w:val="00865D99"/>
    <w:rsid w:val="00865DBA"/>
    <w:rsid w:val="0086619F"/>
    <w:rsid w:val="008663C7"/>
    <w:rsid w:val="00866463"/>
    <w:rsid w:val="008664A3"/>
    <w:rsid w:val="008665C3"/>
    <w:rsid w:val="008667EB"/>
    <w:rsid w:val="0086699B"/>
    <w:rsid w:val="00866A77"/>
    <w:rsid w:val="00866C51"/>
    <w:rsid w:val="00866E6D"/>
    <w:rsid w:val="00866E99"/>
    <w:rsid w:val="00866FA8"/>
    <w:rsid w:val="00866FBD"/>
    <w:rsid w:val="008675F9"/>
    <w:rsid w:val="00867DF6"/>
    <w:rsid w:val="0087013A"/>
    <w:rsid w:val="0087028D"/>
    <w:rsid w:val="0087088B"/>
    <w:rsid w:val="00870E59"/>
    <w:rsid w:val="008710F3"/>
    <w:rsid w:val="00871211"/>
    <w:rsid w:val="008713A4"/>
    <w:rsid w:val="00871654"/>
    <w:rsid w:val="008719A1"/>
    <w:rsid w:val="00871E38"/>
    <w:rsid w:val="0087207F"/>
    <w:rsid w:val="0087212E"/>
    <w:rsid w:val="00872CCA"/>
    <w:rsid w:val="00872E9A"/>
    <w:rsid w:val="008732EB"/>
    <w:rsid w:val="00873762"/>
    <w:rsid w:val="00873CAD"/>
    <w:rsid w:val="008742F4"/>
    <w:rsid w:val="00874533"/>
    <w:rsid w:val="00874935"/>
    <w:rsid w:val="00874EE2"/>
    <w:rsid w:val="00875294"/>
    <w:rsid w:val="008754CA"/>
    <w:rsid w:val="00875A94"/>
    <w:rsid w:val="00875ACE"/>
    <w:rsid w:val="00876AA7"/>
    <w:rsid w:val="00876C27"/>
    <w:rsid w:val="00876C82"/>
    <w:rsid w:val="00877157"/>
    <w:rsid w:val="008774B7"/>
    <w:rsid w:val="00877594"/>
    <w:rsid w:val="00877C5D"/>
    <w:rsid w:val="00877F20"/>
    <w:rsid w:val="00880372"/>
    <w:rsid w:val="008803EA"/>
    <w:rsid w:val="00880927"/>
    <w:rsid w:val="00880A38"/>
    <w:rsid w:val="00880B86"/>
    <w:rsid w:val="00880C6D"/>
    <w:rsid w:val="00881053"/>
    <w:rsid w:val="008811FC"/>
    <w:rsid w:val="0088150D"/>
    <w:rsid w:val="0088154C"/>
    <w:rsid w:val="008815AF"/>
    <w:rsid w:val="0088198C"/>
    <w:rsid w:val="00881B03"/>
    <w:rsid w:val="00881C3D"/>
    <w:rsid w:val="00881DB1"/>
    <w:rsid w:val="00881E07"/>
    <w:rsid w:val="00882102"/>
    <w:rsid w:val="00882142"/>
    <w:rsid w:val="00882150"/>
    <w:rsid w:val="008823A6"/>
    <w:rsid w:val="00883777"/>
    <w:rsid w:val="00883964"/>
    <w:rsid w:val="00883A56"/>
    <w:rsid w:val="00884734"/>
    <w:rsid w:val="008848DC"/>
    <w:rsid w:val="00885109"/>
    <w:rsid w:val="008856BB"/>
    <w:rsid w:val="0088570F"/>
    <w:rsid w:val="00885E4E"/>
    <w:rsid w:val="008861A9"/>
    <w:rsid w:val="008866DB"/>
    <w:rsid w:val="0088676F"/>
    <w:rsid w:val="00886965"/>
    <w:rsid w:val="008869E6"/>
    <w:rsid w:val="00887432"/>
    <w:rsid w:val="0089028B"/>
    <w:rsid w:val="00890B14"/>
    <w:rsid w:val="00890CCB"/>
    <w:rsid w:val="00890F39"/>
    <w:rsid w:val="00893068"/>
    <w:rsid w:val="00893B51"/>
    <w:rsid w:val="00893CAE"/>
    <w:rsid w:val="00893FE0"/>
    <w:rsid w:val="00894196"/>
    <w:rsid w:val="008942E3"/>
    <w:rsid w:val="008944FE"/>
    <w:rsid w:val="008945D5"/>
    <w:rsid w:val="008947A4"/>
    <w:rsid w:val="00894C76"/>
    <w:rsid w:val="00895289"/>
    <w:rsid w:val="00895332"/>
    <w:rsid w:val="0089567D"/>
    <w:rsid w:val="0089572E"/>
    <w:rsid w:val="00895869"/>
    <w:rsid w:val="00895B6B"/>
    <w:rsid w:val="00895D03"/>
    <w:rsid w:val="0089641D"/>
    <w:rsid w:val="0089648F"/>
    <w:rsid w:val="0089677D"/>
    <w:rsid w:val="0089736F"/>
    <w:rsid w:val="00897B72"/>
    <w:rsid w:val="00897BD5"/>
    <w:rsid w:val="00897E35"/>
    <w:rsid w:val="008A019B"/>
    <w:rsid w:val="008A01BD"/>
    <w:rsid w:val="008A01F4"/>
    <w:rsid w:val="008A07A2"/>
    <w:rsid w:val="008A0986"/>
    <w:rsid w:val="008A0C5A"/>
    <w:rsid w:val="008A1016"/>
    <w:rsid w:val="008A142C"/>
    <w:rsid w:val="008A1499"/>
    <w:rsid w:val="008A15E5"/>
    <w:rsid w:val="008A15E8"/>
    <w:rsid w:val="008A20CE"/>
    <w:rsid w:val="008A222D"/>
    <w:rsid w:val="008A29A9"/>
    <w:rsid w:val="008A2BEA"/>
    <w:rsid w:val="008A2E5B"/>
    <w:rsid w:val="008A30E2"/>
    <w:rsid w:val="008A3169"/>
    <w:rsid w:val="008A3582"/>
    <w:rsid w:val="008A364A"/>
    <w:rsid w:val="008A3C4D"/>
    <w:rsid w:val="008A3F3F"/>
    <w:rsid w:val="008A3F7F"/>
    <w:rsid w:val="008A4782"/>
    <w:rsid w:val="008A4FAB"/>
    <w:rsid w:val="008A50BF"/>
    <w:rsid w:val="008A522A"/>
    <w:rsid w:val="008A52EA"/>
    <w:rsid w:val="008A54FA"/>
    <w:rsid w:val="008A584C"/>
    <w:rsid w:val="008A5B84"/>
    <w:rsid w:val="008A5D98"/>
    <w:rsid w:val="008A5EEE"/>
    <w:rsid w:val="008A6242"/>
    <w:rsid w:val="008A6943"/>
    <w:rsid w:val="008A6A68"/>
    <w:rsid w:val="008A6AAA"/>
    <w:rsid w:val="008A6C5E"/>
    <w:rsid w:val="008A71F8"/>
    <w:rsid w:val="008A733B"/>
    <w:rsid w:val="008A73B9"/>
    <w:rsid w:val="008A7568"/>
    <w:rsid w:val="008A7763"/>
    <w:rsid w:val="008B00B7"/>
    <w:rsid w:val="008B09D8"/>
    <w:rsid w:val="008B0A7F"/>
    <w:rsid w:val="008B0BAB"/>
    <w:rsid w:val="008B1E9C"/>
    <w:rsid w:val="008B21DF"/>
    <w:rsid w:val="008B2845"/>
    <w:rsid w:val="008B2DFF"/>
    <w:rsid w:val="008B3072"/>
    <w:rsid w:val="008B30B0"/>
    <w:rsid w:val="008B30EF"/>
    <w:rsid w:val="008B3375"/>
    <w:rsid w:val="008B3F72"/>
    <w:rsid w:val="008B45C1"/>
    <w:rsid w:val="008B47BB"/>
    <w:rsid w:val="008B4811"/>
    <w:rsid w:val="008B4E23"/>
    <w:rsid w:val="008B4F33"/>
    <w:rsid w:val="008B5318"/>
    <w:rsid w:val="008B55ED"/>
    <w:rsid w:val="008B5C4C"/>
    <w:rsid w:val="008B5C99"/>
    <w:rsid w:val="008B5D9A"/>
    <w:rsid w:val="008B5F31"/>
    <w:rsid w:val="008B6394"/>
    <w:rsid w:val="008B6926"/>
    <w:rsid w:val="008B6C68"/>
    <w:rsid w:val="008B70FA"/>
    <w:rsid w:val="008B7597"/>
    <w:rsid w:val="008B7EA0"/>
    <w:rsid w:val="008C011A"/>
    <w:rsid w:val="008C0593"/>
    <w:rsid w:val="008C05A3"/>
    <w:rsid w:val="008C08CC"/>
    <w:rsid w:val="008C09EF"/>
    <w:rsid w:val="008C0A33"/>
    <w:rsid w:val="008C0B12"/>
    <w:rsid w:val="008C0B96"/>
    <w:rsid w:val="008C0FAA"/>
    <w:rsid w:val="008C1004"/>
    <w:rsid w:val="008C16B4"/>
    <w:rsid w:val="008C262A"/>
    <w:rsid w:val="008C2C29"/>
    <w:rsid w:val="008C2CF4"/>
    <w:rsid w:val="008C3191"/>
    <w:rsid w:val="008C326D"/>
    <w:rsid w:val="008C339E"/>
    <w:rsid w:val="008C3BCC"/>
    <w:rsid w:val="008C3EE9"/>
    <w:rsid w:val="008C3F14"/>
    <w:rsid w:val="008C40D8"/>
    <w:rsid w:val="008C4314"/>
    <w:rsid w:val="008C45C6"/>
    <w:rsid w:val="008C4613"/>
    <w:rsid w:val="008C4D58"/>
    <w:rsid w:val="008C4DEF"/>
    <w:rsid w:val="008C4E24"/>
    <w:rsid w:val="008C5113"/>
    <w:rsid w:val="008C5216"/>
    <w:rsid w:val="008C5237"/>
    <w:rsid w:val="008C5870"/>
    <w:rsid w:val="008C5DA4"/>
    <w:rsid w:val="008C642D"/>
    <w:rsid w:val="008C67C7"/>
    <w:rsid w:val="008C6CD2"/>
    <w:rsid w:val="008C6DA5"/>
    <w:rsid w:val="008C70B6"/>
    <w:rsid w:val="008C7F45"/>
    <w:rsid w:val="008D084B"/>
    <w:rsid w:val="008D0B56"/>
    <w:rsid w:val="008D0E47"/>
    <w:rsid w:val="008D1373"/>
    <w:rsid w:val="008D1664"/>
    <w:rsid w:val="008D1812"/>
    <w:rsid w:val="008D1AD7"/>
    <w:rsid w:val="008D1CE7"/>
    <w:rsid w:val="008D2285"/>
    <w:rsid w:val="008D2440"/>
    <w:rsid w:val="008D2DC8"/>
    <w:rsid w:val="008D3244"/>
    <w:rsid w:val="008D367C"/>
    <w:rsid w:val="008D3A78"/>
    <w:rsid w:val="008D4C45"/>
    <w:rsid w:val="008D4D37"/>
    <w:rsid w:val="008D4DE6"/>
    <w:rsid w:val="008D4F9D"/>
    <w:rsid w:val="008D5065"/>
    <w:rsid w:val="008D52F0"/>
    <w:rsid w:val="008D557B"/>
    <w:rsid w:val="008D5925"/>
    <w:rsid w:val="008D5D18"/>
    <w:rsid w:val="008D63BC"/>
    <w:rsid w:val="008D6E98"/>
    <w:rsid w:val="008D7178"/>
    <w:rsid w:val="008D7720"/>
    <w:rsid w:val="008D7A83"/>
    <w:rsid w:val="008D7CEA"/>
    <w:rsid w:val="008E049C"/>
    <w:rsid w:val="008E0948"/>
    <w:rsid w:val="008E1184"/>
    <w:rsid w:val="008E11A6"/>
    <w:rsid w:val="008E1D2E"/>
    <w:rsid w:val="008E22AC"/>
    <w:rsid w:val="008E240D"/>
    <w:rsid w:val="008E2918"/>
    <w:rsid w:val="008E360B"/>
    <w:rsid w:val="008E3A48"/>
    <w:rsid w:val="008E3E0A"/>
    <w:rsid w:val="008E3EC0"/>
    <w:rsid w:val="008E41D1"/>
    <w:rsid w:val="008E468C"/>
    <w:rsid w:val="008E4B53"/>
    <w:rsid w:val="008E4BB7"/>
    <w:rsid w:val="008E4BD5"/>
    <w:rsid w:val="008E4CFD"/>
    <w:rsid w:val="008E505D"/>
    <w:rsid w:val="008E513F"/>
    <w:rsid w:val="008E562F"/>
    <w:rsid w:val="008E56B9"/>
    <w:rsid w:val="008E5F16"/>
    <w:rsid w:val="008E61F0"/>
    <w:rsid w:val="008E6301"/>
    <w:rsid w:val="008E66DE"/>
    <w:rsid w:val="008E67D5"/>
    <w:rsid w:val="008E697F"/>
    <w:rsid w:val="008E6DE4"/>
    <w:rsid w:val="008E6E82"/>
    <w:rsid w:val="008E720E"/>
    <w:rsid w:val="008E77E2"/>
    <w:rsid w:val="008E791D"/>
    <w:rsid w:val="008E7A78"/>
    <w:rsid w:val="008E7A81"/>
    <w:rsid w:val="008E7C5A"/>
    <w:rsid w:val="008F0176"/>
    <w:rsid w:val="008F02C3"/>
    <w:rsid w:val="008F0D86"/>
    <w:rsid w:val="008F0EF8"/>
    <w:rsid w:val="008F11EB"/>
    <w:rsid w:val="008F13C8"/>
    <w:rsid w:val="008F1457"/>
    <w:rsid w:val="008F1CFD"/>
    <w:rsid w:val="008F2564"/>
    <w:rsid w:val="008F274D"/>
    <w:rsid w:val="008F2852"/>
    <w:rsid w:val="008F2BAB"/>
    <w:rsid w:val="008F2DA8"/>
    <w:rsid w:val="008F2F08"/>
    <w:rsid w:val="008F2F25"/>
    <w:rsid w:val="008F2F94"/>
    <w:rsid w:val="008F35E9"/>
    <w:rsid w:val="008F3CC4"/>
    <w:rsid w:val="008F4B3E"/>
    <w:rsid w:val="008F4D75"/>
    <w:rsid w:val="008F5458"/>
    <w:rsid w:val="008F554F"/>
    <w:rsid w:val="008F5B82"/>
    <w:rsid w:val="008F5C28"/>
    <w:rsid w:val="008F5CEA"/>
    <w:rsid w:val="008F6094"/>
    <w:rsid w:val="008F6275"/>
    <w:rsid w:val="008F6B66"/>
    <w:rsid w:val="008F7696"/>
    <w:rsid w:val="008F76A7"/>
    <w:rsid w:val="008F7764"/>
    <w:rsid w:val="008F7B85"/>
    <w:rsid w:val="008F7EAE"/>
    <w:rsid w:val="0090033C"/>
    <w:rsid w:val="00900474"/>
    <w:rsid w:val="00900680"/>
    <w:rsid w:val="00900736"/>
    <w:rsid w:val="00900C8A"/>
    <w:rsid w:val="00900CCE"/>
    <w:rsid w:val="00900D20"/>
    <w:rsid w:val="00900EBE"/>
    <w:rsid w:val="00900FB5"/>
    <w:rsid w:val="0090137A"/>
    <w:rsid w:val="00901840"/>
    <w:rsid w:val="00901FA0"/>
    <w:rsid w:val="00902115"/>
    <w:rsid w:val="0090244B"/>
    <w:rsid w:val="0090269B"/>
    <w:rsid w:val="0090280E"/>
    <w:rsid w:val="009029A2"/>
    <w:rsid w:val="00903390"/>
    <w:rsid w:val="009037D8"/>
    <w:rsid w:val="009038C2"/>
    <w:rsid w:val="00903989"/>
    <w:rsid w:val="00903CFD"/>
    <w:rsid w:val="00903ED0"/>
    <w:rsid w:val="00903F2F"/>
    <w:rsid w:val="00904019"/>
    <w:rsid w:val="009041DF"/>
    <w:rsid w:val="009043CA"/>
    <w:rsid w:val="00904C0C"/>
    <w:rsid w:val="00904DA0"/>
    <w:rsid w:val="00904FF6"/>
    <w:rsid w:val="0090526A"/>
    <w:rsid w:val="009054E4"/>
    <w:rsid w:val="00905524"/>
    <w:rsid w:val="00905867"/>
    <w:rsid w:val="00905C92"/>
    <w:rsid w:val="00905DD0"/>
    <w:rsid w:val="00906732"/>
    <w:rsid w:val="009069DF"/>
    <w:rsid w:val="00906CE2"/>
    <w:rsid w:val="00906E14"/>
    <w:rsid w:val="00906ED2"/>
    <w:rsid w:val="00906FCC"/>
    <w:rsid w:val="009075D2"/>
    <w:rsid w:val="00907615"/>
    <w:rsid w:val="00907CAE"/>
    <w:rsid w:val="009104D7"/>
    <w:rsid w:val="0091088D"/>
    <w:rsid w:val="00910A11"/>
    <w:rsid w:val="00910A47"/>
    <w:rsid w:val="00910CA5"/>
    <w:rsid w:val="00910D5A"/>
    <w:rsid w:val="009121CE"/>
    <w:rsid w:val="0091222B"/>
    <w:rsid w:val="0091226F"/>
    <w:rsid w:val="0091241C"/>
    <w:rsid w:val="009127E6"/>
    <w:rsid w:val="0091283E"/>
    <w:rsid w:val="00912BF6"/>
    <w:rsid w:val="00912D3B"/>
    <w:rsid w:val="0091301D"/>
    <w:rsid w:val="00913569"/>
    <w:rsid w:val="009136D6"/>
    <w:rsid w:val="00913AB2"/>
    <w:rsid w:val="00913B2F"/>
    <w:rsid w:val="00913CAE"/>
    <w:rsid w:val="00913E3F"/>
    <w:rsid w:val="0091464A"/>
    <w:rsid w:val="0091465D"/>
    <w:rsid w:val="00914AE6"/>
    <w:rsid w:val="00914D34"/>
    <w:rsid w:val="00914FCD"/>
    <w:rsid w:val="009155B8"/>
    <w:rsid w:val="009158CE"/>
    <w:rsid w:val="009162B2"/>
    <w:rsid w:val="00916468"/>
    <w:rsid w:val="00916954"/>
    <w:rsid w:val="00916A8C"/>
    <w:rsid w:val="00916B05"/>
    <w:rsid w:val="00917D95"/>
    <w:rsid w:val="009201A9"/>
    <w:rsid w:val="009204D7"/>
    <w:rsid w:val="009205B6"/>
    <w:rsid w:val="009207AF"/>
    <w:rsid w:val="00920930"/>
    <w:rsid w:val="009210F4"/>
    <w:rsid w:val="009211C2"/>
    <w:rsid w:val="009222D4"/>
    <w:rsid w:val="00922611"/>
    <w:rsid w:val="00922F0C"/>
    <w:rsid w:val="009230FE"/>
    <w:rsid w:val="009232EB"/>
    <w:rsid w:val="00923B8A"/>
    <w:rsid w:val="00923C4A"/>
    <w:rsid w:val="00923DCD"/>
    <w:rsid w:val="009246C9"/>
    <w:rsid w:val="00925854"/>
    <w:rsid w:val="00925A28"/>
    <w:rsid w:val="00925ADA"/>
    <w:rsid w:val="00925D4C"/>
    <w:rsid w:val="00926390"/>
    <w:rsid w:val="00926D27"/>
    <w:rsid w:val="00926E38"/>
    <w:rsid w:val="00926FEB"/>
    <w:rsid w:val="009271AA"/>
    <w:rsid w:val="009274E9"/>
    <w:rsid w:val="009276BD"/>
    <w:rsid w:val="009276DF"/>
    <w:rsid w:val="00927F14"/>
    <w:rsid w:val="0093003C"/>
    <w:rsid w:val="009303E6"/>
    <w:rsid w:val="00930539"/>
    <w:rsid w:val="00930A8B"/>
    <w:rsid w:val="00930DFD"/>
    <w:rsid w:val="009314A8"/>
    <w:rsid w:val="00931558"/>
    <w:rsid w:val="00931944"/>
    <w:rsid w:val="009323E1"/>
    <w:rsid w:val="00932D91"/>
    <w:rsid w:val="00932FD9"/>
    <w:rsid w:val="0093390D"/>
    <w:rsid w:val="00933943"/>
    <w:rsid w:val="00933A1C"/>
    <w:rsid w:val="00933B27"/>
    <w:rsid w:val="00933C71"/>
    <w:rsid w:val="00933D28"/>
    <w:rsid w:val="00933F27"/>
    <w:rsid w:val="00934332"/>
    <w:rsid w:val="00934A6E"/>
    <w:rsid w:val="00934ADC"/>
    <w:rsid w:val="00934F44"/>
    <w:rsid w:val="00935048"/>
    <w:rsid w:val="009353FE"/>
    <w:rsid w:val="00935B7E"/>
    <w:rsid w:val="00935EC5"/>
    <w:rsid w:val="00935F2A"/>
    <w:rsid w:val="00935F44"/>
    <w:rsid w:val="0093617F"/>
    <w:rsid w:val="009362AF"/>
    <w:rsid w:val="00936A7A"/>
    <w:rsid w:val="00937437"/>
    <w:rsid w:val="00937863"/>
    <w:rsid w:val="00937B36"/>
    <w:rsid w:val="00937CC4"/>
    <w:rsid w:val="0094008B"/>
    <w:rsid w:val="009401B0"/>
    <w:rsid w:val="00940416"/>
    <w:rsid w:val="00940AF2"/>
    <w:rsid w:val="00940B88"/>
    <w:rsid w:val="00940DA8"/>
    <w:rsid w:val="009411FD"/>
    <w:rsid w:val="009412DF"/>
    <w:rsid w:val="0094132E"/>
    <w:rsid w:val="0094154D"/>
    <w:rsid w:val="00941A5E"/>
    <w:rsid w:val="00942139"/>
    <w:rsid w:val="009425EC"/>
    <w:rsid w:val="00942AD5"/>
    <w:rsid w:val="00942C2A"/>
    <w:rsid w:val="009431F6"/>
    <w:rsid w:val="00943621"/>
    <w:rsid w:val="00943E1B"/>
    <w:rsid w:val="0094429B"/>
    <w:rsid w:val="0094478C"/>
    <w:rsid w:val="0094497E"/>
    <w:rsid w:val="00944C30"/>
    <w:rsid w:val="00945280"/>
    <w:rsid w:val="00945817"/>
    <w:rsid w:val="00945D98"/>
    <w:rsid w:val="00946499"/>
    <w:rsid w:val="00946724"/>
    <w:rsid w:val="00946D80"/>
    <w:rsid w:val="00946DA8"/>
    <w:rsid w:val="009474F5"/>
    <w:rsid w:val="0094777A"/>
    <w:rsid w:val="00950157"/>
    <w:rsid w:val="0095047B"/>
    <w:rsid w:val="00950602"/>
    <w:rsid w:val="00950843"/>
    <w:rsid w:val="00951C96"/>
    <w:rsid w:val="00951E57"/>
    <w:rsid w:val="0095200A"/>
    <w:rsid w:val="009522AD"/>
    <w:rsid w:val="00952389"/>
    <w:rsid w:val="0095249A"/>
    <w:rsid w:val="00952C50"/>
    <w:rsid w:val="00952F0D"/>
    <w:rsid w:val="009534F8"/>
    <w:rsid w:val="0095386B"/>
    <w:rsid w:val="00953C8D"/>
    <w:rsid w:val="00953D45"/>
    <w:rsid w:val="00953FA5"/>
    <w:rsid w:val="009540D4"/>
    <w:rsid w:val="009542D7"/>
    <w:rsid w:val="00954451"/>
    <w:rsid w:val="0095447E"/>
    <w:rsid w:val="009546A2"/>
    <w:rsid w:val="0095485A"/>
    <w:rsid w:val="00954C26"/>
    <w:rsid w:val="00954CB8"/>
    <w:rsid w:val="00954DEB"/>
    <w:rsid w:val="00954E48"/>
    <w:rsid w:val="0095515B"/>
    <w:rsid w:val="0095556A"/>
    <w:rsid w:val="009559BC"/>
    <w:rsid w:val="00955A5E"/>
    <w:rsid w:val="00955C8F"/>
    <w:rsid w:val="00956355"/>
    <w:rsid w:val="0095636C"/>
    <w:rsid w:val="0095662F"/>
    <w:rsid w:val="0095666A"/>
    <w:rsid w:val="00956A22"/>
    <w:rsid w:val="00956D39"/>
    <w:rsid w:val="00956E29"/>
    <w:rsid w:val="00956FC1"/>
    <w:rsid w:val="00956FCB"/>
    <w:rsid w:val="009571D9"/>
    <w:rsid w:val="00957245"/>
    <w:rsid w:val="009574FA"/>
    <w:rsid w:val="00957A0F"/>
    <w:rsid w:val="0096002F"/>
    <w:rsid w:val="0096011D"/>
    <w:rsid w:val="00960311"/>
    <w:rsid w:val="00960503"/>
    <w:rsid w:val="00960BB8"/>
    <w:rsid w:val="00961340"/>
    <w:rsid w:val="00961750"/>
    <w:rsid w:val="00961D3C"/>
    <w:rsid w:val="0096251E"/>
    <w:rsid w:val="009625E0"/>
    <w:rsid w:val="009626FF"/>
    <w:rsid w:val="00962804"/>
    <w:rsid w:val="0096285A"/>
    <w:rsid w:val="0096373A"/>
    <w:rsid w:val="00963D0C"/>
    <w:rsid w:val="00963F50"/>
    <w:rsid w:val="00963F59"/>
    <w:rsid w:val="009640A5"/>
    <w:rsid w:val="009641F0"/>
    <w:rsid w:val="00964637"/>
    <w:rsid w:val="00964A40"/>
    <w:rsid w:val="00964E45"/>
    <w:rsid w:val="009651DC"/>
    <w:rsid w:val="009651F1"/>
    <w:rsid w:val="0096544C"/>
    <w:rsid w:val="00965AB5"/>
    <w:rsid w:val="00966055"/>
    <w:rsid w:val="009661FA"/>
    <w:rsid w:val="009662F7"/>
    <w:rsid w:val="00966495"/>
    <w:rsid w:val="00966547"/>
    <w:rsid w:val="00966640"/>
    <w:rsid w:val="00966858"/>
    <w:rsid w:val="00966941"/>
    <w:rsid w:val="00966EDD"/>
    <w:rsid w:val="00967611"/>
    <w:rsid w:val="009678EF"/>
    <w:rsid w:val="00967EBD"/>
    <w:rsid w:val="0097093C"/>
    <w:rsid w:val="00970BE2"/>
    <w:rsid w:val="00970DAE"/>
    <w:rsid w:val="0097105C"/>
    <w:rsid w:val="00971081"/>
    <w:rsid w:val="00971104"/>
    <w:rsid w:val="009711BD"/>
    <w:rsid w:val="00971483"/>
    <w:rsid w:val="00971CD8"/>
    <w:rsid w:val="00971DA8"/>
    <w:rsid w:val="00971E7E"/>
    <w:rsid w:val="0097267E"/>
    <w:rsid w:val="00973EA8"/>
    <w:rsid w:val="00974482"/>
    <w:rsid w:val="009748C6"/>
    <w:rsid w:val="00974F49"/>
    <w:rsid w:val="0097504F"/>
    <w:rsid w:val="009759FB"/>
    <w:rsid w:val="00975A08"/>
    <w:rsid w:val="00975B96"/>
    <w:rsid w:val="00975FE8"/>
    <w:rsid w:val="009760E7"/>
    <w:rsid w:val="00976111"/>
    <w:rsid w:val="00976A0D"/>
    <w:rsid w:val="00976B8A"/>
    <w:rsid w:val="00977201"/>
    <w:rsid w:val="009775DB"/>
    <w:rsid w:val="00977D8C"/>
    <w:rsid w:val="0098027E"/>
    <w:rsid w:val="00980343"/>
    <w:rsid w:val="00980A08"/>
    <w:rsid w:val="00980B2D"/>
    <w:rsid w:val="0098164D"/>
    <w:rsid w:val="00981913"/>
    <w:rsid w:val="00981A61"/>
    <w:rsid w:val="00981C62"/>
    <w:rsid w:val="00981DAD"/>
    <w:rsid w:val="0098204C"/>
    <w:rsid w:val="0098205E"/>
    <w:rsid w:val="0098260A"/>
    <w:rsid w:val="0098282A"/>
    <w:rsid w:val="00982B98"/>
    <w:rsid w:val="00982C87"/>
    <w:rsid w:val="00982C9E"/>
    <w:rsid w:val="00982E64"/>
    <w:rsid w:val="00982F3A"/>
    <w:rsid w:val="009830F2"/>
    <w:rsid w:val="009831D1"/>
    <w:rsid w:val="0098321D"/>
    <w:rsid w:val="00983870"/>
    <w:rsid w:val="00984AA8"/>
    <w:rsid w:val="00984CD1"/>
    <w:rsid w:val="00984FD9"/>
    <w:rsid w:val="009850BD"/>
    <w:rsid w:val="00985698"/>
    <w:rsid w:val="00986061"/>
    <w:rsid w:val="009862D3"/>
    <w:rsid w:val="009873AB"/>
    <w:rsid w:val="00987B4E"/>
    <w:rsid w:val="00987EC0"/>
    <w:rsid w:val="009909A9"/>
    <w:rsid w:val="009912F6"/>
    <w:rsid w:val="00991724"/>
    <w:rsid w:val="009919A0"/>
    <w:rsid w:val="009922AC"/>
    <w:rsid w:val="0099237C"/>
    <w:rsid w:val="00992896"/>
    <w:rsid w:val="00992897"/>
    <w:rsid w:val="00992961"/>
    <w:rsid w:val="00992980"/>
    <w:rsid w:val="009930B5"/>
    <w:rsid w:val="009931E0"/>
    <w:rsid w:val="0099323B"/>
    <w:rsid w:val="0099379B"/>
    <w:rsid w:val="0099384E"/>
    <w:rsid w:val="00993939"/>
    <w:rsid w:val="00993BDB"/>
    <w:rsid w:val="00993CF9"/>
    <w:rsid w:val="00994058"/>
    <w:rsid w:val="009941C1"/>
    <w:rsid w:val="00994436"/>
    <w:rsid w:val="00994475"/>
    <w:rsid w:val="009946C1"/>
    <w:rsid w:val="00994989"/>
    <w:rsid w:val="00994B01"/>
    <w:rsid w:val="00994D54"/>
    <w:rsid w:val="0099514E"/>
    <w:rsid w:val="009953FD"/>
    <w:rsid w:val="009959C1"/>
    <w:rsid w:val="00995AB2"/>
    <w:rsid w:val="00995BCB"/>
    <w:rsid w:val="00995D66"/>
    <w:rsid w:val="00996BEF"/>
    <w:rsid w:val="0099721B"/>
    <w:rsid w:val="009973DC"/>
    <w:rsid w:val="009976A6"/>
    <w:rsid w:val="0099772E"/>
    <w:rsid w:val="00997E26"/>
    <w:rsid w:val="00997F46"/>
    <w:rsid w:val="009A006A"/>
    <w:rsid w:val="009A027A"/>
    <w:rsid w:val="009A03B8"/>
    <w:rsid w:val="009A03CA"/>
    <w:rsid w:val="009A047B"/>
    <w:rsid w:val="009A0561"/>
    <w:rsid w:val="009A0A5B"/>
    <w:rsid w:val="009A1335"/>
    <w:rsid w:val="009A166C"/>
    <w:rsid w:val="009A19CB"/>
    <w:rsid w:val="009A1C06"/>
    <w:rsid w:val="009A1DA7"/>
    <w:rsid w:val="009A2041"/>
    <w:rsid w:val="009A20E1"/>
    <w:rsid w:val="009A26BB"/>
    <w:rsid w:val="009A26E7"/>
    <w:rsid w:val="009A2AD9"/>
    <w:rsid w:val="009A2B84"/>
    <w:rsid w:val="009A2CED"/>
    <w:rsid w:val="009A34C3"/>
    <w:rsid w:val="009A3577"/>
    <w:rsid w:val="009A3A67"/>
    <w:rsid w:val="009A4485"/>
    <w:rsid w:val="009A4788"/>
    <w:rsid w:val="009A4D17"/>
    <w:rsid w:val="009A501A"/>
    <w:rsid w:val="009A52C5"/>
    <w:rsid w:val="009A5972"/>
    <w:rsid w:val="009A5B31"/>
    <w:rsid w:val="009A5B95"/>
    <w:rsid w:val="009A5EC9"/>
    <w:rsid w:val="009A5EE9"/>
    <w:rsid w:val="009A637D"/>
    <w:rsid w:val="009A63BB"/>
    <w:rsid w:val="009A6567"/>
    <w:rsid w:val="009A69CA"/>
    <w:rsid w:val="009A7216"/>
    <w:rsid w:val="009A728F"/>
    <w:rsid w:val="009A72AD"/>
    <w:rsid w:val="009A7388"/>
    <w:rsid w:val="009A76F7"/>
    <w:rsid w:val="009A77A0"/>
    <w:rsid w:val="009A79B6"/>
    <w:rsid w:val="009A7B54"/>
    <w:rsid w:val="009A7EAE"/>
    <w:rsid w:val="009A7FF3"/>
    <w:rsid w:val="009B0548"/>
    <w:rsid w:val="009B1383"/>
    <w:rsid w:val="009B16E2"/>
    <w:rsid w:val="009B1A28"/>
    <w:rsid w:val="009B1B6D"/>
    <w:rsid w:val="009B1C4D"/>
    <w:rsid w:val="009B1C6C"/>
    <w:rsid w:val="009B2109"/>
    <w:rsid w:val="009B2255"/>
    <w:rsid w:val="009B2914"/>
    <w:rsid w:val="009B2A66"/>
    <w:rsid w:val="009B309F"/>
    <w:rsid w:val="009B349E"/>
    <w:rsid w:val="009B35C1"/>
    <w:rsid w:val="009B39A1"/>
    <w:rsid w:val="009B3A6E"/>
    <w:rsid w:val="009B4260"/>
    <w:rsid w:val="009B4542"/>
    <w:rsid w:val="009B46F7"/>
    <w:rsid w:val="009B4A79"/>
    <w:rsid w:val="009B6216"/>
    <w:rsid w:val="009B6235"/>
    <w:rsid w:val="009B64C8"/>
    <w:rsid w:val="009B6CCA"/>
    <w:rsid w:val="009B6F16"/>
    <w:rsid w:val="009B716F"/>
    <w:rsid w:val="009B75D1"/>
    <w:rsid w:val="009B7873"/>
    <w:rsid w:val="009B792A"/>
    <w:rsid w:val="009B7AEE"/>
    <w:rsid w:val="009B7C80"/>
    <w:rsid w:val="009B7FA4"/>
    <w:rsid w:val="009C072C"/>
    <w:rsid w:val="009C0DF9"/>
    <w:rsid w:val="009C13EF"/>
    <w:rsid w:val="009C177E"/>
    <w:rsid w:val="009C181A"/>
    <w:rsid w:val="009C1A63"/>
    <w:rsid w:val="009C1BE4"/>
    <w:rsid w:val="009C1D10"/>
    <w:rsid w:val="009C1E73"/>
    <w:rsid w:val="009C209D"/>
    <w:rsid w:val="009C20D9"/>
    <w:rsid w:val="009C2312"/>
    <w:rsid w:val="009C27D2"/>
    <w:rsid w:val="009C2D95"/>
    <w:rsid w:val="009C2D98"/>
    <w:rsid w:val="009C332E"/>
    <w:rsid w:val="009C3445"/>
    <w:rsid w:val="009C352B"/>
    <w:rsid w:val="009C37C7"/>
    <w:rsid w:val="009C383B"/>
    <w:rsid w:val="009C399D"/>
    <w:rsid w:val="009C3D6F"/>
    <w:rsid w:val="009C3EDD"/>
    <w:rsid w:val="009C3F5B"/>
    <w:rsid w:val="009C4146"/>
    <w:rsid w:val="009C4162"/>
    <w:rsid w:val="009C471D"/>
    <w:rsid w:val="009C4A18"/>
    <w:rsid w:val="009C4A95"/>
    <w:rsid w:val="009C4E0A"/>
    <w:rsid w:val="009C4E6F"/>
    <w:rsid w:val="009C4EBB"/>
    <w:rsid w:val="009C5148"/>
    <w:rsid w:val="009C58C9"/>
    <w:rsid w:val="009C60A6"/>
    <w:rsid w:val="009C61DF"/>
    <w:rsid w:val="009C6964"/>
    <w:rsid w:val="009C6F89"/>
    <w:rsid w:val="009C75DA"/>
    <w:rsid w:val="009C7C9F"/>
    <w:rsid w:val="009C7CD2"/>
    <w:rsid w:val="009D009C"/>
    <w:rsid w:val="009D027F"/>
    <w:rsid w:val="009D054E"/>
    <w:rsid w:val="009D0599"/>
    <w:rsid w:val="009D0656"/>
    <w:rsid w:val="009D07C8"/>
    <w:rsid w:val="009D0A94"/>
    <w:rsid w:val="009D0BEC"/>
    <w:rsid w:val="009D0F6A"/>
    <w:rsid w:val="009D15C1"/>
    <w:rsid w:val="009D1658"/>
    <w:rsid w:val="009D1D34"/>
    <w:rsid w:val="009D27CF"/>
    <w:rsid w:val="009D33A4"/>
    <w:rsid w:val="009D3820"/>
    <w:rsid w:val="009D3BD7"/>
    <w:rsid w:val="009D3D02"/>
    <w:rsid w:val="009D3EA8"/>
    <w:rsid w:val="009D3FE4"/>
    <w:rsid w:val="009D4304"/>
    <w:rsid w:val="009D4434"/>
    <w:rsid w:val="009D4896"/>
    <w:rsid w:val="009D4F84"/>
    <w:rsid w:val="009D50BA"/>
    <w:rsid w:val="009D5114"/>
    <w:rsid w:val="009D5337"/>
    <w:rsid w:val="009D545D"/>
    <w:rsid w:val="009D5706"/>
    <w:rsid w:val="009D5830"/>
    <w:rsid w:val="009D5A24"/>
    <w:rsid w:val="009D6AF4"/>
    <w:rsid w:val="009D6B97"/>
    <w:rsid w:val="009D6E9E"/>
    <w:rsid w:val="009D7407"/>
    <w:rsid w:val="009D75DE"/>
    <w:rsid w:val="009D7984"/>
    <w:rsid w:val="009D7ED1"/>
    <w:rsid w:val="009E0135"/>
    <w:rsid w:val="009E02C5"/>
    <w:rsid w:val="009E04D6"/>
    <w:rsid w:val="009E057B"/>
    <w:rsid w:val="009E058E"/>
    <w:rsid w:val="009E069D"/>
    <w:rsid w:val="009E1022"/>
    <w:rsid w:val="009E1273"/>
    <w:rsid w:val="009E147B"/>
    <w:rsid w:val="009E1758"/>
    <w:rsid w:val="009E17D5"/>
    <w:rsid w:val="009E1ED2"/>
    <w:rsid w:val="009E251D"/>
    <w:rsid w:val="009E276C"/>
    <w:rsid w:val="009E2ED1"/>
    <w:rsid w:val="009E3223"/>
    <w:rsid w:val="009E3989"/>
    <w:rsid w:val="009E3B1D"/>
    <w:rsid w:val="009E41F2"/>
    <w:rsid w:val="009E4209"/>
    <w:rsid w:val="009E435B"/>
    <w:rsid w:val="009E459F"/>
    <w:rsid w:val="009E481A"/>
    <w:rsid w:val="009E4824"/>
    <w:rsid w:val="009E494F"/>
    <w:rsid w:val="009E4C91"/>
    <w:rsid w:val="009E4F75"/>
    <w:rsid w:val="009E5624"/>
    <w:rsid w:val="009E56BF"/>
    <w:rsid w:val="009E57E2"/>
    <w:rsid w:val="009E581A"/>
    <w:rsid w:val="009E5F42"/>
    <w:rsid w:val="009E5F59"/>
    <w:rsid w:val="009E5FC0"/>
    <w:rsid w:val="009E61E1"/>
    <w:rsid w:val="009E64B0"/>
    <w:rsid w:val="009E6B80"/>
    <w:rsid w:val="009E6C2F"/>
    <w:rsid w:val="009E6E95"/>
    <w:rsid w:val="009E6F15"/>
    <w:rsid w:val="009E7288"/>
    <w:rsid w:val="009E72C0"/>
    <w:rsid w:val="009E730A"/>
    <w:rsid w:val="009E7341"/>
    <w:rsid w:val="009E763A"/>
    <w:rsid w:val="009E7665"/>
    <w:rsid w:val="009E793A"/>
    <w:rsid w:val="009E7BB3"/>
    <w:rsid w:val="009E7D0A"/>
    <w:rsid w:val="009F06CE"/>
    <w:rsid w:val="009F076A"/>
    <w:rsid w:val="009F094E"/>
    <w:rsid w:val="009F0997"/>
    <w:rsid w:val="009F1083"/>
    <w:rsid w:val="009F1988"/>
    <w:rsid w:val="009F222F"/>
    <w:rsid w:val="009F2706"/>
    <w:rsid w:val="009F28C5"/>
    <w:rsid w:val="009F2D52"/>
    <w:rsid w:val="009F313A"/>
    <w:rsid w:val="009F3890"/>
    <w:rsid w:val="009F3B31"/>
    <w:rsid w:val="009F3C7F"/>
    <w:rsid w:val="009F4841"/>
    <w:rsid w:val="009F4AF7"/>
    <w:rsid w:val="009F4B58"/>
    <w:rsid w:val="009F4C73"/>
    <w:rsid w:val="009F56A1"/>
    <w:rsid w:val="009F56C1"/>
    <w:rsid w:val="009F5B93"/>
    <w:rsid w:val="009F5BBC"/>
    <w:rsid w:val="009F5DE0"/>
    <w:rsid w:val="009F5E3D"/>
    <w:rsid w:val="009F5FE4"/>
    <w:rsid w:val="009F647E"/>
    <w:rsid w:val="009F6553"/>
    <w:rsid w:val="009F685F"/>
    <w:rsid w:val="009F6962"/>
    <w:rsid w:val="009F6E92"/>
    <w:rsid w:val="009F7181"/>
    <w:rsid w:val="009F762B"/>
    <w:rsid w:val="009F7A1B"/>
    <w:rsid w:val="009F7B25"/>
    <w:rsid w:val="009F7DA2"/>
    <w:rsid w:val="009F7F12"/>
    <w:rsid w:val="00A000BF"/>
    <w:rsid w:val="00A00298"/>
    <w:rsid w:val="00A00D2E"/>
    <w:rsid w:val="00A00F3D"/>
    <w:rsid w:val="00A01759"/>
    <w:rsid w:val="00A01867"/>
    <w:rsid w:val="00A01C5E"/>
    <w:rsid w:val="00A01D32"/>
    <w:rsid w:val="00A01D62"/>
    <w:rsid w:val="00A01E22"/>
    <w:rsid w:val="00A020A9"/>
    <w:rsid w:val="00A02221"/>
    <w:rsid w:val="00A0224F"/>
    <w:rsid w:val="00A024B2"/>
    <w:rsid w:val="00A026C1"/>
    <w:rsid w:val="00A030A9"/>
    <w:rsid w:val="00A03A91"/>
    <w:rsid w:val="00A03AEC"/>
    <w:rsid w:val="00A03D78"/>
    <w:rsid w:val="00A03DE2"/>
    <w:rsid w:val="00A03F26"/>
    <w:rsid w:val="00A04724"/>
    <w:rsid w:val="00A048C6"/>
    <w:rsid w:val="00A04AF1"/>
    <w:rsid w:val="00A04C73"/>
    <w:rsid w:val="00A04E70"/>
    <w:rsid w:val="00A050F0"/>
    <w:rsid w:val="00A054E2"/>
    <w:rsid w:val="00A05559"/>
    <w:rsid w:val="00A062B1"/>
    <w:rsid w:val="00A0709F"/>
    <w:rsid w:val="00A070B2"/>
    <w:rsid w:val="00A0736E"/>
    <w:rsid w:val="00A073E0"/>
    <w:rsid w:val="00A074F4"/>
    <w:rsid w:val="00A0773B"/>
    <w:rsid w:val="00A10060"/>
    <w:rsid w:val="00A103CF"/>
    <w:rsid w:val="00A1041D"/>
    <w:rsid w:val="00A10558"/>
    <w:rsid w:val="00A1103D"/>
    <w:rsid w:val="00A12022"/>
    <w:rsid w:val="00A12260"/>
    <w:rsid w:val="00A12537"/>
    <w:rsid w:val="00A1278F"/>
    <w:rsid w:val="00A13981"/>
    <w:rsid w:val="00A13D7E"/>
    <w:rsid w:val="00A13F38"/>
    <w:rsid w:val="00A13FAE"/>
    <w:rsid w:val="00A14DBF"/>
    <w:rsid w:val="00A1501A"/>
    <w:rsid w:val="00A15468"/>
    <w:rsid w:val="00A1593B"/>
    <w:rsid w:val="00A15D14"/>
    <w:rsid w:val="00A15E1D"/>
    <w:rsid w:val="00A16625"/>
    <w:rsid w:val="00A166FA"/>
    <w:rsid w:val="00A17679"/>
    <w:rsid w:val="00A17EB0"/>
    <w:rsid w:val="00A17EEF"/>
    <w:rsid w:val="00A20377"/>
    <w:rsid w:val="00A20E58"/>
    <w:rsid w:val="00A212D2"/>
    <w:rsid w:val="00A21440"/>
    <w:rsid w:val="00A214DB"/>
    <w:rsid w:val="00A219A7"/>
    <w:rsid w:val="00A21A58"/>
    <w:rsid w:val="00A21EF2"/>
    <w:rsid w:val="00A2262E"/>
    <w:rsid w:val="00A2281B"/>
    <w:rsid w:val="00A2291B"/>
    <w:rsid w:val="00A234C8"/>
    <w:rsid w:val="00A2354A"/>
    <w:rsid w:val="00A23569"/>
    <w:rsid w:val="00A2365B"/>
    <w:rsid w:val="00A23F89"/>
    <w:rsid w:val="00A23FA8"/>
    <w:rsid w:val="00A23FE6"/>
    <w:rsid w:val="00A241D1"/>
    <w:rsid w:val="00A24401"/>
    <w:rsid w:val="00A248CE"/>
    <w:rsid w:val="00A249CF"/>
    <w:rsid w:val="00A24D0E"/>
    <w:rsid w:val="00A24E00"/>
    <w:rsid w:val="00A2525A"/>
    <w:rsid w:val="00A254C8"/>
    <w:rsid w:val="00A25519"/>
    <w:rsid w:val="00A25595"/>
    <w:rsid w:val="00A257B7"/>
    <w:rsid w:val="00A25961"/>
    <w:rsid w:val="00A259C2"/>
    <w:rsid w:val="00A259D6"/>
    <w:rsid w:val="00A25A8A"/>
    <w:rsid w:val="00A25EFF"/>
    <w:rsid w:val="00A25F79"/>
    <w:rsid w:val="00A26386"/>
    <w:rsid w:val="00A267E9"/>
    <w:rsid w:val="00A26823"/>
    <w:rsid w:val="00A26A86"/>
    <w:rsid w:val="00A26C26"/>
    <w:rsid w:val="00A26E2E"/>
    <w:rsid w:val="00A2720C"/>
    <w:rsid w:val="00A27981"/>
    <w:rsid w:val="00A3020A"/>
    <w:rsid w:val="00A30355"/>
    <w:rsid w:val="00A306FE"/>
    <w:rsid w:val="00A309AF"/>
    <w:rsid w:val="00A30CE2"/>
    <w:rsid w:val="00A30F45"/>
    <w:rsid w:val="00A31166"/>
    <w:rsid w:val="00A311B9"/>
    <w:rsid w:val="00A316CD"/>
    <w:rsid w:val="00A3206C"/>
    <w:rsid w:val="00A32646"/>
    <w:rsid w:val="00A32E99"/>
    <w:rsid w:val="00A330EA"/>
    <w:rsid w:val="00A33321"/>
    <w:rsid w:val="00A3340A"/>
    <w:rsid w:val="00A33538"/>
    <w:rsid w:val="00A335BF"/>
    <w:rsid w:val="00A336AB"/>
    <w:rsid w:val="00A33C3B"/>
    <w:rsid w:val="00A341BE"/>
    <w:rsid w:val="00A341BF"/>
    <w:rsid w:val="00A341EF"/>
    <w:rsid w:val="00A34555"/>
    <w:rsid w:val="00A346FB"/>
    <w:rsid w:val="00A354B2"/>
    <w:rsid w:val="00A35642"/>
    <w:rsid w:val="00A3587C"/>
    <w:rsid w:val="00A358B4"/>
    <w:rsid w:val="00A35955"/>
    <w:rsid w:val="00A35965"/>
    <w:rsid w:val="00A35A78"/>
    <w:rsid w:val="00A35F6A"/>
    <w:rsid w:val="00A36010"/>
    <w:rsid w:val="00A365BB"/>
    <w:rsid w:val="00A3671D"/>
    <w:rsid w:val="00A3681F"/>
    <w:rsid w:val="00A36AFB"/>
    <w:rsid w:val="00A36C4F"/>
    <w:rsid w:val="00A36F04"/>
    <w:rsid w:val="00A373A1"/>
    <w:rsid w:val="00A374F6"/>
    <w:rsid w:val="00A37B02"/>
    <w:rsid w:val="00A37C09"/>
    <w:rsid w:val="00A37E3A"/>
    <w:rsid w:val="00A402E0"/>
    <w:rsid w:val="00A40632"/>
    <w:rsid w:val="00A408FA"/>
    <w:rsid w:val="00A4095B"/>
    <w:rsid w:val="00A412DF"/>
    <w:rsid w:val="00A413C4"/>
    <w:rsid w:val="00A41A8D"/>
    <w:rsid w:val="00A41BFA"/>
    <w:rsid w:val="00A42496"/>
    <w:rsid w:val="00A424B0"/>
    <w:rsid w:val="00A42651"/>
    <w:rsid w:val="00A42B16"/>
    <w:rsid w:val="00A43156"/>
    <w:rsid w:val="00A43364"/>
    <w:rsid w:val="00A4366E"/>
    <w:rsid w:val="00A439E9"/>
    <w:rsid w:val="00A43A7B"/>
    <w:rsid w:val="00A43CD0"/>
    <w:rsid w:val="00A43EFF"/>
    <w:rsid w:val="00A43FB8"/>
    <w:rsid w:val="00A4428C"/>
    <w:rsid w:val="00A443C8"/>
    <w:rsid w:val="00A444B9"/>
    <w:rsid w:val="00A44B59"/>
    <w:rsid w:val="00A44B5A"/>
    <w:rsid w:val="00A44DA7"/>
    <w:rsid w:val="00A44E70"/>
    <w:rsid w:val="00A45B9A"/>
    <w:rsid w:val="00A46D6A"/>
    <w:rsid w:val="00A470AF"/>
    <w:rsid w:val="00A47A9A"/>
    <w:rsid w:val="00A50379"/>
    <w:rsid w:val="00A50BFE"/>
    <w:rsid w:val="00A50EAA"/>
    <w:rsid w:val="00A51035"/>
    <w:rsid w:val="00A51A82"/>
    <w:rsid w:val="00A51A90"/>
    <w:rsid w:val="00A51AD5"/>
    <w:rsid w:val="00A51BE3"/>
    <w:rsid w:val="00A524DB"/>
    <w:rsid w:val="00A524F8"/>
    <w:rsid w:val="00A525FD"/>
    <w:rsid w:val="00A52865"/>
    <w:rsid w:val="00A52933"/>
    <w:rsid w:val="00A52B72"/>
    <w:rsid w:val="00A52D83"/>
    <w:rsid w:val="00A5309B"/>
    <w:rsid w:val="00A5352C"/>
    <w:rsid w:val="00A537C6"/>
    <w:rsid w:val="00A5391E"/>
    <w:rsid w:val="00A53BB9"/>
    <w:rsid w:val="00A53CEC"/>
    <w:rsid w:val="00A53D82"/>
    <w:rsid w:val="00A53F4A"/>
    <w:rsid w:val="00A54AB7"/>
    <w:rsid w:val="00A54F06"/>
    <w:rsid w:val="00A5508A"/>
    <w:rsid w:val="00A552C2"/>
    <w:rsid w:val="00A557C6"/>
    <w:rsid w:val="00A55EFA"/>
    <w:rsid w:val="00A55F51"/>
    <w:rsid w:val="00A562B9"/>
    <w:rsid w:val="00A563E7"/>
    <w:rsid w:val="00A56513"/>
    <w:rsid w:val="00A56D26"/>
    <w:rsid w:val="00A57036"/>
    <w:rsid w:val="00A572BA"/>
    <w:rsid w:val="00A572D9"/>
    <w:rsid w:val="00A57D33"/>
    <w:rsid w:val="00A60597"/>
    <w:rsid w:val="00A60C68"/>
    <w:rsid w:val="00A60EEE"/>
    <w:rsid w:val="00A6135E"/>
    <w:rsid w:val="00A6142E"/>
    <w:rsid w:val="00A617C4"/>
    <w:rsid w:val="00A61A53"/>
    <w:rsid w:val="00A61B2C"/>
    <w:rsid w:val="00A61C6F"/>
    <w:rsid w:val="00A61F2F"/>
    <w:rsid w:val="00A61F62"/>
    <w:rsid w:val="00A61F94"/>
    <w:rsid w:val="00A61FB0"/>
    <w:rsid w:val="00A62182"/>
    <w:rsid w:val="00A6219F"/>
    <w:rsid w:val="00A62646"/>
    <w:rsid w:val="00A62B3A"/>
    <w:rsid w:val="00A62FAC"/>
    <w:rsid w:val="00A630AC"/>
    <w:rsid w:val="00A63805"/>
    <w:rsid w:val="00A63BE2"/>
    <w:rsid w:val="00A63FFA"/>
    <w:rsid w:val="00A64692"/>
    <w:rsid w:val="00A64778"/>
    <w:rsid w:val="00A647FC"/>
    <w:rsid w:val="00A648F1"/>
    <w:rsid w:val="00A6496A"/>
    <w:rsid w:val="00A64E35"/>
    <w:rsid w:val="00A65198"/>
    <w:rsid w:val="00A652B4"/>
    <w:rsid w:val="00A654FF"/>
    <w:rsid w:val="00A65631"/>
    <w:rsid w:val="00A65742"/>
    <w:rsid w:val="00A65AB2"/>
    <w:rsid w:val="00A65B7E"/>
    <w:rsid w:val="00A662E3"/>
    <w:rsid w:val="00A6649C"/>
    <w:rsid w:val="00A6670A"/>
    <w:rsid w:val="00A6688A"/>
    <w:rsid w:val="00A670A2"/>
    <w:rsid w:val="00A672F2"/>
    <w:rsid w:val="00A67DB6"/>
    <w:rsid w:val="00A700BB"/>
    <w:rsid w:val="00A70319"/>
    <w:rsid w:val="00A711A5"/>
    <w:rsid w:val="00A7147E"/>
    <w:rsid w:val="00A71538"/>
    <w:rsid w:val="00A71821"/>
    <w:rsid w:val="00A72AE5"/>
    <w:rsid w:val="00A7324C"/>
    <w:rsid w:val="00A738D5"/>
    <w:rsid w:val="00A73B31"/>
    <w:rsid w:val="00A740EB"/>
    <w:rsid w:val="00A741ED"/>
    <w:rsid w:val="00A742F6"/>
    <w:rsid w:val="00A74317"/>
    <w:rsid w:val="00A7448E"/>
    <w:rsid w:val="00A7458C"/>
    <w:rsid w:val="00A74869"/>
    <w:rsid w:val="00A74DE4"/>
    <w:rsid w:val="00A74E5F"/>
    <w:rsid w:val="00A7541E"/>
    <w:rsid w:val="00A75E57"/>
    <w:rsid w:val="00A761BF"/>
    <w:rsid w:val="00A769D9"/>
    <w:rsid w:val="00A76C0B"/>
    <w:rsid w:val="00A76EFD"/>
    <w:rsid w:val="00A772C9"/>
    <w:rsid w:val="00A7735C"/>
    <w:rsid w:val="00A778DC"/>
    <w:rsid w:val="00A77D93"/>
    <w:rsid w:val="00A77E32"/>
    <w:rsid w:val="00A77E3E"/>
    <w:rsid w:val="00A8014A"/>
    <w:rsid w:val="00A80322"/>
    <w:rsid w:val="00A8056C"/>
    <w:rsid w:val="00A809A4"/>
    <w:rsid w:val="00A809E8"/>
    <w:rsid w:val="00A81369"/>
    <w:rsid w:val="00A821C3"/>
    <w:rsid w:val="00A82456"/>
    <w:rsid w:val="00A825E7"/>
    <w:rsid w:val="00A8271E"/>
    <w:rsid w:val="00A82ADD"/>
    <w:rsid w:val="00A82D88"/>
    <w:rsid w:val="00A82DA7"/>
    <w:rsid w:val="00A82E29"/>
    <w:rsid w:val="00A82E8D"/>
    <w:rsid w:val="00A82EDA"/>
    <w:rsid w:val="00A836A1"/>
    <w:rsid w:val="00A84060"/>
    <w:rsid w:val="00A84C6B"/>
    <w:rsid w:val="00A84CBB"/>
    <w:rsid w:val="00A85084"/>
    <w:rsid w:val="00A85178"/>
    <w:rsid w:val="00A8559D"/>
    <w:rsid w:val="00A85983"/>
    <w:rsid w:val="00A85A66"/>
    <w:rsid w:val="00A85B24"/>
    <w:rsid w:val="00A85D0C"/>
    <w:rsid w:val="00A861A4"/>
    <w:rsid w:val="00A8620E"/>
    <w:rsid w:val="00A86F6A"/>
    <w:rsid w:val="00A8706F"/>
    <w:rsid w:val="00A8708A"/>
    <w:rsid w:val="00A872B2"/>
    <w:rsid w:val="00A875BD"/>
    <w:rsid w:val="00A87757"/>
    <w:rsid w:val="00A879D8"/>
    <w:rsid w:val="00A87DC9"/>
    <w:rsid w:val="00A87F03"/>
    <w:rsid w:val="00A90477"/>
    <w:rsid w:val="00A9075A"/>
    <w:rsid w:val="00A907EE"/>
    <w:rsid w:val="00A90B4C"/>
    <w:rsid w:val="00A90B7F"/>
    <w:rsid w:val="00A90FA4"/>
    <w:rsid w:val="00A911A5"/>
    <w:rsid w:val="00A91622"/>
    <w:rsid w:val="00A91FD9"/>
    <w:rsid w:val="00A92984"/>
    <w:rsid w:val="00A92B27"/>
    <w:rsid w:val="00A92D34"/>
    <w:rsid w:val="00A92F3B"/>
    <w:rsid w:val="00A92FFF"/>
    <w:rsid w:val="00A935DD"/>
    <w:rsid w:val="00A93683"/>
    <w:rsid w:val="00A93849"/>
    <w:rsid w:val="00A93866"/>
    <w:rsid w:val="00A93878"/>
    <w:rsid w:val="00A93984"/>
    <w:rsid w:val="00A93F08"/>
    <w:rsid w:val="00A940FE"/>
    <w:rsid w:val="00A9419A"/>
    <w:rsid w:val="00A94227"/>
    <w:rsid w:val="00A94379"/>
    <w:rsid w:val="00A94BEA"/>
    <w:rsid w:val="00A94D14"/>
    <w:rsid w:val="00A94D49"/>
    <w:rsid w:val="00A9501D"/>
    <w:rsid w:val="00A95172"/>
    <w:rsid w:val="00A9578A"/>
    <w:rsid w:val="00A95AA2"/>
    <w:rsid w:val="00A960DE"/>
    <w:rsid w:val="00A96469"/>
    <w:rsid w:val="00A96DE0"/>
    <w:rsid w:val="00A972D1"/>
    <w:rsid w:val="00A97382"/>
    <w:rsid w:val="00A9796C"/>
    <w:rsid w:val="00A97E50"/>
    <w:rsid w:val="00AA02A4"/>
    <w:rsid w:val="00AA0472"/>
    <w:rsid w:val="00AA06DB"/>
    <w:rsid w:val="00AA08D7"/>
    <w:rsid w:val="00AA0DA7"/>
    <w:rsid w:val="00AA0E3D"/>
    <w:rsid w:val="00AA146D"/>
    <w:rsid w:val="00AA16A3"/>
    <w:rsid w:val="00AA16AB"/>
    <w:rsid w:val="00AA1904"/>
    <w:rsid w:val="00AA22FA"/>
    <w:rsid w:val="00AA2316"/>
    <w:rsid w:val="00AA2382"/>
    <w:rsid w:val="00AA23A0"/>
    <w:rsid w:val="00AA24B1"/>
    <w:rsid w:val="00AA314C"/>
    <w:rsid w:val="00AA3707"/>
    <w:rsid w:val="00AA38EE"/>
    <w:rsid w:val="00AA3AFB"/>
    <w:rsid w:val="00AA3C3C"/>
    <w:rsid w:val="00AA3C45"/>
    <w:rsid w:val="00AA5335"/>
    <w:rsid w:val="00AA53E8"/>
    <w:rsid w:val="00AA574F"/>
    <w:rsid w:val="00AA59FC"/>
    <w:rsid w:val="00AA6093"/>
    <w:rsid w:val="00AA67DF"/>
    <w:rsid w:val="00AA6E6F"/>
    <w:rsid w:val="00AA6F3F"/>
    <w:rsid w:val="00AA6FF3"/>
    <w:rsid w:val="00AA70F4"/>
    <w:rsid w:val="00AA73EC"/>
    <w:rsid w:val="00AA75C1"/>
    <w:rsid w:val="00AA76F6"/>
    <w:rsid w:val="00AA7700"/>
    <w:rsid w:val="00AA792C"/>
    <w:rsid w:val="00AA7B35"/>
    <w:rsid w:val="00AA7E21"/>
    <w:rsid w:val="00AA7E24"/>
    <w:rsid w:val="00AA7F8B"/>
    <w:rsid w:val="00AB0076"/>
    <w:rsid w:val="00AB0B54"/>
    <w:rsid w:val="00AB1037"/>
    <w:rsid w:val="00AB10AC"/>
    <w:rsid w:val="00AB16F6"/>
    <w:rsid w:val="00AB27FA"/>
    <w:rsid w:val="00AB381E"/>
    <w:rsid w:val="00AB391E"/>
    <w:rsid w:val="00AB39FF"/>
    <w:rsid w:val="00AB4155"/>
    <w:rsid w:val="00AB42BA"/>
    <w:rsid w:val="00AB42F5"/>
    <w:rsid w:val="00AB46BE"/>
    <w:rsid w:val="00AB48E8"/>
    <w:rsid w:val="00AB4916"/>
    <w:rsid w:val="00AB49D2"/>
    <w:rsid w:val="00AB49FA"/>
    <w:rsid w:val="00AB4E26"/>
    <w:rsid w:val="00AB4E34"/>
    <w:rsid w:val="00AB4E77"/>
    <w:rsid w:val="00AB4F3F"/>
    <w:rsid w:val="00AB4F94"/>
    <w:rsid w:val="00AB5918"/>
    <w:rsid w:val="00AB5E52"/>
    <w:rsid w:val="00AB61A5"/>
    <w:rsid w:val="00AB61D1"/>
    <w:rsid w:val="00AB62A9"/>
    <w:rsid w:val="00AB6E86"/>
    <w:rsid w:val="00AB6EFA"/>
    <w:rsid w:val="00AB7122"/>
    <w:rsid w:val="00AB78AD"/>
    <w:rsid w:val="00AB79DF"/>
    <w:rsid w:val="00AB7C22"/>
    <w:rsid w:val="00AC00F4"/>
    <w:rsid w:val="00AC0BDB"/>
    <w:rsid w:val="00AC10A8"/>
    <w:rsid w:val="00AC13E8"/>
    <w:rsid w:val="00AC1DDC"/>
    <w:rsid w:val="00AC28B5"/>
    <w:rsid w:val="00AC29A9"/>
    <w:rsid w:val="00AC2A0A"/>
    <w:rsid w:val="00AC3073"/>
    <w:rsid w:val="00AC3480"/>
    <w:rsid w:val="00AC3597"/>
    <w:rsid w:val="00AC3B43"/>
    <w:rsid w:val="00AC4030"/>
    <w:rsid w:val="00AC4234"/>
    <w:rsid w:val="00AC4308"/>
    <w:rsid w:val="00AC43B2"/>
    <w:rsid w:val="00AC4647"/>
    <w:rsid w:val="00AC466E"/>
    <w:rsid w:val="00AC48B6"/>
    <w:rsid w:val="00AC4EC4"/>
    <w:rsid w:val="00AC536C"/>
    <w:rsid w:val="00AC5759"/>
    <w:rsid w:val="00AC5BC3"/>
    <w:rsid w:val="00AC5BCB"/>
    <w:rsid w:val="00AC5DF2"/>
    <w:rsid w:val="00AC5F8E"/>
    <w:rsid w:val="00AC6554"/>
    <w:rsid w:val="00AC68C7"/>
    <w:rsid w:val="00AC6D50"/>
    <w:rsid w:val="00AC73AF"/>
    <w:rsid w:val="00AC74A7"/>
    <w:rsid w:val="00AC75DE"/>
    <w:rsid w:val="00AC78EA"/>
    <w:rsid w:val="00AD0AC1"/>
    <w:rsid w:val="00AD0BC8"/>
    <w:rsid w:val="00AD0BE5"/>
    <w:rsid w:val="00AD0E82"/>
    <w:rsid w:val="00AD1661"/>
    <w:rsid w:val="00AD1AB4"/>
    <w:rsid w:val="00AD1C04"/>
    <w:rsid w:val="00AD2491"/>
    <w:rsid w:val="00AD26EC"/>
    <w:rsid w:val="00AD296C"/>
    <w:rsid w:val="00AD2CAA"/>
    <w:rsid w:val="00AD2DFE"/>
    <w:rsid w:val="00AD2E0F"/>
    <w:rsid w:val="00AD2F33"/>
    <w:rsid w:val="00AD33A4"/>
    <w:rsid w:val="00AD346C"/>
    <w:rsid w:val="00AD380C"/>
    <w:rsid w:val="00AD3A40"/>
    <w:rsid w:val="00AD3B74"/>
    <w:rsid w:val="00AD3EB8"/>
    <w:rsid w:val="00AD47BA"/>
    <w:rsid w:val="00AD481D"/>
    <w:rsid w:val="00AD52CB"/>
    <w:rsid w:val="00AD5802"/>
    <w:rsid w:val="00AD5A6E"/>
    <w:rsid w:val="00AD5F6A"/>
    <w:rsid w:val="00AD6095"/>
    <w:rsid w:val="00AD60C8"/>
    <w:rsid w:val="00AD6594"/>
    <w:rsid w:val="00AD6B89"/>
    <w:rsid w:val="00AD6E53"/>
    <w:rsid w:val="00AD719E"/>
    <w:rsid w:val="00AD73E7"/>
    <w:rsid w:val="00AE00AB"/>
    <w:rsid w:val="00AE05C2"/>
    <w:rsid w:val="00AE0FBD"/>
    <w:rsid w:val="00AE0FE2"/>
    <w:rsid w:val="00AE11B2"/>
    <w:rsid w:val="00AE1A00"/>
    <w:rsid w:val="00AE1A91"/>
    <w:rsid w:val="00AE1C6B"/>
    <w:rsid w:val="00AE2008"/>
    <w:rsid w:val="00AE2032"/>
    <w:rsid w:val="00AE2311"/>
    <w:rsid w:val="00AE2A52"/>
    <w:rsid w:val="00AE2BA5"/>
    <w:rsid w:val="00AE2E26"/>
    <w:rsid w:val="00AE32BD"/>
    <w:rsid w:val="00AE3551"/>
    <w:rsid w:val="00AE356F"/>
    <w:rsid w:val="00AE3A91"/>
    <w:rsid w:val="00AE3E85"/>
    <w:rsid w:val="00AE4097"/>
    <w:rsid w:val="00AE438B"/>
    <w:rsid w:val="00AE4874"/>
    <w:rsid w:val="00AE532C"/>
    <w:rsid w:val="00AE5894"/>
    <w:rsid w:val="00AE614E"/>
    <w:rsid w:val="00AE6385"/>
    <w:rsid w:val="00AE653C"/>
    <w:rsid w:val="00AE684F"/>
    <w:rsid w:val="00AE6F85"/>
    <w:rsid w:val="00AE707E"/>
    <w:rsid w:val="00AE740D"/>
    <w:rsid w:val="00AE7F2C"/>
    <w:rsid w:val="00AF0209"/>
    <w:rsid w:val="00AF0399"/>
    <w:rsid w:val="00AF08A1"/>
    <w:rsid w:val="00AF09A4"/>
    <w:rsid w:val="00AF0B83"/>
    <w:rsid w:val="00AF0DDB"/>
    <w:rsid w:val="00AF1242"/>
    <w:rsid w:val="00AF1286"/>
    <w:rsid w:val="00AF13D9"/>
    <w:rsid w:val="00AF16EB"/>
    <w:rsid w:val="00AF16FD"/>
    <w:rsid w:val="00AF1799"/>
    <w:rsid w:val="00AF1CB8"/>
    <w:rsid w:val="00AF2254"/>
    <w:rsid w:val="00AF291C"/>
    <w:rsid w:val="00AF2E1B"/>
    <w:rsid w:val="00AF2F88"/>
    <w:rsid w:val="00AF2F8A"/>
    <w:rsid w:val="00AF37C1"/>
    <w:rsid w:val="00AF3A9F"/>
    <w:rsid w:val="00AF42B2"/>
    <w:rsid w:val="00AF42FD"/>
    <w:rsid w:val="00AF5077"/>
    <w:rsid w:val="00AF5441"/>
    <w:rsid w:val="00AF54AB"/>
    <w:rsid w:val="00AF5C62"/>
    <w:rsid w:val="00AF5EA9"/>
    <w:rsid w:val="00AF69BE"/>
    <w:rsid w:val="00AF69D1"/>
    <w:rsid w:val="00AF6A5D"/>
    <w:rsid w:val="00AF70A3"/>
    <w:rsid w:val="00AF70DE"/>
    <w:rsid w:val="00AF7387"/>
    <w:rsid w:val="00AF7792"/>
    <w:rsid w:val="00AF79B9"/>
    <w:rsid w:val="00AF79BC"/>
    <w:rsid w:val="00AF7CFB"/>
    <w:rsid w:val="00AF7EEA"/>
    <w:rsid w:val="00B000DB"/>
    <w:rsid w:val="00B00202"/>
    <w:rsid w:val="00B006F8"/>
    <w:rsid w:val="00B007DF"/>
    <w:rsid w:val="00B00C73"/>
    <w:rsid w:val="00B0157A"/>
    <w:rsid w:val="00B0160B"/>
    <w:rsid w:val="00B01DDE"/>
    <w:rsid w:val="00B01DF9"/>
    <w:rsid w:val="00B023B3"/>
    <w:rsid w:val="00B02DAC"/>
    <w:rsid w:val="00B02E4A"/>
    <w:rsid w:val="00B02F30"/>
    <w:rsid w:val="00B031AF"/>
    <w:rsid w:val="00B03533"/>
    <w:rsid w:val="00B036A1"/>
    <w:rsid w:val="00B03D88"/>
    <w:rsid w:val="00B04348"/>
    <w:rsid w:val="00B04762"/>
    <w:rsid w:val="00B04945"/>
    <w:rsid w:val="00B04B3B"/>
    <w:rsid w:val="00B04D5B"/>
    <w:rsid w:val="00B050AA"/>
    <w:rsid w:val="00B0583D"/>
    <w:rsid w:val="00B05C84"/>
    <w:rsid w:val="00B05CB0"/>
    <w:rsid w:val="00B05CBF"/>
    <w:rsid w:val="00B06B3B"/>
    <w:rsid w:val="00B07433"/>
    <w:rsid w:val="00B0747A"/>
    <w:rsid w:val="00B076D1"/>
    <w:rsid w:val="00B07A55"/>
    <w:rsid w:val="00B07B42"/>
    <w:rsid w:val="00B1018E"/>
    <w:rsid w:val="00B10219"/>
    <w:rsid w:val="00B1022E"/>
    <w:rsid w:val="00B109F4"/>
    <w:rsid w:val="00B10D53"/>
    <w:rsid w:val="00B10D7C"/>
    <w:rsid w:val="00B1119B"/>
    <w:rsid w:val="00B11815"/>
    <w:rsid w:val="00B11967"/>
    <w:rsid w:val="00B11CE6"/>
    <w:rsid w:val="00B11EAF"/>
    <w:rsid w:val="00B11F79"/>
    <w:rsid w:val="00B12033"/>
    <w:rsid w:val="00B1229E"/>
    <w:rsid w:val="00B123D3"/>
    <w:rsid w:val="00B1241B"/>
    <w:rsid w:val="00B127FA"/>
    <w:rsid w:val="00B129B9"/>
    <w:rsid w:val="00B12AA3"/>
    <w:rsid w:val="00B12C4E"/>
    <w:rsid w:val="00B13323"/>
    <w:rsid w:val="00B1348C"/>
    <w:rsid w:val="00B139A4"/>
    <w:rsid w:val="00B1404C"/>
    <w:rsid w:val="00B1493A"/>
    <w:rsid w:val="00B14CE8"/>
    <w:rsid w:val="00B15A64"/>
    <w:rsid w:val="00B1610B"/>
    <w:rsid w:val="00B16470"/>
    <w:rsid w:val="00B1743E"/>
    <w:rsid w:val="00B1761A"/>
    <w:rsid w:val="00B17D5A"/>
    <w:rsid w:val="00B17EA0"/>
    <w:rsid w:val="00B2002E"/>
    <w:rsid w:val="00B201A6"/>
    <w:rsid w:val="00B20D7B"/>
    <w:rsid w:val="00B211CF"/>
    <w:rsid w:val="00B21515"/>
    <w:rsid w:val="00B216EE"/>
    <w:rsid w:val="00B21C15"/>
    <w:rsid w:val="00B221E3"/>
    <w:rsid w:val="00B22213"/>
    <w:rsid w:val="00B2290F"/>
    <w:rsid w:val="00B23106"/>
    <w:rsid w:val="00B244F4"/>
    <w:rsid w:val="00B247BF"/>
    <w:rsid w:val="00B24E4E"/>
    <w:rsid w:val="00B251E0"/>
    <w:rsid w:val="00B25ED7"/>
    <w:rsid w:val="00B26099"/>
    <w:rsid w:val="00B2609B"/>
    <w:rsid w:val="00B261F4"/>
    <w:rsid w:val="00B26715"/>
    <w:rsid w:val="00B26D6B"/>
    <w:rsid w:val="00B26E1A"/>
    <w:rsid w:val="00B27210"/>
    <w:rsid w:val="00B272A5"/>
    <w:rsid w:val="00B27464"/>
    <w:rsid w:val="00B274C8"/>
    <w:rsid w:val="00B275AB"/>
    <w:rsid w:val="00B3082A"/>
    <w:rsid w:val="00B3094C"/>
    <w:rsid w:val="00B30AD0"/>
    <w:rsid w:val="00B30EE0"/>
    <w:rsid w:val="00B30F21"/>
    <w:rsid w:val="00B3126E"/>
    <w:rsid w:val="00B313DC"/>
    <w:rsid w:val="00B316A8"/>
    <w:rsid w:val="00B3179B"/>
    <w:rsid w:val="00B3185B"/>
    <w:rsid w:val="00B31EC0"/>
    <w:rsid w:val="00B31FD9"/>
    <w:rsid w:val="00B3288F"/>
    <w:rsid w:val="00B32AF2"/>
    <w:rsid w:val="00B32E08"/>
    <w:rsid w:val="00B33158"/>
    <w:rsid w:val="00B33409"/>
    <w:rsid w:val="00B34062"/>
    <w:rsid w:val="00B341C5"/>
    <w:rsid w:val="00B34251"/>
    <w:rsid w:val="00B34D99"/>
    <w:rsid w:val="00B34EA5"/>
    <w:rsid w:val="00B35377"/>
    <w:rsid w:val="00B3550E"/>
    <w:rsid w:val="00B35839"/>
    <w:rsid w:val="00B35B05"/>
    <w:rsid w:val="00B35F14"/>
    <w:rsid w:val="00B360D9"/>
    <w:rsid w:val="00B361BE"/>
    <w:rsid w:val="00B361DA"/>
    <w:rsid w:val="00B36626"/>
    <w:rsid w:val="00B36A8A"/>
    <w:rsid w:val="00B36C0D"/>
    <w:rsid w:val="00B36FA3"/>
    <w:rsid w:val="00B36FA9"/>
    <w:rsid w:val="00B36FEC"/>
    <w:rsid w:val="00B37105"/>
    <w:rsid w:val="00B376CE"/>
    <w:rsid w:val="00B37914"/>
    <w:rsid w:val="00B379EF"/>
    <w:rsid w:val="00B37A99"/>
    <w:rsid w:val="00B37AC2"/>
    <w:rsid w:val="00B4121C"/>
    <w:rsid w:val="00B412E3"/>
    <w:rsid w:val="00B41759"/>
    <w:rsid w:val="00B420E1"/>
    <w:rsid w:val="00B422E5"/>
    <w:rsid w:val="00B42630"/>
    <w:rsid w:val="00B426D3"/>
    <w:rsid w:val="00B428A0"/>
    <w:rsid w:val="00B43050"/>
    <w:rsid w:val="00B4342F"/>
    <w:rsid w:val="00B4356B"/>
    <w:rsid w:val="00B436DE"/>
    <w:rsid w:val="00B439DF"/>
    <w:rsid w:val="00B43CF6"/>
    <w:rsid w:val="00B440A1"/>
    <w:rsid w:val="00B44D22"/>
    <w:rsid w:val="00B44F0D"/>
    <w:rsid w:val="00B45114"/>
    <w:rsid w:val="00B453B5"/>
    <w:rsid w:val="00B455C7"/>
    <w:rsid w:val="00B4592C"/>
    <w:rsid w:val="00B45C60"/>
    <w:rsid w:val="00B46619"/>
    <w:rsid w:val="00B46A8D"/>
    <w:rsid w:val="00B46B4B"/>
    <w:rsid w:val="00B4743D"/>
    <w:rsid w:val="00B474CA"/>
    <w:rsid w:val="00B47CEF"/>
    <w:rsid w:val="00B47EBE"/>
    <w:rsid w:val="00B507B4"/>
    <w:rsid w:val="00B50AEF"/>
    <w:rsid w:val="00B51444"/>
    <w:rsid w:val="00B515C2"/>
    <w:rsid w:val="00B515F9"/>
    <w:rsid w:val="00B517BB"/>
    <w:rsid w:val="00B51CD4"/>
    <w:rsid w:val="00B51DAB"/>
    <w:rsid w:val="00B522D6"/>
    <w:rsid w:val="00B52518"/>
    <w:rsid w:val="00B52932"/>
    <w:rsid w:val="00B537D7"/>
    <w:rsid w:val="00B54B09"/>
    <w:rsid w:val="00B54B25"/>
    <w:rsid w:val="00B54D0E"/>
    <w:rsid w:val="00B54D0F"/>
    <w:rsid w:val="00B54D18"/>
    <w:rsid w:val="00B54D8C"/>
    <w:rsid w:val="00B55117"/>
    <w:rsid w:val="00B55AE4"/>
    <w:rsid w:val="00B55BA5"/>
    <w:rsid w:val="00B55C6B"/>
    <w:rsid w:val="00B56617"/>
    <w:rsid w:val="00B56679"/>
    <w:rsid w:val="00B56BEF"/>
    <w:rsid w:val="00B57184"/>
    <w:rsid w:val="00B574D7"/>
    <w:rsid w:val="00B57657"/>
    <w:rsid w:val="00B57858"/>
    <w:rsid w:val="00B579A9"/>
    <w:rsid w:val="00B579E3"/>
    <w:rsid w:val="00B57DB6"/>
    <w:rsid w:val="00B60159"/>
    <w:rsid w:val="00B60305"/>
    <w:rsid w:val="00B60710"/>
    <w:rsid w:val="00B607AD"/>
    <w:rsid w:val="00B6113D"/>
    <w:rsid w:val="00B61349"/>
    <w:rsid w:val="00B623A6"/>
    <w:rsid w:val="00B6247A"/>
    <w:rsid w:val="00B6254D"/>
    <w:rsid w:val="00B62773"/>
    <w:rsid w:val="00B62CB0"/>
    <w:rsid w:val="00B62E3D"/>
    <w:rsid w:val="00B62E4D"/>
    <w:rsid w:val="00B62F6C"/>
    <w:rsid w:val="00B63401"/>
    <w:rsid w:val="00B637A4"/>
    <w:rsid w:val="00B63CE5"/>
    <w:rsid w:val="00B63E06"/>
    <w:rsid w:val="00B64804"/>
    <w:rsid w:val="00B64DF7"/>
    <w:rsid w:val="00B65C83"/>
    <w:rsid w:val="00B66668"/>
    <w:rsid w:val="00B667CD"/>
    <w:rsid w:val="00B6700B"/>
    <w:rsid w:val="00B67398"/>
    <w:rsid w:val="00B675E5"/>
    <w:rsid w:val="00B67734"/>
    <w:rsid w:val="00B67A5E"/>
    <w:rsid w:val="00B70250"/>
    <w:rsid w:val="00B707D1"/>
    <w:rsid w:val="00B7083B"/>
    <w:rsid w:val="00B70A89"/>
    <w:rsid w:val="00B70B72"/>
    <w:rsid w:val="00B70E5C"/>
    <w:rsid w:val="00B7100A"/>
    <w:rsid w:val="00B71602"/>
    <w:rsid w:val="00B71B80"/>
    <w:rsid w:val="00B71B9F"/>
    <w:rsid w:val="00B71C28"/>
    <w:rsid w:val="00B71D00"/>
    <w:rsid w:val="00B71D29"/>
    <w:rsid w:val="00B7270E"/>
    <w:rsid w:val="00B729B3"/>
    <w:rsid w:val="00B73135"/>
    <w:rsid w:val="00B731FF"/>
    <w:rsid w:val="00B73C3F"/>
    <w:rsid w:val="00B73FC7"/>
    <w:rsid w:val="00B74728"/>
    <w:rsid w:val="00B747DF"/>
    <w:rsid w:val="00B74875"/>
    <w:rsid w:val="00B749E5"/>
    <w:rsid w:val="00B7517F"/>
    <w:rsid w:val="00B75300"/>
    <w:rsid w:val="00B75847"/>
    <w:rsid w:val="00B75C16"/>
    <w:rsid w:val="00B76A0A"/>
    <w:rsid w:val="00B76F5B"/>
    <w:rsid w:val="00B7725C"/>
    <w:rsid w:val="00B7758B"/>
    <w:rsid w:val="00B77D25"/>
    <w:rsid w:val="00B80363"/>
    <w:rsid w:val="00B80620"/>
    <w:rsid w:val="00B80667"/>
    <w:rsid w:val="00B807BC"/>
    <w:rsid w:val="00B80A42"/>
    <w:rsid w:val="00B80CC6"/>
    <w:rsid w:val="00B80EFE"/>
    <w:rsid w:val="00B813EB"/>
    <w:rsid w:val="00B8157D"/>
    <w:rsid w:val="00B81780"/>
    <w:rsid w:val="00B81913"/>
    <w:rsid w:val="00B81AE6"/>
    <w:rsid w:val="00B81F61"/>
    <w:rsid w:val="00B8201C"/>
    <w:rsid w:val="00B82254"/>
    <w:rsid w:val="00B82523"/>
    <w:rsid w:val="00B8269E"/>
    <w:rsid w:val="00B826FD"/>
    <w:rsid w:val="00B82A2C"/>
    <w:rsid w:val="00B82C01"/>
    <w:rsid w:val="00B83205"/>
    <w:rsid w:val="00B835A3"/>
    <w:rsid w:val="00B83873"/>
    <w:rsid w:val="00B83AC4"/>
    <w:rsid w:val="00B84040"/>
    <w:rsid w:val="00B84453"/>
    <w:rsid w:val="00B8492B"/>
    <w:rsid w:val="00B84938"/>
    <w:rsid w:val="00B849CA"/>
    <w:rsid w:val="00B84B82"/>
    <w:rsid w:val="00B84DC5"/>
    <w:rsid w:val="00B8504F"/>
    <w:rsid w:val="00B854C8"/>
    <w:rsid w:val="00B857DA"/>
    <w:rsid w:val="00B85B14"/>
    <w:rsid w:val="00B85BE9"/>
    <w:rsid w:val="00B861D9"/>
    <w:rsid w:val="00B86463"/>
    <w:rsid w:val="00B86469"/>
    <w:rsid w:val="00B86536"/>
    <w:rsid w:val="00B86780"/>
    <w:rsid w:val="00B86A7A"/>
    <w:rsid w:val="00B86F4D"/>
    <w:rsid w:val="00B87180"/>
    <w:rsid w:val="00B875BA"/>
    <w:rsid w:val="00B875D7"/>
    <w:rsid w:val="00B87815"/>
    <w:rsid w:val="00B87A21"/>
    <w:rsid w:val="00B87ABD"/>
    <w:rsid w:val="00B90766"/>
    <w:rsid w:val="00B91416"/>
    <w:rsid w:val="00B9204C"/>
    <w:rsid w:val="00B92148"/>
    <w:rsid w:val="00B9321D"/>
    <w:rsid w:val="00B937D4"/>
    <w:rsid w:val="00B93D4E"/>
    <w:rsid w:val="00B941D5"/>
    <w:rsid w:val="00B9457C"/>
    <w:rsid w:val="00B949EE"/>
    <w:rsid w:val="00B94BD6"/>
    <w:rsid w:val="00B94EC1"/>
    <w:rsid w:val="00B954EB"/>
    <w:rsid w:val="00B9551C"/>
    <w:rsid w:val="00B9578D"/>
    <w:rsid w:val="00B9589B"/>
    <w:rsid w:val="00B95A05"/>
    <w:rsid w:val="00B95CFC"/>
    <w:rsid w:val="00B95EFF"/>
    <w:rsid w:val="00B962DE"/>
    <w:rsid w:val="00B9633D"/>
    <w:rsid w:val="00B9642E"/>
    <w:rsid w:val="00B9685A"/>
    <w:rsid w:val="00B96AE7"/>
    <w:rsid w:val="00B96D49"/>
    <w:rsid w:val="00B96DBD"/>
    <w:rsid w:val="00B9730D"/>
    <w:rsid w:val="00B976AA"/>
    <w:rsid w:val="00B97B6C"/>
    <w:rsid w:val="00B97B9E"/>
    <w:rsid w:val="00BA0136"/>
    <w:rsid w:val="00BA01C7"/>
    <w:rsid w:val="00BA01E6"/>
    <w:rsid w:val="00BA040B"/>
    <w:rsid w:val="00BA0BB4"/>
    <w:rsid w:val="00BA125F"/>
    <w:rsid w:val="00BA1369"/>
    <w:rsid w:val="00BA1490"/>
    <w:rsid w:val="00BA2017"/>
    <w:rsid w:val="00BA2ABB"/>
    <w:rsid w:val="00BA2AC7"/>
    <w:rsid w:val="00BA33DB"/>
    <w:rsid w:val="00BA34BB"/>
    <w:rsid w:val="00BA353D"/>
    <w:rsid w:val="00BA3FCB"/>
    <w:rsid w:val="00BA424C"/>
    <w:rsid w:val="00BA46FA"/>
    <w:rsid w:val="00BA4947"/>
    <w:rsid w:val="00BA4BAE"/>
    <w:rsid w:val="00BA4EBA"/>
    <w:rsid w:val="00BA4FEC"/>
    <w:rsid w:val="00BA55ED"/>
    <w:rsid w:val="00BA57D6"/>
    <w:rsid w:val="00BA5938"/>
    <w:rsid w:val="00BA5B2D"/>
    <w:rsid w:val="00BA5C01"/>
    <w:rsid w:val="00BA5CBA"/>
    <w:rsid w:val="00BA621F"/>
    <w:rsid w:val="00BA6810"/>
    <w:rsid w:val="00BA6A40"/>
    <w:rsid w:val="00BA6BCA"/>
    <w:rsid w:val="00BA6CD5"/>
    <w:rsid w:val="00BA7053"/>
    <w:rsid w:val="00BA70ED"/>
    <w:rsid w:val="00BA711E"/>
    <w:rsid w:val="00BA7D69"/>
    <w:rsid w:val="00BA7D8E"/>
    <w:rsid w:val="00BB0257"/>
    <w:rsid w:val="00BB055D"/>
    <w:rsid w:val="00BB0BEE"/>
    <w:rsid w:val="00BB0EFF"/>
    <w:rsid w:val="00BB12F5"/>
    <w:rsid w:val="00BB14D2"/>
    <w:rsid w:val="00BB17DA"/>
    <w:rsid w:val="00BB1CBC"/>
    <w:rsid w:val="00BB206F"/>
    <w:rsid w:val="00BB29D1"/>
    <w:rsid w:val="00BB2D52"/>
    <w:rsid w:val="00BB37DC"/>
    <w:rsid w:val="00BB402B"/>
    <w:rsid w:val="00BB4428"/>
    <w:rsid w:val="00BB45D0"/>
    <w:rsid w:val="00BB47C7"/>
    <w:rsid w:val="00BB4885"/>
    <w:rsid w:val="00BB4BAF"/>
    <w:rsid w:val="00BB55DE"/>
    <w:rsid w:val="00BB5944"/>
    <w:rsid w:val="00BB5C05"/>
    <w:rsid w:val="00BB60A4"/>
    <w:rsid w:val="00BB66D6"/>
    <w:rsid w:val="00BB6C6E"/>
    <w:rsid w:val="00BB72E6"/>
    <w:rsid w:val="00BB76E3"/>
    <w:rsid w:val="00BB7BCE"/>
    <w:rsid w:val="00BB7CFB"/>
    <w:rsid w:val="00BC01BE"/>
    <w:rsid w:val="00BC0285"/>
    <w:rsid w:val="00BC0B31"/>
    <w:rsid w:val="00BC0F55"/>
    <w:rsid w:val="00BC1206"/>
    <w:rsid w:val="00BC1414"/>
    <w:rsid w:val="00BC1859"/>
    <w:rsid w:val="00BC1AC9"/>
    <w:rsid w:val="00BC1FE8"/>
    <w:rsid w:val="00BC285F"/>
    <w:rsid w:val="00BC299F"/>
    <w:rsid w:val="00BC2B1C"/>
    <w:rsid w:val="00BC2DE3"/>
    <w:rsid w:val="00BC2E0B"/>
    <w:rsid w:val="00BC3095"/>
    <w:rsid w:val="00BC333A"/>
    <w:rsid w:val="00BC3F0F"/>
    <w:rsid w:val="00BC4063"/>
    <w:rsid w:val="00BC434A"/>
    <w:rsid w:val="00BC4638"/>
    <w:rsid w:val="00BC48E5"/>
    <w:rsid w:val="00BC4DA5"/>
    <w:rsid w:val="00BC5038"/>
    <w:rsid w:val="00BC5365"/>
    <w:rsid w:val="00BC5573"/>
    <w:rsid w:val="00BC5598"/>
    <w:rsid w:val="00BC5675"/>
    <w:rsid w:val="00BC5734"/>
    <w:rsid w:val="00BC5ACC"/>
    <w:rsid w:val="00BC6369"/>
    <w:rsid w:val="00BC6400"/>
    <w:rsid w:val="00BC6486"/>
    <w:rsid w:val="00BC6CCA"/>
    <w:rsid w:val="00BC71B7"/>
    <w:rsid w:val="00BC782A"/>
    <w:rsid w:val="00BC78FD"/>
    <w:rsid w:val="00BC7900"/>
    <w:rsid w:val="00BC7E9C"/>
    <w:rsid w:val="00BD06BB"/>
    <w:rsid w:val="00BD0910"/>
    <w:rsid w:val="00BD0A1A"/>
    <w:rsid w:val="00BD0B6F"/>
    <w:rsid w:val="00BD0E2F"/>
    <w:rsid w:val="00BD0E85"/>
    <w:rsid w:val="00BD0FD7"/>
    <w:rsid w:val="00BD13FC"/>
    <w:rsid w:val="00BD1EBD"/>
    <w:rsid w:val="00BD23BC"/>
    <w:rsid w:val="00BD2A5C"/>
    <w:rsid w:val="00BD2AF6"/>
    <w:rsid w:val="00BD2B5D"/>
    <w:rsid w:val="00BD2DBC"/>
    <w:rsid w:val="00BD2DE5"/>
    <w:rsid w:val="00BD30EE"/>
    <w:rsid w:val="00BD31C7"/>
    <w:rsid w:val="00BD32D9"/>
    <w:rsid w:val="00BD373C"/>
    <w:rsid w:val="00BD387F"/>
    <w:rsid w:val="00BD3D34"/>
    <w:rsid w:val="00BD447B"/>
    <w:rsid w:val="00BD4DB5"/>
    <w:rsid w:val="00BD5144"/>
    <w:rsid w:val="00BD524F"/>
    <w:rsid w:val="00BD54F6"/>
    <w:rsid w:val="00BD5973"/>
    <w:rsid w:val="00BD5EA6"/>
    <w:rsid w:val="00BD6556"/>
    <w:rsid w:val="00BD6A89"/>
    <w:rsid w:val="00BD6E48"/>
    <w:rsid w:val="00BD7072"/>
    <w:rsid w:val="00BD71CF"/>
    <w:rsid w:val="00BE020D"/>
    <w:rsid w:val="00BE025A"/>
    <w:rsid w:val="00BE099F"/>
    <w:rsid w:val="00BE0D61"/>
    <w:rsid w:val="00BE0E7F"/>
    <w:rsid w:val="00BE0EF6"/>
    <w:rsid w:val="00BE160C"/>
    <w:rsid w:val="00BE1974"/>
    <w:rsid w:val="00BE1E83"/>
    <w:rsid w:val="00BE1F5D"/>
    <w:rsid w:val="00BE1F87"/>
    <w:rsid w:val="00BE2096"/>
    <w:rsid w:val="00BE2239"/>
    <w:rsid w:val="00BE2891"/>
    <w:rsid w:val="00BE334A"/>
    <w:rsid w:val="00BE34D3"/>
    <w:rsid w:val="00BE357E"/>
    <w:rsid w:val="00BE3C16"/>
    <w:rsid w:val="00BE54FA"/>
    <w:rsid w:val="00BE5A27"/>
    <w:rsid w:val="00BE5D73"/>
    <w:rsid w:val="00BE630B"/>
    <w:rsid w:val="00BE67B3"/>
    <w:rsid w:val="00BE6AB1"/>
    <w:rsid w:val="00BE6C75"/>
    <w:rsid w:val="00BE712E"/>
    <w:rsid w:val="00BE72E0"/>
    <w:rsid w:val="00BE74B7"/>
    <w:rsid w:val="00BE79AE"/>
    <w:rsid w:val="00BE7EFA"/>
    <w:rsid w:val="00BE7FE9"/>
    <w:rsid w:val="00BF008D"/>
    <w:rsid w:val="00BF00AA"/>
    <w:rsid w:val="00BF0CF9"/>
    <w:rsid w:val="00BF0EBC"/>
    <w:rsid w:val="00BF0FCA"/>
    <w:rsid w:val="00BF10FC"/>
    <w:rsid w:val="00BF11B6"/>
    <w:rsid w:val="00BF13C1"/>
    <w:rsid w:val="00BF17F9"/>
    <w:rsid w:val="00BF240A"/>
    <w:rsid w:val="00BF24FB"/>
    <w:rsid w:val="00BF285F"/>
    <w:rsid w:val="00BF295C"/>
    <w:rsid w:val="00BF2AE2"/>
    <w:rsid w:val="00BF2B4D"/>
    <w:rsid w:val="00BF3333"/>
    <w:rsid w:val="00BF35EC"/>
    <w:rsid w:val="00BF3613"/>
    <w:rsid w:val="00BF362A"/>
    <w:rsid w:val="00BF380B"/>
    <w:rsid w:val="00BF38FC"/>
    <w:rsid w:val="00BF4482"/>
    <w:rsid w:val="00BF45DD"/>
    <w:rsid w:val="00BF4953"/>
    <w:rsid w:val="00BF4E0B"/>
    <w:rsid w:val="00BF4E5B"/>
    <w:rsid w:val="00BF51C6"/>
    <w:rsid w:val="00BF5848"/>
    <w:rsid w:val="00BF59B5"/>
    <w:rsid w:val="00BF5DEC"/>
    <w:rsid w:val="00BF5F5B"/>
    <w:rsid w:val="00BF60BB"/>
    <w:rsid w:val="00BF61AA"/>
    <w:rsid w:val="00BF6297"/>
    <w:rsid w:val="00BF73C9"/>
    <w:rsid w:val="00BF775E"/>
    <w:rsid w:val="00BF7954"/>
    <w:rsid w:val="00C00810"/>
    <w:rsid w:val="00C00DD6"/>
    <w:rsid w:val="00C00E53"/>
    <w:rsid w:val="00C011AE"/>
    <w:rsid w:val="00C01A4C"/>
    <w:rsid w:val="00C02194"/>
    <w:rsid w:val="00C02AFF"/>
    <w:rsid w:val="00C02EED"/>
    <w:rsid w:val="00C02EEE"/>
    <w:rsid w:val="00C02FD5"/>
    <w:rsid w:val="00C030EE"/>
    <w:rsid w:val="00C03252"/>
    <w:rsid w:val="00C032F0"/>
    <w:rsid w:val="00C033D5"/>
    <w:rsid w:val="00C03609"/>
    <w:rsid w:val="00C03CE5"/>
    <w:rsid w:val="00C03D8A"/>
    <w:rsid w:val="00C04266"/>
    <w:rsid w:val="00C046B4"/>
    <w:rsid w:val="00C04BC7"/>
    <w:rsid w:val="00C051AF"/>
    <w:rsid w:val="00C05248"/>
    <w:rsid w:val="00C05262"/>
    <w:rsid w:val="00C054BD"/>
    <w:rsid w:val="00C0596C"/>
    <w:rsid w:val="00C05A51"/>
    <w:rsid w:val="00C05D20"/>
    <w:rsid w:val="00C05EB5"/>
    <w:rsid w:val="00C05F16"/>
    <w:rsid w:val="00C0620A"/>
    <w:rsid w:val="00C06A19"/>
    <w:rsid w:val="00C071A6"/>
    <w:rsid w:val="00C07BD6"/>
    <w:rsid w:val="00C101DC"/>
    <w:rsid w:val="00C10310"/>
    <w:rsid w:val="00C103EA"/>
    <w:rsid w:val="00C103EE"/>
    <w:rsid w:val="00C105EF"/>
    <w:rsid w:val="00C115FF"/>
    <w:rsid w:val="00C1176E"/>
    <w:rsid w:val="00C11CFB"/>
    <w:rsid w:val="00C11E5E"/>
    <w:rsid w:val="00C12007"/>
    <w:rsid w:val="00C124D6"/>
    <w:rsid w:val="00C12C88"/>
    <w:rsid w:val="00C1334E"/>
    <w:rsid w:val="00C13986"/>
    <w:rsid w:val="00C13C09"/>
    <w:rsid w:val="00C14305"/>
    <w:rsid w:val="00C14679"/>
    <w:rsid w:val="00C148A4"/>
    <w:rsid w:val="00C1498C"/>
    <w:rsid w:val="00C149F0"/>
    <w:rsid w:val="00C14ACC"/>
    <w:rsid w:val="00C14EA1"/>
    <w:rsid w:val="00C15B5D"/>
    <w:rsid w:val="00C15D7A"/>
    <w:rsid w:val="00C16076"/>
    <w:rsid w:val="00C164ED"/>
    <w:rsid w:val="00C16AF7"/>
    <w:rsid w:val="00C173DF"/>
    <w:rsid w:val="00C1745C"/>
    <w:rsid w:val="00C17471"/>
    <w:rsid w:val="00C17B58"/>
    <w:rsid w:val="00C17CA8"/>
    <w:rsid w:val="00C20310"/>
    <w:rsid w:val="00C20473"/>
    <w:rsid w:val="00C204AD"/>
    <w:rsid w:val="00C2077B"/>
    <w:rsid w:val="00C2092A"/>
    <w:rsid w:val="00C20AD5"/>
    <w:rsid w:val="00C20E19"/>
    <w:rsid w:val="00C219B1"/>
    <w:rsid w:val="00C21B40"/>
    <w:rsid w:val="00C21CCA"/>
    <w:rsid w:val="00C21E5C"/>
    <w:rsid w:val="00C23404"/>
    <w:rsid w:val="00C238BB"/>
    <w:rsid w:val="00C23BA6"/>
    <w:rsid w:val="00C23D76"/>
    <w:rsid w:val="00C23FD1"/>
    <w:rsid w:val="00C247AF"/>
    <w:rsid w:val="00C2487E"/>
    <w:rsid w:val="00C24C03"/>
    <w:rsid w:val="00C25049"/>
    <w:rsid w:val="00C25CF1"/>
    <w:rsid w:val="00C25D12"/>
    <w:rsid w:val="00C25D6A"/>
    <w:rsid w:val="00C26580"/>
    <w:rsid w:val="00C26649"/>
    <w:rsid w:val="00C26AB3"/>
    <w:rsid w:val="00C26CA6"/>
    <w:rsid w:val="00C26E2C"/>
    <w:rsid w:val="00C27051"/>
    <w:rsid w:val="00C274D6"/>
    <w:rsid w:val="00C27703"/>
    <w:rsid w:val="00C278BB"/>
    <w:rsid w:val="00C27CA5"/>
    <w:rsid w:val="00C27EA4"/>
    <w:rsid w:val="00C30915"/>
    <w:rsid w:val="00C30C85"/>
    <w:rsid w:val="00C30E14"/>
    <w:rsid w:val="00C31232"/>
    <w:rsid w:val="00C313EF"/>
    <w:rsid w:val="00C3164F"/>
    <w:rsid w:val="00C317E5"/>
    <w:rsid w:val="00C319EE"/>
    <w:rsid w:val="00C31DCC"/>
    <w:rsid w:val="00C31EBA"/>
    <w:rsid w:val="00C32034"/>
    <w:rsid w:val="00C325BF"/>
    <w:rsid w:val="00C32AF6"/>
    <w:rsid w:val="00C32DC2"/>
    <w:rsid w:val="00C32DF5"/>
    <w:rsid w:val="00C33323"/>
    <w:rsid w:val="00C33B00"/>
    <w:rsid w:val="00C341F0"/>
    <w:rsid w:val="00C344E7"/>
    <w:rsid w:val="00C34B46"/>
    <w:rsid w:val="00C34B9B"/>
    <w:rsid w:val="00C350CA"/>
    <w:rsid w:val="00C35222"/>
    <w:rsid w:val="00C3537A"/>
    <w:rsid w:val="00C35B0C"/>
    <w:rsid w:val="00C3615A"/>
    <w:rsid w:val="00C36E48"/>
    <w:rsid w:val="00C37712"/>
    <w:rsid w:val="00C37C07"/>
    <w:rsid w:val="00C4044F"/>
    <w:rsid w:val="00C40495"/>
    <w:rsid w:val="00C405D7"/>
    <w:rsid w:val="00C40AF1"/>
    <w:rsid w:val="00C40C5F"/>
    <w:rsid w:val="00C4117F"/>
    <w:rsid w:val="00C411E3"/>
    <w:rsid w:val="00C415EB"/>
    <w:rsid w:val="00C41FD7"/>
    <w:rsid w:val="00C42B71"/>
    <w:rsid w:val="00C42EEA"/>
    <w:rsid w:val="00C4301A"/>
    <w:rsid w:val="00C43255"/>
    <w:rsid w:val="00C4347D"/>
    <w:rsid w:val="00C434E7"/>
    <w:rsid w:val="00C43532"/>
    <w:rsid w:val="00C43DC4"/>
    <w:rsid w:val="00C43E03"/>
    <w:rsid w:val="00C449B9"/>
    <w:rsid w:val="00C45B14"/>
    <w:rsid w:val="00C46590"/>
    <w:rsid w:val="00C4678B"/>
    <w:rsid w:val="00C46799"/>
    <w:rsid w:val="00C469C7"/>
    <w:rsid w:val="00C46DC8"/>
    <w:rsid w:val="00C4721E"/>
    <w:rsid w:val="00C478C0"/>
    <w:rsid w:val="00C47C44"/>
    <w:rsid w:val="00C47C8F"/>
    <w:rsid w:val="00C47E54"/>
    <w:rsid w:val="00C50281"/>
    <w:rsid w:val="00C50465"/>
    <w:rsid w:val="00C5078E"/>
    <w:rsid w:val="00C50C29"/>
    <w:rsid w:val="00C516AD"/>
    <w:rsid w:val="00C51C7E"/>
    <w:rsid w:val="00C51FF2"/>
    <w:rsid w:val="00C52049"/>
    <w:rsid w:val="00C520EF"/>
    <w:rsid w:val="00C52D78"/>
    <w:rsid w:val="00C52F0E"/>
    <w:rsid w:val="00C53523"/>
    <w:rsid w:val="00C537E6"/>
    <w:rsid w:val="00C54053"/>
    <w:rsid w:val="00C544A2"/>
    <w:rsid w:val="00C5479C"/>
    <w:rsid w:val="00C5492A"/>
    <w:rsid w:val="00C5521B"/>
    <w:rsid w:val="00C55C63"/>
    <w:rsid w:val="00C56457"/>
    <w:rsid w:val="00C5690D"/>
    <w:rsid w:val="00C56FFA"/>
    <w:rsid w:val="00C571B0"/>
    <w:rsid w:val="00C57AD5"/>
    <w:rsid w:val="00C57E75"/>
    <w:rsid w:val="00C57EA7"/>
    <w:rsid w:val="00C6015C"/>
    <w:rsid w:val="00C608B5"/>
    <w:rsid w:val="00C60A69"/>
    <w:rsid w:val="00C60BA0"/>
    <w:rsid w:val="00C60CA1"/>
    <w:rsid w:val="00C61658"/>
    <w:rsid w:val="00C61CD3"/>
    <w:rsid w:val="00C61E5C"/>
    <w:rsid w:val="00C61EAB"/>
    <w:rsid w:val="00C61EBD"/>
    <w:rsid w:val="00C621C7"/>
    <w:rsid w:val="00C624C5"/>
    <w:rsid w:val="00C62A4F"/>
    <w:rsid w:val="00C62DA2"/>
    <w:rsid w:val="00C633FC"/>
    <w:rsid w:val="00C63A86"/>
    <w:rsid w:val="00C6439A"/>
    <w:rsid w:val="00C64CD9"/>
    <w:rsid w:val="00C653BF"/>
    <w:rsid w:val="00C655D0"/>
    <w:rsid w:val="00C65862"/>
    <w:rsid w:val="00C65B13"/>
    <w:rsid w:val="00C65DFE"/>
    <w:rsid w:val="00C66B2C"/>
    <w:rsid w:val="00C66B50"/>
    <w:rsid w:val="00C67184"/>
    <w:rsid w:val="00C676F8"/>
    <w:rsid w:val="00C678CF"/>
    <w:rsid w:val="00C67C10"/>
    <w:rsid w:val="00C67FBB"/>
    <w:rsid w:val="00C67FBC"/>
    <w:rsid w:val="00C7024F"/>
    <w:rsid w:val="00C70293"/>
    <w:rsid w:val="00C702C7"/>
    <w:rsid w:val="00C70591"/>
    <w:rsid w:val="00C70883"/>
    <w:rsid w:val="00C7135C"/>
    <w:rsid w:val="00C713D4"/>
    <w:rsid w:val="00C71588"/>
    <w:rsid w:val="00C71903"/>
    <w:rsid w:val="00C71978"/>
    <w:rsid w:val="00C71D14"/>
    <w:rsid w:val="00C72A27"/>
    <w:rsid w:val="00C7348D"/>
    <w:rsid w:val="00C734D6"/>
    <w:rsid w:val="00C735A5"/>
    <w:rsid w:val="00C73ED3"/>
    <w:rsid w:val="00C7427B"/>
    <w:rsid w:val="00C74468"/>
    <w:rsid w:val="00C74483"/>
    <w:rsid w:val="00C74C14"/>
    <w:rsid w:val="00C74C74"/>
    <w:rsid w:val="00C74F2E"/>
    <w:rsid w:val="00C75027"/>
    <w:rsid w:val="00C7509E"/>
    <w:rsid w:val="00C753AE"/>
    <w:rsid w:val="00C75A78"/>
    <w:rsid w:val="00C7621A"/>
    <w:rsid w:val="00C765AB"/>
    <w:rsid w:val="00C76943"/>
    <w:rsid w:val="00C76AD0"/>
    <w:rsid w:val="00C76F9C"/>
    <w:rsid w:val="00C7702F"/>
    <w:rsid w:val="00C7728D"/>
    <w:rsid w:val="00C773DC"/>
    <w:rsid w:val="00C77950"/>
    <w:rsid w:val="00C80169"/>
    <w:rsid w:val="00C80630"/>
    <w:rsid w:val="00C810E3"/>
    <w:rsid w:val="00C81BA2"/>
    <w:rsid w:val="00C81BC0"/>
    <w:rsid w:val="00C823DB"/>
    <w:rsid w:val="00C82409"/>
    <w:rsid w:val="00C845BB"/>
    <w:rsid w:val="00C8491C"/>
    <w:rsid w:val="00C84BED"/>
    <w:rsid w:val="00C84D0A"/>
    <w:rsid w:val="00C84D50"/>
    <w:rsid w:val="00C84F3C"/>
    <w:rsid w:val="00C85261"/>
    <w:rsid w:val="00C858D2"/>
    <w:rsid w:val="00C861F7"/>
    <w:rsid w:val="00C8654A"/>
    <w:rsid w:val="00C865DC"/>
    <w:rsid w:val="00C86909"/>
    <w:rsid w:val="00C86F09"/>
    <w:rsid w:val="00C87045"/>
    <w:rsid w:val="00C87617"/>
    <w:rsid w:val="00C87C93"/>
    <w:rsid w:val="00C87CAD"/>
    <w:rsid w:val="00C90632"/>
    <w:rsid w:val="00C90776"/>
    <w:rsid w:val="00C90951"/>
    <w:rsid w:val="00C90D5D"/>
    <w:rsid w:val="00C90DC1"/>
    <w:rsid w:val="00C90EDA"/>
    <w:rsid w:val="00C915D5"/>
    <w:rsid w:val="00C91E60"/>
    <w:rsid w:val="00C92028"/>
    <w:rsid w:val="00C921F8"/>
    <w:rsid w:val="00C92520"/>
    <w:rsid w:val="00C92AA7"/>
    <w:rsid w:val="00C937E5"/>
    <w:rsid w:val="00C942CD"/>
    <w:rsid w:val="00C945B0"/>
    <w:rsid w:val="00C94951"/>
    <w:rsid w:val="00C94C0C"/>
    <w:rsid w:val="00C95527"/>
    <w:rsid w:val="00C956AE"/>
    <w:rsid w:val="00C95D5C"/>
    <w:rsid w:val="00C95E5E"/>
    <w:rsid w:val="00C95FDF"/>
    <w:rsid w:val="00C96848"/>
    <w:rsid w:val="00C96B80"/>
    <w:rsid w:val="00C96D8A"/>
    <w:rsid w:val="00C96E8E"/>
    <w:rsid w:val="00C970AC"/>
    <w:rsid w:val="00C9746F"/>
    <w:rsid w:val="00C97FDC"/>
    <w:rsid w:val="00CA013A"/>
    <w:rsid w:val="00CA07DE"/>
    <w:rsid w:val="00CA0837"/>
    <w:rsid w:val="00CA087D"/>
    <w:rsid w:val="00CA0A29"/>
    <w:rsid w:val="00CA111C"/>
    <w:rsid w:val="00CA13E4"/>
    <w:rsid w:val="00CA14F3"/>
    <w:rsid w:val="00CA1812"/>
    <w:rsid w:val="00CA1D3A"/>
    <w:rsid w:val="00CA277C"/>
    <w:rsid w:val="00CA2F09"/>
    <w:rsid w:val="00CA2F53"/>
    <w:rsid w:val="00CA3240"/>
    <w:rsid w:val="00CA34E8"/>
    <w:rsid w:val="00CA3AEB"/>
    <w:rsid w:val="00CA3AFC"/>
    <w:rsid w:val="00CA3FFF"/>
    <w:rsid w:val="00CA4EFC"/>
    <w:rsid w:val="00CA4F50"/>
    <w:rsid w:val="00CA502B"/>
    <w:rsid w:val="00CA5335"/>
    <w:rsid w:val="00CA571D"/>
    <w:rsid w:val="00CA5831"/>
    <w:rsid w:val="00CA5B71"/>
    <w:rsid w:val="00CA5BDA"/>
    <w:rsid w:val="00CA5C97"/>
    <w:rsid w:val="00CA5FEE"/>
    <w:rsid w:val="00CA609F"/>
    <w:rsid w:val="00CA6198"/>
    <w:rsid w:val="00CA69F8"/>
    <w:rsid w:val="00CA6C1A"/>
    <w:rsid w:val="00CA6DC4"/>
    <w:rsid w:val="00CA7117"/>
    <w:rsid w:val="00CA74DD"/>
    <w:rsid w:val="00CA7572"/>
    <w:rsid w:val="00CA761C"/>
    <w:rsid w:val="00CA79C9"/>
    <w:rsid w:val="00CA7CA0"/>
    <w:rsid w:val="00CB01BD"/>
    <w:rsid w:val="00CB0292"/>
    <w:rsid w:val="00CB03DA"/>
    <w:rsid w:val="00CB04FE"/>
    <w:rsid w:val="00CB074F"/>
    <w:rsid w:val="00CB0DB2"/>
    <w:rsid w:val="00CB0EAD"/>
    <w:rsid w:val="00CB1337"/>
    <w:rsid w:val="00CB1577"/>
    <w:rsid w:val="00CB19D6"/>
    <w:rsid w:val="00CB1A05"/>
    <w:rsid w:val="00CB2165"/>
    <w:rsid w:val="00CB2812"/>
    <w:rsid w:val="00CB2FA6"/>
    <w:rsid w:val="00CB324B"/>
    <w:rsid w:val="00CB3483"/>
    <w:rsid w:val="00CB38B7"/>
    <w:rsid w:val="00CB3A50"/>
    <w:rsid w:val="00CB3A83"/>
    <w:rsid w:val="00CB3A90"/>
    <w:rsid w:val="00CB3BA3"/>
    <w:rsid w:val="00CB3D7B"/>
    <w:rsid w:val="00CB3EEB"/>
    <w:rsid w:val="00CB3EFE"/>
    <w:rsid w:val="00CB3FB9"/>
    <w:rsid w:val="00CB465B"/>
    <w:rsid w:val="00CB47D8"/>
    <w:rsid w:val="00CB5229"/>
    <w:rsid w:val="00CB52AE"/>
    <w:rsid w:val="00CB54AA"/>
    <w:rsid w:val="00CB5746"/>
    <w:rsid w:val="00CB5D15"/>
    <w:rsid w:val="00CB6329"/>
    <w:rsid w:val="00CB64FD"/>
    <w:rsid w:val="00CB7453"/>
    <w:rsid w:val="00CB748B"/>
    <w:rsid w:val="00CB7500"/>
    <w:rsid w:val="00CB7751"/>
    <w:rsid w:val="00CB7761"/>
    <w:rsid w:val="00CB7866"/>
    <w:rsid w:val="00CC0081"/>
    <w:rsid w:val="00CC0128"/>
    <w:rsid w:val="00CC01AC"/>
    <w:rsid w:val="00CC073B"/>
    <w:rsid w:val="00CC0B9C"/>
    <w:rsid w:val="00CC0FAE"/>
    <w:rsid w:val="00CC1006"/>
    <w:rsid w:val="00CC1520"/>
    <w:rsid w:val="00CC1986"/>
    <w:rsid w:val="00CC1A0D"/>
    <w:rsid w:val="00CC1DDF"/>
    <w:rsid w:val="00CC22F9"/>
    <w:rsid w:val="00CC274F"/>
    <w:rsid w:val="00CC2BDB"/>
    <w:rsid w:val="00CC2C04"/>
    <w:rsid w:val="00CC388C"/>
    <w:rsid w:val="00CC38B6"/>
    <w:rsid w:val="00CC3D78"/>
    <w:rsid w:val="00CC3DE3"/>
    <w:rsid w:val="00CC3FE1"/>
    <w:rsid w:val="00CC4D1F"/>
    <w:rsid w:val="00CC4F33"/>
    <w:rsid w:val="00CC52B5"/>
    <w:rsid w:val="00CC5D5A"/>
    <w:rsid w:val="00CC61C3"/>
    <w:rsid w:val="00CC6236"/>
    <w:rsid w:val="00CC626C"/>
    <w:rsid w:val="00CC66CF"/>
    <w:rsid w:val="00CC66D8"/>
    <w:rsid w:val="00CC6742"/>
    <w:rsid w:val="00CC67FF"/>
    <w:rsid w:val="00CC6929"/>
    <w:rsid w:val="00CC6C1F"/>
    <w:rsid w:val="00CC7297"/>
    <w:rsid w:val="00CC7F27"/>
    <w:rsid w:val="00CD0357"/>
    <w:rsid w:val="00CD07E4"/>
    <w:rsid w:val="00CD083C"/>
    <w:rsid w:val="00CD0B5E"/>
    <w:rsid w:val="00CD0CB8"/>
    <w:rsid w:val="00CD0F07"/>
    <w:rsid w:val="00CD1035"/>
    <w:rsid w:val="00CD1309"/>
    <w:rsid w:val="00CD13F8"/>
    <w:rsid w:val="00CD14C7"/>
    <w:rsid w:val="00CD1885"/>
    <w:rsid w:val="00CD25B0"/>
    <w:rsid w:val="00CD3345"/>
    <w:rsid w:val="00CD3729"/>
    <w:rsid w:val="00CD395A"/>
    <w:rsid w:val="00CD3B1E"/>
    <w:rsid w:val="00CD419A"/>
    <w:rsid w:val="00CD44EE"/>
    <w:rsid w:val="00CD522F"/>
    <w:rsid w:val="00CD552C"/>
    <w:rsid w:val="00CD5A31"/>
    <w:rsid w:val="00CD5AC3"/>
    <w:rsid w:val="00CD62F4"/>
    <w:rsid w:val="00CD63C5"/>
    <w:rsid w:val="00CD6AF4"/>
    <w:rsid w:val="00CD6ECF"/>
    <w:rsid w:val="00CD72AB"/>
    <w:rsid w:val="00CD7303"/>
    <w:rsid w:val="00CD74ED"/>
    <w:rsid w:val="00CD7667"/>
    <w:rsid w:val="00CD7979"/>
    <w:rsid w:val="00CD7F8B"/>
    <w:rsid w:val="00CE01A6"/>
    <w:rsid w:val="00CE07B1"/>
    <w:rsid w:val="00CE08E6"/>
    <w:rsid w:val="00CE0D23"/>
    <w:rsid w:val="00CE14CD"/>
    <w:rsid w:val="00CE1531"/>
    <w:rsid w:val="00CE16FC"/>
    <w:rsid w:val="00CE1A5A"/>
    <w:rsid w:val="00CE1DEA"/>
    <w:rsid w:val="00CE2086"/>
    <w:rsid w:val="00CE2763"/>
    <w:rsid w:val="00CE27D4"/>
    <w:rsid w:val="00CE28BD"/>
    <w:rsid w:val="00CE2A30"/>
    <w:rsid w:val="00CE2B18"/>
    <w:rsid w:val="00CE2F1C"/>
    <w:rsid w:val="00CE30BE"/>
    <w:rsid w:val="00CE3D46"/>
    <w:rsid w:val="00CE48BB"/>
    <w:rsid w:val="00CE4AB2"/>
    <w:rsid w:val="00CE4B6B"/>
    <w:rsid w:val="00CE4EBD"/>
    <w:rsid w:val="00CE504E"/>
    <w:rsid w:val="00CE5295"/>
    <w:rsid w:val="00CE54A0"/>
    <w:rsid w:val="00CE5890"/>
    <w:rsid w:val="00CE5C82"/>
    <w:rsid w:val="00CE5CA6"/>
    <w:rsid w:val="00CE6208"/>
    <w:rsid w:val="00CE672E"/>
    <w:rsid w:val="00CE68F7"/>
    <w:rsid w:val="00CE6A63"/>
    <w:rsid w:val="00CE6B27"/>
    <w:rsid w:val="00CE6FEA"/>
    <w:rsid w:val="00CE700E"/>
    <w:rsid w:val="00CE7CDF"/>
    <w:rsid w:val="00CF0072"/>
    <w:rsid w:val="00CF02DB"/>
    <w:rsid w:val="00CF0404"/>
    <w:rsid w:val="00CF0C15"/>
    <w:rsid w:val="00CF126B"/>
    <w:rsid w:val="00CF15FE"/>
    <w:rsid w:val="00CF162A"/>
    <w:rsid w:val="00CF16F3"/>
    <w:rsid w:val="00CF19A4"/>
    <w:rsid w:val="00CF1BFF"/>
    <w:rsid w:val="00CF1ED5"/>
    <w:rsid w:val="00CF2798"/>
    <w:rsid w:val="00CF2A68"/>
    <w:rsid w:val="00CF2B21"/>
    <w:rsid w:val="00CF2C33"/>
    <w:rsid w:val="00CF367E"/>
    <w:rsid w:val="00CF40EE"/>
    <w:rsid w:val="00CF419A"/>
    <w:rsid w:val="00CF458A"/>
    <w:rsid w:val="00CF463B"/>
    <w:rsid w:val="00CF4BC3"/>
    <w:rsid w:val="00CF4D8D"/>
    <w:rsid w:val="00CF504F"/>
    <w:rsid w:val="00CF50CD"/>
    <w:rsid w:val="00CF524B"/>
    <w:rsid w:val="00CF5BA9"/>
    <w:rsid w:val="00CF6774"/>
    <w:rsid w:val="00CF6BDA"/>
    <w:rsid w:val="00CF6FCA"/>
    <w:rsid w:val="00CF7150"/>
    <w:rsid w:val="00CF74F1"/>
    <w:rsid w:val="00CF7E84"/>
    <w:rsid w:val="00CF7F12"/>
    <w:rsid w:val="00D00380"/>
    <w:rsid w:val="00D00767"/>
    <w:rsid w:val="00D009B5"/>
    <w:rsid w:val="00D00A7A"/>
    <w:rsid w:val="00D0110C"/>
    <w:rsid w:val="00D01570"/>
    <w:rsid w:val="00D017FA"/>
    <w:rsid w:val="00D018AC"/>
    <w:rsid w:val="00D01950"/>
    <w:rsid w:val="00D01FC9"/>
    <w:rsid w:val="00D020AE"/>
    <w:rsid w:val="00D0227D"/>
    <w:rsid w:val="00D02392"/>
    <w:rsid w:val="00D02689"/>
    <w:rsid w:val="00D0283A"/>
    <w:rsid w:val="00D029D3"/>
    <w:rsid w:val="00D02E77"/>
    <w:rsid w:val="00D02E85"/>
    <w:rsid w:val="00D02FB6"/>
    <w:rsid w:val="00D0337E"/>
    <w:rsid w:val="00D0338D"/>
    <w:rsid w:val="00D03539"/>
    <w:rsid w:val="00D0354E"/>
    <w:rsid w:val="00D03E84"/>
    <w:rsid w:val="00D03F81"/>
    <w:rsid w:val="00D046B5"/>
    <w:rsid w:val="00D049B1"/>
    <w:rsid w:val="00D05027"/>
    <w:rsid w:val="00D055A2"/>
    <w:rsid w:val="00D0575E"/>
    <w:rsid w:val="00D05B7E"/>
    <w:rsid w:val="00D05BE6"/>
    <w:rsid w:val="00D061B9"/>
    <w:rsid w:val="00D06285"/>
    <w:rsid w:val="00D063B3"/>
    <w:rsid w:val="00D06B6F"/>
    <w:rsid w:val="00D06C0E"/>
    <w:rsid w:val="00D06C8E"/>
    <w:rsid w:val="00D06CF4"/>
    <w:rsid w:val="00D06EAE"/>
    <w:rsid w:val="00D06ED7"/>
    <w:rsid w:val="00D07617"/>
    <w:rsid w:val="00D0769B"/>
    <w:rsid w:val="00D07AC1"/>
    <w:rsid w:val="00D07CE0"/>
    <w:rsid w:val="00D102F6"/>
    <w:rsid w:val="00D10434"/>
    <w:rsid w:val="00D107E3"/>
    <w:rsid w:val="00D10E51"/>
    <w:rsid w:val="00D10FFB"/>
    <w:rsid w:val="00D116E1"/>
    <w:rsid w:val="00D11760"/>
    <w:rsid w:val="00D11BD8"/>
    <w:rsid w:val="00D1256D"/>
    <w:rsid w:val="00D12F8E"/>
    <w:rsid w:val="00D13190"/>
    <w:rsid w:val="00D137BD"/>
    <w:rsid w:val="00D139DF"/>
    <w:rsid w:val="00D13B88"/>
    <w:rsid w:val="00D14701"/>
    <w:rsid w:val="00D148AF"/>
    <w:rsid w:val="00D14C5A"/>
    <w:rsid w:val="00D151F8"/>
    <w:rsid w:val="00D152E2"/>
    <w:rsid w:val="00D1538C"/>
    <w:rsid w:val="00D15E45"/>
    <w:rsid w:val="00D15F9E"/>
    <w:rsid w:val="00D16106"/>
    <w:rsid w:val="00D1625F"/>
    <w:rsid w:val="00D16351"/>
    <w:rsid w:val="00D16665"/>
    <w:rsid w:val="00D169FF"/>
    <w:rsid w:val="00D16A23"/>
    <w:rsid w:val="00D16E6C"/>
    <w:rsid w:val="00D173C0"/>
    <w:rsid w:val="00D1748B"/>
    <w:rsid w:val="00D179E9"/>
    <w:rsid w:val="00D17E84"/>
    <w:rsid w:val="00D202D5"/>
    <w:rsid w:val="00D20553"/>
    <w:rsid w:val="00D20A35"/>
    <w:rsid w:val="00D20B5D"/>
    <w:rsid w:val="00D20B7E"/>
    <w:rsid w:val="00D2152E"/>
    <w:rsid w:val="00D21562"/>
    <w:rsid w:val="00D2162F"/>
    <w:rsid w:val="00D216BB"/>
    <w:rsid w:val="00D21BA4"/>
    <w:rsid w:val="00D21F27"/>
    <w:rsid w:val="00D223B1"/>
    <w:rsid w:val="00D2250A"/>
    <w:rsid w:val="00D22544"/>
    <w:rsid w:val="00D2265C"/>
    <w:rsid w:val="00D22A0E"/>
    <w:rsid w:val="00D22D47"/>
    <w:rsid w:val="00D23188"/>
    <w:rsid w:val="00D231DD"/>
    <w:rsid w:val="00D23546"/>
    <w:rsid w:val="00D237A9"/>
    <w:rsid w:val="00D2380A"/>
    <w:rsid w:val="00D23F05"/>
    <w:rsid w:val="00D24032"/>
    <w:rsid w:val="00D240D6"/>
    <w:rsid w:val="00D241A3"/>
    <w:rsid w:val="00D242B6"/>
    <w:rsid w:val="00D244BE"/>
    <w:rsid w:val="00D245D7"/>
    <w:rsid w:val="00D24814"/>
    <w:rsid w:val="00D249A0"/>
    <w:rsid w:val="00D250E1"/>
    <w:rsid w:val="00D252C7"/>
    <w:rsid w:val="00D25703"/>
    <w:rsid w:val="00D25F7F"/>
    <w:rsid w:val="00D263B0"/>
    <w:rsid w:val="00D26881"/>
    <w:rsid w:val="00D26957"/>
    <w:rsid w:val="00D26FFD"/>
    <w:rsid w:val="00D270BA"/>
    <w:rsid w:val="00D27286"/>
    <w:rsid w:val="00D27CFB"/>
    <w:rsid w:val="00D27D9D"/>
    <w:rsid w:val="00D27E6F"/>
    <w:rsid w:val="00D30145"/>
    <w:rsid w:val="00D3038C"/>
    <w:rsid w:val="00D30435"/>
    <w:rsid w:val="00D30655"/>
    <w:rsid w:val="00D306EF"/>
    <w:rsid w:val="00D30857"/>
    <w:rsid w:val="00D308CF"/>
    <w:rsid w:val="00D315C2"/>
    <w:rsid w:val="00D3188E"/>
    <w:rsid w:val="00D318A5"/>
    <w:rsid w:val="00D31953"/>
    <w:rsid w:val="00D31B59"/>
    <w:rsid w:val="00D31DE7"/>
    <w:rsid w:val="00D31F15"/>
    <w:rsid w:val="00D31F75"/>
    <w:rsid w:val="00D32075"/>
    <w:rsid w:val="00D326FB"/>
    <w:rsid w:val="00D328EC"/>
    <w:rsid w:val="00D32D1C"/>
    <w:rsid w:val="00D32D21"/>
    <w:rsid w:val="00D32F34"/>
    <w:rsid w:val="00D334D1"/>
    <w:rsid w:val="00D33C5E"/>
    <w:rsid w:val="00D34207"/>
    <w:rsid w:val="00D34743"/>
    <w:rsid w:val="00D34ABE"/>
    <w:rsid w:val="00D34D60"/>
    <w:rsid w:val="00D35098"/>
    <w:rsid w:val="00D353C9"/>
    <w:rsid w:val="00D35C40"/>
    <w:rsid w:val="00D36116"/>
    <w:rsid w:val="00D36178"/>
    <w:rsid w:val="00D36257"/>
    <w:rsid w:val="00D3711A"/>
    <w:rsid w:val="00D372DE"/>
    <w:rsid w:val="00D372FB"/>
    <w:rsid w:val="00D3756C"/>
    <w:rsid w:val="00D3781A"/>
    <w:rsid w:val="00D379FF"/>
    <w:rsid w:val="00D40353"/>
    <w:rsid w:val="00D406DF"/>
    <w:rsid w:val="00D40D80"/>
    <w:rsid w:val="00D412BC"/>
    <w:rsid w:val="00D41302"/>
    <w:rsid w:val="00D41A26"/>
    <w:rsid w:val="00D420F3"/>
    <w:rsid w:val="00D4252B"/>
    <w:rsid w:val="00D4269E"/>
    <w:rsid w:val="00D426F0"/>
    <w:rsid w:val="00D42CD7"/>
    <w:rsid w:val="00D4315A"/>
    <w:rsid w:val="00D432EB"/>
    <w:rsid w:val="00D433AA"/>
    <w:rsid w:val="00D435CC"/>
    <w:rsid w:val="00D4360D"/>
    <w:rsid w:val="00D4391F"/>
    <w:rsid w:val="00D43C47"/>
    <w:rsid w:val="00D43DBD"/>
    <w:rsid w:val="00D440A0"/>
    <w:rsid w:val="00D4456A"/>
    <w:rsid w:val="00D44EEA"/>
    <w:rsid w:val="00D450DD"/>
    <w:rsid w:val="00D454E1"/>
    <w:rsid w:val="00D455CE"/>
    <w:rsid w:val="00D458BD"/>
    <w:rsid w:val="00D45EB4"/>
    <w:rsid w:val="00D46081"/>
    <w:rsid w:val="00D4671C"/>
    <w:rsid w:val="00D470ED"/>
    <w:rsid w:val="00D4790D"/>
    <w:rsid w:val="00D47A6D"/>
    <w:rsid w:val="00D50866"/>
    <w:rsid w:val="00D50ACC"/>
    <w:rsid w:val="00D50F54"/>
    <w:rsid w:val="00D51120"/>
    <w:rsid w:val="00D51414"/>
    <w:rsid w:val="00D51D5C"/>
    <w:rsid w:val="00D51FB9"/>
    <w:rsid w:val="00D52235"/>
    <w:rsid w:val="00D52636"/>
    <w:rsid w:val="00D52C04"/>
    <w:rsid w:val="00D52E62"/>
    <w:rsid w:val="00D533BD"/>
    <w:rsid w:val="00D533FE"/>
    <w:rsid w:val="00D53F2C"/>
    <w:rsid w:val="00D5481E"/>
    <w:rsid w:val="00D54839"/>
    <w:rsid w:val="00D54E4B"/>
    <w:rsid w:val="00D54FAE"/>
    <w:rsid w:val="00D5505E"/>
    <w:rsid w:val="00D55BCD"/>
    <w:rsid w:val="00D55EAA"/>
    <w:rsid w:val="00D568DC"/>
    <w:rsid w:val="00D56D4E"/>
    <w:rsid w:val="00D56E9F"/>
    <w:rsid w:val="00D576C5"/>
    <w:rsid w:val="00D57975"/>
    <w:rsid w:val="00D57BC9"/>
    <w:rsid w:val="00D57EB6"/>
    <w:rsid w:val="00D6038F"/>
    <w:rsid w:val="00D60484"/>
    <w:rsid w:val="00D60487"/>
    <w:rsid w:val="00D606D4"/>
    <w:rsid w:val="00D610EC"/>
    <w:rsid w:val="00D6142D"/>
    <w:rsid w:val="00D61680"/>
    <w:rsid w:val="00D61683"/>
    <w:rsid w:val="00D61A19"/>
    <w:rsid w:val="00D61D1D"/>
    <w:rsid w:val="00D620CB"/>
    <w:rsid w:val="00D6214E"/>
    <w:rsid w:val="00D62264"/>
    <w:rsid w:val="00D62371"/>
    <w:rsid w:val="00D62444"/>
    <w:rsid w:val="00D62665"/>
    <w:rsid w:val="00D62884"/>
    <w:rsid w:val="00D62A08"/>
    <w:rsid w:val="00D62AA4"/>
    <w:rsid w:val="00D62C94"/>
    <w:rsid w:val="00D633E5"/>
    <w:rsid w:val="00D635BD"/>
    <w:rsid w:val="00D63B0D"/>
    <w:rsid w:val="00D63EE7"/>
    <w:rsid w:val="00D64102"/>
    <w:rsid w:val="00D645A1"/>
    <w:rsid w:val="00D64640"/>
    <w:rsid w:val="00D6475C"/>
    <w:rsid w:val="00D648E2"/>
    <w:rsid w:val="00D64A5D"/>
    <w:rsid w:val="00D64D0F"/>
    <w:rsid w:val="00D6533F"/>
    <w:rsid w:val="00D65431"/>
    <w:rsid w:val="00D6553D"/>
    <w:rsid w:val="00D656D4"/>
    <w:rsid w:val="00D65765"/>
    <w:rsid w:val="00D65930"/>
    <w:rsid w:val="00D65C4A"/>
    <w:rsid w:val="00D65E43"/>
    <w:rsid w:val="00D65E86"/>
    <w:rsid w:val="00D66024"/>
    <w:rsid w:val="00D66390"/>
    <w:rsid w:val="00D66650"/>
    <w:rsid w:val="00D66E31"/>
    <w:rsid w:val="00D66EE9"/>
    <w:rsid w:val="00D66F36"/>
    <w:rsid w:val="00D672D6"/>
    <w:rsid w:val="00D6734F"/>
    <w:rsid w:val="00D6741A"/>
    <w:rsid w:val="00D67458"/>
    <w:rsid w:val="00D67800"/>
    <w:rsid w:val="00D67AAB"/>
    <w:rsid w:val="00D67CBF"/>
    <w:rsid w:val="00D67D03"/>
    <w:rsid w:val="00D67DEF"/>
    <w:rsid w:val="00D70056"/>
    <w:rsid w:val="00D70111"/>
    <w:rsid w:val="00D70585"/>
    <w:rsid w:val="00D706DE"/>
    <w:rsid w:val="00D70708"/>
    <w:rsid w:val="00D7088D"/>
    <w:rsid w:val="00D70D42"/>
    <w:rsid w:val="00D70E82"/>
    <w:rsid w:val="00D71607"/>
    <w:rsid w:val="00D7202B"/>
    <w:rsid w:val="00D722F9"/>
    <w:rsid w:val="00D725CB"/>
    <w:rsid w:val="00D72688"/>
    <w:rsid w:val="00D732D8"/>
    <w:rsid w:val="00D733A4"/>
    <w:rsid w:val="00D73656"/>
    <w:rsid w:val="00D73728"/>
    <w:rsid w:val="00D73758"/>
    <w:rsid w:val="00D73F7A"/>
    <w:rsid w:val="00D743C0"/>
    <w:rsid w:val="00D745A7"/>
    <w:rsid w:val="00D74CBE"/>
    <w:rsid w:val="00D75112"/>
    <w:rsid w:val="00D7580F"/>
    <w:rsid w:val="00D75D4C"/>
    <w:rsid w:val="00D75E04"/>
    <w:rsid w:val="00D76366"/>
    <w:rsid w:val="00D764DB"/>
    <w:rsid w:val="00D76812"/>
    <w:rsid w:val="00D768BE"/>
    <w:rsid w:val="00D76984"/>
    <w:rsid w:val="00D76A84"/>
    <w:rsid w:val="00D76C9C"/>
    <w:rsid w:val="00D76D2C"/>
    <w:rsid w:val="00D770F2"/>
    <w:rsid w:val="00D77110"/>
    <w:rsid w:val="00D7731A"/>
    <w:rsid w:val="00D7733D"/>
    <w:rsid w:val="00D7734E"/>
    <w:rsid w:val="00D7736F"/>
    <w:rsid w:val="00D77487"/>
    <w:rsid w:val="00D77771"/>
    <w:rsid w:val="00D77A2E"/>
    <w:rsid w:val="00D77C81"/>
    <w:rsid w:val="00D8027F"/>
    <w:rsid w:val="00D80614"/>
    <w:rsid w:val="00D809E1"/>
    <w:rsid w:val="00D80C40"/>
    <w:rsid w:val="00D80F36"/>
    <w:rsid w:val="00D82368"/>
    <w:rsid w:val="00D8261F"/>
    <w:rsid w:val="00D82653"/>
    <w:rsid w:val="00D82D36"/>
    <w:rsid w:val="00D83733"/>
    <w:rsid w:val="00D837FA"/>
    <w:rsid w:val="00D83D65"/>
    <w:rsid w:val="00D847AA"/>
    <w:rsid w:val="00D84D23"/>
    <w:rsid w:val="00D84D56"/>
    <w:rsid w:val="00D8559B"/>
    <w:rsid w:val="00D85687"/>
    <w:rsid w:val="00D8578D"/>
    <w:rsid w:val="00D85AC4"/>
    <w:rsid w:val="00D85F6B"/>
    <w:rsid w:val="00D86C29"/>
    <w:rsid w:val="00D86C72"/>
    <w:rsid w:val="00D87A0E"/>
    <w:rsid w:val="00D87D04"/>
    <w:rsid w:val="00D905A1"/>
    <w:rsid w:val="00D907C2"/>
    <w:rsid w:val="00D909C6"/>
    <w:rsid w:val="00D90C00"/>
    <w:rsid w:val="00D90C04"/>
    <w:rsid w:val="00D91419"/>
    <w:rsid w:val="00D91A23"/>
    <w:rsid w:val="00D91A92"/>
    <w:rsid w:val="00D91D4C"/>
    <w:rsid w:val="00D91FB6"/>
    <w:rsid w:val="00D92302"/>
    <w:rsid w:val="00D92961"/>
    <w:rsid w:val="00D929EF"/>
    <w:rsid w:val="00D92CBD"/>
    <w:rsid w:val="00D92E8C"/>
    <w:rsid w:val="00D9308D"/>
    <w:rsid w:val="00D932A7"/>
    <w:rsid w:val="00D93500"/>
    <w:rsid w:val="00D93713"/>
    <w:rsid w:val="00D938C8"/>
    <w:rsid w:val="00D93E66"/>
    <w:rsid w:val="00D9590E"/>
    <w:rsid w:val="00D95A5C"/>
    <w:rsid w:val="00D95D1C"/>
    <w:rsid w:val="00D963FA"/>
    <w:rsid w:val="00D9652F"/>
    <w:rsid w:val="00D96B01"/>
    <w:rsid w:val="00D96C5E"/>
    <w:rsid w:val="00D97317"/>
    <w:rsid w:val="00D97974"/>
    <w:rsid w:val="00DA0365"/>
    <w:rsid w:val="00DA03DE"/>
    <w:rsid w:val="00DA0C61"/>
    <w:rsid w:val="00DA0C66"/>
    <w:rsid w:val="00DA0D2E"/>
    <w:rsid w:val="00DA0DD1"/>
    <w:rsid w:val="00DA12FE"/>
    <w:rsid w:val="00DA16B8"/>
    <w:rsid w:val="00DA19C8"/>
    <w:rsid w:val="00DA225F"/>
    <w:rsid w:val="00DA23D8"/>
    <w:rsid w:val="00DA24AE"/>
    <w:rsid w:val="00DA2921"/>
    <w:rsid w:val="00DA2A8B"/>
    <w:rsid w:val="00DA2D30"/>
    <w:rsid w:val="00DA2EE5"/>
    <w:rsid w:val="00DA306D"/>
    <w:rsid w:val="00DA34FC"/>
    <w:rsid w:val="00DA3594"/>
    <w:rsid w:val="00DA383C"/>
    <w:rsid w:val="00DA3876"/>
    <w:rsid w:val="00DA3A34"/>
    <w:rsid w:val="00DA3E68"/>
    <w:rsid w:val="00DA3EAD"/>
    <w:rsid w:val="00DA45E8"/>
    <w:rsid w:val="00DA482A"/>
    <w:rsid w:val="00DA49F9"/>
    <w:rsid w:val="00DA5355"/>
    <w:rsid w:val="00DA5486"/>
    <w:rsid w:val="00DA5586"/>
    <w:rsid w:val="00DA578D"/>
    <w:rsid w:val="00DA5B49"/>
    <w:rsid w:val="00DA5D04"/>
    <w:rsid w:val="00DA5FA2"/>
    <w:rsid w:val="00DA6128"/>
    <w:rsid w:val="00DA67B9"/>
    <w:rsid w:val="00DA6850"/>
    <w:rsid w:val="00DA698D"/>
    <w:rsid w:val="00DA69BA"/>
    <w:rsid w:val="00DA6D73"/>
    <w:rsid w:val="00DA706B"/>
    <w:rsid w:val="00DA71AF"/>
    <w:rsid w:val="00DA7BCD"/>
    <w:rsid w:val="00DA7C1A"/>
    <w:rsid w:val="00DA7C7E"/>
    <w:rsid w:val="00DB0031"/>
    <w:rsid w:val="00DB04CF"/>
    <w:rsid w:val="00DB0573"/>
    <w:rsid w:val="00DB075F"/>
    <w:rsid w:val="00DB0DF7"/>
    <w:rsid w:val="00DB0FC8"/>
    <w:rsid w:val="00DB1B4C"/>
    <w:rsid w:val="00DB2107"/>
    <w:rsid w:val="00DB2436"/>
    <w:rsid w:val="00DB248A"/>
    <w:rsid w:val="00DB2BB3"/>
    <w:rsid w:val="00DB2CA0"/>
    <w:rsid w:val="00DB2D5D"/>
    <w:rsid w:val="00DB2D85"/>
    <w:rsid w:val="00DB323F"/>
    <w:rsid w:val="00DB3FC9"/>
    <w:rsid w:val="00DB4058"/>
    <w:rsid w:val="00DB41F8"/>
    <w:rsid w:val="00DB46B6"/>
    <w:rsid w:val="00DB4D15"/>
    <w:rsid w:val="00DB5394"/>
    <w:rsid w:val="00DB59AF"/>
    <w:rsid w:val="00DB5F73"/>
    <w:rsid w:val="00DB6127"/>
    <w:rsid w:val="00DB697F"/>
    <w:rsid w:val="00DB72A2"/>
    <w:rsid w:val="00DB7822"/>
    <w:rsid w:val="00DB7CC7"/>
    <w:rsid w:val="00DC0424"/>
    <w:rsid w:val="00DC05CB"/>
    <w:rsid w:val="00DC0914"/>
    <w:rsid w:val="00DC09B1"/>
    <w:rsid w:val="00DC09BA"/>
    <w:rsid w:val="00DC09DD"/>
    <w:rsid w:val="00DC0EBF"/>
    <w:rsid w:val="00DC10BC"/>
    <w:rsid w:val="00DC1520"/>
    <w:rsid w:val="00DC15D8"/>
    <w:rsid w:val="00DC1828"/>
    <w:rsid w:val="00DC1AFE"/>
    <w:rsid w:val="00DC2054"/>
    <w:rsid w:val="00DC21F6"/>
    <w:rsid w:val="00DC222C"/>
    <w:rsid w:val="00DC2255"/>
    <w:rsid w:val="00DC29D0"/>
    <w:rsid w:val="00DC2F33"/>
    <w:rsid w:val="00DC30C5"/>
    <w:rsid w:val="00DC3311"/>
    <w:rsid w:val="00DC33B8"/>
    <w:rsid w:val="00DC3402"/>
    <w:rsid w:val="00DC4165"/>
    <w:rsid w:val="00DC490D"/>
    <w:rsid w:val="00DC4AAD"/>
    <w:rsid w:val="00DC509D"/>
    <w:rsid w:val="00DC568B"/>
    <w:rsid w:val="00DC57C3"/>
    <w:rsid w:val="00DC5B21"/>
    <w:rsid w:val="00DC5D19"/>
    <w:rsid w:val="00DC6261"/>
    <w:rsid w:val="00DC689F"/>
    <w:rsid w:val="00DC6C1A"/>
    <w:rsid w:val="00DC6EA6"/>
    <w:rsid w:val="00DC6F48"/>
    <w:rsid w:val="00DC717C"/>
    <w:rsid w:val="00DC73D1"/>
    <w:rsid w:val="00DC7469"/>
    <w:rsid w:val="00DD0299"/>
    <w:rsid w:val="00DD04BC"/>
    <w:rsid w:val="00DD08A6"/>
    <w:rsid w:val="00DD08D0"/>
    <w:rsid w:val="00DD131E"/>
    <w:rsid w:val="00DD1587"/>
    <w:rsid w:val="00DD1753"/>
    <w:rsid w:val="00DD1E7C"/>
    <w:rsid w:val="00DD1F2A"/>
    <w:rsid w:val="00DD21D8"/>
    <w:rsid w:val="00DD2D86"/>
    <w:rsid w:val="00DD2FE7"/>
    <w:rsid w:val="00DD30FB"/>
    <w:rsid w:val="00DD3176"/>
    <w:rsid w:val="00DD3739"/>
    <w:rsid w:val="00DD39CF"/>
    <w:rsid w:val="00DD3AB6"/>
    <w:rsid w:val="00DD3B8D"/>
    <w:rsid w:val="00DD421C"/>
    <w:rsid w:val="00DD4360"/>
    <w:rsid w:val="00DD472B"/>
    <w:rsid w:val="00DD4B29"/>
    <w:rsid w:val="00DD511D"/>
    <w:rsid w:val="00DD51E8"/>
    <w:rsid w:val="00DD53D0"/>
    <w:rsid w:val="00DD5AD7"/>
    <w:rsid w:val="00DD5B86"/>
    <w:rsid w:val="00DD5DFA"/>
    <w:rsid w:val="00DD62DF"/>
    <w:rsid w:val="00DD64F6"/>
    <w:rsid w:val="00DD6899"/>
    <w:rsid w:val="00DD68FE"/>
    <w:rsid w:val="00DD69E1"/>
    <w:rsid w:val="00DD6E66"/>
    <w:rsid w:val="00DD6E6A"/>
    <w:rsid w:val="00DD7107"/>
    <w:rsid w:val="00DD72A0"/>
    <w:rsid w:val="00DD7817"/>
    <w:rsid w:val="00DD7B11"/>
    <w:rsid w:val="00DD7D04"/>
    <w:rsid w:val="00DE062D"/>
    <w:rsid w:val="00DE067E"/>
    <w:rsid w:val="00DE0717"/>
    <w:rsid w:val="00DE0D40"/>
    <w:rsid w:val="00DE0D89"/>
    <w:rsid w:val="00DE1015"/>
    <w:rsid w:val="00DE1165"/>
    <w:rsid w:val="00DE1315"/>
    <w:rsid w:val="00DE1474"/>
    <w:rsid w:val="00DE15BD"/>
    <w:rsid w:val="00DE188B"/>
    <w:rsid w:val="00DE1D11"/>
    <w:rsid w:val="00DE1F16"/>
    <w:rsid w:val="00DE2057"/>
    <w:rsid w:val="00DE2260"/>
    <w:rsid w:val="00DE2331"/>
    <w:rsid w:val="00DE233B"/>
    <w:rsid w:val="00DE26FE"/>
    <w:rsid w:val="00DE2939"/>
    <w:rsid w:val="00DE2DED"/>
    <w:rsid w:val="00DE3016"/>
    <w:rsid w:val="00DE3448"/>
    <w:rsid w:val="00DE3459"/>
    <w:rsid w:val="00DE34A8"/>
    <w:rsid w:val="00DE3D08"/>
    <w:rsid w:val="00DE3D24"/>
    <w:rsid w:val="00DE3D86"/>
    <w:rsid w:val="00DE414F"/>
    <w:rsid w:val="00DE439A"/>
    <w:rsid w:val="00DE4785"/>
    <w:rsid w:val="00DE487C"/>
    <w:rsid w:val="00DE4AA5"/>
    <w:rsid w:val="00DE5004"/>
    <w:rsid w:val="00DE50B7"/>
    <w:rsid w:val="00DE5833"/>
    <w:rsid w:val="00DE5B53"/>
    <w:rsid w:val="00DE5E5D"/>
    <w:rsid w:val="00DE6019"/>
    <w:rsid w:val="00DE64CE"/>
    <w:rsid w:val="00DE64F5"/>
    <w:rsid w:val="00DE6868"/>
    <w:rsid w:val="00DE6B56"/>
    <w:rsid w:val="00DE6BFD"/>
    <w:rsid w:val="00DE741B"/>
    <w:rsid w:val="00DE7473"/>
    <w:rsid w:val="00DE75D1"/>
    <w:rsid w:val="00DE7B29"/>
    <w:rsid w:val="00DE7C0D"/>
    <w:rsid w:val="00DE7F30"/>
    <w:rsid w:val="00DF0398"/>
    <w:rsid w:val="00DF0762"/>
    <w:rsid w:val="00DF0ABE"/>
    <w:rsid w:val="00DF0B68"/>
    <w:rsid w:val="00DF0BB2"/>
    <w:rsid w:val="00DF0FAA"/>
    <w:rsid w:val="00DF1332"/>
    <w:rsid w:val="00DF140E"/>
    <w:rsid w:val="00DF1ECC"/>
    <w:rsid w:val="00DF21CC"/>
    <w:rsid w:val="00DF2B3E"/>
    <w:rsid w:val="00DF2B5A"/>
    <w:rsid w:val="00DF2C33"/>
    <w:rsid w:val="00DF2D6C"/>
    <w:rsid w:val="00DF2D9F"/>
    <w:rsid w:val="00DF367E"/>
    <w:rsid w:val="00DF3783"/>
    <w:rsid w:val="00DF3821"/>
    <w:rsid w:val="00DF3A18"/>
    <w:rsid w:val="00DF41FE"/>
    <w:rsid w:val="00DF42B8"/>
    <w:rsid w:val="00DF4386"/>
    <w:rsid w:val="00DF4C76"/>
    <w:rsid w:val="00DF4FBE"/>
    <w:rsid w:val="00DF5077"/>
    <w:rsid w:val="00DF5376"/>
    <w:rsid w:val="00DF548D"/>
    <w:rsid w:val="00DF54B2"/>
    <w:rsid w:val="00DF5673"/>
    <w:rsid w:val="00DF5783"/>
    <w:rsid w:val="00DF57FF"/>
    <w:rsid w:val="00DF5A1F"/>
    <w:rsid w:val="00DF5EC5"/>
    <w:rsid w:val="00DF63B2"/>
    <w:rsid w:val="00DF66C7"/>
    <w:rsid w:val="00DF67FC"/>
    <w:rsid w:val="00DF6919"/>
    <w:rsid w:val="00DF6B1D"/>
    <w:rsid w:val="00DF6FDB"/>
    <w:rsid w:val="00DF71B5"/>
    <w:rsid w:val="00DF73CF"/>
    <w:rsid w:val="00DF7475"/>
    <w:rsid w:val="00DF79C3"/>
    <w:rsid w:val="00DF7A9D"/>
    <w:rsid w:val="00DF7CF0"/>
    <w:rsid w:val="00E004BC"/>
    <w:rsid w:val="00E00710"/>
    <w:rsid w:val="00E0079E"/>
    <w:rsid w:val="00E00988"/>
    <w:rsid w:val="00E00A60"/>
    <w:rsid w:val="00E00CC6"/>
    <w:rsid w:val="00E00DB8"/>
    <w:rsid w:val="00E01351"/>
    <w:rsid w:val="00E01668"/>
    <w:rsid w:val="00E01963"/>
    <w:rsid w:val="00E01DF9"/>
    <w:rsid w:val="00E02126"/>
    <w:rsid w:val="00E02360"/>
    <w:rsid w:val="00E0245C"/>
    <w:rsid w:val="00E026DF"/>
    <w:rsid w:val="00E028FB"/>
    <w:rsid w:val="00E02FE8"/>
    <w:rsid w:val="00E030F8"/>
    <w:rsid w:val="00E038E4"/>
    <w:rsid w:val="00E04608"/>
    <w:rsid w:val="00E04878"/>
    <w:rsid w:val="00E048D7"/>
    <w:rsid w:val="00E04A35"/>
    <w:rsid w:val="00E04AE6"/>
    <w:rsid w:val="00E05032"/>
    <w:rsid w:val="00E05338"/>
    <w:rsid w:val="00E05347"/>
    <w:rsid w:val="00E05380"/>
    <w:rsid w:val="00E0539F"/>
    <w:rsid w:val="00E056E9"/>
    <w:rsid w:val="00E05A18"/>
    <w:rsid w:val="00E05F32"/>
    <w:rsid w:val="00E06405"/>
    <w:rsid w:val="00E065B3"/>
    <w:rsid w:val="00E0667F"/>
    <w:rsid w:val="00E066B4"/>
    <w:rsid w:val="00E06717"/>
    <w:rsid w:val="00E06790"/>
    <w:rsid w:val="00E06D2D"/>
    <w:rsid w:val="00E07017"/>
    <w:rsid w:val="00E074A4"/>
    <w:rsid w:val="00E07A80"/>
    <w:rsid w:val="00E07B80"/>
    <w:rsid w:val="00E07DBE"/>
    <w:rsid w:val="00E07FA0"/>
    <w:rsid w:val="00E10662"/>
    <w:rsid w:val="00E107E5"/>
    <w:rsid w:val="00E10CBF"/>
    <w:rsid w:val="00E10CE5"/>
    <w:rsid w:val="00E10DBC"/>
    <w:rsid w:val="00E111DA"/>
    <w:rsid w:val="00E112AB"/>
    <w:rsid w:val="00E114FF"/>
    <w:rsid w:val="00E1183B"/>
    <w:rsid w:val="00E11CD4"/>
    <w:rsid w:val="00E1210B"/>
    <w:rsid w:val="00E122D6"/>
    <w:rsid w:val="00E1245F"/>
    <w:rsid w:val="00E12549"/>
    <w:rsid w:val="00E126CD"/>
    <w:rsid w:val="00E12ACD"/>
    <w:rsid w:val="00E12B54"/>
    <w:rsid w:val="00E13131"/>
    <w:rsid w:val="00E132CF"/>
    <w:rsid w:val="00E1341F"/>
    <w:rsid w:val="00E13457"/>
    <w:rsid w:val="00E13576"/>
    <w:rsid w:val="00E13F5E"/>
    <w:rsid w:val="00E140F4"/>
    <w:rsid w:val="00E141E9"/>
    <w:rsid w:val="00E14409"/>
    <w:rsid w:val="00E1481E"/>
    <w:rsid w:val="00E14BB3"/>
    <w:rsid w:val="00E14CC7"/>
    <w:rsid w:val="00E14D51"/>
    <w:rsid w:val="00E151EB"/>
    <w:rsid w:val="00E1546B"/>
    <w:rsid w:val="00E1594E"/>
    <w:rsid w:val="00E161AA"/>
    <w:rsid w:val="00E162D2"/>
    <w:rsid w:val="00E17658"/>
    <w:rsid w:val="00E17765"/>
    <w:rsid w:val="00E201DC"/>
    <w:rsid w:val="00E20B8B"/>
    <w:rsid w:val="00E2125D"/>
    <w:rsid w:val="00E2127A"/>
    <w:rsid w:val="00E212D8"/>
    <w:rsid w:val="00E21304"/>
    <w:rsid w:val="00E21AA6"/>
    <w:rsid w:val="00E221D4"/>
    <w:rsid w:val="00E22800"/>
    <w:rsid w:val="00E2292F"/>
    <w:rsid w:val="00E22B6A"/>
    <w:rsid w:val="00E23368"/>
    <w:rsid w:val="00E237BD"/>
    <w:rsid w:val="00E23A49"/>
    <w:rsid w:val="00E23EF3"/>
    <w:rsid w:val="00E23FBE"/>
    <w:rsid w:val="00E24339"/>
    <w:rsid w:val="00E2451B"/>
    <w:rsid w:val="00E246A3"/>
    <w:rsid w:val="00E248B7"/>
    <w:rsid w:val="00E24A59"/>
    <w:rsid w:val="00E24B67"/>
    <w:rsid w:val="00E252EC"/>
    <w:rsid w:val="00E25909"/>
    <w:rsid w:val="00E25E6A"/>
    <w:rsid w:val="00E26181"/>
    <w:rsid w:val="00E263D3"/>
    <w:rsid w:val="00E267EA"/>
    <w:rsid w:val="00E269A6"/>
    <w:rsid w:val="00E274E3"/>
    <w:rsid w:val="00E276B5"/>
    <w:rsid w:val="00E27F0D"/>
    <w:rsid w:val="00E300B8"/>
    <w:rsid w:val="00E3048D"/>
    <w:rsid w:val="00E312AF"/>
    <w:rsid w:val="00E316BD"/>
    <w:rsid w:val="00E31946"/>
    <w:rsid w:val="00E31FBD"/>
    <w:rsid w:val="00E325AF"/>
    <w:rsid w:val="00E327D8"/>
    <w:rsid w:val="00E32A1F"/>
    <w:rsid w:val="00E32DDC"/>
    <w:rsid w:val="00E33155"/>
    <w:rsid w:val="00E332F6"/>
    <w:rsid w:val="00E33EB6"/>
    <w:rsid w:val="00E34137"/>
    <w:rsid w:val="00E34412"/>
    <w:rsid w:val="00E34644"/>
    <w:rsid w:val="00E35457"/>
    <w:rsid w:val="00E35527"/>
    <w:rsid w:val="00E35A08"/>
    <w:rsid w:val="00E35DE0"/>
    <w:rsid w:val="00E35FCA"/>
    <w:rsid w:val="00E36041"/>
    <w:rsid w:val="00E361D9"/>
    <w:rsid w:val="00E3657E"/>
    <w:rsid w:val="00E36B3F"/>
    <w:rsid w:val="00E36C4D"/>
    <w:rsid w:val="00E36CC9"/>
    <w:rsid w:val="00E36CF5"/>
    <w:rsid w:val="00E36DFE"/>
    <w:rsid w:val="00E36F61"/>
    <w:rsid w:val="00E378D2"/>
    <w:rsid w:val="00E402CF"/>
    <w:rsid w:val="00E406EE"/>
    <w:rsid w:val="00E40829"/>
    <w:rsid w:val="00E4082A"/>
    <w:rsid w:val="00E40E80"/>
    <w:rsid w:val="00E41297"/>
    <w:rsid w:val="00E41803"/>
    <w:rsid w:val="00E41E7A"/>
    <w:rsid w:val="00E421D6"/>
    <w:rsid w:val="00E423D2"/>
    <w:rsid w:val="00E425C9"/>
    <w:rsid w:val="00E42A6F"/>
    <w:rsid w:val="00E42BE3"/>
    <w:rsid w:val="00E42C2A"/>
    <w:rsid w:val="00E435FF"/>
    <w:rsid w:val="00E43C2A"/>
    <w:rsid w:val="00E43FA5"/>
    <w:rsid w:val="00E44038"/>
    <w:rsid w:val="00E4411F"/>
    <w:rsid w:val="00E447F7"/>
    <w:rsid w:val="00E448AC"/>
    <w:rsid w:val="00E4495B"/>
    <w:rsid w:val="00E44B16"/>
    <w:rsid w:val="00E44C61"/>
    <w:rsid w:val="00E44CCA"/>
    <w:rsid w:val="00E456E3"/>
    <w:rsid w:val="00E45D95"/>
    <w:rsid w:val="00E45FA2"/>
    <w:rsid w:val="00E4618A"/>
    <w:rsid w:val="00E461E2"/>
    <w:rsid w:val="00E4656B"/>
    <w:rsid w:val="00E4680D"/>
    <w:rsid w:val="00E46B6E"/>
    <w:rsid w:val="00E46DFA"/>
    <w:rsid w:val="00E46E7C"/>
    <w:rsid w:val="00E47392"/>
    <w:rsid w:val="00E47649"/>
    <w:rsid w:val="00E476EF"/>
    <w:rsid w:val="00E478E4"/>
    <w:rsid w:val="00E47A36"/>
    <w:rsid w:val="00E503F8"/>
    <w:rsid w:val="00E506BA"/>
    <w:rsid w:val="00E506FE"/>
    <w:rsid w:val="00E50A40"/>
    <w:rsid w:val="00E51799"/>
    <w:rsid w:val="00E5180C"/>
    <w:rsid w:val="00E51F57"/>
    <w:rsid w:val="00E520E6"/>
    <w:rsid w:val="00E52489"/>
    <w:rsid w:val="00E528C7"/>
    <w:rsid w:val="00E52D9D"/>
    <w:rsid w:val="00E52DE9"/>
    <w:rsid w:val="00E52F5C"/>
    <w:rsid w:val="00E533C6"/>
    <w:rsid w:val="00E5366D"/>
    <w:rsid w:val="00E53D37"/>
    <w:rsid w:val="00E54987"/>
    <w:rsid w:val="00E54C45"/>
    <w:rsid w:val="00E54E1C"/>
    <w:rsid w:val="00E550A5"/>
    <w:rsid w:val="00E550E9"/>
    <w:rsid w:val="00E553EA"/>
    <w:rsid w:val="00E557F5"/>
    <w:rsid w:val="00E55879"/>
    <w:rsid w:val="00E55A41"/>
    <w:rsid w:val="00E55C5C"/>
    <w:rsid w:val="00E55F70"/>
    <w:rsid w:val="00E56142"/>
    <w:rsid w:val="00E564AC"/>
    <w:rsid w:val="00E567D0"/>
    <w:rsid w:val="00E56A1C"/>
    <w:rsid w:val="00E56BA1"/>
    <w:rsid w:val="00E56DCB"/>
    <w:rsid w:val="00E5700C"/>
    <w:rsid w:val="00E574E9"/>
    <w:rsid w:val="00E57C7E"/>
    <w:rsid w:val="00E57DA1"/>
    <w:rsid w:val="00E603EB"/>
    <w:rsid w:val="00E606DE"/>
    <w:rsid w:val="00E60857"/>
    <w:rsid w:val="00E6092F"/>
    <w:rsid w:val="00E60995"/>
    <w:rsid w:val="00E60CD9"/>
    <w:rsid w:val="00E60F4E"/>
    <w:rsid w:val="00E611A1"/>
    <w:rsid w:val="00E61938"/>
    <w:rsid w:val="00E62778"/>
    <w:rsid w:val="00E62A57"/>
    <w:rsid w:val="00E62BAA"/>
    <w:rsid w:val="00E63594"/>
    <w:rsid w:val="00E63B61"/>
    <w:rsid w:val="00E63E50"/>
    <w:rsid w:val="00E63EBC"/>
    <w:rsid w:val="00E63F3D"/>
    <w:rsid w:val="00E646D1"/>
    <w:rsid w:val="00E6493E"/>
    <w:rsid w:val="00E64D52"/>
    <w:rsid w:val="00E65195"/>
    <w:rsid w:val="00E652A3"/>
    <w:rsid w:val="00E659A9"/>
    <w:rsid w:val="00E65BD1"/>
    <w:rsid w:val="00E66D3C"/>
    <w:rsid w:val="00E67066"/>
    <w:rsid w:val="00E6759A"/>
    <w:rsid w:val="00E67642"/>
    <w:rsid w:val="00E67CFA"/>
    <w:rsid w:val="00E70443"/>
    <w:rsid w:val="00E70972"/>
    <w:rsid w:val="00E70DE8"/>
    <w:rsid w:val="00E715AC"/>
    <w:rsid w:val="00E7173E"/>
    <w:rsid w:val="00E71E66"/>
    <w:rsid w:val="00E726B8"/>
    <w:rsid w:val="00E72869"/>
    <w:rsid w:val="00E73256"/>
    <w:rsid w:val="00E73386"/>
    <w:rsid w:val="00E73A0C"/>
    <w:rsid w:val="00E73D8B"/>
    <w:rsid w:val="00E73EF1"/>
    <w:rsid w:val="00E74007"/>
    <w:rsid w:val="00E7405C"/>
    <w:rsid w:val="00E74620"/>
    <w:rsid w:val="00E74ABB"/>
    <w:rsid w:val="00E74D4A"/>
    <w:rsid w:val="00E751CF"/>
    <w:rsid w:val="00E75585"/>
    <w:rsid w:val="00E756CF"/>
    <w:rsid w:val="00E758B6"/>
    <w:rsid w:val="00E75961"/>
    <w:rsid w:val="00E75B20"/>
    <w:rsid w:val="00E75CA9"/>
    <w:rsid w:val="00E761BD"/>
    <w:rsid w:val="00E76305"/>
    <w:rsid w:val="00E76591"/>
    <w:rsid w:val="00E76880"/>
    <w:rsid w:val="00E76933"/>
    <w:rsid w:val="00E769A6"/>
    <w:rsid w:val="00E76D57"/>
    <w:rsid w:val="00E76F17"/>
    <w:rsid w:val="00E770F7"/>
    <w:rsid w:val="00E774AD"/>
    <w:rsid w:val="00E779A3"/>
    <w:rsid w:val="00E77CC8"/>
    <w:rsid w:val="00E8000E"/>
    <w:rsid w:val="00E80638"/>
    <w:rsid w:val="00E80BBA"/>
    <w:rsid w:val="00E80BBD"/>
    <w:rsid w:val="00E80C41"/>
    <w:rsid w:val="00E80CB4"/>
    <w:rsid w:val="00E811FF"/>
    <w:rsid w:val="00E815E9"/>
    <w:rsid w:val="00E819E0"/>
    <w:rsid w:val="00E8261A"/>
    <w:rsid w:val="00E828C4"/>
    <w:rsid w:val="00E82D24"/>
    <w:rsid w:val="00E82EA3"/>
    <w:rsid w:val="00E82EE0"/>
    <w:rsid w:val="00E82F87"/>
    <w:rsid w:val="00E8355F"/>
    <w:rsid w:val="00E83762"/>
    <w:rsid w:val="00E83F69"/>
    <w:rsid w:val="00E844C1"/>
    <w:rsid w:val="00E84C0D"/>
    <w:rsid w:val="00E84F31"/>
    <w:rsid w:val="00E85030"/>
    <w:rsid w:val="00E85284"/>
    <w:rsid w:val="00E85483"/>
    <w:rsid w:val="00E85D39"/>
    <w:rsid w:val="00E85D67"/>
    <w:rsid w:val="00E85E32"/>
    <w:rsid w:val="00E864B7"/>
    <w:rsid w:val="00E866E1"/>
    <w:rsid w:val="00E877C8"/>
    <w:rsid w:val="00E87939"/>
    <w:rsid w:val="00E87C56"/>
    <w:rsid w:val="00E90013"/>
    <w:rsid w:val="00E90703"/>
    <w:rsid w:val="00E907D8"/>
    <w:rsid w:val="00E90F28"/>
    <w:rsid w:val="00E91793"/>
    <w:rsid w:val="00E91872"/>
    <w:rsid w:val="00E92054"/>
    <w:rsid w:val="00E92388"/>
    <w:rsid w:val="00E923C6"/>
    <w:rsid w:val="00E932CA"/>
    <w:rsid w:val="00E9357E"/>
    <w:rsid w:val="00E93D9C"/>
    <w:rsid w:val="00E94142"/>
    <w:rsid w:val="00E948CA"/>
    <w:rsid w:val="00E9493C"/>
    <w:rsid w:val="00E949D2"/>
    <w:rsid w:val="00E94CC7"/>
    <w:rsid w:val="00E94D1E"/>
    <w:rsid w:val="00E94F28"/>
    <w:rsid w:val="00E94FBA"/>
    <w:rsid w:val="00E95044"/>
    <w:rsid w:val="00E950CD"/>
    <w:rsid w:val="00E95A74"/>
    <w:rsid w:val="00E95AAA"/>
    <w:rsid w:val="00E95B19"/>
    <w:rsid w:val="00E95CC2"/>
    <w:rsid w:val="00E96088"/>
    <w:rsid w:val="00E96152"/>
    <w:rsid w:val="00E9646C"/>
    <w:rsid w:val="00E968A8"/>
    <w:rsid w:val="00E96925"/>
    <w:rsid w:val="00E9697D"/>
    <w:rsid w:val="00E96C66"/>
    <w:rsid w:val="00E96E5C"/>
    <w:rsid w:val="00E96EC9"/>
    <w:rsid w:val="00E96F16"/>
    <w:rsid w:val="00E972A4"/>
    <w:rsid w:val="00E9743E"/>
    <w:rsid w:val="00E976AF"/>
    <w:rsid w:val="00E977C3"/>
    <w:rsid w:val="00E977E2"/>
    <w:rsid w:val="00E97FF0"/>
    <w:rsid w:val="00E97FF6"/>
    <w:rsid w:val="00EA0D41"/>
    <w:rsid w:val="00EA0F01"/>
    <w:rsid w:val="00EA11FF"/>
    <w:rsid w:val="00EA13BA"/>
    <w:rsid w:val="00EA1CFD"/>
    <w:rsid w:val="00EA1D38"/>
    <w:rsid w:val="00EA1E4E"/>
    <w:rsid w:val="00EA1FC9"/>
    <w:rsid w:val="00EA20CF"/>
    <w:rsid w:val="00EA24F8"/>
    <w:rsid w:val="00EA2A9B"/>
    <w:rsid w:val="00EA2D9A"/>
    <w:rsid w:val="00EA36A8"/>
    <w:rsid w:val="00EA3784"/>
    <w:rsid w:val="00EA3BD0"/>
    <w:rsid w:val="00EA3C10"/>
    <w:rsid w:val="00EA3D0C"/>
    <w:rsid w:val="00EA40FE"/>
    <w:rsid w:val="00EA422A"/>
    <w:rsid w:val="00EA4230"/>
    <w:rsid w:val="00EA4591"/>
    <w:rsid w:val="00EA46BC"/>
    <w:rsid w:val="00EA49F9"/>
    <w:rsid w:val="00EA4BF1"/>
    <w:rsid w:val="00EA4FFF"/>
    <w:rsid w:val="00EA5211"/>
    <w:rsid w:val="00EA5401"/>
    <w:rsid w:val="00EA5B22"/>
    <w:rsid w:val="00EA61C7"/>
    <w:rsid w:val="00EA6AC1"/>
    <w:rsid w:val="00EA6AD2"/>
    <w:rsid w:val="00EA7068"/>
    <w:rsid w:val="00EA7086"/>
    <w:rsid w:val="00EA738C"/>
    <w:rsid w:val="00EA741B"/>
    <w:rsid w:val="00EA7B26"/>
    <w:rsid w:val="00EB00E6"/>
    <w:rsid w:val="00EB0105"/>
    <w:rsid w:val="00EB034C"/>
    <w:rsid w:val="00EB052D"/>
    <w:rsid w:val="00EB0F68"/>
    <w:rsid w:val="00EB15BC"/>
    <w:rsid w:val="00EB165C"/>
    <w:rsid w:val="00EB1E33"/>
    <w:rsid w:val="00EB23A2"/>
    <w:rsid w:val="00EB2553"/>
    <w:rsid w:val="00EB2716"/>
    <w:rsid w:val="00EB2AEB"/>
    <w:rsid w:val="00EB3481"/>
    <w:rsid w:val="00EB382E"/>
    <w:rsid w:val="00EB3DC8"/>
    <w:rsid w:val="00EB410E"/>
    <w:rsid w:val="00EB417C"/>
    <w:rsid w:val="00EB423B"/>
    <w:rsid w:val="00EB459D"/>
    <w:rsid w:val="00EB4BF7"/>
    <w:rsid w:val="00EB5128"/>
    <w:rsid w:val="00EB55D7"/>
    <w:rsid w:val="00EB568B"/>
    <w:rsid w:val="00EB5B22"/>
    <w:rsid w:val="00EB5EC4"/>
    <w:rsid w:val="00EB6355"/>
    <w:rsid w:val="00EB641F"/>
    <w:rsid w:val="00EB6732"/>
    <w:rsid w:val="00EB6BE2"/>
    <w:rsid w:val="00EB6DDB"/>
    <w:rsid w:val="00EB6E5E"/>
    <w:rsid w:val="00EB788A"/>
    <w:rsid w:val="00EB7CFE"/>
    <w:rsid w:val="00EB7DF7"/>
    <w:rsid w:val="00EC0318"/>
    <w:rsid w:val="00EC0491"/>
    <w:rsid w:val="00EC1144"/>
    <w:rsid w:val="00EC1389"/>
    <w:rsid w:val="00EC1A65"/>
    <w:rsid w:val="00EC1D7E"/>
    <w:rsid w:val="00EC203C"/>
    <w:rsid w:val="00EC20BA"/>
    <w:rsid w:val="00EC2625"/>
    <w:rsid w:val="00EC2E1E"/>
    <w:rsid w:val="00EC2FD9"/>
    <w:rsid w:val="00EC38CD"/>
    <w:rsid w:val="00EC42BA"/>
    <w:rsid w:val="00EC42F5"/>
    <w:rsid w:val="00EC47A0"/>
    <w:rsid w:val="00EC4C0C"/>
    <w:rsid w:val="00EC53CB"/>
    <w:rsid w:val="00EC5A15"/>
    <w:rsid w:val="00EC5A1F"/>
    <w:rsid w:val="00EC5D41"/>
    <w:rsid w:val="00EC6A12"/>
    <w:rsid w:val="00EC6A19"/>
    <w:rsid w:val="00EC6C86"/>
    <w:rsid w:val="00ED086D"/>
    <w:rsid w:val="00ED0989"/>
    <w:rsid w:val="00ED09E2"/>
    <w:rsid w:val="00ED0AF2"/>
    <w:rsid w:val="00ED0F3B"/>
    <w:rsid w:val="00ED1893"/>
    <w:rsid w:val="00ED1A71"/>
    <w:rsid w:val="00ED1D9E"/>
    <w:rsid w:val="00ED1E79"/>
    <w:rsid w:val="00ED2471"/>
    <w:rsid w:val="00ED2D52"/>
    <w:rsid w:val="00ED2DF9"/>
    <w:rsid w:val="00ED2E11"/>
    <w:rsid w:val="00ED2EC9"/>
    <w:rsid w:val="00ED2EE5"/>
    <w:rsid w:val="00ED3157"/>
    <w:rsid w:val="00ED36F8"/>
    <w:rsid w:val="00ED3970"/>
    <w:rsid w:val="00ED3D6A"/>
    <w:rsid w:val="00ED3F5B"/>
    <w:rsid w:val="00ED411F"/>
    <w:rsid w:val="00ED465D"/>
    <w:rsid w:val="00ED4B45"/>
    <w:rsid w:val="00ED501D"/>
    <w:rsid w:val="00ED5326"/>
    <w:rsid w:val="00ED5639"/>
    <w:rsid w:val="00ED5A63"/>
    <w:rsid w:val="00ED5C19"/>
    <w:rsid w:val="00ED5FA9"/>
    <w:rsid w:val="00ED65A0"/>
    <w:rsid w:val="00ED673E"/>
    <w:rsid w:val="00ED6865"/>
    <w:rsid w:val="00ED6A40"/>
    <w:rsid w:val="00ED6A68"/>
    <w:rsid w:val="00ED6B43"/>
    <w:rsid w:val="00ED6BC7"/>
    <w:rsid w:val="00ED6C0C"/>
    <w:rsid w:val="00ED6E00"/>
    <w:rsid w:val="00ED70C7"/>
    <w:rsid w:val="00ED767C"/>
    <w:rsid w:val="00ED7AE6"/>
    <w:rsid w:val="00ED7B7B"/>
    <w:rsid w:val="00ED7E9A"/>
    <w:rsid w:val="00EE01EF"/>
    <w:rsid w:val="00EE0264"/>
    <w:rsid w:val="00EE10DA"/>
    <w:rsid w:val="00EE1801"/>
    <w:rsid w:val="00EE1F94"/>
    <w:rsid w:val="00EE23CA"/>
    <w:rsid w:val="00EE2B49"/>
    <w:rsid w:val="00EE2C29"/>
    <w:rsid w:val="00EE35B4"/>
    <w:rsid w:val="00EE3764"/>
    <w:rsid w:val="00EE419D"/>
    <w:rsid w:val="00EE41F2"/>
    <w:rsid w:val="00EE43BF"/>
    <w:rsid w:val="00EE46E5"/>
    <w:rsid w:val="00EE4748"/>
    <w:rsid w:val="00EE49D4"/>
    <w:rsid w:val="00EE4D04"/>
    <w:rsid w:val="00EE4D84"/>
    <w:rsid w:val="00EE4EE4"/>
    <w:rsid w:val="00EE5770"/>
    <w:rsid w:val="00EE583A"/>
    <w:rsid w:val="00EE587F"/>
    <w:rsid w:val="00EE5995"/>
    <w:rsid w:val="00EE599D"/>
    <w:rsid w:val="00EE5B4F"/>
    <w:rsid w:val="00EE5DFF"/>
    <w:rsid w:val="00EE6311"/>
    <w:rsid w:val="00EE664E"/>
    <w:rsid w:val="00EE705E"/>
    <w:rsid w:val="00EE7108"/>
    <w:rsid w:val="00EE72A2"/>
    <w:rsid w:val="00EE750C"/>
    <w:rsid w:val="00EE770B"/>
    <w:rsid w:val="00EE7CFB"/>
    <w:rsid w:val="00EE7D58"/>
    <w:rsid w:val="00EE7E6E"/>
    <w:rsid w:val="00EF0403"/>
    <w:rsid w:val="00EF08C2"/>
    <w:rsid w:val="00EF0942"/>
    <w:rsid w:val="00EF0AD3"/>
    <w:rsid w:val="00EF124B"/>
    <w:rsid w:val="00EF1808"/>
    <w:rsid w:val="00EF199F"/>
    <w:rsid w:val="00EF1B4E"/>
    <w:rsid w:val="00EF208F"/>
    <w:rsid w:val="00EF220A"/>
    <w:rsid w:val="00EF222E"/>
    <w:rsid w:val="00EF2404"/>
    <w:rsid w:val="00EF2A3A"/>
    <w:rsid w:val="00EF2FEC"/>
    <w:rsid w:val="00EF3326"/>
    <w:rsid w:val="00EF3A73"/>
    <w:rsid w:val="00EF3E7C"/>
    <w:rsid w:val="00EF40A2"/>
    <w:rsid w:val="00EF418E"/>
    <w:rsid w:val="00EF4621"/>
    <w:rsid w:val="00EF48BA"/>
    <w:rsid w:val="00EF4CD3"/>
    <w:rsid w:val="00EF4E6E"/>
    <w:rsid w:val="00EF50B4"/>
    <w:rsid w:val="00EF538C"/>
    <w:rsid w:val="00EF5B5E"/>
    <w:rsid w:val="00EF6126"/>
    <w:rsid w:val="00EF614C"/>
    <w:rsid w:val="00EF63D6"/>
    <w:rsid w:val="00EF6C60"/>
    <w:rsid w:val="00EF6C75"/>
    <w:rsid w:val="00EF70A4"/>
    <w:rsid w:val="00EF72AD"/>
    <w:rsid w:val="00EF7442"/>
    <w:rsid w:val="00EF7AD7"/>
    <w:rsid w:val="00EF7BFF"/>
    <w:rsid w:val="00EF7CF1"/>
    <w:rsid w:val="00EF7D57"/>
    <w:rsid w:val="00F002DD"/>
    <w:rsid w:val="00F006CC"/>
    <w:rsid w:val="00F009BA"/>
    <w:rsid w:val="00F00B1B"/>
    <w:rsid w:val="00F00BB0"/>
    <w:rsid w:val="00F0111E"/>
    <w:rsid w:val="00F0168A"/>
    <w:rsid w:val="00F01859"/>
    <w:rsid w:val="00F01B16"/>
    <w:rsid w:val="00F01C4D"/>
    <w:rsid w:val="00F01C86"/>
    <w:rsid w:val="00F02005"/>
    <w:rsid w:val="00F02445"/>
    <w:rsid w:val="00F024D0"/>
    <w:rsid w:val="00F024F3"/>
    <w:rsid w:val="00F026EE"/>
    <w:rsid w:val="00F02881"/>
    <w:rsid w:val="00F02DCC"/>
    <w:rsid w:val="00F02E48"/>
    <w:rsid w:val="00F03AD6"/>
    <w:rsid w:val="00F03DC4"/>
    <w:rsid w:val="00F044C3"/>
    <w:rsid w:val="00F04640"/>
    <w:rsid w:val="00F04728"/>
    <w:rsid w:val="00F0475B"/>
    <w:rsid w:val="00F04947"/>
    <w:rsid w:val="00F04DCC"/>
    <w:rsid w:val="00F05040"/>
    <w:rsid w:val="00F05225"/>
    <w:rsid w:val="00F05869"/>
    <w:rsid w:val="00F05939"/>
    <w:rsid w:val="00F05CE9"/>
    <w:rsid w:val="00F05DDD"/>
    <w:rsid w:val="00F05DFA"/>
    <w:rsid w:val="00F05E9F"/>
    <w:rsid w:val="00F0617B"/>
    <w:rsid w:val="00F062D7"/>
    <w:rsid w:val="00F0686E"/>
    <w:rsid w:val="00F06E12"/>
    <w:rsid w:val="00F070B5"/>
    <w:rsid w:val="00F072BD"/>
    <w:rsid w:val="00F0740E"/>
    <w:rsid w:val="00F0772A"/>
    <w:rsid w:val="00F07ACC"/>
    <w:rsid w:val="00F100FF"/>
    <w:rsid w:val="00F102BD"/>
    <w:rsid w:val="00F1060C"/>
    <w:rsid w:val="00F11472"/>
    <w:rsid w:val="00F11C4B"/>
    <w:rsid w:val="00F11F65"/>
    <w:rsid w:val="00F12608"/>
    <w:rsid w:val="00F12644"/>
    <w:rsid w:val="00F12822"/>
    <w:rsid w:val="00F1294C"/>
    <w:rsid w:val="00F129E0"/>
    <w:rsid w:val="00F12BDF"/>
    <w:rsid w:val="00F12D7B"/>
    <w:rsid w:val="00F130AC"/>
    <w:rsid w:val="00F135E7"/>
    <w:rsid w:val="00F13865"/>
    <w:rsid w:val="00F13884"/>
    <w:rsid w:val="00F13D4B"/>
    <w:rsid w:val="00F13EDD"/>
    <w:rsid w:val="00F1417E"/>
    <w:rsid w:val="00F141AF"/>
    <w:rsid w:val="00F14592"/>
    <w:rsid w:val="00F14A34"/>
    <w:rsid w:val="00F15067"/>
    <w:rsid w:val="00F151ED"/>
    <w:rsid w:val="00F1584B"/>
    <w:rsid w:val="00F15D55"/>
    <w:rsid w:val="00F16241"/>
    <w:rsid w:val="00F16959"/>
    <w:rsid w:val="00F17039"/>
    <w:rsid w:val="00F171A7"/>
    <w:rsid w:val="00F17640"/>
    <w:rsid w:val="00F17C1B"/>
    <w:rsid w:val="00F17E57"/>
    <w:rsid w:val="00F2069D"/>
    <w:rsid w:val="00F20AC6"/>
    <w:rsid w:val="00F20F24"/>
    <w:rsid w:val="00F20FAD"/>
    <w:rsid w:val="00F21220"/>
    <w:rsid w:val="00F212BD"/>
    <w:rsid w:val="00F2142F"/>
    <w:rsid w:val="00F21A18"/>
    <w:rsid w:val="00F21CB9"/>
    <w:rsid w:val="00F22194"/>
    <w:rsid w:val="00F224EE"/>
    <w:rsid w:val="00F22584"/>
    <w:rsid w:val="00F22DF3"/>
    <w:rsid w:val="00F22E3D"/>
    <w:rsid w:val="00F230D0"/>
    <w:rsid w:val="00F23208"/>
    <w:rsid w:val="00F23B06"/>
    <w:rsid w:val="00F23BB0"/>
    <w:rsid w:val="00F24262"/>
    <w:rsid w:val="00F243E4"/>
    <w:rsid w:val="00F2475B"/>
    <w:rsid w:val="00F2480F"/>
    <w:rsid w:val="00F24AE5"/>
    <w:rsid w:val="00F24D91"/>
    <w:rsid w:val="00F24E27"/>
    <w:rsid w:val="00F24E9C"/>
    <w:rsid w:val="00F250C9"/>
    <w:rsid w:val="00F259CC"/>
    <w:rsid w:val="00F26B9E"/>
    <w:rsid w:val="00F26CEA"/>
    <w:rsid w:val="00F27299"/>
    <w:rsid w:val="00F272A5"/>
    <w:rsid w:val="00F273CF"/>
    <w:rsid w:val="00F2769F"/>
    <w:rsid w:val="00F27727"/>
    <w:rsid w:val="00F27F44"/>
    <w:rsid w:val="00F27F81"/>
    <w:rsid w:val="00F300BD"/>
    <w:rsid w:val="00F30472"/>
    <w:rsid w:val="00F31830"/>
    <w:rsid w:val="00F31C91"/>
    <w:rsid w:val="00F31D7D"/>
    <w:rsid w:val="00F32058"/>
    <w:rsid w:val="00F3236B"/>
    <w:rsid w:val="00F32895"/>
    <w:rsid w:val="00F32A85"/>
    <w:rsid w:val="00F32B0B"/>
    <w:rsid w:val="00F32CF7"/>
    <w:rsid w:val="00F33038"/>
    <w:rsid w:val="00F332BB"/>
    <w:rsid w:val="00F33432"/>
    <w:rsid w:val="00F33865"/>
    <w:rsid w:val="00F33B05"/>
    <w:rsid w:val="00F33B9E"/>
    <w:rsid w:val="00F34017"/>
    <w:rsid w:val="00F3408C"/>
    <w:rsid w:val="00F3448E"/>
    <w:rsid w:val="00F3472D"/>
    <w:rsid w:val="00F3478F"/>
    <w:rsid w:val="00F34F69"/>
    <w:rsid w:val="00F34FC6"/>
    <w:rsid w:val="00F35031"/>
    <w:rsid w:val="00F359B5"/>
    <w:rsid w:val="00F35A99"/>
    <w:rsid w:val="00F35B5F"/>
    <w:rsid w:val="00F3662F"/>
    <w:rsid w:val="00F3688B"/>
    <w:rsid w:val="00F36B01"/>
    <w:rsid w:val="00F36CED"/>
    <w:rsid w:val="00F36F67"/>
    <w:rsid w:val="00F36F7C"/>
    <w:rsid w:val="00F3762E"/>
    <w:rsid w:val="00F376CF"/>
    <w:rsid w:val="00F37940"/>
    <w:rsid w:val="00F37A89"/>
    <w:rsid w:val="00F37AB0"/>
    <w:rsid w:val="00F37BCC"/>
    <w:rsid w:val="00F40217"/>
    <w:rsid w:val="00F408B7"/>
    <w:rsid w:val="00F40D19"/>
    <w:rsid w:val="00F412B8"/>
    <w:rsid w:val="00F414C5"/>
    <w:rsid w:val="00F415A8"/>
    <w:rsid w:val="00F417BE"/>
    <w:rsid w:val="00F4195B"/>
    <w:rsid w:val="00F41BB4"/>
    <w:rsid w:val="00F41C45"/>
    <w:rsid w:val="00F431E6"/>
    <w:rsid w:val="00F432E3"/>
    <w:rsid w:val="00F434C1"/>
    <w:rsid w:val="00F4379F"/>
    <w:rsid w:val="00F43BC5"/>
    <w:rsid w:val="00F4424C"/>
    <w:rsid w:val="00F44543"/>
    <w:rsid w:val="00F449A5"/>
    <w:rsid w:val="00F44B52"/>
    <w:rsid w:val="00F44EF4"/>
    <w:rsid w:val="00F4559C"/>
    <w:rsid w:val="00F456D2"/>
    <w:rsid w:val="00F45750"/>
    <w:rsid w:val="00F45B70"/>
    <w:rsid w:val="00F45FF7"/>
    <w:rsid w:val="00F46B9C"/>
    <w:rsid w:val="00F46D64"/>
    <w:rsid w:val="00F46E5F"/>
    <w:rsid w:val="00F470C1"/>
    <w:rsid w:val="00F476D7"/>
    <w:rsid w:val="00F47D06"/>
    <w:rsid w:val="00F50095"/>
    <w:rsid w:val="00F50168"/>
    <w:rsid w:val="00F50180"/>
    <w:rsid w:val="00F50955"/>
    <w:rsid w:val="00F50D31"/>
    <w:rsid w:val="00F50DD6"/>
    <w:rsid w:val="00F50F23"/>
    <w:rsid w:val="00F516C7"/>
    <w:rsid w:val="00F5181C"/>
    <w:rsid w:val="00F51C9E"/>
    <w:rsid w:val="00F51E74"/>
    <w:rsid w:val="00F51FE5"/>
    <w:rsid w:val="00F5245B"/>
    <w:rsid w:val="00F526AF"/>
    <w:rsid w:val="00F52989"/>
    <w:rsid w:val="00F52B20"/>
    <w:rsid w:val="00F52C0E"/>
    <w:rsid w:val="00F534F0"/>
    <w:rsid w:val="00F53AB2"/>
    <w:rsid w:val="00F53E01"/>
    <w:rsid w:val="00F53FDF"/>
    <w:rsid w:val="00F544D7"/>
    <w:rsid w:val="00F547ED"/>
    <w:rsid w:val="00F5487B"/>
    <w:rsid w:val="00F54B30"/>
    <w:rsid w:val="00F5580A"/>
    <w:rsid w:val="00F55B32"/>
    <w:rsid w:val="00F55E4F"/>
    <w:rsid w:val="00F56084"/>
    <w:rsid w:val="00F560AF"/>
    <w:rsid w:val="00F561EE"/>
    <w:rsid w:val="00F5668A"/>
    <w:rsid w:val="00F56C85"/>
    <w:rsid w:val="00F56CDC"/>
    <w:rsid w:val="00F57427"/>
    <w:rsid w:val="00F5752E"/>
    <w:rsid w:val="00F5772E"/>
    <w:rsid w:val="00F578D5"/>
    <w:rsid w:val="00F57A88"/>
    <w:rsid w:val="00F57A94"/>
    <w:rsid w:val="00F57F58"/>
    <w:rsid w:val="00F60589"/>
    <w:rsid w:val="00F61324"/>
    <w:rsid w:val="00F616A1"/>
    <w:rsid w:val="00F61752"/>
    <w:rsid w:val="00F61FF0"/>
    <w:rsid w:val="00F62156"/>
    <w:rsid w:val="00F62244"/>
    <w:rsid w:val="00F62AFE"/>
    <w:rsid w:val="00F63336"/>
    <w:rsid w:val="00F633C6"/>
    <w:rsid w:val="00F63444"/>
    <w:rsid w:val="00F635C7"/>
    <w:rsid w:val="00F63AB9"/>
    <w:rsid w:val="00F63BF4"/>
    <w:rsid w:val="00F63ECB"/>
    <w:rsid w:val="00F643C9"/>
    <w:rsid w:val="00F644E9"/>
    <w:rsid w:val="00F64C74"/>
    <w:rsid w:val="00F64CD5"/>
    <w:rsid w:val="00F65241"/>
    <w:rsid w:val="00F654F0"/>
    <w:rsid w:val="00F6565F"/>
    <w:rsid w:val="00F657DE"/>
    <w:rsid w:val="00F6585F"/>
    <w:rsid w:val="00F65B1D"/>
    <w:rsid w:val="00F65D9C"/>
    <w:rsid w:val="00F666EB"/>
    <w:rsid w:val="00F67886"/>
    <w:rsid w:val="00F679D4"/>
    <w:rsid w:val="00F67C37"/>
    <w:rsid w:val="00F67D5B"/>
    <w:rsid w:val="00F67DBD"/>
    <w:rsid w:val="00F67F1B"/>
    <w:rsid w:val="00F7000F"/>
    <w:rsid w:val="00F700A1"/>
    <w:rsid w:val="00F701D7"/>
    <w:rsid w:val="00F702C2"/>
    <w:rsid w:val="00F707AD"/>
    <w:rsid w:val="00F709F2"/>
    <w:rsid w:val="00F71042"/>
    <w:rsid w:val="00F7145A"/>
    <w:rsid w:val="00F715CA"/>
    <w:rsid w:val="00F71BB9"/>
    <w:rsid w:val="00F71DDE"/>
    <w:rsid w:val="00F71EF0"/>
    <w:rsid w:val="00F71F3F"/>
    <w:rsid w:val="00F72718"/>
    <w:rsid w:val="00F72A18"/>
    <w:rsid w:val="00F72C13"/>
    <w:rsid w:val="00F72C8C"/>
    <w:rsid w:val="00F72F2C"/>
    <w:rsid w:val="00F73153"/>
    <w:rsid w:val="00F734F6"/>
    <w:rsid w:val="00F735CC"/>
    <w:rsid w:val="00F73784"/>
    <w:rsid w:val="00F739C5"/>
    <w:rsid w:val="00F73C56"/>
    <w:rsid w:val="00F73CB1"/>
    <w:rsid w:val="00F73E6D"/>
    <w:rsid w:val="00F73FA3"/>
    <w:rsid w:val="00F74006"/>
    <w:rsid w:val="00F74043"/>
    <w:rsid w:val="00F745B7"/>
    <w:rsid w:val="00F7490A"/>
    <w:rsid w:val="00F74ED6"/>
    <w:rsid w:val="00F74F90"/>
    <w:rsid w:val="00F75841"/>
    <w:rsid w:val="00F75918"/>
    <w:rsid w:val="00F76027"/>
    <w:rsid w:val="00F761EF"/>
    <w:rsid w:val="00F76613"/>
    <w:rsid w:val="00F769D1"/>
    <w:rsid w:val="00F770BC"/>
    <w:rsid w:val="00F7748F"/>
    <w:rsid w:val="00F77941"/>
    <w:rsid w:val="00F7798B"/>
    <w:rsid w:val="00F77A08"/>
    <w:rsid w:val="00F77A4C"/>
    <w:rsid w:val="00F80272"/>
    <w:rsid w:val="00F802C3"/>
    <w:rsid w:val="00F805DD"/>
    <w:rsid w:val="00F80E9F"/>
    <w:rsid w:val="00F81016"/>
    <w:rsid w:val="00F8156B"/>
    <w:rsid w:val="00F815A9"/>
    <w:rsid w:val="00F816E7"/>
    <w:rsid w:val="00F81D34"/>
    <w:rsid w:val="00F82222"/>
    <w:rsid w:val="00F82503"/>
    <w:rsid w:val="00F8273D"/>
    <w:rsid w:val="00F827A3"/>
    <w:rsid w:val="00F829C9"/>
    <w:rsid w:val="00F82C49"/>
    <w:rsid w:val="00F832C9"/>
    <w:rsid w:val="00F83441"/>
    <w:rsid w:val="00F836A7"/>
    <w:rsid w:val="00F83903"/>
    <w:rsid w:val="00F83CDB"/>
    <w:rsid w:val="00F83D36"/>
    <w:rsid w:val="00F8409F"/>
    <w:rsid w:val="00F84574"/>
    <w:rsid w:val="00F845D5"/>
    <w:rsid w:val="00F849EF"/>
    <w:rsid w:val="00F84AF8"/>
    <w:rsid w:val="00F84F0B"/>
    <w:rsid w:val="00F85A2B"/>
    <w:rsid w:val="00F85B3B"/>
    <w:rsid w:val="00F85E4F"/>
    <w:rsid w:val="00F85FD2"/>
    <w:rsid w:val="00F8613A"/>
    <w:rsid w:val="00F86590"/>
    <w:rsid w:val="00F865A6"/>
    <w:rsid w:val="00F86985"/>
    <w:rsid w:val="00F86E97"/>
    <w:rsid w:val="00F871FC"/>
    <w:rsid w:val="00F87517"/>
    <w:rsid w:val="00F876F3"/>
    <w:rsid w:val="00F87AC2"/>
    <w:rsid w:val="00F87B51"/>
    <w:rsid w:val="00F87D26"/>
    <w:rsid w:val="00F900D7"/>
    <w:rsid w:val="00F90228"/>
    <w:rsid w:val="00F90324"/>
    <w:rsid w:val="00F905EC"/>
    <w:rsid w:val="00F90E73"/>
    <w:rsid w:val="00F91375"/>
    <w:rsid w:val="00F9147F"/>
    <w:rsid w:val="00F9202C"/>
    <w:rsid w:val="00F9236A"/>
    <w:rsid w:val="00F9247F"/>
    <w:rsid w:val="00F9248C"/>
    <w:rsid w:val="00F9265E"/>
    <w:rsid w:val="00F927E7"/>
    <w:rsid w:val="00F92C11"/>
    <w:rsid w:val="00F92E44"/>
    <w:rsid w:val="00F930B5"/>
    <w:rsid w:val="00F9312E"/>
    <w:rsid w:val="00F9317B"/>
    <w:rsid w:val="00F9328B"/>
    <w:rsid w:val="00F932BE"/>
    <w:rsid w:val="00F94ABB"/>
    <w:rsid w:val="00F94B78"/>
    <w:rsid w:val="00F94C19"/>
    <w:rsid w:val="00F94CFC"/>
    <w:rsid w:val="00F94D66"/>
    <w:rsid w:val="00F94EC0"/>
    <w:rsid w:val="00F951A1"/>
    <w:rsid w:val="00F95663"/>
    <w:rsid w:val="00F958D6"/>
    <w:rsid w:val="00F95C42"/>
    <w:rsid w:val="00F95C4F"/>
    <w:rsid w:val="00F95EFE"/>
    <w:rsid w:val="00F9659F"/>
    <w:rsid w:val="00F967EF"/>
    <w:rsid w:val="00F96B2B"/>
    <w:rsid w:val="00F96BF5"/>
    <w:rsid w:val="00F96CC1"/>
    <w:rsid w:val="00F96F2D"/>
    <w:rsid w:val="00F975DF"/>
    <w:rsid w:val="00F97B9B"/>
    <w:rsid w:val="00FA021C"/>
    <w:rsid w:val="00FA07FC"/>
    <w:rsid w:val="00FA0E7C"/>
    <w:rsid w:val="00FA1002"/>
    <w:rsid w:val="00FA131C"/>
    <w:rsid w:val="00FA1362"/>
    <w:rsid w:val="00FA13E5"/>
    <w:rsid w:val="00FA1588"/>
    <w:rsid w:val="00FA1750"/>
    <w:rsid w:val="00FA192C"/>
    <w:rsid w:val="00FA1BEC"/>
    <w:rsid w:val="00FA1C3A"/>
    <w:rsid w:val="00FA1EBD"/>
    <w:rsid w:val="00FA24A5"/>
    <w:rsid w:val="00FA2637"/>
    <w:rsid w:val="00FA28D3"/>
    <w:rsid w:val="00FA28EE"/>
    <w:rsid w:val="00FA2BEA"/>
    <w:rsid w:val="00FA3085"/>
    <w:rsid w:val="00FA332E"/>
    <w:rsid w:val="00FA34CC"/>
    <w:rsid w:val="00FA363A"/>
    <w:rsid w:val="00FA36BA"/>
    <w:rsid w:val="00FA3B81"/>
    <w:rsid w:val="00FA3B9F"/>
    <w:rsid w:val="00FA3EE1"/>
    <w:rsid w:val="00FA41DD"/>
    <w:rsid w:val="00FA41E5"/>
    <w:rsid w:val="00FA41EB"/>
    <w:rsid w:val="00FA4269"/>
    <w:rsid w:val="00FA4BB1"/>
    <w:rsid w:val="00FA4D31"/>
    <w:rsid w:val="00FA4F90"/>
    <w:rsid w:val="00FA4F9A"/>
    <w:rsid w:val="00FA4FBC"/>
    <w:rsid w:val="00FA5166"/>
    <w:rsid w:val="00FA5278"/>
    <w:rsid w:val="00FA5751"/>
    <w:rsid w:val="00FA5B7E"/>
    <w:rsid w:val="00FA5F49"/>
    <w:rsid w:val="00FA60B3"/>
    <w:rsid w:val="00FA616C"/>
    <w:rsid w:val="00FA6786"/>
    <w:rsid w:val="00FA684A"/>
    <w:rsid w:val="00FA6A8A"/>
    <w:rsid w:val="00FA6CF0"/>
    <w:rsid w:val="00FA6D0D"/>
    <w:rsid w:val="00FA6E6F"/>
    <w:rsid w:val="00FA711F"/>
    <w:rsid w:val="00FA7348"/>
    <w:rsid w:val="00FA735E"/>
    <w:rsid w:val="00FA73A9"/>
    <w:rsid w:val="00FA75FD"/>
    <w:rsid w:val="00FA7865"/>
    <w:rsid w:val="00FA7C6C"/>
    <w:rsid w:val="00FA7CE0"/>
    <w:rsid w:val="00FB01B6"/>
    <w:rsid w:val="00FB01E2"/>
    <w:rsid w:val="00FB054C"/>
    <w:rsid w:val="00FB0C34"/>
    <w:rsid w:val="00FB1218"/>
    <w:rsid w:val="00FB14B2"/>
    <w:rsid w:val="00FB15A6"/>
    <w:rsid w:val="00FB180A"/>
    <w:rsid w:val="00FB1AAF"/>
    <w:rsid w:val="00FB1F49"/>
    <w:rsid w:val="00FB213E"/>
    <w:rsid w:val="00FB2218"/>
    <w:rsid w:val="00FB2889"/>
    <w:rsid w:val="00FB3047"/>
    <w:rsid w:val="00FB31B6"/>
    <w:rsid w:val="00FB331D"/>
    <w:rsid w:val="00FB33B5"/>
    <w:rsid w:val="00FB33D9"/>
    <w:rsid w:val="00FB38BB"/>
    <w:rsid w:val="00FB39FE"/>
    <w:rsid w:val="00FB3A53"/>
    <w:rsid w:val="00FB3C7A"/>
    <w:rsid w:val="00FB4A17"/>
    <w:rsid w:val="00FB4DAD"/>
    <w:rsid w:val="00FB4FB2"/>
    <w:rsid w:val="00FB50E9"/>
    <w:rsid w:val="00FB5285"/>
    <w:rsid w:val="00FB549A"/>
    <w:rsid w:val="00FB54B0"/>
    <w:rsid w:val="00FB5EF4"/>
    <w:rsid w:val="00FB65B0"/>
    <w:rsid w:val="00FB6ABB"/>
    <w:rsid w:val="00FB6C71"/>
    <w:rsid w:val="00FB6D0C"/>
    <w:rsid w:val="00FB6D49"/>
    <w:rsid w:val="00FB78CE"/>
    <w:rsid w:val="00FB7B10"/>
    <w:rsid w:val="00FB7BD4"/>
    <w:rsid w:val="00FB7CD3"/>
    <w:rsid w:val="00FB7F4B"/>
    <w:rsid w:val="00FC038F"/>
    <w:rsid w:val="00FC0618"/>
    <w:rsid w:val="00FC0B5D"/>
    <w:rsid w:val="00FC0FAF"/>
    <w:rsid w:val="00FC10C6"/>
    <w:rsid w:val="00FC15C8"/>
    <w:rsid w:val="00FC192F"/>
    <w:rsid w:val="00FC2461"/>
    <w:rsid w:val="00FC2902"/>
    <w:rsid w:val="00FC2AED"/>
    <w:rsid w:val="00FC2AEE"/>
    <w:rsid w:val="00FC2C2E"/>
    <w:rsid w:val="00FC2D36"/>
    <w:rsid w:val="00FC2FE3"/>
    <w:rsid w:val="00FC348E"/>
    <w:rsid w:val="00FC3573"/>
    <w:rsid w:val="00FC3802"/>
    <w:rsid w:val="00FC3989"/>
    <w:rsid w:val="00FC3DEA"/>
    <w:rsid w:val="00FC4174"/>
    <w:rsid w:val="00FC4324"/>
    <w:rsid w:val="00FC4F67"/>
    <w:rsid w:val="00FC5026"/>
    <w:rsid w:val="00FC51A6"/>
    <w:rsid w:val="00FC5716"/>
    <w:rsid w:val="00FC5838"/>
    <w:rsid w:val="00FC5CED"/>
    <w:rsid w:val="00FC5E2C"/>
    <w:rsid w:val="00FC6914"/>
    <w:rsid w:val="00FC72A3"/>
    <w:rsid w:val="00FC73F5"/>
    <w:rsid w:val="00FC759D"/>
    <w:rsid w:val="00FC7A72"/>
    <w:rsid w:val="00FC7E12"/>
    <w:rsid w:val="00FD00BF"/>
    <w:rsid w:val="00FD02D9"/>
    <w:rsid w:val="00FD035E"/>
    <w:rsid w:val="00FD04FA"/>
    <w:rsid w:val="00FD0926"/>
    <w:rsid w:val="00FD0B9C"/>
    <w:rsid w:val="00FD160B"/>
    <w:rsid w:val="00FD1A3F"/>
    <w:rsid w:val="00FD1C6C"/>
    <w:rsid w:val="00FD1D18"/>
    <w:rsid w:val="00FD21B7"/>
    <w:rsid w:val="00FD21EA"/>
    <w:rsid w:val="00FD23F2"/>
    <w:rsid w:val="00FD24D3"/>
    <w:rsid w:val="00FD24D6"/>
    <w:rsid w:val="00FD2542"/>
    <w:rsid w:val="00FD271D"/>
    <w:rsid w:val="00FD27A7"/>
    <w:rsid w:val="00FD29C1"/>
    <w:rsid w:val="00FD2AF2"/>
    <w:rsid w:val="00FD2CD8"/>
    <w:rsid w:val="00FD2F71"/>
    <w:rsid w:val="00FD3462"/>
    <w:rsid w:val="00FD3E1F"/>
    <w:rsid w:val="00FD45F4"/>
    <w:rsid w:val="00FD49F0"/>
    <w:rsid w:val="00FD4BF4"/>
    <w:rsid w:val="00FD4C1D"/>
    <w:rsid w:val="00FD50CF"/>
    <w:rsid w:val="00FD542E"/>
    <w:rsid w:val="00FD5473"/>
    <w:rsid w:val="00FD55EE"/>
    <w:rsid w:val="00FD6106"/>
    <w:rsid w:val="00FD6344"/>
    <w:rsid w:val="00FD6657"/>
    <w:rsid w:val="00FD671E"/>
    <w:rsid w:val="00FD6BD1"/>
    <w:rsid w:val="00FD6C9C"/>
    <w:rsid w:val="00FD6E2E"/>
    <w:rsid w:val="00FD6E83"/>
    <w:rsid w:val="00FD7170"/>
    <w:rsid w:val="00FD71B5"/>
    <w:rsid w:val="00FD7261"/>
    <w:rsid w:val="00FD72E7"/>
    <w:rsid w:val="00FD79E1"/>
    <w:rsid w:val="00FD7DEF"/>
    <w:rsid w:val="00FE02EF"/>
    <w:rsid w:val="00FE04BF"/>
    <w:rsid w:val="00FE0579"/>
    <w:rsid w:val="00FE0CEE"/>
    <w:rsid w:val="00FE1191"/>
    <w:rsid w:val="00FE1253"/>
    <w:rsid w:val="00FE1281"/>
    <w:rsid w:val="00FE1496"/>
    <w:rsid w:val="00FE14BF"/>
    <w:rsid w:val="00FE1587"/>
    <w:rsid w:val="00FE16F3"/>
    <w:rsid w:val="00FE1C3D"/>
    <w:rsid w:val="00FE2023"/>
    <w:rsid w:val="00FE21D5"/>
    <w:rsid w:val="00FE221B"/>
    <w:rsid w:val="00FE22BB"/>
    <w:rsid w:val="00FE2548"/>
    <w:rsid w:val="00FE2667"/>
    <w:rsid w:val="00FE2710"/>
    <w:rsid w:val="00FE2BFE"/>
    <w:rsid w:val="00FE2D8F"/>
    <w:rsid w:val="00FE2E68"/>
    <w:rsid w:val="00FE30E8"/>
    <w:rsid w:val="00FE3380"/>
    <w:rsid w:val="00FE3A70"/>
    <w:rsid w:val="00FE3FD0"/>
    <w:rsid w:val="00FE43C8"/>
    <w:rsid w:val="00FE4415"/>
    <w:rsid w:val="00FE44B9"/>
    <w:rsid w:val="00FE4542"/>
    <w:rsid w:val="00FE4BE3"/>
    <w:rsid w:val="00FE4D2A"/>
    <w:rsid w:val="00FE4D4E"/>
    <w:rsid w:val="00FE4DCE"/>
    <w:rsid w:val="00FE5345"/>
    <w:rsid w:val="00FE5AD1"/>
    <w:rsid w:val="00FE5D1A"/>
    <w:rsid w:val="00FE5E33"/>
    <w:rsid w:val="00FE5EC0"/>
    <w:rsid w:val="00FE6313"/>
    <w:rsid w:val="00FE631D"/>
    <w:rsid w:val="00FE655A"/>
    <w:rsid w:val="00FE6821"/>
    <w:rsid w:val="00FE6AD3"/>
    <w:rsid w:val="00FE6C12"/>
    <w:rsid w:val="00FE6D58"/>
    <w:rsid w:val="00FE6FB5"/>
    <w:rsid w:val="00FE71C1"/>
    <w:rsid w:val="00FE7576"/>
    <w:rsid w:val="00FE76D8"/>
    <w:rsid w:val="00FE7C73"/>
    <w:rsid w:val="00FF0A8B"/>
    <w:rsid w:val="00FF0ADB"/>
    <w:rsid w:val="00FF0C7C"/>
    <w:rsid w:val="00FF0D61"/>
    <w:rsid w:val="00FF101A"/>
    <w:rsid w:val="00FF137F"/>
    <w:rsid w:val="00FF15A7"/>
    <w:rsid w:val="00FF18E3"/>
    <w:rsid w:val="00FF1AF1"/>
    <w:rsid w:val="00FF1E38"/>
    <w:rsid w:val="00FF23C8"/>
    <w:rsid w:val="00FF300E"/>
    <w:rsid w:val="00FF3122"/>
    <w:rsid w:val="00FF3225"/>
    <w:rsid w:val="00FF3531"/>
    <w:rsid w:val="00FF3576"/>
    <w:rsid w:val="00FF44B2"/>
    <w:rsid w:val="00FF480D"/>
    <w:rsid w:val="00FF4D51"/>
    <w:rsid w:val="00FF4EF5"/>
    <w:rsid w:val="00FF4FCE"/>
    <w:rsid w:val="00FF5507"/>
    <w:rsid w:val="00FF55FD"/>
    <w:rsid w:val="00FF5A84"/>
    <w:rsid w:val="00FF70FA"/>
    <w:rsid w:val="00FF747A"/>
    <w:rsid w:val="00FF7638"/>
    <w:rsid w:val="00FF76B4"/>
    <w:rsid w:val="00FF77C2"/>
    <w:rsid w:val="00FF7BAE"/>
    <w:rsid w:val="07F1F82B"/>
    <w:rsid w:val="0F6FF410"/>
    <w:rsid w:val="14FFC5B8"/>
    <w:rsid w:val="198210A5"/>
    <w:rsid w:val="1AAAC878"/>
    <w:rsid w:val="24C760B6"/>
    <w:rsid w:val="27D2CD15"/>
    <w:rsid w:val="2900A47C"/>
    <w:rsid w:val="417D9A77"/>
    <w:rsid w:val="488D363A"/>
    <w:rsid w:val="4AAC8164"/>
    <w:rsid w:val="4E6256CE"/>
    <w:rsid w:val="4E99ACFD"/>
    <w:rsid w:val="4F7D0A94"/>
    <w:rsid w:val="531F0AAC"/>
    <w:rsid w:val="6BD14313"/>
    <w:rsid w:val="6D2298BD"/>
    <w:rsid w:val="6E80B4E6"/>
    <w:rsid w:val="7752EA22"/>
    <w:rsid w:val="7A7AC9B7"/>
    <w:rsid w:val="7ED18448"/>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E5E9E4"/>
  <w15:docId w15:val="{74E2929F-A056-436E-A4D5-2707F0E69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enulisan Normal"/>
    <w:qFormat/>
    <w:rsid w:val="00F63336"/>
    <w:pPr>
      <w:jc w:val="both"/>
    </w:pPr>
    <w:rPr>
      <w:rFonts w:ascii="Bookman Old Style" w:hAnsi="Bookman Old Style"/>
      <w:sz w:val="24"/>
    </w:rPr>
  </w:style>
  <w:style w:type="paragraph" w:styleId="Heading1">
    <w:name w:val="heading 1"/>
    <w:basedOn w:val="Normal"/>
    <w:next w:val="Normal"/>
    <w:link w:val="Heading1Char"/>
    <w:uiPriority w:val="9"/>
    <w:qFormat/>
    <w:rsid w:val="00D15E4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15E4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15E45"/>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43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ource,Colorful List - Accent 11,Bab,Atan,Level 3,List 5.2.1,spasi 2 taiiii,Num Bullet 1,Item2,NUMBERED PARAGRAPH,List Paragraph 1,List Paragraph1,kepala,Heading 21,Recommendation,List Paragraph11,Bulleted Para,NFP GP Bulleted List,awal,3"/>
    <w:basedOn w:val="Normal"/>
    <w:link w:val="ListParagraphChar"/>
    <w:uiPriority w:val="34"/>
    <w:qFormat/>
    <w:rsid w:val="005D43A6"/>
    <w:pPr>
      <w:ind w:left="720"/>
      <w:contextualSpacing/>
    </w:pPr>
  </w:style>
  <w:style w:type="table" w:styleId="GridTable4-Accent3">
    <w:name w:val="Grid Table 4 Accent 3"/>
    <w:basedOn w:val="TableNormal"/>
    <w:uiPriority w:val="49"/>
    <w:rsid w:val="00D372D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CommentReference">
    <w:name w:val="annotation reference"/>
    <w:basedOn w:val="DefaultParagraphFont"/>
    <w:uiPriority w:val="99"/>
    <w:semiHidden/>
    <w:unhideWhenUsed/>
    <w:rsid w:val="0065481C"/>
    <w:rPr>
      <w:sz w:val="16"/>
      <w:szCs w:val="16"/>
    </w:rPr>
  </w:style>
  <w:style w:type="paragraph" w:styleId="CommentText">
    <w:name w:val="annotation text"/>
    <w:basedOn w:val="Normal"/>
    <w:link w:val="CommentTextChar"/>
    <w:uiPriority w:val="99"/>
    <w:unhideWhenUsed/>
    <w:rsid w:val="0065481C"/>
    <w:pPr>
      <w:spacing w:line="240" w:lineRule="auto"/>
    </w:pPr>
    <w:rPr>
      <w:sz w:val="20"/>
      <w:szCs w:val="20"/>
    </w:rPr>
  </w:style>
  <w:style w:type="character" w:customStyle="1" w:styleId="CommentTextChar">
    <w:name w:val="Comment Text Char"/>
    <w:basedOn w:val="DefaultParagraphFont"/>
    <w:link w:val="CommentText"/>
    <w:uiPriority w:val="99"/>
    <w:rsid w:val="0065481C"/>
    <w:rPr>
      <w:sz w:val="20"/>
      <w:szCs w:val="20"/>
    </w:rPr>
  </w:style>
  <w:style w:type="paragraph" w:styleId="CommentSubject">
    <w:name w:val="annotation subject"/>
    <w:basedOn w:val="CommentText"/>
    <w:next w:val="CommentText"/>
    <w:link w:val="CommentSubjectChar"/>
    <w:uiPriority w:val="99"/>
    <w:semiHidden/>
    <w:unhideWhenUsed/>
    <w:rsid w:val="0065481C"/>
    <w:rPr>
      <w:b/>
      <w:bCs/>
    </w:rPr>
  </w:style>
  <w:style w:type="character" w:customStyle="1" w:styleId="CommentSubjectChar">
    <w:name w:val="Comment Subject Char"/>
    <w:basedOn w:val="CommentTextChar"/>
    <w:link w:val="CommentSubject"/>
    <w:uiPriority w:val="99"/>
    <w:semiHidden/>
    <w:rsid w:val="0065481C"/>
    <w:rPr>
      <w:b/>
      <w:bCs/>
      <w:sz w:val="20"/>
      <w:szCs w:val="20"/>
    </w:rPr>
  </w:style>
  <w:style w:type="paragraph" w:styleId="BalloonText">
    <w:name w:val="Balloon Text"/>
    <w:basedOn w:val="Normal"/>
    <w:link w:val="BalloonTextChar"/>
    <w:uiPriority w:val="99"/>
    <w:semiHidden/>
    <w:unhideWhenUsed/>
    <w:rsid w:val="006548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481C"/>
    <w:rPr>
      <w:rFonts w:ascii="Segoe UI" w:hAnsi="Segoe UI" w:cs="Segoe UI"/>
      <w:sz w:val="18"/>
      <w:szCs w:val="18"/>
    </w:rPr>
  </w:style>
  <w:style w:type="character" w:customStyle="1" w:styleId="ListParagraphChar">
    <w:name w:val="List Paragraph Char"/>
    <w:aliases w:val="Source Char,Colorful List - Accent 11 Char,Bab Char,Atan Char,Level 3 Char,List 5.2.1 Char,spasi 2 taiiii Char,Num Bullet 1 Char,Item2 Char,NUMBERED PARAGRAPH Char,List Paragraph 1 Char,List Paragraph1 Char,kepala Char,awal Char"/>
    <w:link w:val="ListParagraph"/>
    <w:uiPriority w:val="34"/>
    <w:qFormat/>
    <w:rsid w:val="00F3472D"/>
  </w:style>
  <w:style w:type="paragraph" w:styleId="Header">
    <w:name w:val="header"/>
    <w:basedOn w:val="Normal"/>
    <w:link w:val="HeaderChar"/>
    <w:uiPriority w:val="99"/>
    <w:unhideWhenUsed/>
    <w:rsid w:val="00E96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68A8"/>
  </w:style>
  <w:style w:type="paragraph" w:styleId="Footer">
    <w:name w:val="footer"/>
    <w:basedOn w:val="Normal"/>
    <w:link w:val="FooterChar"/>
    <w:uiPriority w:val="99"/>
    <w:unhideWhenUsed/>
    <w:rsid w:val="00E96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68A8"/>
  </w:style>
  <w:style w:type="paragraph" w:customStyle="1" w:styleId="Default">
    <w:name w:val="Default"/>
    <w:rsid w:val="00D4315A"/>
    <w:pPr>
      <w:autoSpaceDE w:val="0"/>
      <w:autoSpaceDN w:val="0"/>
      <w:adjustRightInd w:val="0"/>
      <w:spacing w:after="0" w:line="240" w:lineRule="auto"/>
    </w:pPr>
    <w:rPr>
      <w:rFonts w:ascii="Bookman Old Style" w:hAnsi="Bookman Old Style" w:cs="Bookman Old Style"/>
      <w:color w:val="000000"/>
      <w:sz w:val="24"/>
      <w:szCs w:val="24"/>
      <w:lang w:val="en-US"/>
    </w:rPr>
  </w:style>
  <w:style w:type="character" w:customStyle="1" w:styleId="bidi">
    <w:name w:val="bidi"/>
    <w:basedOn w:val="DefaultParagraphFont"/>
    <w:rsid w:val="00DC3311"/>
  </w:style>
  <w:style w:type="paragraph" w:styleId="EndnoteText">
    <w:name w:val="endnote text"/>
    <w:basedOn w:val="Normal"/>
    <w:link w:val="EndnoteTextChar"/>
    <w:uiPriority w:val="99"/>
    <w:semiHidden/>
    <w:unhideWhenUsed/>
    <w:rsid w:val="00AB42F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B42F5"/>
    <w:rPr>
      <w:sz w:val="20"/>
      <w:szCs w:val="20"/>
    </w:rPr>
  </w:style>
  <w:style w:type="character" w:styleId="EndnoteReference">
    <w:name w:val="endnote reference"/>
    <w:basedOn w:val="DefaultParagraphFont"/>
    <w:uiPriority w:val="99"/>
    <w:semiHidden/>
    <w:unhideWhenUsed/>
    <w:rsid w:val="00AB42F5"/>
    <w:rPr>
      <w:vertAlign w:val="superscript"/>
    </w:rPr>
  </w:style>
  <w:style w:type="character" w:customStyle="1" w:styleId="fontstyle01">
    <w:name w:val="fontstyle01"/>
    <w:basedOn w:val="DefaultParagraphFont"/>
    <w:rsid w:val="00812381"/>
    <w:rPr>
      <w:rFonts w:ascii="Bookman Old Style" w:hAnsi="Bookman Old Style" w:hint="default"/>
      <w:b w:val="0"/>
      <w:bCs w:val="0"/>
      <w:i/>
      <w:iCs/>
      <w:color w:val="000000"/>
      <w:sz w:val="24"/>
      <w:szCs w:val="24"/>
    </w:rPr>
  </w:style>
  <w:style w:type="character" w:customStyle="1" w:styleId="Heading1Char">
    <w:name w:val="Heading 1 Char"/>
    <w:basedOn w:val="DefaultParagraphFont"/>
    <w:link w:val="Heading1"/>
    <w:rsid w:val="00D15E4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1"/>
    <w:rsid w:val="00D15E4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15E45"/>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5D125B"/>
    <w:pPr>
      <w:outlineLvl w:val="9"/>
    </w:pPr>
    <w:rPr>
      <w:lang w:val="en-US"/>
    </w:rPr>
  </w:style>
  <w:style w:type="paragraph" w:styleId="TOC1">
    <w:name w:val="toc 1"/>
    <w:aliases w:val="BAB - Lampiran"/>
    <w:basedOn w:val="Normal"/>
    <w:next w:val="Normal"/>
    <w:autoRedefine/>
    <w:uiPriority w:val="39"/>
    <w:unhideWhenUsed/>
    <w:rsid w:val="00223DD3"/>
    <w:pPr>
      <w:tabs>
        <w:tab w:val="right" w:leader="dot" w:pos="9061"/>
      </w:tabs>
      <w:spacing w:after="100"/>
    </w:pPr>
  </w:style>
  <w:style w:type="paragraph" w:styleId="TOC2">
    <w:name w:val="toc 2"/>
    <w:basedOn w:val="Normal"/>
    <w:next w:val="Normal"/>
    <w:autoRedefine/>
    <w:uiPriority w:val="39"/>
    <w:unhideWhenUsed/>
    <w:rsid w:val="00F709F2"/>
    <w:pPr>
      <w:tabs>
        <w:tab w:val="left" w:pos="851"/>
        <w:tab w:val="right" w:leader="dot" w:pos="9061"/>
      </w:tabs>
      <w:spacing w:after="100"/>
      <w:ind w:left="567" w:hanging="567"/>
    </w:pPr>
  </w:style>
  <w:style w:type="paragraph" w:styleId="TOC3">
    <w:name w:val="toc 3"/>
    <w:basedOn w:val="Normal"/>
    <w:next w:val="Normal"/>
    <w:autoRedefine/>
    <w:uiPriority w:val="39"/>
    <w:unhideWhenUsed/>
    <w:rsid w:val="005D125B"/>
    <w:pPr>
      <w:spacing w:after="100"/>
      <w:ind w:left="440"/>
    </w:pPr>
  </w:style>
  <w:style w:type="character" w:styleId="Hyperlink">
    <w:name w:val="Hyperlink"/>
    <w:basedOn w:val="DefaultParagraphFont"/>
    <w:uiPriority w:val="99"/>
    <w:unhideWhenUsed/>
    <w:rsid w:val="005D125B"/>
    <w:rPr>
      <w:color w:val="0563C1" w:themeColor="hyperlink"/>
      <w:u w:val="single"/>
    </w:rPr>
  </w:style>
  <w:style w:type="paragraph" w:styleId="Revision">
    <w:name w:val="Revision"/>
    <w:hidden/>
    <w:uiPriority w:val="99"/>
    <w:semiHidden/>
    <w:rsid w:val="001B5F31"/>
    <w:pPr>
      <w:spacing w:after="0" w:line="240" w:lineRule="auto"/>
    </w:pPr>
  </w:style>
  <w:style w:type="character" w:customStyle="1" w:styleId="fontstyle21">
    <w:name w:val="fontstyle21"/>
    <w:basedOn w:val="DefaultParagraphFont"/>
    <w:rsid w:val="00000C10"/>
    <w:rPr>
      <w:rFonts w:ascii="BookmanOldStyle-Italic" w:hAnsi="BookmanOldStyle-Italic" w:hint="default"/>
      <w:b w:val="0"/>
      <w:bCs w:val="0"/>
      <w:i/>
      <w:iCs/>
      <w:color w:val="000000"/>
      <w:sz w:val="24"/>
      <w:szCs w:val="24"/>
    </w:rPr>
  </w:style>
  <w:style w:type="numbering" w:customStyle="1" w:styleId="CurrentList1">
    <w:name w:val="Current List1"/>
    <w:uiPriority w:val="99"/>
    <w:rsid w:val="00836AE3"/>
    <w:pPr>
      <w:numPr>
        <w:numId w:val="2"/>
      </w:numPr>
    </w:pPr>
  </w:style>
  <w:style w:type="numbering" w:customStyle="1" w:styleId="CurrentList2">
    <w:name w:val="Current List2"/>
    <w:uiPriority w:val="99"/>
    <w:rsid w:val="00836AE3"/>
    <w:pPr>
      <w:numPr>
        <w:numId w:val="3"/>
      </w:numPr>
    </w:pPr>
  </w:style>
  <w:style w:type="paragraph" w:styleId="BodyText">
    <w:name w:val="Body Text"/>
    <w:aliases w:val="Sub Heading Lampiran"/>
    <w:basedOn w:val="Normal"/>
    <w:link w:val="BodyTextChar"/>
    <w:uiPriority w:val="1"/>
    <w:qFormat/>
    <w:rsid w:val="00F63336"/>
    <w:pPr>
      <w:widowControl w:val="0"/>
      <w:numPr>
        <w:numId w:val="5"/>
      </w:numPr>
      <w:autoSpaceDE w:val="0"/>
      <w:autoSpaceDN w:val="0"/>
      <w:spacing w:after="0" w:line="240" w:lineRule="auto"/>
    </w:pPr>
    <w:rPr>
      <w:rFonts w:eastAsia="Bookman Old Style" w:cs="Times New Roman"/>
      <w:szCs w:val="24"/>
      <w:lang w:val="id" w:eastAsia="id"/>
    </w:rPr>
  </w:style>
  <w:style w:type="character" w:customStyle="1" w:styleId="BodyTextChar">
    <w:name w:val="Body Text Char"/>
    <w:aliases w:val="Sub Heading Lampiran Char"/>
    <w:basedOn w:val="DefaultParagraphFont"/>
    <w:link w:val="BodyText"/>
    <w:uiPriority w:val="1"/>
    <w:rsid w:val="00F63336"/>
    <w:rPr>
      <w:rFonts w:ascii="Bookman Old Style" w:eastAsia="Bookman Old Style" w:hAnsi="Bookman Old Style" w:cs="Times New Roman"/>
      <w:sz w:val="24"/>
      <w:szCs w:val="24"/>
      <w:lang w:val="id" w:eastAsia="id"/>
    </w:rPr>
  </w:style>
  <w:style w:type="paragraph" w:customStyle="1" w:styleId="HeadingAwalDaftarIsiLampiran">
    <w:name w:val="Heading Awal Daftar Isi Lampiran"/>
    <w:basedOn w:val="Normal"/>
    <w:qFormat/>
    <w:rsid w:val="00B07A55"/>
    <w:pPr>
      <w:numPr>
        <w:numId w:val="4"/>
      </w:numPr>
      <w:spacing w:after="0" w:line="240" w:lineRule="auto"/>
    </w:pPr>
    <w:rPr>
      <w:noProof/>
      <w:color w:val="000000" w:themeColor="text1"/>
      <w:szCs w:val="24"/>
    </w:rPr>
  </w:style>
  <w:style w:type="paragraph" w:customStyle="1" w:styleId="ayatt">
    <w:name w:val="ayatt"/>
    <w:basedOn w:val="ListParagraph"/>
    <w:rsid w:val="007D3FB2"/>
    <w:pPr>
      <w:numPr>
        <w:numId w:val="274"/>
      </w:numPr>
      <w:spacing w:before="120" w:after="120" w:line="276" w:lineRule="auto"/>
      <w:contextualSpacing w:val="0"/>
    </w:pPr>
    <w:rPr>
      <w:rFonts w:eastAsia="Calibri" w:cs="Times New Roman"/>
      <w:sz w:val="22"/>
      <w:szCs w:val="24"/>
      <w:lang w:val="en-US" w:eastAsia="zh-CN"/>
    </w:rPr>
  </w:style>
  <w:style w:type="paragraph" w:customStyle="1" w:styleId="TableParagraph">
    <w:name w:val="Table Paragraph"/>
    <w:basedOn w:val="Normal"/>
    <w:uiPriority w:val="1"/>
    <w:qFormat/>
    <w:rsid w:val="009A1C06"/>
    <w:pPr>
      <w:widowControl w:val="0"/>
      <w:autoSpaceDE w:val="0"/>
      <w:autoSpaceDN w:val="0"/>
      <w:spacing w:after="0" w:line="240" w:lineRule="auto"/>
      <w:jc w:val="left"/>
    </w:pPr>
    <w:rPr>
      <w:rFonts w:ascii="Cambria" w:eastAsia="Cambria" w:hAnsi="Cambria" w:cs="Cambria"/>
      <w:sz w:val="22"/>
      <w:lang w:val="id"/>
    </w:rPr>
  </w:style>
  <w:style w:type="paragraph" w:styleId="NormalWeb">
    <w:name w:val="Normal (Web)"/>
    <w:basedOn w:val="Normal"/>
    <w:uiPriority w:val="99"/>
    <w:unhideWhenUsed/>
    <w:rsid w:val="006B63E1"/>
    <w:pPr>
      <w:spacing w:before="100" w:beforeAutospacing="1" w:after="100" w:afterAutospacing="1" w:line="240" w:lineRule="auto"/>
      <w:jc w:val="left"/>
    </w:pPr>
    <w:rPr>
      <w:rFonts w:ascii="Times New Roman" w:eastAsia="Times New Roman" w:hAnsi="Times New Roman" w:cs="Times New Roman"/>
      <w:szCs w:val="24"/>
      <w:lang w:val="en-ID"/>
    </w:rPr>
  </w:style>
  <w:style w:type="character" w:styleId="Strong">
    <w:name w:val="Strong"/>
    <w:basedOn w:val="DefaultParagraphFont"/>
    <w:uiPriority w:val="22"/>
    <w:qFormat/>
    <w:rsid w:val="000052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85939">
      <w:bodyDiv w:val="1"/>
      <w:marLeft w:val="0"/>
      <w:marRight w:val="0"/>
      <w:marTop w:val="0"/>
      <w:marBottom w:val="0"/>
      <w:divBdr>
        <w:top w:val="none" w:sz="0" w:space="0" w:color="auto"/>
        <w:left w:val="none" w:sz="0" w:space="0" w:color="auto"/>
        <w:bottom w:val="none" w:sz="0" w:space="0" w:color="auto"/>
        <w:right w:val="none" w:sz="0" w:space="0" w:color="auto"/>
      </w:divBdr>
    </w:div>
    <w:div w:id="44842847">
      <w:bodyDiv w:val="1"/>
      <w:marLeft w:val="0"/>
      <w:marRight w:val="0"/>
      <w:marTop w:val="0"/>
      <w:marBottom w:val="0"/>
      <w:divBdr>
        <w:top w:val="none" w:sz="0" w:space="0" w:color="auto"/>
        <w:left w:val="none" w:sz="0" w:space="0" w:color="auto"/>
        <w:bottom w:val="none" w:sz="0" w:space="0" w:color="auto"/>
        <w:right w:val="none" w:sz="0" w:space="0" w:color="auto"/>
      </w:divBdr>
    </w:div>
    <w:div w:id="53822690">
      <w:bodyDiv w:val="1"/>
      <w:marLeft w:val="0"/>
      <w:marRight w:val="0"/>
      <w:marTop w:val="0"/>
      <w:marBottom w:val="0"/>
      <w:divBdr>
        <w:top w:val="none" w:sz="0" w:space="0" w:color="auto"/>
        <w:left w:val="none" w:sz="0" w:space="0" w:color="auto"/>
        <w:bottom w:val="none" w:sz="0" w:space="0" w:color="auto"/>
        <w:right w:val="none" w:sz="0" w:space="0" w:color="auto"/>
      </w:divBdr>
    </w:div>
    <w:div w:id="125514196">
      <w:bodyDiv w:val="1"/>
      <w:marLeft w:val="0"/>
      <w:marRight w:val="0"/>
      <w:marTop w:val="0"/>
      <w:marBottom w:val="0"/>
      <w:divBdr>
        <w:top w:val="none" w:sz="0" w:space="0" w:color="auto"/>
        <w:left w:val="none" w:sz="0" w:space="0" w:color="auto"/>
        <w:bottom w:val="none" w:sz="0" w:space="0" w:color="auto"/>
        <w:right w:val="none" w:sz="0" w:space="0" w:color="auto"/>
      </w:divBdr>
    </w:div>
    <w:div w:id="218589357">
      <w:bodyDiv w:val="1"/>
      <w:marLeft w:val="0"/>
      <w:marRight w:val="0"/>
      <w:marTop w:val="0"/>
      <w:marBottom w:val="0"/>
      <w:divBdr>
        <w:top w:val="none" w:sz="0" w:space="0" w:color="auto"/>
        <w:left w:val="none" w:sz="0" w:space="0" w:color="auto"/>
        <w:bottom w:val="none" w:sz="0" w:space="0" w:color="auto"/>
        <w:right w:val="none" w:sz="0" w:space="0" w:color="auto"/>
      </w:divBdr>
    </w:div>
    <w:div w:id="252321557">
      <w:bodyDiv w:val="1"/>
      <w:marLeft w:val="0"/>
      <w:marRight w:val="0"/>
      <w:marTop w:val="0"/>
      <w:marBottom w:val="0"/>
      <w:divBdr>
        <w:top w:val="none" w:sz="0" w:space="0" w:color="auto"/>
        <w:left w:val="none" w:sz="0" w:space="0" w:color="auto"/>
        <w:bottom w:val="none" w:sz="0" w:space="0" w:color="auto"/>
        <w:right w:val="none" w:sz="0" w:space="0" w:color="auto"/>
      </w:divBdr>
    </w:div>
    <w:div w:id="255023222">
      <w:bodyDiv w:val="1"/>
      <w:marLeft w:val="0"/>
      <w:marRight w:val="0"/>
      <w:marTop w:val="0"/>
      <w:marBottom w:val="0"/>
      <w:divBdr>
        <w:top w:val="none" w:sz="0" w:space="0" w:color="auto"/>
        <w:left w:val="none" w:sz="0" w:space="0" w:color="auto"/>
        <w:bottom w:val="none" w:sz="0" w:space="0" w:color="auto"/>
        <w:right w:val="none" w:sz="0" w:space="0" w:color="auto"/>
      </w:divBdr>
    </w:div>
    <w:div w:id="302538441">
      <w:bodyDiv w:val="1"/>
      <w:marLeft w:val="0"/>
      <w:marRight w:val="0"/>
      <w:marTop w:val="0"/>
      <w:marBottom w:val="0"/>
      <w:divBdr>
        <w:top w:val="none" w:sz="0" w:space="0" w:color="auto"/>
        <w:left w:val="none" w:sz="0" w:space="0" w:color="auto"/>
        <w:bottom w:val="none" w:sz="0" w:space="0" w:color="auto"/>
        <w:right w:val="none" w:sz="0" w:space="0" w:color="auto"/>
      </w:divBdr>
    </w:div>
    <w:div w:id="327637315">
      <w:bodyDiv w:val="1"/>
      <w:marLeft w:val="0"/>
      <w:marRight w:val="0"/>
      <w:marTop w:val="0"/>
      <w:marBottom w:val="0"/>
      <w:divBdr>
        <w:top w:val="none" w:sz="0" w:space="0" w:color="auto"/>
        <w:left w:val="none" w:sz="0" w:space="0" w:color="auto"/>
        <w:bottom w:val="none" w:sz="0" w:space="0" w:color="auto"/>
        <w:right w:val="none" w:sz="0" w:space="0" w:color="auto"/>
      </w:divBdr>
    </w:div>
    <w:div w:id="337730231">
      <w:bodyDiv w:val="1"/>
      <w:marLeft w:val="0"/>
      <w:marRight w:val="0"/>
      <w:marTop w:val="0"/>
      <w:marBottom w:val="0"/>
      <w:divBdr>
        <w:top w:val="none" w:sz="0" w:space="0" w:color="auto"/>
        <w:left w:val="none" w:sz="0" w:space="0" w:color="auto"/>
        <w:bottom w:val="none" w:sz="0" w:space="0" w:color="auto"/>
        <w:right w:val="none" w:sz="0" w:space="0" w:color="auto"/>
      </w:divBdr>
    </w:div>
    <w:div w:id="343216096">
      <w:bodyDiv w:val="1"/>
      <w:marLeft w:val="0"/>
      <w:marRight w:val="0"/>
      <w:marTop w:val="0"/>
      <w:marBottom w:val="0"/>
      <w:divBdr>
        <w:top w:val="none" w:sz="0" w:space="0" w:color="auto"/>
        <w:left w:val="none" w:sz="0" w:space="0" w:color="auto"/>
        <w:bottom w:val="none" w:sz="0" w:space="0" w:color="auto"/>
        <w:right w:val="none" w:sz="0" w:space="0" w:color="auto"/>
      </w:divBdr>
    </w:div>
    <w:div w:id="362176625">
      <w:bodyDiv w:val="1"/>
      <w:marLeft w:val="0"/>
      <w:marRight w:val="0"/>
      <w:marTop w:val="0"/>
      <w:marBottom w:val="0"/>
      <w:divBdr>
        <w:top w:val="none" w:sz="0" w:space="0" w:color="auto"/>
        <w:left w:val="none" w:sz="0" w:space="0" w:color="auto"/>
        <w:bottom w:val="none" w:sz="0" w:space="0" w:color="auto"/>
        <w:right w:val="none" w:sz="0" w:space="0" w:color="auto"/>
      </w:divBdr>
    </w:div>
    <w:div w:id="416900790">
      <w:bodyDiv w:val="1"/>
      <w:marLeft w:val="0"/>
      <w:marRight w:val="0"/>
      <w:marTop w:val="0"/>
      <w:marBottom w:val="0"/>
      <w:divBdr>
        <w:top w:val="none" w:sz="0" w:space="0" w:color="auto"/>
        <w:left w:val="none" w:sz="0" w:space="0" w:color="auto"/>
        <w:bottom w:val="none" w:sz="0" w:space="0" w:color="auto"/>
        <w:right w:val="none" w:sz="0" w:space="0" w:color="auto"/>
      </w:divBdr>
    </w:div>
    <w:div w:id="498083788">
      <w:bodyDiv w:val="1"/>
      <w:marLeft w:val="0"/>
      <w:marRight w:val="0"/>
      <w:marTop w:val="0"/>
      <w:marBottom w:val="0"/>
      <w:divBdr>
        <w:top w:val="none" w:sz="0" w:space="0" w:color="auto"/>
        <w:left w:val="none" w:sz="0" w:space="0" w:color="auto"/>
        <w:bottom w:val="none" w:sz="0" w:space="0" w:color="auto"/>
        <w:right w:val="none" w:sz="0" w:space="0" w:color="auto"/>
      </w:divBdr>
      <w:divsChild>
        <w:div w:id="1149441887">
          <w:marLeft w:val="547"/>
          <w:marRight w:val="0"/>
          <w:marTop w:val="0"/>
          <w:marBottom w:val="0"/>
          <w:divBdr>
            <w:top w:val="none" w:sz="0" w:space="0" w:color="auto"/>
            <w:left w:val="none" w:sz="0" w:space="0" w:color="auto"/>
            <w:bottom w:val="none" w:sz="0" w:space="0" w:color="auto"/>
            <w:right w:val="none" w:sz="0" w:space="0" w:color="auto"/>
          </w:divBdr>
        </w:div>
      </w:divsChild>
    </w:div>
    <w:div w:id="515313560">
      <w:bodyDiv w:val="1"/>
      <w:marLeft w:val="0"/>
      <w:marRight w:val="0"/>
      <w:marTop w:val="0"/>
      <w:marBottom w:val="0"/>
      <w:divBdr>
        <w:top w:val="none" w:sz="0" w:space="0" w:color="auto"/>
        <w:left w:val="none" w:sz="0" w:space="0" w:color="auto"/>
        <w:bottom w:val="none" w:sz="0" w:space="0" w:color="auto"/>
        <w:right w:val="none" w:sz="0" w:space="0" w:color="auto"/>
      </w:divBdr>
    </w:div>
    <w:div w:id="608506737">
      <w:bodyDiv w:val="1"/>
      <w:marLeft w:val="0"/>
      <w:marRight w:val="0"/>
      <w:marTop w:val="0"/>
      <w:marBottom w:val="0"/>
      <w:divBdr>
        <w:top w:val="none" w:sz="0" w:space="0" w:color="auto"/>
        <w:left w:val="none" w:sz="0" w:space="0" w:color="auto"/>
        <w:bottom w:val="none" w:sz="0" w:space="0" w:color="auto"/>
        <w:right w:val="none" w:sz="0" w:space="0" w:color="auto"/>
      </w:divBdr>
    </w:div>
    <w:div w:id="644824101">
      <w:bodyDiv w:val="1"/>
      <w:marLeft w:val="0"/>
      <w:marRight w:val="0"/>
      <w:marTop w:val="0"/>
      <w:marBottom w:val="0"/>
      <w:divBdr>
        <w:top w:val="none" w:sz="0" w:space="0" w:color="auto"/>
        <w:left w:val="none" w:sz="0" w:space="0" w:color="auto"/>
        <w:bottom w:val="none" w:sz="0" w:space="0" w:color="auto"/>
        <w:right w:val="none" w:sz="0" w:space="0" w:color="auto"/>
      </w:divBdr>
    </w:div>
    <w:div w:id="662928419">
      <w:bodyDiv w:val="1"/>
      <w:marLeft w:val="0"/>
      <w:marRight w:val="0"/>
      <w:marTop w:val="0"/>
      <w:marBottom w:val="0"/>
      <w:divBdr>
        <w:top w:val="none" w:sz="0" w:space="0" w:color="auto"/>
        <w:left w:val="none" w:sz="0" w:space="0" w:color="auto"/>
        <w:bottom w:val="none" w:sz="0" w:space="0" w:color="auto"/>
        <w:right w:val="none" w:sz="0" w:space="0" w:color="auto"/>
      </w:divBdr>
    </w:div>
    <w:div w:id="694354161">
      <w:bodyDiv w:val="1"/>
      <w:marLeft w:val="0"/>
      <w:marRight w:val="0"/>
      <w:marTop w:val="0"/>
      <w:marBottom w:val="0"/>
      <w:divBdr>
        <w:top w:val="none" w:sz="0" w:space="0" w:color="auto"/>
        <w:left w:val="none" w:sz="0" w:space="0" w:color="auto"/>
        <w:bottom w:val="none" w:sz="0" w:space="0" w:color="auto"/>
        <w:right w:val="none" w:sz="0" w:space="0" w:color="auto"/>
      </w:divBdr>
    </w:div>
    <w:div w:id="791245409">
      <w:bodyDiv w:val="1"/>
      <w:marLeft w:val="0"/>
      <w:marRight w:val="0"/>
      <w:marTop w:val="0"/>
      <w:marBottom w:val="0"/>
      <w:divBdr>
        <w:top w:val="none" w:sz="0" w:space="0" w:color="auto"/>
        <w:left w:val="none" w:sz="0" w:space="0" w:color="auto"/>
        <w:bottom w:val="none" w:sz="0" w:space="0" w:color="auto"/>
        <w:right w:val="none" w:sz="0" w:space="0" w:color="auto"/>
      </w:divBdr>
    </w:div>
    <w:div w:id="822428279">
      <w:bodyDiv w:val="1"/>
      <w:marLeft w:val="0"/>
      <w:marRight w:val="0"/>
      <w:marTop w:val="0"/>
      <w:marBottom w:val="0"/>
      <w:divBdr>
        <w:top w:val="none" w:sz="0" w:space="0" w:color="auto"/>
        <w:left w:val="none" w:sz="0" w:space="0" w:color="auto"/>
        <w:bottom w:val="none" w:sz="0" w:space="0" w:color="auto"/>
        <w:right w:val="none" w:sz="0" w:space="0" w:color="auto"/>
      </w:divBdr>
    </w:div>
    <w:div w:id="826436519">
      <w:bodyDiv w:val="1"/>
      <w:marLeft w:val="0"/>
      <w:marRight w:val="0"/>
      <w:marTop w:val="0"/>
      <w:marBottom w:val="0"/>
      <w:divBdr>
        <w:top w:val="none" w:sz="0" w:space="0" w:color="auto"/>
        <w:left w:val="none" w:sz="0" w:space="0" w:color="auto"/>
        <w:bottom w:val="none" w:sz="0" w:space="0" w:color="auto"/>
        <w:right w:val="none" w:sz="0" w:space="0" w:color="auto"/>
      </w:divBdr>
    </w:div>
    <w:div w:id="949052563">
      <w:bodyDiv w:val="1"/>
      <w:marLeft w:val="0"/>
      <w:marRight w:val="0"/>
      <w:marTop w:val="0"/>
      <w:marBottom w:val="0"/>
      <w:divBdr>
        <w:top w:val="none" w:sz="0" w:space="0" w:color="auto"/>
        <w:left w:val="none" w:sz="0" w:space="0" w:color="auto"/>
        <w:bottom w:val="none" w:sz="0" w:space="0" w:color="auto"/>
        <w:right w:val="none" w:sz="0" w:space="0" w:color="auto"/>
      </w:divBdr>
    </w:div>
    <w:div w:id="978417744">
      <w:bodyDiv w:val="1"/>
      <w:marLeft w:val="0"/>
      <w:marRight w:val="0"/>
      <w:marTop w:val="0"/>
      <w:marBottom w:val="0"/>
      <w:divBdr>
        <w:top w:val="none" w:sz="0" w:space="0" w:color="auto"/>
        <w:left w:val="none" w:sz="0" w:space="0" w:color="auto"/>
        <w:bottom w:val="none" w:sz="0" w:space="0" w:color="auto"/>
        <w:right w:val="none" w:sz="0" w:space="0" w:color="auto"/>
      </w:divBdr>
    </w:div>
    <w:div w:id="985668645">
      <w:bodyDiv w:val="1"/>
      <w:marLeft w:val="0"/>
      <w:marRight w:val="0"/>
      <w:marTop w:val="0"/>
      <w:marBottom w:val="0"/>
      <w:divBdr>
        <w:top w:val="none" w:sz="0" w:space="0" w:color="auto"/>
        <w:left w:val="none" w:sz="0" w:space="0" w:color="auto"/>
        <w:bottom w:val="none" w:sz="0" w:space="0" w:color="auto"/>
        <w:right w:val="none" w:sz="0" w:space="0" w:color="auto"/>
      </w:divBdr>
    </w:div>
    <w:div w:id="999040779">
      <w:bodyDiv w:val="1"/>
      <w:marLeft w:val="0"/>
      <w:marRight w:val="0"/>
      <w:marTop w:val="0"/>
      <w:marBottom w:val="0"/>
      <w:divBdr>
        <w:top w:val="none" w:sz="0" w:space="0" w:color="auto"/>
        <w:left w:val="none" w:sz="0" w:space="0" w:color="auto"/>
        <w:bottom w:val="none" w:sz="0" w:space="0" w:color="auto"/>
        <w:right w:val="none" w:sz="0" w:space="0" w:color="auto"/>
      </w:divBdr>
    </w:div>
    <w:div w:id="1035928060">
      <w:bodyDiv w:val="1"/>
      <w:marLeft w:val="0"/>
      <w:marRight w:val="0"/>
      <w:marTop w:val="0"/>
      <w:marBottom w:val="0"/>
      <w:divBdr>
        <w:top w:val="none" w:sz="0" w:space="0" w:color="auto"/>
        <w:left w:val="none" w:sz="0" w:space="0" w:color="auto"/>
        <w:bottom w:val="none" w:sz="0" w:space="0" w:color="auto"/>
        <w:right w:val="none" w:sz="0" w:space="0" w:color="auto"/>
      </w:divBdr>
    </w:div>
    <w:div w:id="1053388660">
      <w:bodyDiv w:val="1"/>
      <w:marLeft w:val="0"/>
      <w:marRight w:val="0"/>
      <w:marTop w:val="0"/>
      <w:marBottom w:val="0"/>
      <w:divBdr>
        <w:top w:val="none" w:sz="0" w:space="0" w:color="auto"/>
        <w:left w:val="none" w:sz="0" w:space="0" w:color="auto"/>
        <w:bottom w:val="none" w:sz="0" w:space="0" w:color="auto"/>
        <w:right w:val="none" w:sz="0" w:space="0" w:color="auto"/>
      </w:divBdr>
      <w:divsChild>
        <w:div w:id="1214846822">
          <w:marLeft w:val="547"/>
          <w:marRight w:val="0"/>
          <w:marTop w:val="0"/>
          <w:marBottom w:val="0"/>
          <w:divBdr>
            <w:top w:val="none" w:sz="0" w:space="0" w:color="auto"/>
            <w:left w:val="none" w:sz="0" w:space="0" w:color="auto"/>
            <w:bottom w:val="none" w:sz="0" w:space="0" w:color="auto"/>
            <w:right w:val="none" w:sz="0" w:space="0" w:color="auto"/>
          </w:divBdr>
        </w:div>
      </w:divsChild>
    </w:div>
    <w:div w:id="1098672066">
      <w:bodyDiv w:val="1"/>
      <w:marLeft w:val="0"/>
      <w:marRight w:val="0"/>
      <w:marTop w:val="0"/>
      <w:marBottom w:val="0"/>
      <w:divBdr>
        <w:top w:val="none" w:sz="0" w:space="0" w:color="auto"/>
        <w:left w:val="none" w:sz="0" w:space="0" w:color="auto"/>
        <w:bottom w:val="none" w:sz="0" w:space="0" w:color="auto"/>
        <w:right w:val="none" w:sz="0" w:space="0" w:color="auto"/>
      </w:divBdr>
    </w:div>
    <w:div w:id="1208492310">
      <w:bodyDiv w:val="1"/>
      <w:marLeft w:val="0"/>
      <w:marRight w:val="0"/>
      <w:marTop w:val="0"/>
      <w:marBottom w:val="0"/>
      <w:divBdr>
        <w:top w:val="none" w:sz="0" w:space="0" w:color="auto"/>
        <w:left w:val="none" w:sz="0" w:space="0" w:color="auto"/>
        <w:bottom w:val="none" w:sz="0" w:space="0" w:color="auto"/>
        <w:right w:val="none" w:sz="0" w:space="0" w:color="auto"/>
      </w:divBdr>
    </w:div>
    <w:div w:id="1226179062">
      <w:bodyDiv w:val="1"/>
      <w:marLeft w:val="0"/>
      <w:marRight w:val="0"/>
      <w:marTop w:val="0"/>
      <w:marBottom w:val="0"/>
      <w:divBdr>
        <w:top w:val="none" w:sz="0" w:space="0" w:color="auto"/>
        <w:left w:val="none" w:sz="0" w:space="0" w:color="auto"/>
        <w:bottom w:val="none" w:sz="0" w:space="0" w:color="auto"/>
        <w:right w:val="none" w:sz="0" w:space="0" w:color="auto"/>
      </w:divBdr>
    </w:div>
    <w:div w:id="1241404707">
      <w:bodyDiv w:val="1"/>
      <w:marLeft w:val="0"/>
      <w:marRight w:val="0"/>
      <w:marTop w:val="0"/>
      <w:marBottom w:val="0"/>
      <w:divBdr>
        <w:top w:val="none" w:sz="0" w:space="0" w:color="auto"/>
        <w:left w:val="none" w:sz="0" w:space="0" w:color="auto"/>
        <w:bottom w:val="none" w:sz="0" w:space="0" w:color="auto"/>
        <w:right w:val="none" w:sz="0" w:space="0" w:color="auto"/>
      </w:divBdr>
    </w:div>
    <w:div w:id="1250508763">
      <w:bodyDiv w:val="1"/>
      <w:marLeft w:val="0"/>
      <w:marRight w:val="0"/>
      <w:marTop w:val="0"/>
      <w:marBottom w:val="0"/>
      <w:divBdr>
        <w:top w:val="none" w:sz="0" w:space="0" w:color="auto"/>
        <w:left w:val="none" w:sz="0" w:space="0" w:color="auto"/>
        <w:bottom w:val="none" w:sz="0" w:space="0" w:color="auto"/>
        <w:right w:val="none" w:sz="0" w:space="0" w:color="auto"/>
      </w:divBdr>
    </w:div>
    <w:div w:id="1282147068">
      <w:bodyDiv w:val="1"/>
      <w:marLeft w:val="0"/>
      <w:marRight w:val="0"/>
      <w:marTop w:val="0"/>
      <w:marBottom w:val="0"/>
      <w:divBdr>
        <w:top w:val="none" w:sz="0" w:space="0" w:color="auto"/>
        <w:left w:val="none" w:sz="0" w:space="0" w:color="auto"/>
        <w:bottom w:val="none" w:sz="0" w:space="0" w:color="auto"/>
        <w:right w:val="none" w:sz="0" w:space="0" w:color="auto"/>
      </w:divBdr>
    </w:div>
    <w:div w:id="1375423773">
      <w:bodyDiv w:val="1"/>
      <w:marLeft w:val="0"/>
      <w:marRight w:val="0"/>
      <w:marTop w:val="0"/>
      <w:marBottom w:val="0"/>
      <w:divBdr>
        <w:top w:val="none" w:sz="0" w:space="0" w:color="auto"/>
        <w:left w:val="none" w:sz="0" w:space="0" w:color="auto"/>
        <w:bottom w:val="none" w:sz="0" w:space="0" w:color="auto"/>
        <w:right w:val="none" w:sz="0" w:space="0" w:color="auto"/>
      </w:divBdr>
      <w:divsChild>
        <w:div w:id="95100251">
          <w:marLeft w:val="288"/>
          <w:marRight w:val="0"/>
          <w:marTop w:val="0"/>
          <w:marBottom w:val="0"/>
          <w:divBdr>
            <w:top w:val="none" w:sz="0" w:space="0" w:color="auto"/>
            <w:left w:val="none" w:sz="0" w:space="0" w:color="auto"/>
            <w:bottom w:val="none" w:sz="0" w:space="0" w:color="auto"/>
            <w:right w:val="none" w:sz="0" w:space="0" w:color="auto"/>
          </w:divBdr>
        </w:div>
        <w:div w:id="140856696">
          <w:marLeft w:val="288"/>
          <w:marRight w:val="0"/>
          <w:marTop w:val="0"/>
          <w:marBottom w:val="60"/>
          <w:divBdr>
            <w:top w:val="none" w:sz="0" w:space="0" w:color="auto"/>
            <w:left w:val="none" w:sz="0" w:space="0" w:color="auto"/>
            <w:bottom w:val="none" w:sz="0" w:space="0" w:color="auto"/>
            <w:right w:val="none" w:sz="0" w:space="0" w:color="auto"/>
          </w:divBdr>
        </w:div>
        <w:div w:id="899633217">
          <w:marLeft w:val="288"/>
          <w:marRight w:val="0"/>
          <w:marTop w:val="0"/>
          <w:marBottom w:val="60"/>
          <w:divBdr>
            <w:top w:val="none" w:sz="0" w:space="0" w:color="auto"/>
            <w:left w:val="none" w:sz="0" w:space="0" w:color="auto"/>
            <w:bottom w:val="none" w:sz="0" w:space="0" w:color="auto"/>
            <w:right w:val="none" w:sz="0" w:space="0" w:color="auto"/>
          </w:divBdr>
        </w:div>
        <w:div w:id="987317588">
          <w:marLeft w:val="288"/>
          <w:marRight w:val="0"/>
          <w:marTop w:val="0"/>
          <w:marBottom w:val="0"/>
          <w:divBdr>
            <w:top w:val="none" w:sz="0" w:space="0" w:color="auto"/>
            <w:left w:val="none" w:sz="0" w:space="0" w:color="auto"/>
            <w:bottom w:val="none" w:sz="0" w:space="0" w:color="auto"/>
            <w:right w:val="none" w:sz="0" w:space="0" w:color="auto"/>
          </w:divBdr>
        </w:div>
      </w:divsChild>
    </w:div>
    <w:div w:id="1404140854">
      <w:bodyDiv w:val="1"/>
      <w:marLeft w:val="0"/>
      <w:marRight w:val="0"/>
      <w:marTop w:val="0"/>
      <w:marBottom w:val="0"/>
      <w:divBdr>
        <w:top w:val="none" w:sz="0" w:space="0" w:color="auto"/>
        <w:left w:val="none" w:sz="0" w:space="0" w:color="auto"/>
        <w:bottom w:val="none" w:sz="0" w:space="0" w:color="auto"/>
        <w:right w:val="none" w:sz="0" w:space="0" w:color="auto"/>
      </w:divBdr>
    </w:div>
    <w:div w:id="1506556113">
      <w:bodyDiv w:val="1"/>
      <w:marLeft w:val="0"/>
      <w:marRight w:val="0"/>
      <w:marTop w:val="0"/>
      <w:marBottom w:val="0"/>
      <w:divBdr>
        <w:top w:val="none" w:sz="0" w:space="0" w:color="auto"/>
        <w:left w:val="none" w:sz="0" w:space="0" w:color="auto"/>
        <w:bottom w:val="none" w:sz="0" w:space="0" w:color="auto"/>
        <w:right w:val="none" w:sz="0" w:space="0" w:color="auto"/>
      </w:divBdr>
    </w:div>
    <w:div w:id="1523473913">
      <w:bodyDiv w:val="1"/>
      <w:marLeft w:val="0"/>
      <w:marRight w:val="0"/>
      <w:marTop w:val="0"/>
      <w:marBottom w:val="0"/>
      <w:divBdr>
        <w:top w:val="none" w:sz="0" w:space="0" w:color="auto"/>
        <w:left w:val="none" w:sz="0" w:space="0" w:color="auto"/>
        <w:bottom w:val="none" w:sz="0" w:space="0" w:color="auto"/>
        <w:right w:val="none" w:sz="0" w:space="0" w:color="auto"/>
      </w:divBdr>
    </w:div>
    <w:div w:id="1754158040">
      <w:bodyDiv w:val="1"/>
      <w:marLeft w:val="0"/>
      <w:marRight w:val="0"/>
      <w:marTop w:val="0"/>
      <w:marBottom w:val="0"/>
      <w:divBdr>
        <w:top w:val="none" w:sz="0" w:space="0" w:color="auto"/>
        <w:left w:val="none" w:sz="0" w:space="0" w:color="auto"/>
        <w:bottom w:val="none" w:sz="0" w:space="0" w:color="auto"/>
        <w:right w:val="none" w:sz="0" w:space="0" w:color="auto"/>
      </w:divBdr>
    </w:div>
    <w:div w:id="1757702016">
      <w:bodyDiv w:val="1"/>
      <w:marLeft w:val="0"/>
      <w:marRight w:val="0"/>
      <w:marTop w:val="0"/>
      <w:marBottom w:val="0"/>
      <w:divBdr>
        <w:top w:val="none" w:sz="0" w:space="0" w:color="auto"/>
        <w:left w:val="none" w:sz="0" w:space="0" w:color="auto"/>
        <w:bottom w:val="none" w:sz="0" w:space="0" w:color="auto"/>
        <w:right w:val="none" w:sz="0" w:space="0" w:color="auto"/>
      </w:divBdr>
    </w:div>
    <w:div w:id="1782142698">
      <w:bodyDiv w:val="1"/>
      <w:marLeft w:val="0"/>
      <w:marRight w:val="0"/>
      <w:marTop w:val="0"/>
      <w:marBottom w:val="0"/>
      <w:divBdr>
        <w:top w:val="none" w:sz="0" w:space="0" w:color="auto"/>
        <w:left w:val="none" w:sz="0" w:space="0" w:color="auto"/>
        <w:bottom w:val="none" w:sz="0" w:space="0" w:color="auto"/>
        <w:right w:val="none" w:sz="0" w:space="0" w:color="auto"/>
      </w:divBdr>
    </w:div>
    <w:div w:id="1829131875">
      <w:bodyDiv w:val="1"/>
      <w:marLeft w:val="0"/>
      <w:marRight w:val="0"/>
      <w:marTop w:val="0"/>
      <w:marBottom w:val="0"/>
      <w:divBdr>
        <w:top w:val="none" w:sz="0" w:space="0" w:color="auto"/>
        <w:left w:val="none" w:sz="0" w:space="0" w:color="auto"/>
        <w:bottom w:val="none" w:sz="0" w:space="0" w:color="auto"/>
        <w:right w:val="none" w:sz="0" w:space="0" w:color="auto"/>
      </w:divBdr>
    </w:div>
    <w:div w:id="1901817162">
      <w:bodyDiv w:val="1"/>
      <w:marLeft w:val="0"/>
      <w:marRight w:val="0"/>
      <w:marTop w:val="0"/>
      <w:marBottom w:val="0"/>
      <w:divBdr>
        <w:top w:val="none" w:sz="0" w:space="0" w:color="auto"/>
        <w:left w:val="none" w:sz="0" w:space="0" w:color="auto"/>
        <w:bottom w:val="none" w:sz="0" w:space="0" w:color="auto"/>
        <w:right w:val="none" w:sz="0" w:space="0" w:color="auto"/>
      </w:divBdr>
    </w:div>
    <w:div w:id="1932010082">
      <w:bodyDiv w:val="1"/>
      <w:marLeft w:val="0"/>
      <w:marRight w:val="0"/>
      <w:marTop w:val="0"/>
      <w:marBottom w:val="0"/>
      <w:divBdr>
        <w:top w:val="none" w:sz="0" w:space="0" w:color="auto"/>
        <w:left w:val="none" w:sz="0" w:space="0" w:color="auto"/>
        <w:bottom w:val="none" w:sz="0" w:space="0" w:color="auto"/>
        <w:right w:val="none" w:sz="0" w:space="0" w:color="auto"/>
      </w:divBdr>
    </w:div>
    <w:div w:id="1992251128">
      <w:bodyDiv w:val="1"/>
      <w:marLeft w:val="0"/>
      <w:marRight w:val="0"/>
      <w:marTop w:val="0"/>
      <w:marBottom w:val="0"/>
      <w:divBdr>
        <w:top w:val="none" w:sz="0" w:space="0" w:color="auto"/>
        <w:left w:val="none" w:sz="0" w:space="0" w:color="auto"/>
        <w:bottom w:val="none" w:sz="0" w:space="0" w:color="auto"/>
        <w:right w:val="none" w:sz="0" w:space="0" w:color="auto"/>
      </w:divBdr>
    </w:div>
    <w:div w:id="2024815558">
      <w:bodyDiv w:val="1"/>
      <w:marLeft w:val="0"/>
      <w:marRight w:val="0"/>
      <w:marTop w:val="0"/>
      <w:marBottom w:val="0"/>
      <w:divBdr>
        <w:top w:val="none" w:sz="0" w:space="0" w:color="auto"/>
        <w:left w:val="none" w:sz="0" w:space="0" w:color="auto"/>
        <w:bottom w:val="none" w:sz="0" w:space="0" w:color="auto"/>
        <w:right w:val="none" w:sz="0" w:space="0" w:color="auto"/>
      </w:divBdr>
    </w:div>
    <w:div w:id="2029328444">
      <w:bodyDiv w:val="1"/>
      <w:marLeft w:val="0"/>
      <w:marRight w:val="0"/>
      <w:marTop w:val="0"/>
      <w:marBottom w:val="0"/>
      <w:divBdr>
        <w:top w:val="none" w:sz="0" w:space="0" w:color="auto"/>
        <w:left w:val="none" w:sz="0" w:space="0" w:color="auto"/>
        <w:bottom w:val="none" w:sz="0" w:space="0" w:color="auto"/>
        <w:right w:val="none" w:sz="0" w:space="0" w:color="auto"/>
      </w:divBdr>
    </w:div>
    <w:div w:id="2080982914">
      <w:bodyDiv w:val="1"/>
      <w:marLeft w:val="0"/>
      <w:marRight w:val="0"/>
      <w:marTop w:val="0"/>
      <w:marBottom w:val="0"/>
      <w:divBdr>
        <w:top w:val="none" w:sz="0" w:space="0" w:color="auto"/>
        <w:left w:val="none" w:sz="0" w:space="0" w:color="auto"/>
        <w:bottom w:val="none" w:sz="0" w:space="0" w:color="auto"/>
        <w:right w:val="none" w:sz="0" w:space="0" w:color="auto"/>
      </w:divBdr>
    </w:div>
    <w:div w:id="2125343884">
      <w:bodyDiv w:val="1"/>
      <w:marLeft w:val="0"/>
      <w:marRight w:val="0"/>
      <w:marTop w:val="0"/>
      <w:marBottom w:val="0"/>
      <w:divBdr>
        <w:top w:val="none" w:sz="0" w:space="0" w:color="auto"/>
        <w:left w:val="none" w:sz="0" w:space="0" w:color="auto"/>
        <w:bottom w:val="none" w:sz="0" w:space="0" w:color="auto"/>
        <w:right w:val="none" w:sz="0" w:space="0" w:color="auto"/>
      </w:divBdr>
    </w:div>
    <w:div w:id="21364397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4.png"/><Relationship Id="rId26" Type="http://schemas.openxmlformats.org/officeDocument/2006/relationships/header" Target="header12.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3.png"/><Relationship Id="rId25" Type="http://schemas.openxmlformats.org/officeDocument/2006/relationships/header" Target="header1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0.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568EA12C02744B90C2548B18D7B906" ma:contentTypeVersion="1" ma:contentTypeDescription="Create a new document." ma:contentTypeScope="" ma:versionID="6258ec9bca8239502c1c02002df1596e">
  <xsd:schema xmlns:xsd="http://www.w3.org/2001/XMLSchema" xmlns:xs="http://www.w3.org/2001/XMLSchema" xmlns:p="http://schemas.microsoft.com/office/2006/metadata/properties" xmlns:ns1="http://schemas.microsoft.com/sharepoint/v3" targetNamespace="http://schemas.microsoft.com/office/2006/metadata/properties" ma:root="true" ma:fieldsID="2292e01370a06b57d65de8bf0b95326f"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A78E34A-2986-4CBA-9FEB-4608F81E9BDE}">
  <ds:schemaRefs>
    <ds:schemaRef ds:uri="http://schemas.microsoft.com/sharepoint/v3/contenttype/forms"/>
  </ds:schemaRefs>
</ds:datastoreItem>
</file>

<file path=customXml/itemProps2.xml><?xml version="1.0" encoding="utf-8"?>
<ds:datastoreItem xmlns:ds="http://schemas.openxmlformats.org/officeDocument/2006/customXml" ds:itemID="{B6F2F05D-C805-43C7-A3C7-269CDC5C49BF}"/>
</file>

<file path=customXml/itemProps3.xml><?xml version="1.0" encoding="utf-8"?>
<ds:datastoreItem xmlns:ds="http://schemas.openxmlformats.org/officeDocument/2006/customXml" ds:itemID="{173BFE64-133C-48D4-B467-CA96216D6993}">
  <ds:schemaRefs>
    <ds:schemaRef ds:uri="http://schemas.openxmlformats.org/officeDocument/2006/bibliography"/>
  </ds:schemaRefs>
</ds:datastoreItem>
</file>

<file path=customXml/itemProps4.xml><?xml version="1.0" encoding="utf-8"?>
<ds:datastoreItem xmlns:ds="http://schemas.openxmlformats.org/officeDocument/2006/customXml" ds:itemID="{DC007C3C-B011-4498-A5D0-E56D5F459931}">
  <ds:schemaRefs>
    <ds:schemaRef ds:uri="http://schemas.microsoft.com/office/2006/metadata/properties"/>
    <ds:schemaRef ds:uri="http://schemas.microsoft.com/office/infopath/2007/PartnerControls"/>
    <ds:schemaRef ds:uri="ca463bc2-a952-4ec2-8fb6-febd24e3b251"/>
  </ds:schemaRefs>
</ds:datastoreItem>
</file>

<file path=docProps/app.xml><?xml version="1.0" encoding="utf-8"?>
<Properties xmlns="http://schemas.openxmlformats.org/officeDocument/2006/extended-properties" xmlns:vt="http://schemas.openxmlformats.org/officeDocument/2006/docPropsVTypes">
  <Template>Normal</Template>
  <TotalTime>11812</TotalTime>
  <Pages>259</Pages>
  <Words>70796</Words>
  <Characters>403538</Characters>
  <Application>Microsoft Office Word</Application>
  <DocSecurity>0</DocSecurity>
  <Lines>3362</Lines>
  <Paragraphs>946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Raras Dwijanirmala</dc:creator>
  <cp:keywords/>
  <dc:description/>
  <cp:lastModifiedBy>Muhammad Giffari Ramadhoni</cp:lastModifiedBy>
  <cp:revision>3270</cp:revision>
  <cp:lastPrinted>2025-05-07T06:29:00Z</cp:lastPrinted>
  <dcterms:created xsi:type="dcterms:W3CDTF">2025-10-14T03:02:00Z</dcterms:created>
  <dcterms:modified xsi:type="dcterms:W3CDTF">2026-08-27T18:46:00Z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dfcae6c374a58bc6c6f00fa06153ed9ffc3f773e815614ac1aef1027429222dc</vt:lpwstr>
  </property>
  <property fmtid="{D5CDD505-2E9C-101B-9397-08002B2CF9AE}" pid="3" name="ContentTypeId">
    <vt:lpwstr>0x0101000E568EA12C02744B90C2548B18D7B906</vt:lpwstr>
  </property>
</Properties>
</file>