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376D9" w14:textId="77777777" w:rsidR="00A25430" w:rsidRPr="001325D2" w:rsidRDefault="00527E87" w:rsidP="001325D2">
      <w:pPr>
        <w:keepNext/>
        <w:widowControl w:val="0"/>
        <w:spacing w:line="360" w:lineRule="auto"/>
        <w:jc w:val="right"/>
        <w:rPr>
          <w:rFonts w:ascii="Bookman Old Style" w:hAnsi="Bookman Old Style" w:cs="Arial"/>
          <w:sz w:val="24"/>
          <w:szCs w:val="24"/>
          <w:lang w:val="en-US"/>
        </w:rPr>
      </w:pPr>
      <w:r>
        <w:rPr>
          <w:rFonts w:ascii="Bookman Old Style" w:hAnsi="Bookman Old Style" w:cs="Arial"/>
          <w:noProof/>
          <w:sz w:val="24"/>
          <w:szCs w:val="24"/>
          <w:lang w:val="en-US" w:eastAsia="en-US"/>
        </w:rPr>
        <w:drawing>
          <wp:anchor distT="0" distB="0" distL="114300" distR="114300" simplePos="0" relativeHeight="251660288" behindDoc="1" locked="0" layoutInCell="1" allowOverlap="1" wp14:anchorId="3806AB2B" wp14:editId="72E15D1F">
            <wp:simplePos x="0" y="0"/>
            <wp:positionH relativeFrom="column">
              <wp:posOffset>-247650</wp:posOffset>
            </wp:positionH>
            <wp:positionV relativeFrom="paragraph">
              <wp:posOffset>-438150</wp:posOffset>
            </wp:positionV>
            <wp:extent cx="2080895" cy="90487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0895"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933C38" w14:textId="77777777" w:rsidR="00A25430" w:rsidRDefault="00A25430" w:rsidP="00A25430">
      <w:pPr>
        <w:keepNext/>
        <w:widowControl w:val="0"/>
        <w:spacing w:after="0" w:line="360" w:lineRule="auto"/>
        <w:jc w:val="both"/>
        <w:rPr>
          <w:rFonts w:ascii="Bookman Old Style" w:hAnsi="Bookman Old Style" w:cs="Arial"/>
          <w:sz w:val="24"/>
          <w:szCs w:val="24"/>
          <w:lang w:val="en-US"/>
        </w:rPr>
      </w:pPr>
    </w:p>
    <w:p w14:paraId="7D7A24EE" w14:textId="77777777" w:rsidR="006D1F74" w:rsidRDefault="006D1F74" w:rsidP="00A25430">
      <w:pPr>
        <w:keepNext/>
        <w:widowControl w:val="0"/>
        <w:spacing w:after="0" w:line="360" w:lineRule="auto"/>
        <w:jc w:val="both"/>
        <w:rPr>
          <w:rFonts w:ascii="Bookman Old Style" w:hAnsi="Bookman Old Style" w:cs="Arial"/>
          <w:sz w:val="24"/>
          <w:szCs w:val="24"/>
        </w:rPr>
      </w:pPr>
    </w:p>
    <w:p w14:paraId="51E7B093" w14:textId="77777777" w:rsidR="00A25430" w:rsidRDefault="00C45CED" w:rsidP="00A25430">
      <w:pPr>
        <w:keepNext/>
        <w:widowControl w:val="0"/>
        <w:spacing w:after="0" w:line="360" w:lineRule="auto"/>
        <w:jc w:val="both"/>
        <w:rPr>
          <w:rFonts w:ascii="Bookman Old Style" w:hAnsi="Bookman Old Style" w:cs="Arial"/>
          <w:sz w:val="24"/>
          <w:szCs w:val="24"/>
        </w:rPr>
      </w:pPr>
      <w:bookmarkStart w:id="0" w:name="_Hlk138165784"/>
      <w:r>
        <w:rPr>
          <w:rFonts w:ascii="Bookman Old Style" w:hAnsi="Bookman Old Style" w:cs="Arial"/>
          <w:sz w:val="24"/>
          <w:szCs w:val="24"/>
        </w:rPr>
        <w:t>LAMPIRAN</w:t>
      </w:r>
    </w:p>
    <w:p w14:paraId="406DE9D1" w14:textId="77777777" w:rsidR="00A25430" w:rsidRPr="009375D0" w:rsidRDefault="00A25430" w:rsidP="00A25430">
      <w:pPr>
        <w:keepNext/>
        <w:widowControl w:val="0"/>
        <w:spacing w:after="0" w:line="360" w:lineRule="auto"/>
        <w:jc w:val="both"/>
        <w:rPr>
          <w:rFonts w:ascii="Bookman Old Style" w:hAnsi="Bookman Old Style" w:cs="Arial"/>
          <w:sz w:val="24"/>
          <w:szCs w:val="24"/>
        </w:rPr>
      </w:pPr>
    </w:p>
    <w:p w14:paraId="53AFDEC7" w14:textId="77777777" w:rsidR="00A25430" w:rsidRDefault="00983D2F" w:rsidP="00A25430">
      <w:pPr>
        <w:keepNext/>
        <w:widowControl w:val="0"/>
        <w:spacing w:after="0" w:line="360" w:lineRule="auto"/>
        <w:jc w:val="both"/>
        <w:rPr>
          <w:rFonts w:ascii="Bookman Old Style" w:hAnsi="Bookman Old Style" w:cs="Arial"/>
          <w:sz w:val="24"/>
          <w:szCs w:val="24"/>
        </w:rPr>
      </w:pPr>
      <w:r>
        <w:rPr>
          <w:rFonts w:ascii="Bookman Old Style" w:hAnsi="Bookman Old Style" w:cs="Arial"/>
          <w:sz w:val="24"/>
          <w:szCs w:val="24"/>
          <w:lang w:val="en-US"/>
        </w:rPr>
        <w:t>PERATURAN</w:t>
      </w:r>
      <w:r w:rsidR="00A25430" w:rsidRPr="009375D0">
        <w:rPr>
          <w:rFonts w:ascii="Bookman Old Style" w:hAnsi="Bookman Old Style" w:cs="Arial"/>
          <w:sz w:val="24"/>
          <w:szCs w:val="24"/>
        </w:rPr>
        <w:t xml:space="preserve"> OTORITAS JASA KEUANGAN</w:t>
      </w:r>
    </w:p>
    <w:p w14:paraId="1D0248B2" w14:textId="77777777" w:rsidR="00983D2F" w:rsidRPr="00983D2F" w:rsidRDefault="00983D2F" w:rsidP="00A25430">
      <w:pPr>
        <w:keepNext/>
        <w:widowControl w:val="0"/>
        <w:spacing w:after="0" w:line="360" w:lineRule="auto"/>
        <w:jc w:val="both"/>
        <w:rPr>
          <w:rFonts w:ascii="Bookman Old Style" w:hAnsi="Bookman Old Style" w:cs="Arial"/>
          <w:sz w:val="24"/>
          <w:szCs w:val="24"/>
          <w:lang w:val="en-US"/>
        </w:rPr>
      </w:pPr>
      <w:r>
        <w:rPr>
          <w:rFonts w:ascii="Bookman Old Style" w:hAnsi="Bookman Old Style" w:cs="Arial"/>
          <w:sz w:val="24"/>
          <w:szCs w:val="24"/>
          <w:lang w:val="en-US"/>
        </w:rPr>
        <w:t>REPUBLIK INDONESIA</w:t>
      </w:r>
    </w:p>
    <w:p w14:paraId="7BAB8451" w14:textId="77777777" w:rsidR="00A25430" w:rsidRPr="00983D2F" w:rsidRDefault="00A25430" w:rsidP="00A25430">
      <w:pPr>
        <w:keepNext/>
        <w:widowControl w:val="0"/>
        <w:spacing w:after="0" w:line="360" w:lineRule="auto"/>
        <w:jc w:val="both"/>
        <w:rPr>
          <w:rFonts w:ascii="Bookman Old Style" w:hAnsi="Bookman Old Style" w:cs="Arial"/>
          <w:sz w:val="24"/>
          <w:szCs w:val="24"/>
          <w:lang w:val="en-US"/>
        </w:rPr>
      </w:pPr>
      <w:r>
        <w:rPr>
          <w:rFonts w:ascii="Bookman Old Style" w:hAnsi="Bookman Old Style" w:cs="Arial"/>
          <w:sz w:val="24"/>
          <w:szCs w:val="24"/>
        </w:rPr>
        <w:t xml:space="preserve">NOMOR      </w:t>
      </w:r>
      <w:r w:rsidR="00983D2F">
        <w:rPr>
          <w:rFonts w:ascii="Bookman Old Style" w:hAnsi="Bookman Old Style" w:cs="Arial"/>
          <w:sz w:val="24"/>
          <w:szCs w:val="24"/>
          <w:lang w:val="en-US"/>
        </w:rPr>
        <w:t>TAHUN</w:t>
      </w:r>
    </w:p>
    <w:p w14:paraId="7E000558" w14:textId="77777777" w:rsidR="00A25430" w:rsidRPr="009375D0" w:rsidRDefault="00A25430" w:rsidP="00A25430">
      <w:pPr>
        <w:keepNext/>
        <w:widowControl w:val="0"/>
        <w:spacing w:after="0" w:line="360" w:lineRule="auto"/>
        <w:jc w:val="both"/>
        <w:rPr>
          <w:rFonts w:ascii="Bookman Old Style" w:hAnsi="Bookman Old Style" w:cs="Arial"/>
          <w:sz w:val="24"/>
          <w:szCs w:val="24"/>
        </w:rPr>
      </w:pPr>
    </w:p>
    <w:p w14:paraId="61D9ECCA" w14:textId="77777777" w:rsidR="00A25430" w:rsidRPr="009375D0" w:rsidRDefault="00A25430" w:rsidP="00A25430">
      <w:pPr>
        <w:keepNext/>
        <w:widowControl w:val="0"/>
        <w:spacing w:after="0" w:line="360" w:lineRule="auto"/>
        <w:jc w:val="both"/>
        <w:rPr>
          <w:rFonts w:ascii="Bookman Old Style" w:hAnsi="Bookman Old Style" w:cs="Arial"/>
          <w:sz w:val="24"/>
          <w:szCs w:val="24"/>
        </w:rPr>
      </w:pPr>
      <w:r w:rsidRPr="009375D0">
        <w:rPr>
          <w:rFonts w:ascii="Bookman Old Style" w:hAnsi="Bookman Old Style" w:cs="Arial"/>
          <w:sz w:val="24"/>
          <w:szCs w:val="24"/>
        </w:rPr>
        <w:t>TENTANG</w:t>
      </w:r>
    </w:p>
    <w:p w14:paraId="005DE9E9" w14:textId="77777777" w:rsidR="00983D2F" w:rsidRPr="006C3B15" w:rsidRDefault="00983D2F" w:rsidP="00983D2F">
      <w:pPr>
        <w:keepNext/>
        <w:widowControl w:val="0"/>
        <w:spacing w:after="0" w:line="360" w:lineRule="auto"/>
        <w:jc w:val="both"/>
        <w:rPr>
          <w:rFonts w:ascii="Bookman Old Style" w:hAnsi="Bookman Old Style"/>
          <w:sz w:val="24"/>
          <w:szCs w:val="24"/>
        </w:rPr>
      </w:pPr>
      <w:r>
        <w:rPr>
          <w:rFonts w:ascii="Bookman Old Style" w:hAnsi="Bookman Old Style"/>
          <w:sz w:val="24"/>
          <w:szCs w:val="24"/>
        </w:rPr>
        <w:t>TRANSPARANSI DAN PUBLIKASI SUKU BUNGA DASAR KREDIT BAGI BANK UMUM KONVENSIONAL</w:t>
      </w:r>
    </w:p>
    <w:bookmarkEnd w:id="0"/>
    <w:p w14:paraId="2DE35208" w14:textId="77777777" w:rsidR="00B76573" w:rsidRPr="007A756B" w:rsidRDefault="00B76573" w:rsidP="007F5761">
      <w:pPr>
        <w:jc w:val="center"/>
        <w:rPr>
          <w:rFonts w:ascii="Bookman Old Style" w:hAnsi="Bookman Old Style"/>
          <w:sz w:val="24"/>
          <w:szCs w:val="24"/>
        </w:rPr>
      </w:pPr>
    </w:p>
    <w:p w14:paraId="04CED434" w14:textId="77777777" w:rsidR="00A25430" w:rsidRDefault="00A25430">
      <w:pPr>
        <w:rPr>
          <w:rFonts w:ascii="Bookman Old Style" w:hAnsi="Bookman Old Style"/>
          <w:b/>
          <w:sz w:val="24"/>
          <w:szCs w:val="24"/>
        </w:rPr>
      </w:pPr>
      <w:r>
        <w:rPr>
          <w:rFonts w:ascii="Bookman Old Style" w:hAnsi="Bookman Old Style"/>
          <w:b/>
          <w:sz w:val="24"/>
          <w:szCs w:val="24"/>
        </w:rPr>
        <w:br w:type="page"/>
      </w:r>
    </w:p>
    <w:p w14:paraId="0DAF81D8" w14:textId="77777777" w:rsidR="00A25430" w:rsidRPr="000925BA" w:rsidRDefault="00A25430" w:rsidP="007F5761">
      <w:pPr>
        <w:jc w:val="center"/>
        <w:rPr>
          <w:rFonts w:ascii="Bookman Old Style" w:hAnsi="Bookman Old Style"/>
          <w:b/>
          <w:sz w:val="24"/>
          <w:szCs w:val="24"/>
        </w:rPr>
      </w:pPr>
    </w:p>
    <w:p w14:paraId="211502BA" w14:textId="77777777" w:rsidR="00A25430" w:rsidRDefault="00A25430" w:rsidP="007F5761">
      <w:pPr>
        <w:jc w:val="center"/>
        <w:rPr>
          <w:rFonts w:ascii="Bookman Old Style" w:hAnsi="Bookman Old Style"/>
          <w:b/>
          <w:sz w:val="24"/>
          <w:szCs w:val="24"/>
          <w:lang w:val="en-US"/>
        </w:rPr>
      </w:pPr>
    </w:p>
    <w:p w14:paraId="3E166972" w14:textId="77777777" w:rsidR="00A25430" w:rsidRDefault="00A25430" w:rsidP="007F5761">
      <w:pPr>
        <w:jc w:val="center"/>
        <w:rPr>
          <w:rFonts w:ascii="Bookman Old Style" w:hAnsi="Bookman Old Style"/>
          <w:b/>
          <w:sz w:val="24"/>
          <w:szCs w:val="24"/>
          <w:lang w:val="en-US"/>
        </w:rPr>
      </w:pPr>
    </w:p>
    <w:p w14:paraId="7CD80603" w14:textId="77777777" w:rsidR="00A25430" w:rsidRDefault="00A25430" w:rsidP="007F5761">
      <w:pPr>
        <w:jc w:val="center"/>
        <w:rPr>
          <w:rFonts w:ascii="Bookman Old Style" w:hAnsi="Bookman Old Style"/>
          <w:b/>
          <w:sz w:val="24"/>
          <w:szCs w:val="24"/>
          <w:lang w:val="en-US"/>
        </w:rPr>
      </w:pPr>
    </w:p>
    <w:p w14:paraId="066BABDC" w14:textId="77777777" w:rsidR="00A25430" w:rsidRDefault="00A25430" w:rsidP="007F5761">
      <w:pPr>
        <w:jc w:val="center"/>
        <w:rPr>
          <w:rFonts w:ascii="Bookman Old Style" w:hAnsi="Bookman Old Style"/>
          <w:b/>
          <w:sz w:val="24"/>
          <w:szCs w:val="24"/>
          <w:lang w:val="en-US"/>
        </w:rPr>
      </w:pPr>
    </w:p>
    <w:p w14:paraId="6BACD9AE" w14:textId="77777777" w:rsidR="00A25430" w:rsidRDefault="00A25430" w:rsidP="007F5761">
      <w:pPr>
        <w:jc w:val="center"/>
        <w:rPr>
          <w:rFonts w:ascii="Bookman Old Style" w:hAnsi="Bookman Old Style"/>
          <w:b/>
          <w:sz w:val="24"/>
          <w:szCs w:val="24"/>
          <w:lang w:val="en-US"/>
        </w:rPr>
      </w:pPr>
    </w:p>
    <w:p w14:paraId="6127E258" w14:textId="77777777" w:rsidR="00A25430" w:rsidRDefault="00A25430" w:rsidP="007F5761">
      <w:pPr>
        <w:jc w:val="center"/>
        <w:rPr>
          <w:rFonts w:ascii="Bookman Old Style" w:hAnsi="Bookman Old Style"/>
          <w:b/>
          <w:sz w:val="24"/>
          <w:szCs w:val="24"/>
          <w:lang w:val="en-US"/>
        </w:rPr>
      </w:pPr>
    </w:p>
    <w:p w14:paraId="522326CE" w14:textId="77777777" w:rsidR="00A25430" w:rsidRDefault="00A25430" w:rsidP="007F5761">
      <w:pPr>
        <w:jc w:val="center"/>
        <w:rPr>
          <w:rFonts w:ascii="Bookman Old Style" w:hAnsi="Bookman Old Style"/>
          <w:b/>
          <w:sz w:val="24"/>
          <w:szCs w:val="24"/>
          <w:lang w:val="en-US"/>
        </w:rPr>
      </w:pPr>
    </w:p>
    <w:p w14:paraId="299488B3" w14:textId="77777777" w:rsidR="00A25430" w:rsidRDefault="00A25430" w:rsidP="007F5761">
      <w:pPr>
        <w:jc w:val="center"/>
        <w:rPr>
          <w:rFonts w:ascii="Bookman Old Style" w:hAnsi="Bookman Old Style"/>
          <w:b/>
          <w:sz w:val="24"/>
          <w:szCs w:val="24"/>
          <w:lang w:val="en-US"/>
        </w:rPr>
      </w:pPr>
    </w:p>
    <w:p w14:paraId="424D0907" w14:textId="77777777" w:rsidR="00A25430" w:rsidRDefault="00A25430" w:rsidP="007F5761">
      <w:pPr>
        <w:jc w:val="center"/>
        <w:rPr>
          <w:rFonts w:ascii="Bookman Old Style" w:hAnsi="Bookman Old Style"/>
          <w:b/>
          <w:sz w:val="24"/>
          <w:szCs w:val="24"/>
          <w:lang w:val="en-US"/>
        </w:rPr>
      </w:pPr>
    </w:p>
    <w:p w14:paraId="20602EC2" w14:textId="77777777" w:rsidR="00A25430" w:rsidRDefault="00A25430" w:rsidP="007F5761">
      <w:pPr>
        <w:jc w:val="center"/>
        <w:rPr>
          <w:rFonts w:ascii="Bookman Old Style" w:hAnsi="Bookman Old Style"/>
          <w:b/>
          <w:sz w:val="24"/>
          <w:szCs w:val="24"/>
          <w:lang w:val="en-US"/>
        </w:rPr>
      </w:pPr>
    </w:p>
    <w:p w14:paraId="24EE7A75" w14:textId="77777777" w:rsidR="00A25430" w:rsidRDefault="00A25430" w:rsidP="007F5761">
      <w:pPr>
        <w:jc w:val="center"/>
        <w:rPr>
          <w:rFonts w:ascii="Bookman Old Style" w:hAnsi="Bookman Old Style"/>
          <w:b/>
          <w:sz w:val="24"/>
          <w:szCs w:val="24"/>
          <w:lang w:val="en-US"/>
        </w:rPr>
      </w:pPr>
    </w:p>
    <w:p w14:paraId="6BDC93E6" w14:textId="77777777" w:rsidR="00B76573" w:rsidRPr="00983D2F" w:rsidRDefault="00B76573" w:rsidP="00983D2F">
      <w:pPr>
        <w:jc w:val="center"/>
        <w:rPr>
          <w:rFonts w:ascii="Bookman Old Style" w:hAnsi="Bookman Old Style"/>
          <w:b/>
          <w:sz w:val="36"/>
          <w:szCs w:val="24"/>
          <w:lang w:val="en-US"/>
        </w:rPr>
      </w:pPr>
      <w:r w:rsidRPr="00A25430">
        <w:rPr>
          <w:rFonts w:ascii="Bookman Old Style" w:hAnsi="Bookman Old Style"/>
          <w:b/>
          <w:sz w:val="36"/>
          <w:szCs w:val="24"/>
        </w:rPr>
        <w:t xml:space="preserve">PEDOMAN PENYUSUNAN LAPORAN PUBLIKASI </w:t>
      </w:r>
      <w:r w:rsidR="00983D2F" w:rsidRPr="00983D2F">
        <w:rPr>
          <w:rFonts w:ascii="Bookman Old Style" w:hAnsi="Bookman Old Style"/>
          <w:b/>
          <w:sz w:val="36"/>
          <w:szCs w:val="24"/>
        </w:rPr>
        <w:t>SUKU BUNGA DASAR KREDIT BAGI BANK UMUM KONVENSIONAL</w:t>
      </w:r>
    </w:p>
    <w:p w14:paraId="0822BDA4" w14:textId="77777777" w:rsidR="00B76573" w:rsidRPr="007A756B" w:rsidRDefault="00B76573" w:rsidP="007F5761">
      <w:pPr>
        <w:jc w:val="center"/>
        <w:rPr>
          <w:rFonts w:ascii="Bookman Old Style" w:hAnsi="Bookman Old Style"/>
          <w:b/>
          <w:sz w:val="24"/>
          <w:szCs w:val="24"/>
        </w:rPr>
      </w:pPr>
    </w:p>
    <w:p w14:paraId="37D20363" w14:textId="77777777" w:rsidR="00B76573" w:rsidRPr="007A756B" w:rsidRDefault="00B76573" w:rsidP="007F5761">
      <w:pPr>
        <w:jc w:val="center"/>
        <w:rPr>
          <w:rFonts w:ascii="Bookman Old Style" w:hAnsi="Bookman Old Style"/>
          <w:b/>
          <w:sz w:val="24"/>
          <w:szCs w:val="24"/>
        </w:rPr>
      </w:pPr>
    </w:p>
    <w:p w14:paraId="0ED8B965" w14:textId="77777777" w:rsidR="00B76573" w:rsidRPr="007A756B" w:rsidRDefault="00B76573" w:rsidP="007F5761">
      <w:pPr>
        <w:jc w:val="center"/>
        <w:rPr>
          <w:rFonts w:ascii="Bookman Old Style" w:hAnsi="Bookman Old Style"/>
          <w:b/>
          <w:sz w:val="24"/>
          <w:szCs w:val="24"/>
        </w:rPr>
      </w:pPr>
    </w:p>
    <w:p w14:paraId="2B4D15A9" w14:textId="77777777" w:rsidR="00B76573" w:rsidRPr="007A756B" w:rsidRDefault="00B76573" w:rsidP="007F5761">
      <w:pPr>
        <w:jc w:val="center"/>
        <w:rPr>
          <w:rFonts w:ascii="Bookman Old Style" w:hAnsi="Bookman Old Style"/>
          <w:b/>
          <w:sz w:val="24"/>
          <w:szCs w:val="24"/>
        </w:rPr>
      </w:pPr>
    </w:p>
    <w:p w14:paraId="4744B030" w14:textId="77777777" w:rsidR="00212902" w:rsidRPr="007A756B" w:rsidRDefault="00212902" w:rsidP="007F5761">
      <w:pPr>
        <w:jc w:val="center"/>
        <w:rPr>
          <w:rFonts w:ascii="Bookman Old Style" w:hAnsi="Bookman Old Style"/>
          <w:b/>
          <w:sz w:val="24"/>
          <w:szCs w:val="24"/>
        </w:rPr>
      </w:pPr>
    </w:p>
    <w:p w14:paraId="3127F954" w14:textId="77777777" w:rsidR="00212902" w:rsidRPr="007A756B" w:rsidRDefault="00212902" w:rsidP="007F5761">
      <w:pPr>
        <w:jc w:val="center"/>
        <w:rPr>
          <w:rFonts w:ascii="Bookman Old Style" w:hAnsi="Bookman Old Style"/>
          <w:b/>
          <w:sz w:val="24"/>
          <w:szCs w:val="24"/>
        </w:rPr>
      </w:pPr>
    </w:p>
    <w:p w14:paraId="6594E7D3" w14:textId="77777777" w:rsidR="00212902" w:rsidRDefault="00212902" w:rsidP="007F5761">
      <w:pPr>
        <w:jc w:val="center"/>
        <w:rPr>
          <w:rFonts w:ascii="Bookman Old Style" w:hAnsi="Bookman Old Style"/>
          <w:b/>
          <w:sz w:val="24"/>
          <w:szCs w:val="24"/>
          <w:lang w:val="en-US"/>
        </w:rPr>
      </w:pPr>
    </w:p>
    <w:p w14:paraId="1C8E8177" w14:textId="77777777" w:rsidR="00A25430" w:rsidRDefault="00A25430" w:rsidP="007F5761">
      <w:pPr>
        <w:jc w:val="center"/>
        <w:rPr>
          <w:rFonts w:ascii="Bookman Old Style" w:hAnsi="Bookman Old Style"/>
          <w:b/>
          <w:sz w:val="24"/>
          <w:szCs w:val="24"/>
          <w:lang w:val="en-US"/>
        </w:rPr>
      </w:pPr>
    </w:p>
    <w:p w14:paraId="220976B8" w14:textId="77777777" w:rsidR="00A25430" w:rsidRDefault="00A25430" w:rsidP="00A25430">
      <w:pPr>
        <w:rPr>
          <w:rFonts w:ascii="Bookman Old Style" w:hAnsi="Bookman Old Style"/>
          <w:b/>
          <w:sz w:val="24"/>
          <w:szCs w:val="24"/>
          <w:lang w:val="en-US"/>
        </w:rPr>
      </w:pPr>
    </w:p>
    <w:p w14:paraId="601C2511" w14:textId="77777777" w:rsidR="00A25430" w:rsidRDefault="00A25430" w:rsidP="007F5761">
      <w:pPr>
        <w:jc w:val="center"/>
        <w:rPr>
          <w:rFonts w:ascii="Bookman Old Style" w:hAnsi="Bookman Old Style"/>
          <w:b/>
          <w:sz w:val="24"/>
          <w:szCs w:val="24"/>
          <w:lang w:val="en-US"/>
        </w:rPr>
      </w:pPr>
    </w:p>
    <w:p w14:paraId="32C6EE2B" w14:textId="77777777" w:rsidR="00A25430" w:rsidRPr="00A25430" w:rsidRDefault="00A25430" w:rsidP="007F5761">
      <w:pPr>
        <w:jc w:val="center"/>
        <w:rPr>
          <w:rFonts w:ascii="Bookman Old Style" w:hAnsi="Bookman Old Style"/>
          <w:b/>
          <w:sz w:val="24"/>
          <w:szCs w:val="24"/>
          <w:lang w:val="en-US"/>
        </w:rPr>
      </w:pPr>
    </w:p>
    <w:p w14:paraId="14ABBE2B" w14:textId="77777777" w:rsidR="00B76573" w:rsidRPr="007A756B" w:rsidRDefault="00B76573" w:rsidP="007F5761">
      <w:pPr>
        <w:jc w:val="center"/>
        <w:rPr>
          <w:rFonts w:ascii="Bookman Old Style" w:hAnsi="Bookman Old Style"/>
          <w:b/>
          <w:sz w:val="24"/>
          <w:szCs w:val="24"/>
        </w:rPr>
      </w:pPr>
    </w:p>
    <w:p w14:paraId="1BAB233B" w14:textId="77777777" w:rsidR="00B76573" w:rsidRPr="007A756B" w:rsidRDefault="00B76573" w:rsidP="007F5761">
      <w:pPr>
        <w:jc w:val="center"/>
        <w:rPr>
          <w:rFonts w:ascii="Bookman Old Style" w:hAnsi="Bookman Old Style"/>
          <w:b/>
          <w:sz w:val="24"/>
          <w:szCs w:val="24"/>
        </w:rPr>
      </w:pPr>
    </w:p>
    <w:p w14:paraId="0F735D56" w14:textId="77777777" w:rsidR="00B76573" w:rsidRPr="007A756B" w:rsidRDefault="00B76573" w:rsidP="007F5761">
      <w:pPr>
        <w:jc w:val="center"/>
        <w:rPr>
          <w:rFonts w:ascii="Bookman Old Style" w:hAnsi="Bookman Old Style"/>
          <w:b/>
          <w:sz w:val="24"/>
          <w:szCs w:val="24"/>
        </w:rPr>
      </w:pPr>
      <w:r w:rsidRPr="007A756B">
        <w:rPr>
          <w:rFonts w:ascii="Bookman Old Style" w:hAnsi="Bookman Old Style"/>
          <w:b/>
          <w:sz w:val="24"/>
          <w:szCs w:val="24"/>
        </w:rPr>
        <w:t>OTORITAS JASA KEUANGAN</w:t>
      </w:r>
    </w:p>
    <w:p w14:paraId="57D069FB" w14:textId="3AFEB211" w:rsidR="006A4DA2" w:rsidRPr="00983D2F" w:rsidRDefault="004210A2" w:rsidP="0031470E">
      <w:pPr>
        <w:jc w:val="center"/>
        <w:rPr>
          <w:rFonts w:ascii="Bookman Old Style" w:hAnsi="Bookman Old Style"/>
          <w:b/>
          <w:sz w:val="24"/>
          <w:szCs w:val="24"/>
          <w:lang w:val="en-US"/>
        </w:rPr>
        <w:sectPr w:rsidR="006A4DA2" w:rsidRPr="00983D2F" w:rsidSect="001D5F31">
          <w:headerReference w:type="default" r:id="rId9"/>
          <w:footerReference w:type="default" r:id="rId10"/>
          <w:type w:val="continuous"/>
          <w:pgSz w:w="12242" w:h="18722" w:code="14"/>
          <w:pgMar w:top="1440" w:right="1440" w:bottom="1440" w:left="1440" w:header="720" w:footer="720" w:gutter="0"/>
          <w:pgNumType w:fmt="numberInDash" w:start="0"/>
          <w:cols w:space="720"/>
          <w:titlePg/>
          <w:docGrid w:linePitch="360"/>
        </w:sectPr>
      </w:pPr>
      <w:r>
        <w:rPr>
          <w:rFonts w:ascii="Bookman Old Style" w:hAnsi="Bookman Old Style"/>
          <w:b/>
          <w:sz w:val="24"/>
          <w:szCs w:val="24"/>
        </w:rPr>
        <w:t>20</w:t>
      </w:r>
      <w:r w:rsidR="007E2071">
        <w:rPr>
          <w:rFonts w:ascii="Bookman Old Style" w:hAnsi="Bookman Old Style"/>
          <w:b/>
          <w:sz w:val="24"/>
          <w:szCs w:val="24"/>
          <w:lang w:val="en-US"/>
        </w:rPr>
        <w:t>xx</w:t>
      </w:r>
    </w:p>
    <w:p w14:paraId="717EB5CC" w14:textId="3BD693FF" w:rsidR="00B76573" w:rsidRPr="006D1F74" w:rsidRDefault="00C76CDF" w:rsidP="00E149AD">
      <w:pPr>
        <w:pStyle w:val="Bab"/>
      </w:pPr>
      <w:r>
        <w:rPr>
          <w:lang w:val="en-US"/>
        </w:rPr>
        <w:lastRenderedPageBreak/>
        <w:t>Petunjuk Umum</w:t>
      </w:r>
    </w:p>
    <w:tbl>
      <w:tblPr>
        <w:tblStyle w:val="TableGrid"/>
        <w:tblW w:w="0" w:type="auto"/>
        <w:tblInd w:w="720" w:type="dxa"/>
        <w:tblLook w:val="04A0" w:firstRow="1" w:lastRow="0" w:firstColumn="1" w:lastColumn="0" w:noHBand="0" w:noVBand="1"/>
      </w:tblPr>
      <w:tblGrid>
        <w:gridCol w:w="2677"/>
        <w:gridCol w:w="5955"/>
      </w:tblGrid>
      <w:tr w:rsidR="006D1F74" w14:paraId="470E7D36" w14:textId="77777777" w:rsidTr="006D1F74">
        <w:tc>
          <w:tcPr>
            <w:tcW w:w="2677" w:type="dxa"/>
            <w:shd w:val="clear" w:color="auto" w:fill="D9D9D9" w:themeFill="background1" w:themeFillShade="D9"/>
          </w:tcPr>
          <w:p w14:paraId="2511375E" w14:textId="77777777" w:rsidR="006D1F74" w:rsidRPr="006D1F74" w:rsidRDefault="006D1F74" w:rsidP="006D1F74">
            <w:pPr>
              <w:pStyle w:val="Bab"/>
              <w:numPr>
                <w:ilvl w:val="0"/>
                <w:numId w:val="0"/>
              </w:numPr>
              <w:jc w:val="center"/>
              <w:rPr>
                <w:lang w:val="en-US"/>
              </w:rPr>
            </w:pPr>
            <w:bookmarkStart w:id="1" w:name="_Toc138270847"/>
            <w:r w:rsidRPr="006D1F74">
              <w:rPr>
                <w:lang w:val="en-US"/>
              </w:rPr>
              <w:t>Deskripsi</w:t>
            </w:r>
            <w:bookmarkEnd w:id="1"/>
          </w:p>
        </w:tc>
        <w:tc>
          <w:tcPr>
            <w:tcW w:w="5955" w:type="dxa"/>
            <w:shd w:val="clear" w:color="auto" w:fill="D9D9D9" w:themeFill="background1" w:themeFillShade="D9"/>
          </w:tcPr>
          <w:p w14:paraId="2085C620" w14:textId="77777777" w:rsidR="006D1F74" w:rsidRPr="006D1F74" w:rsidRDefault="006D1F74" w:rsidP="006D1F74">
            <w:pPr>
              <w:pStyle w:val="Bab"/>
              <w:numPr>
                <w:ilvl w:val="0"/>
                <w:numId w:val="0"/>
              </w:numPr>
              <w:jc w:val="center"/>
              <w:rPr>
                <w:lang w:val="en-US"/>
              </w:rPr>
            </w:pPr>
            <w:bookmarkStart w:id="2" w:name="_Toc138270848"/>
            <w:r w:rsidRPr="006D1F74">
              <w:rPr>
                <w:lang w:val="en-US"/>
              </w:rPr>
              <w:t>Publikasi Suku Bunga Dasar Kredit bagi Bank Umum Konvensional</w:t>
            </w:r>
            <w:bookmarkEnd w:id="2"/>
          </w:p>
        </w:tc>
      </w:tr>
      <w:tr w:rsidR="006D1F74" w14:paraId="683708B3" w14:textId="77777777" w:rsidTr="006D1F74">
        <w:tc>
          <w:tcPr>
            <w:tcW w:w="2677" w:type="dxa"/>
            <w:vMerge w:val="restart"/>
            <w:shd w:val="clear" w:color="auto" w:fill="auto"/>
          </w:tcPr>
          <w:p w14:paraId="11E65451" w14:textId="77777777" w:rsidR="006D1F74" w:rsidRPr="006D1F74" w:rsidRDefault="006D1F74" w:rsidP="006D1F74">
            <w:pPr>
              <w:pStyle w:val="Bab"/>
              <w:numPr>
                <w:ilvl w:val="0"/>
                <w:numId w:val="0"/>
              </w:numPr>
              <w:rPr>
                <w:b w:val="0"/>
                <w:lang w:val="en-US"/>
              </w:rPr>
            </w:pPr>
            <w:bookmarkStart w:id="3" w:name="_Toc138270849"/>
            <w:r w:rsidRPr="006D1F74">
              <w:rPr>
                <w:b w:val="0"/>
                <w:lang w:val="en-US"/>
              </w:rPr>
              <w:t>Periodisasi</w:t>
            </w:r>
            <w:bookmarkEnd w:id="3"/>
          </w:p>
        </w:tc>
        <w:tc>
          <w:tcPr>
            <w:tcW w:w="5955" w:type="dxa"/>
            <w:shd w:val="clear" w:color="auto" w:fill="auto"/>
          </w:tcPr>
          <w:p w14:paraId="4C3D56C8" w14:textId="77777777" w:rsidR="006D1F74" w:rsidRPr="006D1F74" w:rsidRDefault="006D1F74" w:rsidP="006D1F74">
            <w:pPr>
              <w:pStyle w:val="Bab"/>
              <w:numPr>
                <w:ilvl w:val="0"/>
                <w:numId w:val="0"/>
              </w:numPr>
              <w:rPr>
                <w:b w:val="0"/>
                <w:lang w:val="en-US"/>
              </w:rPr>
            </w:pPr>
            <w:bookmarkStart w:id="4" w:name="_Toc138270850"/>
            <w:r>
              <w:rPr>
                <w:b w:val="0"/>
                <w:lang w:val="en-US"/>
              </w:rPr>
              <w:t>Pengumuman kepada Masyarakat: Insidentil</w:t>
            </w:r>
            <w:bookmarkEnd w:id="4"/>
          </w:p>
        </w:tc>
      </w:tr>
      <w:tr w:rsidR="006D1F74" w14:paraId="19D030FF" w14:textId="77777777" w:rsidTr="006D1F74">
        <w:tc>
          <w:tcPr>
            <w:tcW w:w="2677" w:type="dxa"/>
            <w:vMerge/>
            <w:shd w:val="clear" w:color="auto" w:fill="auto"/>
          </w:tcPr>
          <w:p w14:paraId="2255B743" w14:textId="77777777" w:rsidR="006D1F74" w:rsidRPr="006D1F74" w:rsidRDefault="006D1F74" w:rsidP="006D1F74">
            <w:pPr>
              <w:pStyle w:val="Bab"/>
              <w:numPr>
                <w:ilvl w:val="0"/>
                <w:numId w:val="0"/>
              </w:numPr>
              <w:rPr>
                <w:b w:val="0"/>
                <w:lang w:val="en-US"/>
              </w:rPr>
            </w:pPr>
          </w:p>
        </w:tc>
        <w:tc>
          <w:tcPr>
            <w:tcW w:w="5955" w:type="dxa"/>
            <w:shd w:val="clear" w:color="auto" w:fill="auto"/>
          </w:tcPr>
          <w:p w14:paraId="4D643EF6" w14:textId="77777777" w:rsidR="006D1F74" w:rsidRDefault="006D1F74" w:rsidP="006D1F74">
            <w:pPr>
              <w:pStyle w:val="Bab"/>
              <w:numPr>
                <w:ilvl w:val="0"/>
                <w:numId w:val="0"/>
              </w:numPr>
              <w:rPr>
                <w:b w:val="0"/>
                <w:lang w:val="en-US"/>
              </w:rPr>
            </w:pPr>
            <w:bookmarkStart w:id="5" w:name="_Toc138270851"/>
            <w:r>
              <w:rPr>
                <w:b w:val="0"/>
                <w:lang w:val="en-US"/>
              </w:rPr>
              <w:t>Penyampaian kepada OJK: Bulanan</w:t>
            </w:r>
            <w:bookmarkEnd w:id="5"/>
          </w:p>
        </w:tc>
      </w:tr>
      <w:tr w:rsidR="006D1F74" w14:paraId="5C27C495" w14:textId="77777777" w:rsidTr="009640D2">
        <w:trPr>
          <w:trHeight w:val="1982"/>
        </w:trPr>
        <w:tc>
          <w:tcPr>
            <w:tcW w:w="2677" w:type="dxa"/>
            <w:shd w:val="clear" w:color="auto" w:fill="auto"/>
          </w:tcPr>
          <w:p w14:paraId="62F46101" w14:textId="77777777" w:rsidR="006D1F74" w:rsidRPr="007E2071" w:rsidRDefault="006D1F74" w:rsidP="006D1F74">
            <w:pPr>
              <w:pStyle w:val="Bab"/>
              <w:numPr>
                <w:ilvl w:val="0"/>
                <w:numId w:val="0"/>
              </w:numPr>
              <w:rPr>
                <w:b w:val="0"/>
                <w:color w:val="000000" w:themeColor="text1"/>
                <w:lang w:val="en-US"/>
              </w:rPr>
            </w:pPr>
            <w:bookmarkStart w:id="6" w:name="_Toc138270852"/>
            <w:r w:rsidRPr="007E2071">
              <w:rPr>
                <w:b w:val="0"/>
                <w:color w:val="000000" w:themeColor="text1"/>
                <w:lang w:val="en-US"/>
              </w:rPr>
              <w:t>Cakupan</w:t>
            </w:r>
            <w:bookmarkEnd w:id="6"/>
          </w:p>
        </w:tc>
        <w:tc>
          <w:tcPr>
            <w:tcW w:w="5955" w:type="dxa"/>
            <w:shd w:val="clear" w:color="auto" w:fill="auto"/>
          </w:tcPr>
          <w:p w14:paraId="543A504F" w14:textId="5B2E0C2D" w:rsidR="009F4787" w:rsidRPr="007E2071" w:rsidRDefault="007E2071" w:rsidP="006D1F74">
            <w:pPr>
              <w:pStyle w:val="Bab"/>
              <w:numPr>
                <w:ilvl w:val="0"/>
                <w:numId w:val="0"/>
              </w:numPr>
              <w:jc w:val="both"/>
              <w:rPr>
                <w:b w:val="0"/>
                <w:color w:val="000000" w:themeColor="text1"/>
                <w:lang w:val="en-US"/>
              </w:rPr>
            </w:pPr>
            <w:r w:rsidRPr="007E2071">
              <w:rPr>
                <w:b w:val="0"/>
                <w:color w:val="000000" w:themeColor="text1"/>
                <w:lang w:val="en-US"/>
              </w:rPr>
              <w:t>Suku Bunga Dasar Kredit untuk selanjutnya disebut SBDK adalah indikasi suku bunga efektif kredit terendah yang mencerminkan Harga Pokok Dasar Kredit (</w:t>
            </w:r>
            <w:r w:rsidRPr="007E2071">
              <w:rPr>
                <w:b w:val="0"/>
                <w:i/>
                <w:color w:val="000000" w:themeColor="text1"/>
                <w:lang w:val="en-US"/>
              </w:rPr>
              <w:t>Cost of Fund</w:t>
            </w:r>
            <w:r w:rsidRPr="007E2071">
              <w:rPr>
                <w:b w:val="0"/>
                <w:color w:val="000000" w:themeColor="text1"/>
                <w:lang w:val="en-US"/>
              </w:rPr>
              <w:t>), Biaya Overhead (</w:t>
            </w:r>
            <w:r w:rsidRPr="007E2071">
              <w:rPr>
                <w:b w:val="0"/>
                <w:i/>
                <w:color w:val="000000" w:themeColor="text1"/>
                <w:lang w:val="en-US"/>
              </w:rPr>
              <w:t>Overhead Cost</w:t>
            </w:r>
            <w:r w:rsidRPr="007E2071">
              <w:rPr>
                <w:b w:val="0"/>
                <w:color w:val="000000" w:themeColor="text1"/>
                <w:lang w:val="en-US"/>
              </w:rPr>
              <w:t>), dan Marjin Keuntungan (margin) yang dikeluarkan oleh BUK untuk kegiatan pembiayaan. Selanjutnya, BUK menggunakan SBDK sebagai acuan dalam penetapan suku bunga kredit yang akan dikenakan kepada nasabah.</w:t>
            </w:r>
          </w:p>
        </w:tc>
      </w:tr>
      <w:tr w:rsidR="006D1F74" w14:paraId="0D36B953" w14:textId="77777777" w:rsidTr="006D1F74">
        <w:tc>
          <w:tcPr>
            <w:tcW w:w="2677" w:type="dxa"/>
            <w:shd w:val="clear" w:color="auto" w:fill="auto"/>
          </w:tcPr>
          <w:p w14:paraId="7CAD78D1" w14:textId="77777777" w:rsidR="006D1F74" w:rsidRDefault="006D1F74" w:rsidP="006D1F74">
            <w:pPr>
              <w:pStyle w:val="Bab"/>
              <w:numPr>
                <w:ilvl w:val="0"/>
                <w:numId w:val="0"/>
              </w:numPr>
              <w:rPr>
                <w:b w:val="0"/>
                <w:lang w:val="en-US"/>
              </w:rPr>
            </w:pPr>
            <w:bookmarkStart w:id="7" w:name="_Toc138270857"/>
            <w:r>
              <w:rPr>
                <w:b w:val="0"/>
                <w:lang w:val="en-US"/>
              </w:rPr>
              <w:t>Media Pengumuman</w:t>
            </w:r>
            <w:bookmarkEnd w:id="7"/>
          </w:p>
        </w:tc>
        <w:tc>
          <w:tcPr>
            <w:tcW w:w="5955" w:type="dxa"/>
            <w:shd w:val="clear" w:color="auto" w:fill="auto"/>
          </w:tcPr>
          <w:p w14:paraId="2600F153" w14:textId="1BA5B943" w:rsidR="006D1F74" w:rsidRDefault="006D1F74" w:rsidP="006D1F74">
            <w:pPr>
              <w:pStyle w:val="Bab"/>
              <w:numPr>
                <w:ilvl w:val="0"/>
                <w:numId w:val="0"/>
              </w:numPr>
              <w:jc w:val="both"/>
              <w:rPr>
                <w:b w:val="0"/>
                <w:lang w:val="en-US"/>
              </w:rPr>
            </w:pPr>
            <w:bookmarkStart w:id="8" w:name="_Toc138270858"/>
            <w:r>
              <w:rPr>
                <w:b w:val="0"/>
                <w:lang w:val="en-US"/>
              </w:rPr>
              <w:t>Situs web, setiap kantor</w:t>
            </w:r>
            <w:r w:rsidR="00534AEE">
              <w:rPr>
                <w:b w:val="0"/>
                <w:lang w:val="en-US"/>
              </w:rPr>
              <w:t xml:space="preserve"> Bank</w:t>
            </w:r>
            <w:r>
              <w:rPr>
                <w:b w:val="0"/>
                <w:lang w:val="en-US"/>
              </w:rPr>
              <w:t>, dan kanal digital.</w:t>
            </w:r>
            <w:bookmarkEnd w:id="8"/>
          </w:p>
        </w:tc>
      </w:tr>
      <w:tr w:rsidR="006D1F74" w14:paraId="688CDFF1" w14:textId="77777777" w:rsidTr="006D1F74">
        <w:tc>
          <w:tcPr>
            <w:tcW w:w="2677" w:type="dxa"/>
            <w:shd w:val="clear" w:color="auto" w:fill="auto"/>
          </w:tcPr>
          <w:p w14:paraId="07705329" w14:textId="77777777" w:rsidR="006D1F74" w:rsidRDefault="006D1F74" w:rsidP="006D1F74">
            <w:pPr>
              <w:pStyle w:val="Bab"/>
              <w:numPr>
                <w:ilvl w:val="0"/>
                <w:numId w:val="0"/>
              </w:numPr>
              <w:rPr>
                <w:b w:val="0"/>
                <w:lang w:val="en-US"/>
              </w:rPr>
            </w:pPr>
            <w:bookmarkStart w:id="9" w:name="_Toc138270859"/>
            <w:r>
              <w:rPr>
                <w:b w:val="0"/>
                <w:lang w:val="en-US"/>
              </w:rPr>
              <w:t>Media penyampaian kepada OJK</w:t>
            </w:r>
            <w:bookmarkEnd w:id="9"/>
          </w:p>
        </w:tc>
        <w:tc>
          <w:tcPr>
            <w:tcW w:w="5955" w:type="dxa"/>
            <w:shd w:val="clear" w:color="auto" w:fill="auto"/>
          </w:tcPr>
          <w:p w14:paraId="7183CE43" w14:textId="5BEC011F" w:rsidR="006D1F74" w:rsidRDefault="002A57CA" w:rsidP="002A57CA">
            <w:pPr>
              <w:pStyle w:val="Bab"/>
              <w:numPr>
                <w:ilvl w:val="0"/>
                <w:numId w:val="0"/>
              </w:numPr>
              <w:jc w:val="both"/>
              <w:rPr>
                <w:b w:val="0"/>
                <w:lang w:val="en-US"/>
              </w:rPr>
            </w:pPr>
            <w:bookmarkStart w:id="10" w:name="_Toc138270860"/>
            <w:r>
              <w:rPr>
                <w:b w:val="0"/>
                <w:lang w:val="en-US"/>
              </w:rPr>
              <w:t xml:space="preserve">Sistem </w:t>
            </w:r>
            <w:r w:rsidR="006D1F74">
              <w:rPr>
                <w:b w:val="0"/>
                <w:lang w:val="en-US"/>
              </w:rPr>
              <w:t xml:space="preserve">pelaporan </w:t>
            </w:r>
            <w:r w:rsidR="00254455">
              <w:rPr>
                <w:b w:val="0"/>
                <w:lang w:val="en-US"/>
              </w:rPr>
              <w:t>Otoritas Jasa Keuangan</w:t>
            </w:r>
            <w:bookmarkEnd w:id="10"/>
            <w:r>
              <w:rPr>
                <w:b w:val="0"/>
                <w:lang w:val="en-US"/>
              </w:rPr>
              <w:t>.</w:t>
            </w:r>
          </w:p>
        </w:tc>
      </w:tr>
    </w:tbl>
    <w:p w14:paraId="1F228551" w14:textId="77777777" w:rsidR="00EF6853" w:rsidRPr="0039034C" w:rsidRDefault="00EF6853" w:rsidP="00254455">
      <w:pPr>
        <w:pStyle w:val="Subbab"/>
        <w:numPr>
          <w:ilvl w:val="0"/>
          <w:numId w:val="0"/>
        </w:numPr>
        <w:rPr>
          <w:color w:val="000000" w:themeColor="text1"/>
        </w:rPr>
      </w:pPr>
      <w:bookmarkStart w:id="11" w:name="_Toc412623567"/>
      <w:bookmarkStart w:id="12" w:name="_Toc412624364"/>
      <w:bookmarkStart w:id="13" w:name="_Toc412624450"/>
      <w:bookmarkStart w:id="14" w:name="_Toc412625409"/>
      <w:bookmarkStart w:id="15" w:name="_Toc443672346"/>
      <w:bookmarkStart w:id="16" w:name="_Toc445886242"/>
      <w:bookmarkStart w:id="17" w:name="_Toc445886445"/>
      <w:bookmarkStart w:id="18" w:name="_Toc445889879"/>
    </w:p>
    <w:p w14:paraId="511B82DA" w14:textId="75A7A5FA" w:rsidR="00623C22" w:rsidRPr="0039034C" w:rsidRDefault="00623C22" w:rsidP="00707E5F">
      <w:pPr>
        <w:pStyle w:val="Bab"/>
        <w:numPr>
          <w:ilvl w:val="0"/>
          <w:numId w:val="6"/>
        </w:numPr>
        <w:jc w:val="both"/>
        <w:rPr>
          <w:b w:val="0"/>
          <w:color w:val="000000" w:themeColor="text1"/>
        </w:rPr>
      </w:pPr>
      <w:bookmarkStart w:id="19" w:name="_Toc138270869"/>
      <w:r w:rsidRPr="0039034C">
        <w:rPr>
          <w:b w:val="0"/>
          <w:color w:val="000000" w:themeColor="text1"/>
        </w:rPr>
        <w:t xml:space="preserve">SBDK merupakan </w:t>
      </w:r>
      <w:bookmarkEnd w:id="19"/>
      <w:r w:rsidR="007E2071" w:rsidRPr="0039034C">
        <w:rPr>
          <w:b w:val="0"/>
          <w:color w:val="000000" w:themeColor="text1"/>
        </w:rPr>
        <w:t>indikasi suku bunga efektif kredit terendah yang mencerminkan Harga Pokok Dasar Kredit (</w:t>
      </w:r>
      <w:r w:rsidR="007E2071" w:rsidRPr="0039034C">
        <w:rPr>
          <w:b w:val="0"/>
          <w:i/>
          <w:color w:val="000000" w:themeColor="text1"/>
        </w:rPr>
        <w:t>Cost of Fund</w:t>
      </w:r>
      <w:r w:rsidR="007E2071" w:rsidRPr="0039034C">
        <w:rPr>
          <w:b w:val="0"/>
          <w:color w:val="000000" w:themeColor="text1"/>
        </w:rPr>
        <w:t xml:space="preserve">), Biaya </w:t>
      </w:r>
      <w:r w:rsidR="007E2071" w:rsidRPr="0039034C">
        <w:rPr>
          <w:b w:val="0"/>
          <w:i/>
          <w:color w:val="000000" w:themeColor="text1"/>
        </w:rPr>
        <w:t>Overhead</w:t>
      </w:r>
      <w:r w:rsidR="007E2071" w:rsidRPr="0039034C">
        <w:rPr>
          <w:b w:val="0"/>
          <w:color w:val="000000" w:themeColor="text1"/>
        </w:rPr>
        <w:t xml:space="preserve"> (</w:t>
      </w:r>
      <w:r w:rsidR="007E2071" w:rsidRPr="0039034C">
        <w:rPr>
          <w:b w:val="0"/>
          <w:i/>
          <w:color w:val="000000" w:themeColor="text1"/>
        </w:rPr>
        <w:t>Overhead Cost</w:t>
      </w:r>
      <w:r w:rsidR="007E2071" w:rsidRPr="0039034C">
        <w:rPr>
          <w:b w:val="0"/>
          <w:color w:val="000000" w:themeColor="text1"/>
        </w:rPr>
        <w:t>), dan Marjin Keuntungan (margin) yang dikeluarkan oleh BUK untuk kegiatan pembiayaan. Selanjutnya, BUK menggunakan SBDK sebagai acuan dalam penetapan suku bunga kredit yang akan dikenakan kepada nasabah.</w:t>
      </w:r>
    </w:p>
    <w:p w14:paraId="2777B31F" w14:textId="77777777" w:rsidR="00623C22" w:rsidRPr="00F313C8" w:rsidRDefault="00623C22" w:rsidP="00707E5F">
      <w:pPr>
        <w:pStyle w:val="Bab"/>
        <w:numPr>
          <w:ilvl w:val="0"/>
          <w:numId w:val="6"/>
        </w:numPr>
        <w:jc w:val="both"/>
        <w:rPr>
          <w:b w:val="0"/>
        </w:rPr>
      </w:pPr>
      <w:bookmarkStart w:id="20" w:name="_Toc138270872"/>
      <w:r w:rsidRPr="0039034C">
        <w:rPr>
          <w:b w:val="0"/>
          <w:color w:val="000000" w:themeColor="text1"/>
          <w:lang w:val="en-US"/>
        </w:rPr>
        <w:t>Perhitungan SBDK dalam Lampiran</w:t>
      </w:r>
      <w:r w:rsidR="00F313C8" w:rsidRPr="0039034C">
        <w:rPr>
          <w:b w:val="0"/>
          <w:color w:val="000000" w:themeColor="text1"/>
          <w:lang w:val="en-US"/>
        </w:rPr>
        <w:t xml:space="preserve"> Peraturan Otoritas Jasa Keuangan ini hanya berlaku untuk kredit yang diberikan dalam </w:t>
      </w:r>
      <w:r w:rsidR="00F313C8">
        <w:rPr>
          <w:b w:val="0"/>
          <w:lang w:val="en-US"/>
        </w:rPr>
        <w:t>mata uang Rupiah.</w:t>
      </w:r>
      <w:bookmarkEnd w:id="20"/>
      <w:r w:rsidR="00F313C8">
        <w:rPr>
          <w:b w:val="0"/>
          <w:lang w:val="en-US"/>
        </w:rPr>
        <w:t xml:space="preserve"> </w:t>
      </w:r>
    </w:p>
    <w:p w14:paraId="361F8281" w14:textId="77777777" w:rsidR="00F313C8" w:rsidRPr="00F313C8" w:rsidRDefault="00F313C8" w:rsidP="00707E5F">
      <w:pPr>
        <w:pStyle w:val="Bab"/>
        <w:numPr>
          <w:ilvl w:val="0"/>
          <w:numId w:val="6"/>
        </w:numPr>
        <w:jc w:val="both"/>
        <w:rPr>
          <w:b w:val="0"/>
          <w:lang w:val="en-US"/>
        </w:rPr>
      </w:pPr>
      <w:bookmarkStart w:id="21" w:name="_Toc138270873"/>
      <w:r w:rsidRPr="00F313C8">
        <w:rPr>
          <w:b w:val="0"/>
          <w:lang w:val="en-US"/>
        </w:rPr>
        <w:t>SBDK dihitung secara per tahun dalam bentuk persentase (%) yang penghitungannya dilakukan berdasarkan 3 (tiga) komponen yaitu:</w:t>
      </w:r>
      <w:bookmarkEnd w:id="21"/>
      <w:r w:rsidRPr="00F313C8">
        <w:rPr>
          <w:b w:val="0"/>
          <w:lang w:val="en-US"/>
        </w:rPr>
        <w:t xml:space="preserve"> </w:t>
      </w:r>
    </w:p>
    <w:p w14:paraId="71DE6B52" w14:textId="77777777" w:rsidR="00F313C8" w:rsidRPr="00F313C8" w:rsidRDefault="00F313C8" w:rsidP="00707E5F">
      <w:pPr>
        <w:pStyle w:val="Bab"/>
        <w:numPr>
          <w:ilvl w:val="1"/>
          <w:numId w:val="6"/>
        </w:numPr>
        <w:ind w:left="1418"/>
        <w:jc w:val="both"/>
        <w:rPr>
          <w:b w:val="0"/>
          <w:lang w:val="en-US"/>
        </w:rPr>
      </w:pPr>
      <w:bookmarkStart w:id="22" w:name="_Toc138270874"/>
      <w:r w:rsidRPr="00F313C8">
        <w:rPr>
          <w:b w:val="0"/>
          <w:lang w:val="en-US"/>
        </w:rPr>
        <w:t>Harga Pokok Dana untuk Kredit (HPDK) yang timbul dari kegiatan penghimpunan dana;</w:t>
      </w:r>
      <w:bookmarkEnd w:id="22"/>
      <w:r w:rsidRPr="00F313C8">
        <w:rPr>
          <w:b w:val="0"/>
          <w:lang w:val="en-US"/>
        </w:rPr>
        <w:t xml:space="preserve"> </w:t>
      </w:r>
    </w:p>
    <w:p w14:paraId="7CC82E88" w14:textId="01A4F968" w:rsidR="00F313C8" w:rsidRPr="00F313C8" w:rsidRDefault="007E2071" w:rsidP="00707E5F">
      <w:pPr>
        <w:pStyle w:val="Bab"/>
        <w:numPr>
          <w:ilvl w:val="1"/>
          <w:numId w:val="6"/>
        </w:numPr>
        <w:ind w:left="1418"/>
        <w:jc w:val="both"/>
        <w:rPr>
          <w:b w:val="0"/>
          <w:lang w:val="en-US"/>
        </w:rPr>
      </w:pPr>
      <w:bookmarkStart w:id="23" w:name="_Toc138270875"/>
      <w:r w:rsidRPr="00F313C8">
        <w:rPr>
          <w:b w:val="0"/>
          <w:lang w:val="en-US"/>
        </w:rPr>
        <w:t xml:space="preserve">Biaya </w:t>
      </w:r>
      <w:r w:rsidRPr="00F313C8">
        <w:rPr>
          <w:b w:val="0"/>
          <w:i/>
          <w:lang w:val="en-US"/>
        </w:rPr>
        <w:t>Overhead</w:t>
      </w:r>
      <w:r w:rsidRPr="00F313C8">
        <w:rPr>
          <w:b w:val="0"/>
          <w:lang w:val="en-US"/>
        </w:rPr>
        <w:t xml:space="preserve"> </w:t>
      </w:r>
      <w:r w:rsidR="00F313C8" w:rsidRPr="00F313C8">
        <w:rPr>
          <w:b w:val="0"/>
          <w:lang w:val="en-US"/>
        </w:rPr>
        <w:t xml:space="preserve">yang dikeluarkan </w:t>
      </w:r>
      <w:r w:rsidR="009435DC">
        <w:rPr>
          <w:b w:val="0"/>
          <w:lang w:val="en-US"/>
        </w:rPr>
        <w:t>BUK</w:t>
      </w:r>
      <w:r w:rsidR="00F313C8" w:rsidRPr="00F313C8">
        <w:rPr>
          <w:b w:val="0"/>
          <w:lang w:val="en-US"/>
        </w:rPr>
        <w:t xml:space="preserve"> berupa beban operasional bukan bunga yang dikeluarkan untuk kegiatan penghimpunan dana dan penyaluran kredit termasuk biaya pajak yang harus dibayar; dan</w:t>
      </w:r>
      <w:bookmarkEnd w:id="23"/>
      <w:r w:rsidR="00F313C8" w:rsidRPr="00F313C8">
        <w:rPr>
          <w:b w:val="0"/>
          <w:lang w:val="en-US"/>
        </w:rPr>
        <w:t xml:space="preserve"> </w:t>
      </w:r>
    </w:p>
    <w:p w14:paraId="26AE2074" w14:textId="179BC4FC" w:rsidR="00F313C8" w:rsidRPr="00F313C8" w:rsidRDefault="00254455" w:rsidP="00707E5F">
      <w:pPr>
        <w:pStyle w:val="Bab"/>
        <w:numPr>
          <w:ilvl w:val="1"/>
          <w:numId w:val="6"/>
        </w:numPr>
        <w:ind w:left="1418"/>
        <w:jc w:val="both"/>
        <w:rPr>
          <w:b w:val="0"/>
          <w:lang w:val="en-US"/>
        </w:rPr>
      </w:pPr>
      <w:bookmarkStart w:id="24" w:name="_Toc138270876"/>
      <w:r>
        <w:rPr>
          <w:b w:val="0"/>
          <w:lang w:val="en-US"/>
        </w:rPr>
        <w:t>Marjin</w:t>
      </w:r>
      <w:r w:rsidRPr="00F313C8">
        <w:rPr>
          <w:b w:val="0"/>
          <w:lang w:val="en-US"/>
        </w:rPr>
        <w:t xml:space="preserve"> Keuntungan </w:t>
      </w:r>
      <w:r w:rsidR="00F313C8" w:rsidRPr="00F313C8">
        <w:rPr>
          <w:b w:val="0"/>
          <w:lang w:val="en-US"/>
        </w:rPr>
        <w:t>(</w:t>
      </w:r>
      <w:r w:rsidR="00F313C8" w:rsidRPr="00F313C8">
        <w:rPr>
          <w:b w:val="0"/>
          <w:i/>
          <w:lang w:val="en-US"/>
        </w:rPr>
        <w:t>margin</w:t>
      </w:r>
      <w:r w:rsidR="00F313C8" w:rsidRPr="00F313C8">
        <w:rPr>
          <w:b w:val="0"/>
          <w:lang w:val="en-US"/>
        </w:rPr>
        <w:t xml:space="preserve">) yang ditetapkan </w:t>
      </w:r>
      <w:r w:rsidR="00F24D48">
        <w:rPr>
          <w:b w:val="0"/>
          <w:lang w:val="en-US"/>
        </w:rPr>
        <w:t>BUK</w:t>
      </w:r>
      <w:r w:rsidR="00F313C8" w:rsidRPr="00F313C8">
        <w:rPr>
          <w:b w:val="0"/>
          <w:lang w:val="en-US"/>
        </w:rPr>
        <w:t xml:space="preserve"> dalam kegiatan penyaluran kredit.</w:t>
      </w:r>
      <w:bookmarkEnd w:id="24"/>
      <w:r w:rsidR="00F313C8" w:rsidRPr="00F313C8">
        <w:rPr>
          <w:b w:val="0"/>
          <w:lang w:val="en-US"/>
        </w:rPr>
        <w:t xml:space="preserve"> </w:t>
      </w:r>
      <w:r w:rsidR="00211355" w:rsidRPr="00211355">
        <w:rPr>
          <w:b w:val="0"/>
          <w:lang w:val="en-US"/>
        </w:rPr>
        <w:t>Dalam menentukan mar</w:t>
      </w:r>
      <w:r w:rsidR="00211355">
        <w:rPr>
          <w:b w:val="0"/>
          <w:lang w:val="en-US"/>
        </w:rPr>
        <w:t>j</w:t>
      </w:r>
      <w:r w:rsidR="00211355" w:rsidRPr="00211355">
        <w:rPr>
          <w:b w:val="0"/>
          <w:lang w:val="en-US"/>
        </w:rPr>
        <w:t xml:space="preserve">in keuntungan, bank dihimbau untuk mempertimbangkan kewajaran target keuntungan yang dilaporan </w:t>
      </w:r>
      <w:r w:rsidR="007E2071">
        <w:rPr>
          <w:b w:val="0"/>
          <w:lang w:val="en-US"/>
        </w:rPr>
        <w:t>BUK</w:t>
      </w:r>
      <w:r w:rsidR="00211355" w:rsidRPr="00211355">
        <w:rPr>
          <w:b w:val="0"/>
          <w:lang w:val="en-US"/>
        </w:rPr>
        <w:t xml:space="preserve"> dalam </w:t>
      </w:r>
      <w:r w:rsidR="00211355">
        <w:rPr>
          <w:b w:val="0"/>
          <w:lang w:val="en-US"/>
        </w:rPr>
        <w:t>rencana bisnis bank (</w:t>
      </w:r>
      <w:r w:rsidR="00211355" w:rsidRPr="00211355">
        <w:rPr>
          <w:b w:val="0"/>
          <w:lang w:val="en-US"/>
        </w:rPr>
        <w:t>RBB</w:t>
      </w:r>
      <w:r w:rsidR="00211355">
        <w:rPr>
          <w:b w:val="0"/>
          <w:lang w:val="en-US"/>
        </w:rPr>
        <w:t>)</w:t>
      </w:r>
      <w:r w:rsidR="00211355" w:rsidRPr="00211355">
        <w:rPr>
          <w:b w:val="0"/>
          <w:lang w:val="en-US"/>
        </w:rPr>
        <w:t>.</w:t>
      </w:r>
    </w:p>
    <w:p w14:paraId="011FBE2A" w14:textId="52B88128" w:rsidR="00F313C8" w:rsidRPr="00F313C8" w:rsidRDefault="00F313C8" w:rsidP="00707E5F">
      <w:pPr>
        <w:pStyle w:val="Bab"/>
        <w:numPr>
          <w:ilvl w:val="0"/>
          <w:numId w:val="6"/>
        </w:numPr>
        <w:jc w:val="both"/>
        <w:rPr>
          <w:b w:val="0"/>
        </w:rPr>
      </w:pPr>
      <w:bookmarkStart w:id="25" w:name="_Toc138270877"/>
      <w:r>
        <w:rPr>
          <w:b w:val="0"/>
          <w:lang w:val="en-US"/>
        </w:rPr>
        <w:t xml:space="preserve">Perhitungan SBDK sebagaimana dimaksud pada angka </w:t>
      </w:r>
      <w:r w:rsidR="007E2071">
        <w:rPr>
          <w:b w:val="0"/>
          <w:lang w:val="en-US"/>
        </w:rPr>
        <w:t>3</w:t>
      </w:r>
      <w:r>
        <w:rPr>
          <w:b w:val="0"/>
          <w:lang w:val="en-US"/>
        </w:rPr>
        <w:t xml:space="preserve"> di atas tidak termasuk komponen estimasi premi risiko, yang merupakan penilaian BUK terhadap prospek pelunasan kredit oleh calon debitur, baik debitur maupun kelompok debitur, yang antara lain mempertimbangkan kondisi keuangan, jangka waktu kredit, dan prospek usaha.</w:t>
      </w:r>
      <w:bookmarkEnd w:id="25"/>
      <w:r>
        <w:rPr>
          <w:b w:val="0"/>
          <w:lang w:val="en-US"/>
        </w:rPr>
        <w:t xml:space="preserve"> </w:t>
      </w:r>
    </w:p>
    <w:p w14:paraId="5080F366" w14:textId="77777777" w:rsidR="0050192B" w:rsidRDefault="0050192B" w:rsidP="00707E5F">
      <w:pPr>
        <w:pStyle w:val="Bab"/>
        <w:numPr>
          <w:ilvl w:val="0"/>
          <w:numId w:val="6"/>
        </w:numPr>
        <w:jc w:val="both"/>
        <w:rPr>
          <w:b w:val="0"/>
          <w:lang w:val="en-US"/>
        </w:rPr>
      </w:pPr>
      <w:bookmarkStart w:id="26" w:name="_Toc138270878"/>
      <w:bookmarkStart w:id="27" w:name="_Toc138270894"/>
      <w:r>
        <w:rPr>
          <w:b w:val="0"/>
          <w:lang w:val="en-US"/>
        </w:rPr>
        <w:t>SBDK yang diumumkan kepada masyarakat merupakan suku bunga efektif dasar kredit yang berlaku pada saat diumumkan kepada masyarakat. BUK mengungkapan posisi data yang digunakan pada saat mengumumkan SBDK.</w:t>
      </w:r>
      <w:bookmarkEnd w:id="27"/>
      <w:r w:rsidRPr="00AF3262">
        <w:rPr>
          <w:b w:val="0"/>
          <w:lang w:val="en-US"/>
        </w:rPr>
        <w:t xml:space="preserve"> </w:t>
      </w:r>
      <w:r>
        <w:rPr>
          <w:b w:val="0"/>
          <w:lang w:val="en-US"/>
        </w:rPr>
        <w:t>Definisi suku bunga efektif mengacu pada ketentuan otoritas moneter mengenai laporan bank umum terintegrasi.</w:t>
      </w:r>
    </w:p>
    <w:p w14:paraId="39CEF154" w14:textId="02A99CA6" w:rsidR="00D060EC" w:rsidRPr="008C50F6" w:rsidRDefault="00F313C8" w:rsidP="00707E5F">
      <w:pPr>
        <w:pStyle w:val="Bab"/>
        <w:numPr>
          <w:ilvl w:val="0"/>
          <w:numId w:val="6"/>
        </w:numPr>
        <w:jc w:val="both"/>
        <w:rPr>
          <w:b w:val="0"/>
          <w:color w:val="000000" w:themeColor="text1"/>
        </w:rPr>
      </w:pPr>
      <w:r w:rsidRPr="00D060EC">
        <w:rPr>
          <w:b w:val="0"/>
          <w:lang w:val="en-US"/>
        </w:rPr>
        <w:t>Perhitungan SBDK dirinci</w:t>
      </w:r>
      <w:r w:rsidR="00D060EC" w:rsidRPr="008C50F6">
        <w:rPr>
          <w:b w:val="0"/>
          <w:color w:val="000000" w:themeColor="text1"/>
          <w:lang w:val="en-US"/>
        </w:rPr>
        <w:t>, yaitu:</w:t>
      </w:r>
      <w:bookmarkEnd w:id="26"/>
    </w:p>
    <w:p w14:paraId="76AFE18A" w14:textId="73DE3887" w:rsidR="006A1DE2" w:rsidRPr="006A1DE2" w:rsidRDefault="006A1DE2" w:rsidP="00707E5F">
      <w:pPr>
        <w:pStyle w:val="Bab"/>
        <w:numPr>
          <w:ilvl w:val="1"/>
          <w:numId w:val="6"/>
        </w:numPr>
        <w:ind w:left="1560"/>
        <w:jc w:val="both"/>
        <w:rPr>
          <w:b w:val="0"/>
          <w:color w:val="000000" w:themeColor="text1"/>
        </w:rPr>
      </w:pPr>
      <w:bookmarkStart w:id="28" w:name="_Toc138270880"/>
      <w:bookmarkStart w:id="29" w:name="_Hlk143594372"/>
      <w:r>
        <w:rPr>
          <w:b w:val="0"/>
          <w:color w:val="000000" w:themeColor="text1"/>
          <w:lang w:val="en-US"/>
        </w:rPr>
        <w:lastRenderedPageBreak/>
        <w:t>Kredit korporasi adalah kredit Non-UMKM yang kriterianya sesuai dengan kebijakan BUK.</w:t>
      </w:r>
    </w:p>
    <w:p w14:paraId="3608EA92" w14:textId="44E5E105" w:rsidR="006A1DE2" w:rsidRPr="006A1DE2" w:rsidRDefault="006A1DE2" w:rsidP="00707E5F">
      <w:pPr>
        <w:pStyle w:val="Bab"/>
        <w:numPr>
          <w:ilvl w:val="1"/>
          <w:numId w:val="6"/>
        </w:numPr>
        <w:ind w:left="1560"/>
        <w:jc w:val="both"/>
        <w:rPr>
          <w:b w:val="0"/>
          <w:color w:val="000000" w:themeColor="text1"/>
        </w:rPr>
      </w:pPr>
      <w:r>
        <w:rPr>
          <w:b w:val="0"/>
          <w:color w:val="000000" w:themeColor="text1"/>
          <w:lang w:val="en-US"/>
        </w:rPr>
        <w:t xml:space="preserve">Kredit ritel adalah kredit </w:t>
      </w:r>
      <w:r w:rsidRPr="008C50F6">
        <w:rPr>
          <w:b w:val="0"/>
          <w:color w:val="000000" w:themeColor="text1"/>
          <w:lang w:val="en-US"/>
        </w:rPr>
        <w:t>Non-UMKM</w:t>
      </w:r>
      <w:r>
        <w:rPr>
          <w:b w:val="0"/>
          <w:color w:val="000000" w:themeColor="text1"/>
          <w:lang w:val="en-US"/>
        </w:rPr>
        <w:t xml:space="preserve"> dan korporasi yang kriteria</w:t>
      </w:r>
      <w:r w:rsidR="00040056">
        <w:rPr>
          <w:b w:val="0"/>
          <w:color w:val="000000" w:themeColor="text1"/>
          <w:lang w:val="en-US"/>
        </w:rPr>
        <w:t>nya</w:t>
      </w:r>
      <w:r>
        <w:rPr>
          <w:b w:val="0"/>
          <w:color w:val="000000" w:themeColor="text1"/>
          <w:lang w:val="en-US"/>
        </w:rPr>
        <w:t xml:space="preserve"> sesuai dengan kebijakan BUK. </w:t>
      </w:r>
    </w:p>
    <w:p w14:paraId="221F6498" w14:textId="77777777" w:rsidR="008051DF" w:rsidRPr="008051DF" w:rsidRDefault="00ED38EA" w:rsidP="00707E5F">
      <w:pPr>
        <w:pStyle w:val="Bab"/>
        <w:numPr>
          <w:ilvl w:val="1"/>
          <w:numId w:val="6"/>
        </w:numPr>
        <w:ind w:left="1560"/>
        <w:jc w:val="both"/>
        <w:rPr>
          <w:b w:val="0"/>
        </w:rPr>
      </w:pPr>
      <w:bookmarkStart w:id="30" w:name="_Toc138270882"/>
      <w:bookmarkEnd w:id="28"/>
      <w:bookmarkEnd w:id="29"/>
      <w:r>
        <w:rPr>
          <w:b w:val="0"/>
          <w:lang w:val="en-US"/>
        </w:rPr>
        <w:t xml:space="preserve">Kredit menengah merupakan </w:t>
      </w:r>
      <w:r w:rsidR="000B3ADD" w:rsidRPr="000B3ADD">
        <w:rPr>
          <w:b w:val="0"/>
          <w:lang w:val="en-US"/>
        </w:rPr>
        <w:t>pemberian kredit kepada</w:t>
      </w:r>
      <w:r w:rsidR="000B3ADD">
        <w:rPr>
          <w:b w:val="0"/>
          <w:lang w:val="en-US"/>
        </w:rPr>
        <w:t xml:space="preserve">: </w:t>
      </w:r>
    </w:p>
    <w:p w14:paraId="08A364BA" w14:textId="2F0AFF63" w:rsidR="008051DF" w:rsidRPr="008051DF" w:rsidRDefault="008051DF" w:rsidP="00707E5F">
      <w:pPr>
        <w:pStyle w:val="Bab"/>
        <w:numPr>
          <w:ilvl w:val="2"/>
          <w:numId w:val="6"/>
        </w:numPr>
        <w:ind w:left="1985" w:hanging="425"/>
        <w:jc w:val="both"/>
        <w:rPr>
          <w:b w:val="0"/>
          <w:lang w:val="en-US"/>
        </w:rPr>
      </w:pPr>
      <w:r w:rsidRPr="008051DF">
        <w:rPr>
          <w:b w:val="0"/>
          <w:lang w:val="en-US"/>
        </w:rPr>
        <w:t>usaha ekonomi produktif</w:t>
      </w:r>
      <w:r>
        <w:rPr>
          <w:b w:val="0"/>
          <w:lang w:val="en-US"/>
        </w:rPr>
        <w:t xml:space="preserve"> </w:t>
      </w:r>
      <w:r w:rsidRPr="008051DF">
        <w:rPr>
          <w:b w:val="0"/>
          <w:lang w:val="en-US"/>
        </w:rPr>
        <w:t>yang berdiri sendiri, yang dilakukan oleh orang</w:t>
      </w:r>
      <w:r>
        <w:rPr>
          <w:b w:val="0"/>
          <w:lang w:val="en-US"/>
        </w:rPr>
        <w:t xml:space="preserve"> </w:t>
      </w:r>
      <w:r w:rsidRPr="008051DF">
        <w:rPr>
          <w:b w:val="0"/>
          <w:lang w:val="en-US"/>
        </w:rPr>
        <w:t>perorangan atau badan usaha yang bukan merupakan</w:t>
      </w:r>
      <w:r>
        <w:rPr>
          <w:b w:val="0"/>
          <w:lang w:val="en-US"/>
        </w:rPr>
        <w:t xml:space="preserve"> </w:t>
      </w:r>
      <w:r w:rsidRPr="008051DF">
        <w:rPr>
          <w:b w:val="0"/>
          <w:lang w:val="en-US"/>
        </w:rPr>
        <w:t>anak perusahaan atau cabang perusahaan yang</w:t>
      </w:r>
      <w:r>
        <w:rPr>
          <w:b w:val="0"/>
          <w:lang w:val="en-US"/>
        </w:rPr>
        <w:t xml:space="preserve"> </w:t>
      </w:r>
      <w:r w:rsidRPr="008051DF">
        <w:rPr>
          <w:b w:val="0"/>
          <w:lang w:val="en-US"/>
        </w:rPr>
        <w:t xml:space="preserve">dimiliki, dikuasai, atau </w:t>
      </w:r>
      <w:r>
        <w:rPr>
          <w:b w:val="0"/>
          <w:lang w:val="en-US"/>
        </w:rPr>
        <w:t>menjadi</w:t>
      </w:r>
      <w:r w:rsidRPr="008051DF">
        <w:rPr>
          <w:b w:val="0"/>
          <w:lang w:val="en-US"/>
        </w:rPr>
        <w:t xml:space="preserve"> bagian baik langsung</w:t>
      </w:r>
      <w:r>
        <w:rPr>
          <w:b w:val="0"/>
          <w:lang w:val="en-US"/>
        </w:rPr>
        <w:t xml:space="preserve"> </w:t>
      </w:r>
      <w:r w:rsidRPr="008051DF">
        <w:rPr>
          <w:b w:val="0"/>
          <w:lang w:val="en-US"/>
        </w:rPr>
        <w:t xml:space="preserve">maupun ticlak langsung dengan </w:t>
      </w:r>
      <w:r w:rsidRPr="008051DF">
        <w:rPr>
          <w:b w:val="0"/>
          <w:lang w:val="en-US"/>
        </w:rPr>
        <w:t xml:space="preserve">usaha kecil </w:t>
      </w:r>
      <w:r w:rsidRPr="008051DF">
        <w:rPr>
          <w:b w:val="0"/>
          <w:lang w:val="en-US"/>
        </w:rPr>
        <w:t>atau</w:t>
      </w:r>
      <w:r>
        <w:rPr>
          <w:b w:val="0"/>
          <w:lang w:val="en-US"/>
        </w:rPr>
        <w:t xml:space="preserve"> </w:t>
      </w:r>
      <w:r w:rsidRPr="008051DF">
        <w:rPr>
          <w:b w:val="0"/>
          <w:lang w:val="en-US"/>
        </w:rPr>
        <w:t>usaha besar yang memenuhi kriteria Usaha Menengah</w:t>
      </w:r>
      <w:r>
        <w:rPr>
          <w:b w:val="0"/>
          <w:lang w:val="en-US"/>
        </w:rPr>
        <w:t xml:space="preserve"> dalam </w:t>
      </w:r>
      <w:r>
        <w:rPr>
          <w:b w:val="0"/>
          <w:lang w:val="en-US"/>
        </w:rPr>
        <w:t xml:space="preserve">peraturan perundang-undangan mengenai </w:t>
      </w:r>
      <w:r w:rsidRPr="00956233">
        <w:rPr>
          <w:b w:val="0"/>
          <w:lang w:val="en-US"/>
        </w:rPr>
        <w:t>usaha mikro, kecil, dan menengah</w:t>
      </w:r>
      <w:r>
        <w:rPr>
          <w:b w:val="0"/>
          <w:lang w:val="en-US"/>
        </w:rPr>
        <w:t>.</w:t>
      </w:r>
    </w:p>
    <w:p w14:paraId="348A93B2" w14:textId="373C84C8" w:rsidR="008051DF" w:rsidRPr="008051DF" w:rsidRDefault="008051DF" w:rsidP="00707E5F">
      <w:pPr>
        <w:pStyle w:val="Bab"/>
        <w:numPr>
          <w:ilvl w:val="2"/>
          <w:numId w:val="6"/>
        </w:numPr>
        <w:ind w:left="1985" w:hanging="425"/>
        <w:jc w:val="both"/>
        <w:rPr>
          <w:b w:val="0"/>
        </w:rPr>
      </w:pPr>
      <w:r>
        <w:rPr>
          <w:b w:val="0"/>
          <w:lang w:val="en-US"/>
        </w:rPr>
        <w:t>memiliki:</w:t>
      </w:r>
    </w:p>
    <w:p w14:paraId="27BEC66C" w14:textId="5EED87B0" w:rsidR="008051DF" w:rsidRDefault="008051DF" w:rsidP="00707E5F">
      <w:pPr>
        <w:pStyle w:val="Bab"/>
        <w:numPr>
          <w:ilvl w:val="3"/>
          <w:numId w:val="6"/>
        </w:numPr>
        <w:ind w:left="2410"/>
        <w:jc w:val="both"/>
        <w:rPr>
          <w:b w:val="0"/>
          <w:lang w:val="en-US"/>
        </w:rPr>
      </w:pPr>
      <w:r w:rsidRPr="008051DF">
        <w:rPr>
          <w:b w:val="0"/>
          <w:lang w:val="en-US"/>
        </w:rPr>
        <w:t>modal usaha lebih dari</w:t>
      </w:r>
      <w:r>
        <w:rPr>
          <w:b w:val="0"/>
          <w:lang w:val="en-US"/>
        </w:rPr>
        <w:t xml:space="preserve"> </w:t>
      </w:r>
      <w:r w:rsidRPr="008051DF">
        <w:rPr>
          <w:b w:val="0"/>
          <w:lang w:val="en-US"/>
        </w:rPr>
        <w:t>Rp5.000.000.000,00 (li</w:t>
      </w:r>
      <w:r>
        <w:rPr>
          <w:b w:val="0"/>
          <w:lang w:val="en-US"/>
        </w:rPr>
        <w:t>m</w:t>
      </w:r>
      <w:r w:rsidRPr="008051DF">
        <w:rPr>
          <w:b w:val="0"/>
          <w:lang w:val="en-US"/>
        </w:rPr>
        <w:t>a miliar rupiah) sampai</w:t>
      </w:r>
      <w:r>
        <w:rPr>
          <w:b w:val="0"/>
          <w:lang w:val="en-US"/>
        </w:rPr>
        <w:t xml:space="preserve"> dengan </w:t>
      </w:r>
      <w:r w:rsidRPr="008051DF">
        <w:rPr>
          <w:b w:val="0"/>
          <w:lang w:val="en-US"/>
        </w:rPr>
        <w:t>paling banyak Rp</w:t>
      </w:r>
      <w:r>
        <w:rPr>
          <w:b w:val="0"/>
          <w:lang w:val="en-US"/>
        </w:rPr>
        <w:t>1</w:t>
      </w:r>
      <w:r w:rsidRPr="008051DF">
        <w:rPr>
          <w:b w:val="0"/>
          <w:lang w:val="en-US"/>
        </w:rPr>
        <w:t>0.000.000.000,00</w:t>
      </w:r>
      <w:r>
        <w:rPr>
          <w:b w:val="0"/>
          <w:lang w:val="en-US"/>
        </w:rPr>
        <w:t xml:space="preserve"> </w:t>
      </w:r>
      <w:r w:rsidRPr="008051DF">
        <w:rPr>
          <w:b w:val="0"/>
          <w:lang w:val="en-US"/>
        </w:rPr>
        <w:t xml:space="preserve">(sepuluh </w:t>
      </w:r>
      <w:r>
        <w:rPr>
          <w:b w:val="0"/>
          <w:lang w:val="en-US"/>
        </w:rPr>
        <w:t>m</w:t>
      </w:r>
      <w:r w:rsidRPr="008051DF">
        <w:rPr>
          <w:b w:val="0"/>
          <w:lang w:val="en-US"/>
        </w:rPr>
        <w:t>iliar rupiah) tidak termasuk tanah dan</w:t>
      </w:r>
      <w:r>
        <w:rPr>
          <w:b w:val="0"/>
          <w:lang w:val="en-US"/>
        </w:rPr>
        <w:t xml:space="preserve"> </w:t>
      </w:r>
      <w:r w:rsidRPr="008051DF">
        <w:rPr>
          <w:b w:val="0"/>
          <w:lang w:val="en-US"/>
        </w:rPr>
        <w:t>bangunan tempat usaha</w:t>
      </w:r>
      <w:r w:rsidR="002C61C9">
        <w:rPr>
          <w:b w:val="0"/>
          <w:lang w:val="en-US"/>
        </w:rPr>
        <w:t>; dan</w:t>
      </w:r>
      <w:r w:rsidRPr="008051DF">
        <w:rPr>
          <w:b w:val="0"/>
          <w:lang w:val="en-US"/>
        </w:rPr>
        <w:t xml:space="preserve"> </w:t>
      </w:r>
    </w:p>
    <w:p w14:paraId="1B5CA42B" w14:textId="5926062C" w:rsidR="008051DF" w:rsidRPr="002C61C9" w:rsidRDefault="008051DF" w:rsidP="00707E5F">
      <w:pPr>
        <w:pStyle w:val="Bab"/>
        <w:numPr>
          <w:ilvl w:val="3"/>
          <w:numId w:val="6"/>
        </w:numPr>
        <w:ind w:left="2410"/>
        <w:jc w:val="both"/>
        <w:rPr>
          <w:b w:val="0"/>
          <w:lang w:val="en-US"/>
        </w:rPr>
      </w:pPr>
      <w:r w:rsidRPr="008051DF">
        <w:rPr>
          <w:b w:val="0"/>
          <w:lang w:val="en-US"/>
        </w:rPr>
        <w:t>hasil penjualan</w:t>
      </w:r>
      <w:r>
        <w:rPr>
          <w:b w:val="0"/>
          <w:lang w:val="en-US"/>
        </w:rPr>
        <w:t xml:space="preserve"> </w:t>
      </w:r>
      <w:r w:rsidRPr="008051DF">
        <w:rPr>
          <w:b w:val="0"/>
          <w:lang w:val="en-US"/>
        </w:rPr>
        <w:t>tahunan lebih dari Rp15.000.</w:t>
      </w:r>
      <w:r w:rsidR="00234D1F">
        <w:rPr>
          <w:b w:val="0"/>
          <w:lang w:val="en-US"/>
        </w:rPr>
        <w:t>0</w:t>
      </w:r>
      <w:r w:rsidRPr="008051DF">
        <w:rPr>
          <w:b w:val="0"/>
          <w:lang w:val="en-US"/>
        </w:rPr>
        <w:t>00.000,</w:t>
      </w:r>
      <w:r w:rsidR="006F39D9">
        <w:rPr>
          <w:b w:val="0"/>
          <w:lang w:val="en-US"/>
        </w:rPr>
        <w:t>0</w:t>
      </w:r>
      <w:r w:rsidRPr="008051DF">
        <w:rPr>
          <w:b w:val="0"/>
          <w:lang w:val="en-US"/>
        </w:rPr>
        <w:t>0 (lima</w:t>
      </w:r>
      <w:r w:rsidR="00234D1F">
        <w:rPr>
          <w:b w:val="0"/>
          <w:lang w:val="en-US"/>
        </w:rPr>
        <w:t xml:space="preserve"> </w:t>
      </w:r>
      <w:r w:rsidRPr="00234D1F">
        <w:rPr>
          <w:b w:val="0"/>
          <w:lang w:val="en-US"/>
        </w:rPr>
        <w:t>belas miliar rupiah) sampai dengan paling banyak</w:t>
      </w:r>
      <w:r w:rsidR="00234D1F">
        <w:rPr>
          <w:b w:val="0"/>
          <w:lang w:val="en-US"/>
        </w:rPr>
        <w:t xml:space="preserve"> </w:t>
      </w:r>
      <w:r w:rsidRPr="00234D1F">
        <w:rPr>
          <w:b w:val="0"/>
          <w:lang w:val="en-US"/>
        </w:rPr>
        <w:t>Rp</w:t>
      </w:r>
      <w:r w:rsidR="00234D1F" w:rsidRPr="00234D1F">
        <w:rPr>
          <w:b w:val="0"/>
          <w:lang w:val="en-US"/>
        </w:rPr>
        <w:t>50</w:t>
      </w:r>
      <w:r w:rsidRPr="00234D1F">
        <w:rPr>
          <w:b w:val="0"/>
          <w:lang w:val="en-US"/>
        </w:rPr>
        <w:t>.</w:t>
      </w:r>
      <w:r w:rsidR="00234D1F" w:rsidRPr="002C61C9">
        <w:rPr>
          <w:b w:val="0"/>
          <w:lang w:val="en-US"/>
        </w:rPr>
        <w:t>000.000</w:t>
      </w:r>
      <w:r w:rsidRPr="002C61C9">
        <w:rPr>
          <w:b w:val="0"/>
          <w:lang w:val="en-US"/>
        </w:rPr>
        <w:t>,00 (lima puluh miliar rupiah)</w:t>
      </w:r>
      <w:r w:rsidR="002C61C9">
        <w:rPr>
          <w:b w:val="0"/>
          <w:lang w:val="en-US"/>
        </w:rPr>
        <w:t>,</w:t>
      </w:r>
    </w:p>
    <w:p w14:paraId="6B0C2CA5" w14:textId="626CBAB0" w:rsidR="008051DF" w:rsidRPr="002C61C9" w:rsidRDefault="00234D1F" w:rsidP="00234D1F">
      <w:pPr>
        <w:pStyle w:val="Bab"/>
        <w:numPr>
          <w:ilvl w:val="0"/>
          <w:numId w:val="0"/>
        </w:numPr>
        <w:ind w:left="1985"/>
        <w:jc w:val="both"/>
        <w:rPr>
          <w:b w:val="0"/>
        </w:rPr>
      </w:pPr>
      <w:r w:rsidRPr="002C61C9">
        <w:rPr>
          <w:b w:val="0"/>
          <w:lang w:val="en-US"/>
        </w:rPr>
        <w:t>sebagaimana diatur dalam peraturan perundang-undangan mengenai usaha mikro, kecil, dan menengah.</w:t>
      </w:r>
    </w:p>
    <w:p w14:paraId="2F5E7A2B" w14:textId="3ED61A0A" w:rsidR="00234D1F" w:rsidRPr="002C61C9" w:rsidRDefault="00234D1F" w:rsidP="00707E5F">
      <w:pPr>
        <w:pStyle w:val="Bab"/>
        <w:numPr>
          <w:ilvl w:val="1"/>
          <w:numId w:val="6"/>
        </w:numPr>
        <w:ind w:left="1560"/>
        <w:jc w:val="both"/>
        <w:rPr>
          <w:b w:val="0"/>
        </w:rPr>
      </w:pPr>
      <w:r w:rsidRPr="002C61C9">
        <w:rPr>
          <w:b w:val="0"/>
          <w:lang w:val="en-US"/>
        </w:rPr>
        <w:t xml:space="preserve">Kredit </w:t>
      </w:r>
      <w:r w:rsidRPr="002C61C9">
        <w:rPr>
          <w:b w:val="0"/>
          <w:lang w:val="en-US"/>
        </w:rPr>
        <w:t>kecil</w:t>
      </w:r>
      <w:r w:rsidRPr="002C61C9">
        <w:rPr>
          <w:b w:val="0"/>
          <w:lang w:val="en-US"/>
        </w:rPr>
        <w:t xml:space="preserve"> merupakan pemberian kredit kepada: </w:t>
      </w:r>
    </w:p>
    <w:p w14:paraId="16524738" w14:textId="54CA4167" w:rsidR="00736C17" w:rsidRPr="002C61C9" w:rsidRDefault="00736C17" w:rsidP="00707E5F">
      <w:pPr>
        <w:pStyle w:val="Bab"/>
        <w:numPr>
          <w:ilvl w:val="2"/>
          <w:numId w:val="6"/>
        </w:numPr>
        <w:ind w:left="1985" w:hanging="425"/>
        <w:jc w:val="both"/>
        <w:rPr>
          <w:b w:val="0"/>
          <w:lang w:val="en-US"/>
        </w:rPr>
      </w:pPr>
      <w:r w:rsidRPr="002C61C9">
        <w:rPr>
          <w:b w:val="0"/>
          <w:lang w:val="en-US"/>
        </w:rPr>
        <w:t>usaha ekonomi produktif yang</w:t>
      </w:r>
      <w:r w:rsidRPr="002C61C9">
        <w:rPr>
          <w:b w:val="0"/>
          <w:lang w:val="en-US"/>
        </w:rPr>
        <w:t xml:space="preserve"> </w:t>
      </w:r>
      <w:r w:rsidRPr="002C61C9">
        <w:rPr>
          <w:b w:val="0"/>
          <w:lang w:val="en-US"/>
        </w:rPr>
        <w:t xml:space="preserve">berdiri sendiri, yang </w:t>
      </w:r>
      <w:r w:rsidRPr="002C61C9">
        <w:rPr>
          <w:b w:val="0"/>
          <w:lang w:val="en-US"/>
        </w:rPr>
        <w:t>dilakukan</w:t>
      </w:r>
      <w:r w:rsidRPr="002C61C9">
        <w:rPr>
          <w:b w:val="0"/>
          <w:lang w:val="en-US"/>
        </w:rPr>
        <w:t xml:space="preserve"> oleh </w:t>
      </w:r>
      <w:r w:rsidRPr="002C61C9">
        <w:rPr>
          <w:b w:val="0"/>
          <w:lang w:val="en-US"/>
        </w:rPr>
        <w:t>orang</w:t>
      </w:r>
      <w:r w:rsidRPr="002C61C9">
        <w:rPr>
          <w:b w:val="0"/>
          <w:lang w:val="en-US"/>
        </w:rPr>
        <w:t xml:space="preserve"> perorangan</w:t>
      </w:r>
      <w:r w:rsidRPr="002C61C9">
        <w:rPr>
          <w:b w:val="0"/>
          <w:lang w:val="en-US"/>
        </w:rPr>
        <w:t xml:space="preserve"> </w:t>
      </w:r>
      <w:r w:rsidRPr="002C61C9">
        <w:rPr>
          <w:b w:val="0"/>
          <w:lang w:val="en-US"/>
        </w:rPr>
        <w:t>atau badan usaha yang bukan merupakan anak</w:t>
      </w:r>
      <w:r w:rsidRPr="002C61C9">
        <w:rPr>
          <w:b w:val="0"/>
          <w:lang w:val="en-US"/>
        </w:rPr>
        <w:t xml:space="preserve"> </w:t>
      </w:r>
      <w:r w:rsidRPr="002C61C9">
        <w:rPr>
          <w:b w:val="0"/>
          <w:lang w:val="en-US"/>
        </w:rPr>
        <w:t>perusahaan atau bukan cabang perusahaan yang</w:t>
      </w:r>
      <w:r w:rsidRPr="002C61C9">
        <w:rPr>
          <w:b w:val="0"/>
          <w:lang w:val="en-US"/>
        </w:rPr>
        <w:t xml:space="preserve"> </w:t>
      </w:r>
      <w:r w:rsidRPr="002C61C9">
        <w:rPr>
          <w:b w:val="0"/>
          <w:lang w:val="en-US"/>
        </w:rPr>
        <w:t>dimiliki, dikuasai, atau menjadi bagian baik langsung</w:t>
      </w:r>
      <w:r w:rsidRPr="002C61C9">
        <w:rPr>
          <w:b w:val="0"/>
          <w:lang w:val="en-US"/>
        </w:rPr>
        <w:t xml:space="preserve"> </w:t>
      </w:r>
      <w:r w:rsidRPr="002C61C9">
        <w:rPr>
          <w:b w:val="0"/>
          <w:lang w:val="en-US"/>
        </w:rPr>
        <w:t>maupun tidak langsung dari Usaha Menengah atau</w:t>
      </w:r>
      <w:r w:rsidRPr="002C61C9">
        <w:rPr>
          <w:b w:val="0"/>
          <w:lang w:val="en-US"/>
        </w:rPr>
        <w:t xml:space="preserve"> </w:t>
      </w:r>
      <w:r w:rsidRPr="002C61C9">
        <w:rPr>
          <w:b w:val="0"/>
          <w:lang w:val="en-US"/>
        </w:rPr>
        <w:t>usaha besar yang memenuhi kriteria Usaha Kecil</w:t>
      </w:r>
      <w:r w:rsidRPr="002C61C9">
        <w:rPr>
          <w:b w:val="0"/>
          <w:lang w:val="en-US"/>
        </w:rPr>
        <w:t xml:space="preserve"> </w:t>
      </w:r>
      <w:r w:rsidRPr="002C61C9">
        <w:rPr>
          <w:b w:val="0"/>
          <w:lang w:val="en-US"/>
        </w:rPr>
        <w:t>sebagaimana dimaksud dalam peraturan perundang-undangan mengenai usaha mikro, kecil, dan menengah.</w:t>
      </w:r>
    </w:p>
    <w:p w14:paraId="45884948" w14:textId="77777777" w:rsidR="00234D1F" w:rsidRPr="002C61C9" w:rsidRDefault="00234D1F" w:rsidP="00707E5F">
      <w:pPr>
        <w:pStyle w:val="Bab"/>
        <w:numPr>
          <w:ilvl w:val="2"/>
          <w:numId w:val="6"/>
        </w:numPr>
        <w:ind w:left="1985" w:hanging="425"/>
        <w:jc w:val="both"/>
        <w:rPr>
          <w:b w:val="0"/>
        </w:rPr>
      </w:pPr>
      <w:r w:rsidRPr="002C61C9">
        <w:rPr>
          <w:b w:val="0"/>
          <w:lang w:val="en-US"/>
        </w:rPr>
        <w:t>memiliki:</w:t>
      </w:r>
    </w:p>
    <w:p w14:paraId="1870204E" w14:textId="0E935CAC" w:rsidR="00234D1F" w:rsidRPr="002C61C9" w:rsidRDefault="00234D1F" w:rsidP="00707E5F">
      <w:pPr>
        <w:pStyle w:val="Bab"/>
        <w:numPr>
          <w:ilvl w:val="3"/>
          <w:numId w:val="6"/>
        </w:numPr>
        <w:ind w:left="2410"/>
        <w:jc w:val="both"/>
        <w:rPr>
          <w:b w:val="0"/>
          <w:lang w:val="en-US"/>
        </w:rPr>
      </w:pPr>
      <w:r w:rsidRPr="002C61C9">
        <w:rPr>
          <w:b w:val="0"/>
          <w:lang w:val="en-US"/>
        </w:rPr>
        <w:t>modal usaha lebih dari Rp</w:t>
      </w:r>
      <w:r w:rsidR="002C61C9" w:rsidRPr="002C61C9">
        <w:rPr>
          <w:b w:val="0"/>
          <w:lang w:val="en-US"/>
        </w:rPr>
        <w:t>1</w:t>
      </w:r>
      <w:r w:rsidRPr="002C61C9">
        <w:rPr>
          <w:b w:val="0"/>
          <w:lang w:val="en-US"/>
        </w:rPr>
        <w:t>.000.000.000,00 (</w:t>
      </w:r>
      <w:r w:rsidR="002C61C9" w:rsidRPr="002C61C9">
        <w:rPr>
          <w:b w:val="0"/>
          <w:lang w:val="en-US"/>
        </w:rPr>
        <w:t>satu</w:t>
      </w:r>
      <w:r w:rsidRPr="002C61C9">
        <w:rPr>
          <w:b w:val="0"/>
          <w:lang w:val="en-US"/>
        </w:rPr>
        <w:t xml:space="preserve"> miliar rupiah) sampai dengan paling banyak Rp</w:t>
      </w:r>
      <w:r w:rsidR="002C61C9" w:rsidRPr="002C61C9">
        <w:rPr>
          <w:b w:val="0"/>
          <w:lang w:val="en-US"/>
        </w:rPr>
        <w:t>5</w:t>
      </w:r>
      <w:r w:rsidRPr="002C61C9">
        <w:rPr>
          <w:b w:val="0"/>
          <w:lang w:val="en-US"/>
        </w:rPr>
        <w:t>.000.000.000,00 (</w:t>
      </w:r>
      <w:r w:rsidR="002C61C9" w:rsidRPr="002C61C9">
        <w:rPr>
          <w:b w:val="0"/>
          <w:lang w:val="en-US"/>
        </w:rPr>
        <w:t>lima</w:t>
      </w:r>
      <w:r w:rsidRPr="002C61C9">
        <w:rPr>
          <w:b w:val="0"/>
          <w:lang w:val="en-US"/>
        </w:rPr>
        <w:t xml:space="preserve"> miliar rupiah) tidak termasuk tanah dan bangunan tempat usaha</w:t>
      </w:r>
      <w:r w:rsidR="002C61C9">
        <w:rPr>
          <w:b w:val="0"/>
          <w:lang w:val="en-US"/>
        </w:rPr>
        <w:t>;</w:t>
      </w:r>
      <w:r w:rsidRPr="002C61C9">
        <w:rPr>
          <w:b w:val="0"/>
          <w:lang w:val="en-US"/>
        </w:rPr>
        <w:t xml:space="preserve"> </w:t>
      </w:r>
    </w:p>
    <w:p w14:paraId="20941F50" w14:textId="63086842" w:rsidR="00234D1F" w:rsidRPr="002C61C9" w:rsidRDefault="00234D1F" w:rsidP="00707E5F">
      <w:pPr>
        <w:pStyle w:val="Bab"/>
        <w:numPr>
          <w:ilvl w:val="3"/>
          <w:numId w:val="6"/>
        </w:numPr>
        <w:ind w:left="2410"/>
        <w:jc w:val="both"/>
        <w:rPr>
          <w:b w:val="0"/>
          <w:lang w:val="en-US"/>
        </w:rPr>
      </w:pPr>
      <w:r w:rsidRPr="002C61C9">
        <w:rPr>
          <w:b w:val="0"/>
          <w:lang w:val="en-US"/>
        </w:rPr>
        <w:t>hasil penjualan tahunan lebih dari Rp</w:t>
      </w:r>
      <w:r w:rsidR="002C61C9" w:rsidRPr="002C61C9">
        <w:rPr>
          <w:b w:val="0"/>
          <w:lang w:val="en-US"/>
        </w:rPr>
        <w:t>2</w:t>
      </w:r>
      <w:r w:rsidRPr="002C61C9">
        <w:rPr>
          <w:b w:val="0"/>
          <w:lang w:val="en-US"/>
        </w:rPr>
        <w:t>.000.000.000,</w:t>
      </w:r>
      <w:r w:rsidR="006F39D9">
        <w:rPr>
          <w:b w:val="0"/>
          <w:lang w:val="en-US"/>
        </w:rPr>
        <w:t>0</w:t>
      </w:r>
      <w:r w:rsidRPr="002C61C9">
        <w:rPr>
          <w:b w:val="0"/>
          <w:lang w:val="en-US"/>
        </w:rPr>
        <w:t>0 (</w:t>
      </w:r>
      <w:r w:rsidR="002C61C9" w:rsidRPr="002C61C9">
        <w:rPr>
          <w:b w:val="0"/>
          <w:lang w:val="en-US"/>
        </w:rPr>
        <w:t>dua</w:t>
      </w:r>
      <w:r w:rsidRPr="002C61C9">
        <w:rPr>
          <w:b w:val="0"/>
          <w:lang w:val="en-US"/>
        </w:rPr>
        <w:t xml:space="preserve"> miliar rupiah) sampai dengan paling banyak Rp</w:t>
      </w:r>
      <w:r w:rsidR="002C61C9" w:rsidRPr="002C61C9">
        <w:rPr>
          <w:b w:val="0"/>
          <w:lang w:val="en-US"/>
        </w:rPr>
        <w:t>15</w:t>
      </w:r>
      <w:r w:rsidRPr="002C61C9">
        <w:rPr>
          <w:b w:val="0"/>
          <w:lang w:val="en-US"/>
        </w:rPr>
        <w:t>.000.000</w:t>
      </w:r>
      <w:r w:rsidR="002C61C9" w:rsidRPr="002C61C9">
        <w:rPr>
          <w:b w:val="0"/>
          <w:lang w:val="en-US"/>
        </w:rPr>
        <w:t>.000</w:t>
      </w:r>
      <w:r w:rsidRPr="002C61C9">
        <w:rPr>
          <w:b w:val="0"/>
          <w:lang w:val="en-US"/>
        </w:rPr>
        <w:t xml:space="preserve">,00 (lima </w:t>
      </w:r>
      <w:r w:rsidR="002C61C9" w:rsidRPr="002C61C9">
        <w:rPr>
          <w:b w:val="0"/>
          <w:lang w:val="en-US"/>
        </w:rPr>
        <w:t>belas</w:t>
      </w:r>
      <w:r w:rsidRPr="002C61C9">
        <w:rPr>
          <w:b w:val="0"/>
          <w:lang w:val="en-US"/>
        </w:rPr>
        <w:t xml:space="preserve"> miliar rupiah)</w:t>
      </w:r>
      <w:r w:rsidR="002C61C9">
        <w:rPr>
          <w:b w:val="0"/>
          <w:lang w:val="en-US"/>
        </w:rPr>
        <w:t>,</w:t>
      </w:r>
    </w:p>
    <w:p w14:paraId="4E8A6C02" w14:textId="2FFDE910" w:rsidR="00234D1F" w:rsidRPr="002C61C9" w:rsidRDefault="00234D1F" w:rsidP="00234D1F">
      <w:pPr>
        <w:pStyle w:val="Bab"/>
        <w:numPr>
          <w:ilvl w:val="0"/>
          <w:numId w:val="0"/>
        </w:numPr>
        <w:ind w:left="1985"/>
        <w:jc w:val="both"/>
        <w:rPr>
          <w:b w:val="0"/>
        </w:rPr>
      </w:pPr>
      <w:r w:rsidRPr="002C61C9">
        <w:rPr>
          <w:b w:val="0"/>
          <w:lang w:val="en-US"/>
        </w:rPr>
        <w:t>sebagaimana diatur dalam peraturan perundang-undangan mengenai usaha mikro, kecil, dan menengah.</w:t>
      </w:r>
    </w:p>
    <w:p w14:paraId="09E1D752" w14:textId="34172F62" w:rsidR="00234D1F" w:rsidRPr="002C61C9" w:rsidRDefault="00234D1F" w:rsidP="00707E5F">
      <w:pPr>
        <w:pStyle w:val="Bab"/>
        <w:numPr>
          <w:ilvl w:val="1"/>
          <w:numId w:val="6"/>
        </w:numPr>
        <w:ind w:left="1560"/>
        <w:jc w:val="both"/>
        <w:rPr>
          <w:b w:val="0"/>
        </w:rPr>
      </w:pPr>
      <w:r w:rsidRPr="002C61C9">
        <w:rPr>
          <w:b w:val="0"/>
          <w:lang w:val="en-US"/>
        </w:rPr>
        <w:t xml:space="preserve">Kredit </w:t>
      </w:r>
      <w:r w:rsidR="002C61C9" w:rsidRPr="002C61C9">
        <w:rPr>
          <w:b w:val="0"/>
          <w:lang w:val="en-US"/>
        </w:rPr>
        <w:t>mikro</w:t>
      </w:r>
      <w:r w:rsidRPr="002C61C9">
        <w:rPr>
          <w:b w:val="0"/>
          <w:lang w:val="en-US"/>
        </w:rPr>
        <w:t xml:space="preserve"> merupakan pemberian kredit kepada: </w:t>
      </w:r>
    </w:p>
    <w:p w14:paraId="309FE889" w14:textId="01A88B91" w:rsidR="002C61C9" w:rsidRPr="002C61C9" w:rsidRDefault="002C61C9" w:rsidP="00707E5F">
      <w:pPr>
        <w:pStyle w:val="Bab"/>
        <w:numPr>
          <w:ilvl w:val="2"/>
          <w:numId w:val="6"/>
        </w:numPr>
        <w:ind w:left="1985" w:hanging="425"/>
        <w:jc w:val="both"/>
        <w:rPr>
          <w:b w:val="0"/>
        </w:rPr>
      </w:pPr>
      <w:r w:rsidRPr="002C61C9">
        <w:rPr>
          <w:b w:val="0"/>
          <w:lang w:val="en-US"/>
        </w:rPr>
        <w:t xml:space="preserve">usaha </w:t>
      </w:r>
      <w:r w:rsidRPr="002C61C9">
        <w:rPr>
          <w:b w:val="0"/>
          <w:lang w:val="en-US"/>
        </w:rPr>
        <w:t>produktif</w:t>
      </w:r>
      <w:r w:rsidRPr="002C61C9">
        <w:rPr>
          <w:b w:val="0"/>
          <w:lang w:val="en-US"/>
        </w:rPr>
        <w:t xml:space="preserve"> milik orang</w:t>
      </w:r>
      <w:r w:rsidRPr="002C61C9">
        <w:rPr>
          <w:b w:val="0"/>
          <w:lang w:val="en-US"/>
        </w:rPr>
        <w:t xml:space="preserve"> </w:t>
      </w:r>
      <w:r w:rsidRPr="002C61C9">
        <w:rPr>
          <w:b w:val="0"/>
          <w:lang w:val="en-US"/>
        </w:rPr>
        <w:t>perorangan dan</w:t>
      </w:r>
      <w:r w:rsidRPr="002C61C9">
        <w:rPr>
          <w:b w:val="0"/>
          <w:lang w:val="en-US"/>
        </w:rPr>
        <w:t>/</w:t>
      </w:r>
      <w:r w:rsidRPr="002C61C9">
        <w:rPr>
          <w:b w:val="0"/>
          <w:lang w:val="en-US"/>
        </w:rPr>
        <w:t xml:space="preserve">atau badan usaha </w:t>
      </w:r>
      <w:r w:rsidRPr="002C61C9">
        <w:rPr>
          <w:b w:val="0"/>
          <w:lang w:val="en-US"/>
        </w:rPr>
        <w:t>perorangan m</w:t>
      </w:r>
      <w:r w:rsidRPr="002C61C9">
        <w:rPr>
          <w:b w:val="0"/>
          <w:lang w:val="en-US"/>
        </w:rPr>
        <w:t>emenuhi kriteria Usaha Mikro</w:t>
      </w:r>
      <w:r w:rsidRPr="002C61C9">
        <w:rPr>
          <w:b w:val="0"/>
          <w:lang w:val="en-US"/>
        </w:rPr>
        <w:t xml:space="preserve"> </w:t>
      </w:r>
      <w:r w:rsidRPr="002C61C9">
        <w:rPr>
          <w:b w:val="0"/>
          <w:lang w:val="en-US"/>
        </w:rPr>
        <w:t>sebagaimana diatur dalam peraturan perundang-undangan mengenai usaha mikro, kecil, dan menengah.</w:t>
      </w:r>
    </w:p>
    <w:p w14:paraId="0D72B526" w14:textId="77777777" w:rsidR="00234D1F" w:rsidRPr="002C61C9" w:rsidRDefault="00234D1F" w:rsidP="00707E5F">
      <w:pPr>
        <w:pStyle w:val="Bab"/>
        <w:numPr>
          <w:ilvl w:val="2"/>
          <w:numId w:val="6"/>
        </w:numPr>
        <w:ind w:left="1985" w:hanging="425"/>
        <w:jc w:val="both"/>
        <w:rPr>
          <w:b w:val="0"/>
        </w:rPr>
      </w:pPr>
      <w:r w:rsidRPr="002C61C9">
        <w:rPr>
          <w:b w:val="0"/>
          <w:lang w:val="en-US"/>
        </w:rPr>
        <w:t>memiliki:</w:t>
      </w:r>
    </w:p>
    <w:p w14:paraId="049C2EE7" w14:textId="2F080DF8" w:rsidR="00234D1F" w:rsidRPr="002C61C9" w:rsidRDefault="002C61C9" w:rsidP="00707E5F">
      <w:pPr>
        <w:pStyle w:val="Bab"/>
        <w:numPr>
          <w:ilvl w:val="3"/>
          <w:numId w:val="6"/>
        </w:numPr>
        <w:ind w:left="2410"/>
        <w:jc w:val="both"/>
        <w:rPr>
          <w:b w:val="0"/>
          <w:lang w:val="en-US"/>
        </w:rPr>
      </w:pPr>
      <w:r w:rsidRPr="002C61C9">
        <w:rPr>
          <w:b w:val="0"/>
          <w:lang w:val="en-US"/>
        </w:rPr>
        <w:lastRenderedPageBreak/>
        <w:t>memiliki</w:t>
      </w:r>
      <w:r w:rsidR="00234D1F" w:rsidRPr="002C61C9">
        <w:rPr>
          <w:b w:val="0"/>
          <w:lang w:val="en-US"/>
        </w:rPr>
        <w:t xml:space="preserve"> modal usaha </w:t>
      </w:r>
      <w:r w:rsidRPr="002C61C9">
        <w:rPr>
          <w:b w:val="0"/>
          <w:lang w:val="en-US"/>
        </w:rPr>
        <w:t>kurang</w:t>
      </w:r>
      <w:r w:rsidR="00234D1F" w:rsidRPr="002C61C9">
        <w:rPr>
          <w:b w:val="0"/>
          <w:lang w:val="en-US"/>
        </w:rPr>
        <w:t xml:space="preserve"> dari Rp</w:t>
      </w:r>
      <w:r w:rsidRPr="002C61C9">
        <w:rPr>
          <w:b w:val="0"/>
          <w:lang w:val="en-US"/>
        </w:rPr>
        <w:t>1</w:t>
      </w:r>
      <w:r w:rsidR="00234D1F" w:rsidRPr="002C61C9">
        <w:rPr>
          <w:b w:val="0"/>
          <w:lang w:val="en-US"/>
        </w:rPr>
        <w:t>.000.000.000,00 (</w:t>
      </w:r>
      <w:r w:rsidRPr="002C61C9">
        <w:rPr>
          <w:b w:val="0"/>
          <w:lang w:val="en-US"/>
        </w:rPr>
        <w:t>satu</w:t>
      </w:r>
      <w:r w:rsidR="00234D1F" w:rsidRPr="002C61C9">
        <w:rPr>
          <w:b w:val="0"/>
          <w:lang w:val="en-US"/>
        </w:rPr>
        <w:t xml:space="preserve"> miliar rupiah) tidak termasuk tanah dan bangunan tempat usaha</w:t>
      </w:r>
      <w:r>
        <w:rPr>
          <w:b w:val="0"/>
          <w:lang w:val="en-US"/>
        </w:rPr>
        <w:t>; dan</w:t>
      </w:r>
      <w:r w:rsidR="00234D1F" w:rsidRPr="002C61C9">
        <w:rPr>
          <w:b w:val="0"/>
          <w:lang w:val="en-US"/>
        </w:rPr>
        <w:t xml:space="preserve"> </w:t>
      </w:r>
    </w:p>
    <w:p w14:paraId="76BFFAF4" w14:textId="621D863E" w:rsidR="00234D1F" w:rsidRPr="002C61C9" w:rsidRDefault="00234D1F" w:rsidP="00707E5F">
      <w:pPr>
        <w:pStyle w:val="Bab"/>
        <w:numPr>
          <w:ilvl w:val="3"/>
          <w:numId w:val="6"/>
        </w:numPr>
        <w:ind w:left="2410"/>
        <w:jc w:val="both"/>
        <w:rPr>
          <w:b w:val="0"/>
          <w:lang w:val="en-US"/>
        </w:rPr>
      </w:pPr>
      <w:r w:rsidRPr="002C61C9">
        <w:rPr>
          <w:b w:val="0"/>
          <w:lang w:val="en-US"/>
        </w:rPr>
        <w:t xml:space="preserve">hasil penjualan tahunan </w:t>
      </w:r>
      <w:r w:rsidR="002C61C9" w:rsidRPr="002C61C9">
        <w:rPr>
          <w:b w:val="0"/>
          <w:lang w:val="en-US"/>
        </w:rPr>
        <w:t>kurang</w:t>
      </w:r>
      <w:r w:rsidRPr="002C61C9">
        <w:rPr>
          <w:b w:val="0"/>
          <w:lang w:val="en-US"/>
        </w:rPr>
        <w:t xml:space="preserve"> dari Rp</w:t>
      </w:r>
      <w:r w:rsidR="002C61C9" w:rsidRPr="002C61C9">
        <w:rPr>
          <w:b w:val="0"/>
          <w:lang w:val="en-US"/>
        </w:rPr>
        <w:t>2</w:t>
      </w:r>
      <w:r w:rsidRPr="002C61C9">
        <w:rPr>
          <w:b w:val="0"/>
          <w:lang w:val="en-US"/>
        </w:rPr>
        <w:t>.000.000.000,</w:t>
      </w:r>
      <w:r w:rsidR="006F39D9">
        <w:rPr>
          <w:b w:val="0"/>
          <w:lang w:val="en-US"/>
        </w:rPr>
        <w:t>0</w:t>
      </w:r>
      <w:r w:rsidRPr="002C61C9">
        <w:rPr>
          <w:b w:val="0"/>
          <w:lang w:val="en-US"/>
        </w:rPr>
        <w:t>0 (</w:t>
      </w:r>
      <w:r w:rsidR="002C61C9" w:rsidRPr="002C61C9">
        <w:rPr>
          <w:b w:val="0"/>
          <w:lang w:val="en-US"/>
        </w:rPr>
        <w:t>dua</w:t>
      </w:r>
      <w:r w:rsidRPr="002C61C9">
        <w:rPr>
          <w:b w:val="0"/>
          <w:lang w:val="en-US"/>
        </w:rPr>
        <w:t xml:space="preserve"> miliar rupiah)</w:t>
      </w:r>
      <w:r w:rsidR="002C61C9">
        <w:rPr>
          <w:b w:val="0"/>
          <w:lang w:val="en-US"/>
        </w:rPr>
        <w:t>,</w:t>
      </w:r>
    </w:p>
    <w:p w14:paraId="50D4AC46" w14:textId="53C24253" w:rsidR="00234D1F" w:rsidRPr="00234D1F" w:rsidRDefault="00234D1F" w:rsidP="00234D1F">
      <w:pPr>
        <w:pStyle w:val="Bab"/>
        <w:numPr>
          <w:ilvl w:val="0"/>
          <w:numId w:val="0"/>
        </w:numPr>
        <w:ind w:left="1985"/>
        <w:jc w:val="both"/>
        <w:rPr>
          <w:b w:val="0"/>
        </w:rPr>
      </w:pPr>
      <w:r w:rsidRPr="002C61C9">
        <w:rPr>
          <w:b w:val="0"/>
          <w:lang w:val="en-US"/>
        </w:rPr>
        <w:t>sebagaimana diatur dalam peraturan perundang-undangan mengenai usaha mikro, kecil, dan menengah.</w:t>
      </w:r>
    </w:p>
    <w:p w14:paraId="745FE616" w14:textId="0927331B" w:rsidR="00B57881" w:rsidRPr="00234D1F" w:rsidRDefault="0045202C" w:rsidP="00707E5F">
      <w:pPr>
        <w:pStyle w:val="Bab"/>
        <w:numPr>
          <w:ilvl w:val="1"/>
          <w:numId w:val="6"/>
        </w:numPr>
        <w:ind w:left="1560"/>
        <w:jc w:val="both"/>
        <w:rPr>
          <w:b w:val="0"/>
          <w:color w:val="FF0000"/>
          <w:lang w:val="en-US"/>
        </w:rPr>
      </w:pPr>
      <w:bookmarkStart w:id="31" w:name="_Toc138270886"/>
      <w:bookmarkEnd w:id="30"/>
      <w:r>
        <w:rPr>
          <w:b w:val="0"/>
          <w:lang w:val="en-US"/>
        </w:rPr>
        <w:t xml:space="preserve">Kredit </w:t>
      </w:r>
      <w:r w:rsidR="008C50F6">
        <w:rPr>
          <w:b w:val="0"/>
          <w:lang w:val="en-US"/>
        </w:rPr>
        <w:t>KPR/KPA</w:t>
      </w:r>
      <w:r w:rsidR="00956233" w:rsidRPr="008C50F6">
        <w:rPr>
          <w:b w:val="0"/>
          <w:color w:val="000000" w:themeColor="text1"/>
          <w:lang w:val="en-US"/>
        </w:rPr>
        <w:t xml:space="preserve">. </w:t>
      </w:r>
      <w:bookmarkEnd w:id="31"/>
      <w:r w:rsidR="00B57881" w:rsidRPr="008C50F6">
        <w:rPr>
          <w:b w:val="0"/>
          <w:color w:val="000000" w:themeColor="text1"/>
          <w:lang w:val="en-US"/>
        </w:rPr>
        <w:t>Definisi kredit KPR</w:t>
      </w:r>
      <w:r w:rsidR="00534AEE" w:rsidRPr="008C50F6">
        <w:rPr>
          <w:b w:val="0"/>
          <w:color w:val="000000" w:themeColor="text1"/>
          <w:lang w:val="en-US"/>
        </w:rPr>
        <w:t>/KPA</w:t>
      </w:r>
      <w:r w:rsidR="00B57881" w:rsidRPr="008C50F6">
        <w:rPr>
          <w:b w:val="0"/>
          <w:color w:val="000000" w:themeColor="text1"/>
          <w:lang w:val="en-US"/>
        </w:rPr>
        <w:t xml:space="preserve"> sejalan dengan kredit dengan jenis penggunaan modal kerja dan investasi dengan sektor ekonomi mengenai rumah tangga untuk pemilikan rumah tinggal serta flat dan apartemen</w:t>
      </w:r>
      <w:r w:rsidR="00CE50CF" w:rsidRPr="008C50F6">
        <w:rPr>
          <w:b w:val="0"/>
          <w:color w:val="000000" w:themeColor="text1"/>
          <w:lang w:val="en-US"/>
        </w:rPr>
        <w:t xml:space="preserve"> pada ketentuan otoritas moneter tentang Laporan Bank Umum Terintegrasi</w:t>
      </w:r>
      <w:r w:rsidR="00B57881" w:rsidRPr="008C50F6">
        <w:rPr>
          <w:b w:val="0"/>
          <w:color w:val="000000" w:themeColor="text1"/>
          <w:lang w:val="en-US"/>
        </w:rPr>
        <w:t xml:space="preserve">. </w:t>
      </w:r>
    </w:p>
    <w:p w14:paraId="20E853E7" w14:textId="5A2F316D" w:rsidR="00234D1F" w:rsidRPr="00234D1F" w:rsidRDefault="00234D1F" w:rsidP="00707E5F">
      <w:pPr>
        <w:pStyle w:val="Bab"/>
        <w:numPr>
          <w:ilvl w:val="1"/>
          <w:numId w:val="6"/>
        </w:numPr>
        <w:ind w:left="1560"/>
        <w:jc w:val="both"/>
        <w:rPr>
          <w:b w:val="0"/>
          <w:lang w:val="en-US"/>
        </w:rPr>
      </w:pPr>
      <w:r w:rsidRPr="00234D1F">
        <w:rPr>
          <w:b w:val="0"/>
          <w:lang w:val="en-US"/>
        </w:rPr>
        <w:t xml:space="preserve">Kredit Non KPR/KPA. Kredit </w:t>
      </w:r>
      <w:r w:rsidRPr="00234D1F">
        <w:rPr>
          <w:b w:val="0"/>
          <w:lang w:val="en-US"/>
        </w:rPr>
        <w:t>Non KPR/KPA</w:t>
      </w:r>
      <w:r w:rsidRPr="00234D1F">
        <w:rPr>
          <w:b w:val="0"/>
          <w:lang w:val="en-US"/>
        </w:rPr>
        <w:t xml:space="preserve"> merupakan kredit konsumtif yang tidak termasuk dalam Kredit KPR/KPA. </w:t>
      </w:r>
      <w:r w:rsidRPr="00234D1F">
        <w:rPr>
          <w:b w:val="0"/>
          <w:lang w:val="en-US"/>
        </w:rPr>
        <w:t>Kredit Non KPR/KPA</w:t>
      </w:r>
      <w:r w:rsidRPr="00234D1F">
        <w:rPr>
          <w:b w:val="0"/>
          <w:lang w:val="en-US"/>
        </w:rPr>
        <w:t xml:space="preserve"> antara lain kartu kredit, kredit multi guna, dan kredit tanpa agunan. </w:t>
      </w:r>
    </w:p>
    <w:p w14:paraId="6EF4876C" w14:textId="6CDDDE6C" w:rsidR="00736C17" w:rsidRDefault="00736C17" w:rsidP="00707E5F">
      <w:pPr>
        <w:pStyle w:val="Bab"/>
        <w:numPr>
          <w:ilvl w:val="0"/>
          <w:numId w:val="6"/>
        </w:numPr>
        <w:jc w:val="both"/>
        <w:rPr>
          <w:b w:val="0"/>
          <w:color w:val="000000" w:themeColor="text1"/>
          <w:lang w:val="en-US"/>
        </w:rPr>
      </w:pPr>
      <w:r w:rsidRPr="00DE3B18">
        <w:rPr>
          <w:b w:val="0"/>
          <w:lang w:val="en-US"/>
        </w:rPr>
        <w:t>B</w:t>
      </w:r>
      <w:r>
        <w:rPr>
          <w:b w:val="0"/>
          <w:lang w:val="en-US"/>
        </w:rPr>
        <w:t xml:space="preserve">UK yang </w:t>
      </w:r>
      <w:r w:rsidRPr="00DE3B18">
        <w:rPr>
          <w:b w:val="0"/>
          <w:lang w:val="en-US"/>
        </w:rPr>
        <w:t xml:space="preserve">tidak menyalurkan kredit pada segmen </w:t>
      </w:r>
      <w:r>
        <w:rPr>
          <w:b w:val="0"/>
          <w:lang w:val="en-US"/>
        </w:rPr>
        <w:t>“xxx”</w:t>
      </w:r>
      <w:r w:rsidRPr="00DE3B18">
        <w:rPr>
          <w:b w:val="0"/>
          <w:lang w:val="en-US"/>
        </w:rPr>
        <w:t xml:space="preserve">, </w:t>
      </w:r>
      <w:r>
        <w:rPr>
          <w:b w:val="0"/>
          <w:lang w:val="en-US"/>
        </w:rPr>
        <w:t>maka</w:t>
      </w:r>
      <w:r w:rsidRPr="00DE3B18">
        <w:rPr>
          <w:b w:val="0"/>
          <w:lang w:val="en-US"/>
        </w:rPr>
        <w:t xml:space="preserve"> </w:t>
      </w:r>
      <w:r w:rsidRPr="00A23E22">
        <w:rPr>
          <w:b w:val="0"/>
          <w:color w:val="000000" w:themeColor="text1"/>
          <w:lang w:val="en-US"/>
        </w:rPr>
        <w:t xml:space="preserve">persentase SBDK pada segmen tersebut diisi </w:t>
      </w:r>
      <w:r>
        <w:rPr>
          <w:b w:val="0"/>
          <w:color w:val="000000" w:themeColor="text1"/>
          <w:lang w:val="en-US"/>
        </w:rPr>
        <w:t>“</w:t>
      </w:r>
      <w:r w:rsidRPr="00A23E22">
        <w:rPr>
          <w:b w:val="0"/>
          <w:color w:val="000000" w:themeColor="text1"/>
          <w:lang w:val="en-US"/>
        </w:rPr>
        <w:t>N/A</w:t>
      </w:r>
      <w:r>
        <w:rPr>
          <w:b w:val="0"/>
          <w:color w:val="000000" w:themeColor="text1"/>
          <w:lang w:val="en-US"/>
        </w:rPr>
        <w:t>”</w:t>
      </w:r>
      <w:r w:rsidRPr="00A23E22">
        <w:rPr>
          <w:b w:val="0"/>
          <w:color w:val="000000" w:themeColor="text1"/>
          <w:lang w:val="en-US"/>
        </w:rPr>
        <w:t>.</w:t>
      </w:r>
    </w:p>
    <w:p w14:paraId="334817DE" w14:textId="77777777" w:rsidR="002E50CC" w:rsidRDefault="002E50CC" w:rsidP="00707E5F">
      <w:pPr>
        <w:pStyle w:val="Bab"/>
        <w:numPr>
          <w:ilvl w:val="0"/>
          <w:numId w:val="6"/>
        </w:numPr>
        <w:jc w:val="both"/>
        <w:rPr>
          <w:b w:val="0"/>
          <w:lang w:val="en-US"/>
        </w:rPr>
      </w:pPr>
      <w:bookmarkStart w:id="32" w:name="_Toc138270975"/>
      <w:r>
        <w:rPr>
          <w:b w:val="0"/>
          <w:lang w:val="en-US"/>
        </w:rPr>
        <w:t>Persentase SBDK diisi dengan cara disetahunkan (</w:t>
      </w:r>
      <w:r>
        <w:rPr>
          <w:b w:val="0"/>
          <w:i/>
          <w:lang w:val="en-US"/>
        </w:rPr>
        <w:t>annualized</w:t>
      </w:r>
      <w:r>
        <w:rPr>
          <w:b w:val="0"/>
          <w:lang w:val="en-US"/>
        </w:rPr>
        <w:t>) dengan contoh pengisian sebagai berikut:</w:t>
      </w:r>
      <w:bookmarkEnd w:id="32"/>
    </w:p>
    <w:tbl>
      <w:tblPr>
        <w:tblStyle w:val="TableGrid"/>
        <w:tblW w:w="8315" w:type="dxa"/>
        <w:tblInd w:w="1129" w:type="dxa"/>
        <w:tblLook w:val="04A0" w:firstRow="1" w:lastRow="0" w:firstColumn="1" w:lastColumn="0" w:noHBand="0" w:noVBand="1"/>
      </w:tblPr>
      <w:tblGrid>
        <w:gridCol w:w="4268"/>
        <w:gridCol w:w="4047"/>
      </w:tblGrid>
      <w:tr w:rsidR="002E50CC" w14:paraId="06025F84" w14:textId="77777777" w:rsidTr="002E50CC">
        <w:trPr>
          <w:trHeight w:val="222"/>
        </w:trPr>
        <w:tc>
          <w:tcPr>
            <w:tcW w:w="4268" w:type="dxa"/>
            <w:shd w:val="clear" w:color="auto" w:fill="D9D9D9" w:themeFill="background1" w:themeFillShade="D9"/>
          </w:tcPr>
          <w:p w14:paraId="6FC873B7" w14:textId="77777777" w:rsidR="002E50CC" w:rsidRPr="008A56AA" w:rsidRDefault="002E50CC" w:rsidP="00027A07">
            <w:pPr>
              <w:pStyle w:val="Bab"/>
              <w:numPr>
                <w:ilvl w:val="0"/>
                <w:numId w:val="0"/>
              </w:numPr>
              <w:jc w:val="center"/>
              <w:rPr>
                <w:lang w:val="en-US"/>
              </w:rPr>
            </w:pPr>
            <w:bookmarkStart w:id="33" w:name="_Toc138270976"/>
            <w:r w:rsidRPr="008A56AA">
              <w:rPr>
                <w:lang w:val="en-US"/>
              </w:rPr>
              <w:t>Persentase Efektif pertahun</w:t>
            </w:r>
            <w:bookmarkEnd w:id="33"/>
          </w:p>
        </w:tc>
        <w:tc>
          <w:tcPr>
            <w:tcW w:w="4047" w:type="dxa"/>
            <w:shd w:val="clear" w:color="auto" w:fill="D9D9D9" w:themeFill="background1" w:themeFillShade="D9"/>
          </w:tcPr>
          <w:p w14:paraId="780C2C09" w14:textId="77777777" w:rsidR="002E50CC" w:rsidRPr="008A56AA" w:rsidRDefault="002E50CC" w:rsidP="00027A07">
            <w:pPr>
              <w:pStyle w:val="Bab"/>
              <w:numPr>
                <w:ilvl w:val="0"/>
                <w:numId w:val="0"/>
              </w:numPr>
              <w:jc w:val="center"/>
              <w:rPr>
                <w:lang w:val="en-US"/>
              </w:rPr>
            </w:pPr>
            <w:bookmarkStart w:id="34" w:name="_Toc138270977"/>
            <w:r w:rsidRPr="008A56AA">
              <w:rPr>
                <w:lang w:val="en-US"/>
              </w:rPr>
              <w:t>Diisi</w:t>
            </w:r>
            <w:bookmarkEnd w:id="34"/>
          </w:p>
        </w:tc>
      </w:tr>
      <w:tr w:rsidR="002E50CC" w14:paraId="0DF2D407" w14:textId="77777777" w:rsidTr="002E50CC">
        <w:trPr>
          <w:trHeight w:val="231"/>
        </w:trPr>
        <w:tc>
          <w:tcPr>
            <w:tcW w:w="4268" w:type="dxa"/>
          </w:tcPr>
          <w:p w14:paraId="24170360" w14:textId="16E6E94C" w:rsidR="002E50CC" w:rsidRDefault="002E50CC" w:rsidP="00027A07">
            <w:pPr>
              <w:pStyle w:val="Bab"/>
              <w:numPr>
                <w:ilvl w:val="0"/>
                <w:numId w:val="0"/>
              </w:numPr>
              <w:jc w:val="center"/>
              <w:rPr>
                <w:b w:val="0"/>
                <w:lang w:val="en-US"/>
              </w:rPr>
            </w:pPr>
            <w:bookmarkStart w:id="35" w:name="_Toc138270978"/>
            <w:r>
              <w:rPr>
                <w:b w:val="0"/>
                <w:lang w:val="en-US"/>
              </w:rPr>
              <w:t>0,21%</w:t>
            </w:r>
            <w:bookmarkEnd w:id="35"/>
          </w:p>
        </w:tc>
        <w:tc>
          <w:tcPr>
            <w:tcW w:w="4047" w:type="dxa"/>
          </w:tcPr>
          <w:p w14:paraId="21E94B19" w14:textId="77777777" w:rsidR="002E50CC" w:rsidRDefault="002E50CC" w:rsidP="00027A07">
            <w:pPr>
              <w:pStyle w:val="Bab"/>
              <w:numPr>
                <w:ilvl w:val="0"/>
                <w:numId w:val="0"/>
              </w:numPr>
              <w:jc w:val="center"/>
              <w:rPr>
                <w:b w:val="0"/>
                <w:lang w:val="en-US"/>
              </w:rPr>
            </w:pPr>
            <w:bookmarkStart w:id="36" w:name="_Toc138270979"/>
            <w:r>
              <w:rPr>
                <w:b w:val="0"/>
                <w:lang w:val="en-US"/>
              </w:rPr>
              <w:t>0.21</w:t>
            </w:r>
            <w:bookmarkEnd w:id="36"/>
          </w:p>
        </w:tc>
      </w:tr>
      <w:tr w:rsidR="002E50CC" w14:paraId="309F88AB" w14:textId="77777777" w:rsidTr="002E50CC">
        <w:trPr>
          <w:trHeight w:val="222"/>
        </w:trPr>
        <w:tc>
          <w:tcPr>
            <w:tcW w:w="4268" w:type="dxa"/>
          </w:tcPr>
          <w:p w14:paraId="37BCD122" w14:textId="4950D40C" w:rsidR="002E50CC" w:rsidRDefault="002E50CC" w:rsidP="00027A07">
            <w:pPr>
              <w:pStyle w:val="Bab"/>
              <w:numPr>
                <w:ilvl w:val="0"/>
                <w:numId w:val="0"/>
              </w:numPr>
              <w:jc w:val="center"/>
              <w:rPr>
                <w:b w:val="0"/>
                <w:lang w:val="en-US"/>
              </w:rPr>
            </w:pPr>
            <w:bookmarkStart w:id="37" w:name="_Toc138270980"/>
            <w:r>
              <w:rPr>
                <w:b w:val="0"/>
                <w:lang w:val="en-US"/>
              </w:rPr>
              <w:t>3%</w:t>
            </w:r>
            <w:bookmarkEnd w:id="37"/>
          </w:p>
        </w:tc>
        <w:tc>
          <w:tcPr>
            <w:tcW w:w="4047" w:type="dxa"/>
          </w:tcPr>
          <w:p w14:paraId="61AFCEDB" w14:textId="77777777" w:rsidR="002E50CC" w:rsidRDefault="002E50CC" w:rsidP="00027A07">
            <w:pPr>
              <w:pStyle w:val="Bab"/>
              <w:numPr>
                <w:ilvl w:val="0"/>
                <w:numId w:val="0"/>
              </w:numPr>
              <w:jc w:val="center"/>
              <w:rPr>
                <w:b w:val="0"/>
                <w:lang w:val="en-US"/>
              </w:rPr>
            </w:pPr>
            <w:bookmarkStart w:id="38" w:name="_Toc138270981"/>
            <w:r>
              <w:rPr>
                <w:b w:val="0"/>
                <w:lang w:val="en-US"/>
              </w:rPr>
              <w:t>3.00</w:t>
            </w:r>
            <w:bookmarkEnd w:id="38"/>
          </w:p>
        </w:tc>
      </w:tr>
      <w:tr w:rsidR="002E50CC" w14:paraId="155ED66A" w14:textId="77777777" w:rsidTr="002E50CC">
        <w:trPr>
          <w:trHeight w:val="222"/>
        </w:trPr>
        <w:tc>
          <w:tcPr>
            <w:tcW w:w="4268" w:type="dxa"/>
          </w:tcPr>
          <w:p w14:paraId="734ACB2E" w14:textId="19FA5674" w:rsidR="002E50CC" w:rsidRDefault="002E50CC" w:rsidP="00027A07">
            <w:pPr>
              <w:pStyle w:val="Bab"/>
              <w:numPr>
                <w:ilvl w:val="0"/>
                <w:numId w:val="0"/>
              </w:numPr>
              <w:jc w:val="center"/>
              <w:rPr>
                <w:b w:val="0"/>
                <w:lang w:val="en-US"/>
              </w:rPr>
            </w:pPr>
            <w:bookmarkStart w:id="39" w:name="_Toc138270982"/>
            <w:r>
              <w:rPr>
                <w:b w:val="0"/>
                <w:lang w:val="en-US"/>
              </w:rPr>
              <w:t>9,40%</w:t>
            </w:r>
            <w:bookmarkEnd w:id="39"/>
          </w:p>
        </w:tc>
        <w:tc>
          <w:tcPr>
            <w:tcW w:w="4047" w:type="dxa"/>
          </w:tcPr>
          <w:p w14:paraId="1761935B" w14:textId="77777777" w:rsidR="002E50CC" w:rsidRDefault="002E50CC" w:rsidP="00027A07">
            <w:pPr>
              <w:pStyle w:val="Bab"/>
              <w:numPr>
                <w:ilvl w:val="0"/>
                <w:numId w:val="0"/>
              </w:numPr>
              <w:jc w:val="center"/>
              <w:rPr>
                <w:b w:val="0"/>
                <w:lang w:val="en-US"/>
              </w:rPr>
            </w:pPr>
            <w:bookmarkStart w:id="40" w:name="_Toc138270983"/>
            <w:r>
              <w:rPr>
                <w:b w:val="0"/>
                <w:lang w:val="en-US"/>
              </w:rPr>
              <w:t>9.40</w:t>
            </w:r>
            <w:bookmarkEnd w:id="40"/>
          </w:p>
        </w:tc>
      </w:tr>
      <w:tr w:rsidR="002E50CC" w14:paraId="2FFCFAAC" w14:textId="77777777" w:rsidTr="002E50CC">
        <w:trPr>
          <w:trHeight w:val="231"/>
        </w:trPr>
        <w:tc>
          <w:tcPr>
            <w:tcW w:w="4268" w:type="dxa"/>
          </w:tcPr>
          <w:p w14:paraId="72545781" w14:textId="11164A72" w:rsidR="002E50CC" w:rsidRDefault="002E50CC" w:rsidP="00027A07">
            <w:pPr>
              <w:pStyle w:val="Bab"/>
              <w:numPr>
                <w:ilvl w:val="0"/>
                <w:numId w:val="0"/>
              </w:numPr>
              <w:jc w:val="center"/>
              <w:rPr>
                <w:b w:val="0"/>
                <w:lang w:val="en-US"/>
              </w:rPr>
            </w:pPr>
            <w:bookmarkStart w:id="41" w:name="_Toc138270984"/>
            <w:r>
              <w:rPr>
                <w:b w:val="0"/>
                <w:lang w:val="en-US"/>
              </w:rPr>
              <w:t>1,64%</w:t>
            </w:r>
            <w:bookmarkEnd w:id="41"/>
          </w:p>
        </w:tc>
        <w:tc>
          <w:tcPr>
            <w:tcW w:w="4047" w:type="dxa"/>
          </w:tcPr>
          <w:p w14:paraId="28ADD624" w14:textId="77777777" w:rsidR="002E50CC" w:rsidRDefault="002E50CC" w:rsidP="00027A07">
            <w:pPr>
              <w:pStyle w:val="Bab"/>
              <w:numPr>
                <w:ilvl w:val="0"/>
                <w:numId w:val="0"/>
              </w:numPr>
              <w:jc w:val="center"/>
              <w:rPr>
                <w:b w:val="0"/>
                <w:lang w:val="en-US"/>
              </w:rPr>
            </w:pPr>
            <w:bookmarkStart w:id="42" w:name="_Toc138270985"/>
            <w:r>
              <w:rPr>
                <w:b w:val="0"/>
                <w:lang w:val="en-US"/>
              </w:rPr>
              <w:t>1.64</w:t>
            </w:r>
            <w:bookmarkEnd w:id="42"/>
          </w:p>
        </w:tc>
      </w:tr>
      <w:tr w:rsidR="002E50CC" w14:paraId="02755E1C" w14:textId="77777777" w:rsidTr="002E50CC">
        <w:trPr>
          <w:trHeight w:val="222"/>
        </w:trPr>
        <w:tc>
          <w:tcPr>
            <w:tcW w:w="4268" w:type="dxa"/>
          </w:tcPr>
          <w:p w14:paraId="172958ED" w14:textId="3D18FCAC" w:rsidR="002E50CC" w:rsidRDefault="002E50CC" w:rsidP="00027A07">
            <w:pPr>
              <w:pStyle w:val="Bab"/>
              <w:numPr>
                <w:ilvl w:val="0"/>
                <w:numId w:val="0"/>
              </w:numPr>
              <w:jc w:val="center"/>
              <w:rPr>
                <w:b w:val="0"/>
                <w:lang w:val="en-US"/>
              </w:rPr>
            </w:pPr>
            <w:bookmarkStart w:id="43" w:name="_Toc138270986"/>
            <w:r>
              <w:rPr>
                <w:b w:val="0"/>
                <w:lang w:val="en-US"/>
              </w:rPr>
              <w:t>30,04%</w:t>
            </w:r>
            <w:bookmarkEnd w:id="43"/>
          </w:p>
        </w:tc>
        <w:tc>
          <w:tcPr>
            <w:tcW w:w="4047" w:type="dxa"/>
          </w:tcPr>
          <w:p w14:paraId="284537AB" w14:textId="77777777" w:rsidR="002E50CC" w:rsidRDefault="002E50CC" w:rsidP="00027A07">
            <w:pPr>
              <w:pStyle w:val="Bab"/>
              <w:numPr>
                <w:ilvl w:val="0"/>
                <w:numId w:val="0"/>
              </w:numPr>
              <w:jc w:val="center"/>
              <w:rPr>
                <w:b w:val="0"/>
                <w:lang w:val="en-US"/>
              </w:rPr>
            </w:pPr>
            <w:bookmarkStart w:id="44" w:name="_Toc138270987"/>
            <w:r>
              <w:rPr>
                <w:b w:val="0"/>
                <w:lang w:val="en-US"/>
              </w:rPr>
              <w:t>30.04</w:t>
            </w:r>
            <w:bookmarkEnd w:id="44"/>
          </w:p>
        </w:tc>
      </w:tr>
    </w:tbl>
    <w:p w14:paraId="62CC421E" w14:textId="381C9B5B" w:rsidR="00736C17" w:rsidRDefault="00736C17" w:rsidP="00623C22">
      <w:pPr>
        <w:pStyle w:val="Bab"/>
        <w:numPr>
          <w:ilvl w:val="0"/>
          <w:numId w:val="0"/>
        </w:numPr>
        <w:ind w:left="720" w:hanging="360"/>
        <w:rPr>
          <w:color w:val="FF0000"/>
        </w:rPr>
      </w:pPr>
    </w:p>
    <w:p w14:paraId="3C80B45F" w14:textId="77777777" w:rsidR="00736C17" w:rsidRPr="00B57881" w:rsidRDefault="00736C17" w:rsidP="00623C22">
      <w:pPr>
        <w:pStyle w:val="Bab"/>
        <w:numPr>
          <w:ilvl w:val="0"/>
          <w:numId w:val="0"/>
        </w:numPr>
        <w:ind w:left="720" w:hanging="360"/>
        <w:rPr>
          <w:color w:val="FF0000"/>
        </w:rPr>
      </w:pPr>
    </w:p>
    <w:p w14:paraId="1E7063CC" w14:textId="508239C8" w:rsidR="00250600" w:rsidRPr="00250600" w:rsidRDefault="00250600" w:rsidP="00250600">
      <w:pPr>
        <w:pStyle w:val="Bab"/>
      </w:pPr>
      <w:bookmarkStart w:id="45" w:name="_Toc138270889"/>
      <w:r>
        <w:rPr>
          <w:lang w:val="en-US"/>
        </w:rPr>
        <w:t xml:space="preserve">Pengumuman </w:t>
      </w:r>
      <w:r w:rsidR="002E50CC">
        <w:rPr>
          <w:lang w:val="en-US"/>
        </w:rPr>
        <w:t xml:space="preserve">Laporan Publikasi </w:t>
      </w:r>
      <w:r>
        <w:rPr>
          <w:lang w:val="en-US"/>
        </w:rPr>
        <w:t>SBDK</w:t>
      </w:r>
      <w:bookmarkEnd w:id="45"/>
      <w:r>
        <w:rPr>
          <w:lang w:val="en-US"/>
        </w:rPr>
        <w:t xml:space="preserve"> </w:t>
      </w:r>
      <w:r w:rsidR="002E50CC">
        <w:rPr>
          <w:lang w:val="en-US"/>
        </w:rPr>
        <w:t>kepada Masyarakat</w:t>
      </w:r>
    </w:p>
    <w:p w14:paraId="785A757D" w14:textId="2B4E1C43" w:rsidR="00736C17" w:rsidRDefault="00736C17" w:rsidP="00707E5F">
      <w:pPr>
        <w:pStyle w:val="Bab"/>
        <w:numPr>
          <w:ilvl w:val="0"/>
          <w:numId w:val="7"/>
        </w:numPr>
        <w:rPr>
          <w:b w:val="0"/>
          <w:lang w:val="en-US"/>
        </w:rPr>
      </w:pPr>
      <w:bookmarkStart w:id="46" w:name="_Toc138270890"/>
      <w:r>
        <w:rPr>
          <w:b w:val="0"/>
          <w:lang w:val="en-US"/>
        </w:rPr>
        <w:t xml:space="preserve">Format </w:t>
      </w:r>
      <w:r w:rsidR="002E50CC">
        <w:rPr>
          <w:b w:val="0"/>
          <w:lang w:val="en-US"/>
        </w:rPr>
        <w:t xml:space="preserve">Pengumuman Laporan Publikasi </w:t>
      </w:r>
      <w:r>
        <w:rPr>
          <w:b w:val="0"/>
          <w:lang w:val="en-US"/>
        </w:rPr>
        <w:t>SBDK</w:t>
      </w:r>
      <w:r w:rsidR="002E50CC">
        <w:rPr>
          <w:b w:val="0"/>
          <w:lang w:val="en-US"/>
        </w:rPr>
        <w:t xml:space="preserve"> kepada Masyarakat</w:t>
      </w:r>
    </w:p>
    <w:p w14:paraId="3D3ABF12" w14:textId="75A5E54B" w:rsidR="00234D1F" w:rsidRPr="00234D1F" w:rsidRDefault="00234D1F" w:rsidP="00736C17">
      <w:pPr>
        <w:pStyle w:val="Bab"/>
        <w:numPr>
          <w:ilvl w:val="0"/>
          <w:numId w:val="0"/>
        </w:numPr>
        <w:ind w:left="1080"/>
        <w:rPr>
          <w:b w:val="0"/>
          <w:lang w:val="en-US"/>
        </w:rPr>
      </w:pPr>
      <w:r w:rsidRPr="00234D1F">
        <w:rPr>
          <w:b w:val="0"/>
          <w:lang w:val="en-US"/>
        </w:rPr>
        <w:t>Format SBDK yang diumumkan kepada masyarakat melalui situs web dan papan pengumuman di setiap kantor BUK adalah sebagai berikut:</w:t>
      </w:r>
    </w:p>
    <w:p w14:paraId="11C0DCA6" w14:textId="7E067069" w:rsidR="00234D1F" w:rsidRDefault="00234D1F" w:rsidP="00234D1F">
      <w:pPr>
        <w:pStyle w:val="Bab"/>
        <w:numPr>
          <w:ilvl w:val="1"/>
          <w:numId w:val="1"/>
        </w:numPr>
        <w:jc w:val="both"/>
        <w:rPr>
          <w:b w:val="0"/>
          <w:lang w:val="en-US"/>
        </w:rPr>
      </w:pPr>
      <w:r>
        <w:rPr>
          <w:b w:val="0"/>
          <w:lang w:val="en-US"/>
        </w:rPr>
        <w:t>Pengungkapan Kuantitatif</w:t>
      </w:r>
    </w:p>
    <w:p w14:paraId="5CEBAD20" w14:textId="0FD5F496" w:rsidR="00234D1F" w:rsidRDefault="0050192B" w:rsidP="00234D1F">
      <w:pPr>
        <w:pStyle w:val="Bab"/>
        <w:numPr>
          <w:ilvl w:val="0"/>
          <w:numId w:val="0"/>
        </w:numPr>
        <w:ind w:left="1498"/>
        <w:jc w:val="both"/>
        <w:rPr>
          <w:b w:val="0"/>
          <w:lang w:val="en-US"/>
        </w:rPr>
      </w:pPr>
      <w:r w:rsidRPr="0050192B">
        <w:rPr>
          <w:b w:val="0"/>
          <w:noProof/>
          <w:lang w:val="en-US"/>
        </w:rPr>
        <w:drawing>
          <wp:inline distT="0" distB="0" distL="0" distR="0" wp14:anchorId="782EA813" wp14:editId="2B950D2A">
            <wp:extent cx="5042805" cy="2145974"/>
            <wp:effectExtent l="0" t="0" r="5715"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50591" cy="2149287"/>
                    </a:xfrm>
                    <a:prstGeom prst="rect">
                      <a:avLst/>
                    </a:prstGeom>
                    <a:noFill/>
                    <a:ln>
                      <a:noFill/>
                    </a:ln>
                  </pic:spPr>
                </pic:pic>
              </a:graphicData>
            </a:graphic>
          </wp:inline>
        </w:drawing>
      </w:r>
    </w:p>
    <w:p w14:paraId="585D7D90" w14:textId="77777777" w:rsidR="00234D1F" w:rsidRDefault="00234D1F" w:rsidP="00234D1F">
      <w:pPr>
        <w:pStyle w:val="Bab"/>
        <w:numPr>
          <w:ilvl w:val="1"/>
          <w:numId w:val="1"/>
        </w:numPr>
        <w:jc w:val="both"/>
        <w:rPr>
          <w:b w:val="0"/>
          <w:lang w:val="en-US"/>
        </w:rPr>
      </w:pPr>
      <w:r>
        <w:rPr>
          <w:b w:val="0"/>
          <w:lang w:val="en-US"/>
        </w:rPr>
        <w:t>Pengungkapan Kualitatif</w:t>
      </w:r>
    </w:p>
    <w:p w14:paraId="15A6EE75" w14:textId="77777777" w:rsidR="00234D1F" w:rsidRDefault="00234D1F" w:rsidP="00736C17">
      <w:pPr>
        <w:pStyle w:val="Bab"/>
        <w:numPr>
          <w:ilvl w:val="0"/>
          <w:numId w:val="0"/>
        </w:numPr>
        <w:ind w:left="1440"/>
        <w:jc w:val="both"/>
        <w:rPr>
          <w:b w:val="0"/>
          <w:lang w:val="en-US"/>
        </w:rPr>
      </w:pPr>
      <w:r w:rsidRPr="00A23E22">
        <w:rPr>
          <w:b w:val="0"/>
          <w:noProof/>
          <w:lang w:val="en-US"/>
        </w:rPr>
        <w:drawing>
          <wp:inline distT="0" distB="0" distL="0" distR="0" wp14:anchorId="4016BC9F" wp14:editId="2CBC3107">
            <wp:extent cx="5092700" cy="99979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39016" cy="1008887"/>
                    </a:xfrm>
                    <a:prstGeom prst="rect">
                      <a:avLst/>
                    </a:prstGeom>
                    <a:noFill/>
                    <a:ln>
                      <a:noFill/>
                    </a:ln>
                  </pic:spPr>
                </pic:pic>
              </a:graphicData>
            </a:graphic>
          </wp:inline>
        </w:drawing>
      </w:r>
    </w:p>
    <w:p w14:paraId="7C49C8F2" w14:textId="4F5BB190" w:rsidR="006A1DE2" w:rsidRDefault="006A1DE2" w:rsidP="006A1DE2">
      <w:pPr>
        <w:pStyle w:val="Bab"/>
        <w:numPr>
          <w:ilvl w:val="0"/>
          <w:numId w:val="0"/>
        </w:numPr>
        <w:ind w:left="1498"/>
        <w:jc w:val="both"/>
        <w:rPr>
          <w:b w:val="0"/>
          <w:lang w:val="en-US"/>
        </w:rPr>
      </w:pPr>
      <w:bookmarkStart w:id="47" w:name="_Toc138270922"/>
      <w:bookmarkEnd w:id="46"/>
    </w:p>
    <w:p w14:paraId="253B9064" w14:textId="079DD459" w:rsidR="00736C17" w:rsidRDefault="00736C17" w:rsidP="00707E5F">
      <w:pPr>
        <w:pStyle w:val="Bab"/>
        <w:numPr>
          <w:ilvl w:val="0"/>
          <w:numId w:val="7"/>
        </w:numPr>
        <w:jc w:val="both"/>
        <w:rPr>
          <w:b w:val="0"/>
          <w:lang w:val="en-US"/>
        </w:rPr>
      </w:pPr>
      <w:r>
        <w:rPr>
          <w:b w:val="0"/>
          <w:lang w:val="en-US"/>
        </w:rPr>
        <w:t>Petunjuk Pengisian</w:t>
      </w:r>
    </w:p>
    <w:p w14:paraId="3D8EA459" w14:textId="35FC259C" w:rsidR="0018361C" w:rsidRDefault="00C302AF" w:rsidP="00707E5F">
      <w:pPr>
        <w:pStyle w:val="Bab"/>
        <w:numPr>
          <w:ilvl w:val="1"/>
          <w:numId w:val="7"/>
        </w:numPr>
        <w:ind w:left="1418"/>
        <w:jc w:val="both"/>
        <w:rPr>
          <w:b w:val="0"/>
          <w:lang w:val="en-US"/>
        </w:rPr>
      </w:pPr>
      <w:r>
        <w:rPr>
          <w:b w:val="0"/>
          <w:lang w:val="en-US"/>
        </w:rPr>
        <w:t>Dalam mengumumkan SBDK, BUK mencantumkan klausul sebagai berikut:</w:t>
      </w:r>
      <w:bookmarkEnd w:id="47"/>
    </w:p>
    <w:p w14:paraId="48EAAF4A" w14:textId="64EDDF09" w:rsidR="00DE3B18" w:rsidRPr="00DE3B18" w:rsidRDefault="00DE3B18" w:rsidP="00707E5F">
      <w:pPr>
        <w:pStyle w:val="Bab"/>
        <w:numPr>
          <w:ilvl w:val="3"/>
          <w:numId w:val="9"/>
        </w:numPr>
        <w:ind w:left="1843"/>
        <w:jc w:val="both"/>
        <w:rPr>
          <w:b w:val="0"/>
          <w:lang w:val="en-US"/>
        </w:rPr>
      </w:pPr>
      <w:bookmarkStart w:id="48" w:name="_Toc138270923"/>
      <w:r w:rsidRPr="00DE3B18">
        <w:rPr>
          <w:b w:val="0"/>
          <w:lang w:val="en-US"/>
        </w:rPr>
        <w:t xml:space="preserve">Suku Bunga Dasar Kredit (SBDK) ditentukan Bank berdasarkan berbagai faktor, diantaranya suku bunga acuan yang ditetapkan oleh otoritas yang berwenang, </w:t>
      </w:r>
      <w:r w:rsidR="002D7F15">
        <w:rPr>
          <w:b w:val="0"/>
          <w:lang w:val="en-US"/>
        </w:rPr>
        <w:t>Harga Pokok Dasar Kredit (</w:t>
      </w:r>
      <w:r w:rsidR="002D7F15">
        <w:rPr>
          <w:b w:val="0"/>
          <w:i/>
          <w:lang w:val="en-US"/>
        </w:rPr>
        <w:t>Cost of Funds</w:t>
      </w:r>
      <w:r w:rsidR="002D7F15">
        <w:rPr>
          <w:b w:val="0"/>
          <w:lang w:val="en-US"/>
        </w:rPr>
        <w:t>)</w:t>
      </w:r>
      <w:r w:rsidRPr="00DE3B18">
        <w:rPr>
          <w:b w:val="0"/>
          <w:lang w:val="en-US"/>
        </w:rPr>
        <w:t xml:space="preserve">, </w:t>
      </w:r>
      <w:r w:rsidR="002D7F15" w:rsidRPr="00DE3B18">
        <w:rPr>
          <w:b w:val="0"/>
          <w:lang w:val="en-US"/>
        </w:rPr>
        <w:t xml:space="preserve">Biaya </w:t>
      </w:r>
      <w:r w:rsidR="002D7F15" w:rsidRPr="002D7F15">
        <w:rPr>
          <w:b w:val="0"/>
          <w:i/>
          <w:lang w:val="en-US"/>
        </w:rPr>
        <w:t>Overhead</w:t>
      </w:r>
      <w:r w:rsidRPr="00DE3B18">
        <w:rPr>
          <w:b w:val="0"/>
          <w:lang w:val="en-US"/>
        </w:rPr>
        <w:t xml:space="preserve">, </w:t>
      </w:r>
      <w:r w:rsidR="002D7F15" w:rsidRPr="00DE3B18">
        <w:rPr>
          <w:b w:val="0"/>
          <w:lang w:val="en-US"/>
        </w:rPr>
        <w:t>Marjin Keuntungan</w:t>
      </w:r>
      <w:r w:rsidRPr="00DE3B18">
        <w:rPr>
          <w:b w:val="0"/>
          <w:lang w:val="en-US"/>
        </w:rPr>
        <w:t xml:space="preserve">, dan perkembangan kondisi ekonomi. </w:t>
      </w:r>
    </w:p>
    <w:p w14:paraId="6E5381FF" w14:textId="77777777" w:rsidR="00DE3B18" w:rsidRPr="00DE3B18" w:rsidRDefault="00DE3B18" w:rsidP="00707E5F">
      <w:pPr>
        <w:pStyle w:val="Bab"/>
        <w:numPr>
          <w:ilvl w:val="3"/>
          <w:numId w:val="9"/>
        </w:numPr>
        <w:ind w:left="1843"/>
        <w:jc w:val="both"/>
        <w:rPr>
          <w:b w:val="0"/>
          <w:lang w:val="en-US"/>
        </w:rPr>
      </w:pPr>
      <w:r w:rsidRPr="00DE3B18">
        <w:rPr>
          <w:b w:val="0"/>
          <w:lang w:val="en-US"/>
        </w:rPr>
        <w:t>Suku Bunga Dasar Kredit (SBDK) belum memperhitungkan komponen estimasi premi risiko yang besarnya tergantung dari penilaian Bank terhadap risiko untuk masing-masing debitur atau kelompok debitur.</w:t>
      </w:r>
    </w:p>
    <w:p w14:paraId="269DE307" w14:textId="69A07D95" w:rsidR="0050192B" w:rsidRDefault="0050192B" w:rsidP="00707E5F">
      <w:pPr>
        <w:pStyle w:val="Bab"/>
        <w:numPr>
          <w:ilvl w:val="1"/>
          <w:numId w:val="7"/>
        </w:numPr>
        <w:ind w:left="1418"/>
        <w:jc w:val="both"/>
        <w:rPr>
          <w:b w:val="0"/>
          <w:color w:val="000000" w:themeColor="text1"/>
          <w:lang w:val="en-US"/>
        </w:rPr>
      </w:pPr>
      <w:bookmarkStart w:id="49" w:name="_Toc138270927"/>
      <w:bookmarkEnd w:id="48"/>
      <w:r w:rsidRPr="00736C17">
        <w:rPr>
          <w:b w:val="0"/>
          <w:lang w:val="en-US"/>
        </w:rPr>
        <w:t>Pengumuman</w:t>
      </w:r>
      <w:r>
        <w:rPr>
          <w:b w:val="0"/>
          <w:color w:val="000000" w:themeColor="text1"/>
          <w:lang w:val="en-US"/>
        </w:rPr>
        <w:t xml:space="preserve"> SBDK di kanal digital minimal mencakup </w:t>
      </w:r>
      <w:r w:rsidR="00736C17">
        <w:rPr>
          <w:b w:val="0"/>
          <w:color w:val="000000" w:themeColor="text1"/>
          <w:lang w:val="en-US"/>
        </w:rPr>
        <w:t>SBDK</w:t>
      </w:r>
      <w:r w:rsidR="00736C17">
        <w:rPr>
          <w:b w:val="0"/>
          <w:color w:val="000000" w:themeColor="text1"/>
          <w:lang w:val="en-US"/>
        </w:rPr>
        <w:t xml:space="preserve"> per </w:t>
      </w:r>
      <w:r w:rsidR="00C374E2">
        <w:rPr>
          <w:b w:val="0"/>
          <w:color w:val="000000" w:themeColor="text1"/>
          <w:lang w:val="en-US"/>
        </w:rPr>
        <w:t xml:space="preserve">segmen kredit. </w:t>
      </w:r>
    </w:p>
    <w:p w14:paraId="2AF3AF2B" w14:textId="122F10D8" w:rsidR="00C302AF" w:rsidRDefault="00AF3262" w:rsidP="00707E5F">
      <w:pPr>
        <w:pStyle w:val="Bab"/>
        <w:numPr>
          <w:ilvl w:val="1"/>
          <w:numId w:val="7"/>
        </w:numPr>
        <w:ind w:left="1418"/>
        <w:jc w:val="both"/>
        <w:rPr>
          <w:b w:val="0"/>
          <w:lang w:val="en-US"/>
        </w:rPr>
      </w:pPr>
      <w:r>
        <w:rPr>
          <w:b w:val="0"/>
          <w:lang w:val="en-US"/>
        </w:rPr>
        <w:t>BUK</w:t>
      </w:r>
      <w:r w:rsidR="00C21D3E">
        <w:rPr>
          <w:b w:val="0"/>
          <w:lang w:val="en-US"/>
        </w:rPr>
        <w:t xml:space="preserve"> mencantumkan waktu pengkinian informasi SBDK terakhir dalam media pengumuman baik situs web </w:t>
      </w:r>
      <w:r w:rsidR="00A23E22">
        <w:rPr>
          <w:b w:val="0"/>
          <w:lang w:val="en-US"/>
        </w:rPr>
        <w:t>BUK</w:t>
      </w:r>
      <w:r w:rsidR="00C21D3E">
        <w:rPr>
          <w:b w:val="0"/>
          <w:lang w:val="en-US"/>
        </w:rPr>
        <w:t xml:space="preserve">, setiap kantor </w:t>
      </w:r>
      <w:r w:rsidR="00A23E22">
        <w:rPr>
          <w:b w:val="0"/>
          <w:lang w:val="en-US"/>
        </w:rPr>
        <w:t>BUK</w:t>
      </w:r>
      <w:r w:rsidR="00C21D3E">
        <w:rPr>
          <w:b w:val="0"/>
          <w:lang w:val="en-US"/>
        </w:rPr>
        <w:t xml:space="preserve">, dan kanal digital </w:t>
      </w:r>
      <w:r w:rsidR="00A23E22">
        <w:rPr>
          <w:b w:val="0"/>
          <w:lang w:val="en-US"/>
        </w:rPr>
        <w:t>BUK</w:t>
      </w:r>
      <w:r w:rsidR="00C21D3E">
        <w:rPr>
          <w:b w:val="0"/>
          <w:lang w:val="en-US"/>
        </w:rPr>
        <w:t>.</w:t>
      </w:r>
      <w:bookmarkEnd w:id="49"/>
    </w:p>
    <w:p w14:paraId="21054730" w14:textId="77777777" w:rsidR="008A56AA" w:rsidRDefault="008A56AA" w:rsidP="00063F44">
      <w:pPr>
        <w:pStyle w:val="Bab"/>
        <w:numPr>
          <w:ilvl w:val="0"/>
          <w:numId w:val="0"/>
        </w:numPr>
        <w:ind w:left="720" w:hanging="360"/>
        <w:jc w:val="both"/>
        <w:rPr>
          <w:b w:val="0"/>
          <w:lang w:val="en-US"/>
        </w:rPr>
      </w:pPr>
    </w:p>
    <w:p w14:paraId="6288BC20" w14:textId="77777777" w:rsidR="000577F0" w:rsidRDefault="000577F0" w:rsidP="000577F0">
      <w:pPr>
        <w:pStyle w:val="Bab"/>
        <w:numPr>
          <w:ilvl w:val="0"/>
          <w:numId w:val="0"/>
        </w:numPr>
        <w:ind w:left="720" w:hanging="360"/>
        <w:jc w:val="both"/>
        <w:rPr>
          <w:b w:val="0"/>
          <w:lang w:val="en-US"/>
        </w:rPr>
      </w:pPr>
    </w:p>
    <w:p w14:paraId="32A6009A" w14:textId="77777777" w:rsidR="000577F0" w:rsidRPr="00250600" w:rsidRDefault="000577F0" w:rsidP="000577F0">
      <w:pPr>
        <w:pStyle w:val="Bab"/>
      </w:pPr>
      <w:bookmarkStart w:id="50" w:name="_Toc138270942"/>
      <w:r>
        <w:rPr>
          <w:lang w:val="en-US"/>
        </w:rPr>
        <w:t>Penyampaian SBDK</w:t>
      </w:r>
      <w:r w:rsidR="00063F44">
        <w:rPr>
          <w:lang w:val="en-US"/>
        </w:rPr>
        <w:t xml:space="preserve"> kepada Otoritas Jasa Keuangan</w:t>
      </w:r>
      <w:bookmarkEnd w:id="50"/>
      <w:r>
        <w:rPr>
          <w:lang w:val="en-US"/>
        </w:rPr>
        <w:t xml:space="preserve"> </w:t>
      </w:r>
    </w:p>
    <w:p w14:paraId="218E563C" w14:textId="77777777" w:rsidR="002E50CC" w:rsidRPr="002E50CC" w:rsidRDefault="002E50CC" w:rsidP="00707E5F">
      <w:pPr>
        <w:pStyle w:val="Bab"/>
        <w:numPr>
          <w:ilvl w:val="0"/>
          <w:numId w:val="8"/>
        </w:numPr>
        <w:jc w:val="both"/>
        <w:rPr>
          <w:b w:val="0"/>
          <w:lang w:val="en-US"/>
        </w:rPr>
      </w:pPr>
      <w:bookmarkStart w:id="51" w:name="_Toc138270968"/>
      <w:r w:rsidRPr="002E50CC">
        <w:rPr>
          <w:b w:val="0"/>
          <w:lang w:val="en-US"/>
        </w:rPr>
        <w:t xml:space="preserve">Format Penyampaian SBDK kepada Otoritas Jasa Keuangan </w:t>
      </w:r>
    </w:p>
    <w:p w14:paraId="62C36135" w14:textId="61BDE5B9" w:rsidR="002E50CC" w:rsidRPr="002E50CC" w:rsidRDefault="002E50CC" w:rsidP="002E50CC">
      <w:pPr>
        <w:pStyle w:val="Bab"/>
        <w:numPr>
          <w:ilvl w:val="0"/>
          <w:numId w:val="0"/>
        </w:numPr>
        <w:ind w:left="1080"/>
        <w:jc w:val="both"/>
        <w:rPr>
          <w:b w:val="0"/>
          <w:lang w:val="en-US"/>
        </w:rPr>
      </w:pPr>
      <w:r w:rsidRPr="002E50CC">
        <w:rPr>
          <w:b w:val="0"/>
          <w:lang w:val="en-US"/>
        </w:rPr>
        <w:t>Format Laporan Publikasi SBDK yang disampaikan kepada Otoritas Jasa Keuangan adalah sebagai berikut:</w:t>
      </w:r>
    </w:p>
    <w:p w14:paraId="7C75168D" w14:textId="77777777" w:rsidR="002E50CC" w:rsidRDefault="002E50CC" w:rsidP="002E50CC">
      <w:pPr>
        <w:pStyle w:val="Bab"/>
        <w:numPr>
          <w:ilvl w:val="1"/>
          <w:numId w:val="1"/>
        </w:numPr>
        <w:jc w:val="both"/>
        <w:rPr>
          <w:b w:val="0"/>
          <w:lang w:val="en-US"/>
        </w:rPr>
      </w:pPr>
      <w:r>
        <w:rPr>
          <w:b w:val="0"/>
          <w:lang w:val="en-US"/>
        </w:rPr>
        <w:t>Pengungkapan Kuantitatif</w:t>
      </w:r>
    </w:p>
    <w:p w14:paraId="32EF196F" w14:textId="77777777" w:rsidR="002E50CC" w:rsidRDefault="002E50CC" w:rsidP="002E50CC">
      <w:pPr>
        <w:pStyle w:val="Bab"/>
        <w:numPr>
          <w:ilvl w:val="0"/>
          <w:numId w:val="0"/>
        </w:numPr>
        <w:ind w:left="1418"/>
        <w:jc w:val="both"/>
        <w:rPr>
          <w:b w:val="0"/>
          <w:lang w:val="en-US"/>
        </w:rPr>
      </w:pPr>
      <w:r w:rsidRPr="00040056">
        <w:rPr>
          <w:b w:val="0"/>
          <w:noProof/>
          <w:lang w:val="en-US"/>
        </w:rPr>
        <w:drawing>
          <wp:inline distT="0" distB="0" distL="0" distR="0" wp14:anchorId="0EAA5A67" wp14:editId="385AD472">
            <wp:extent cx="5190499" cy="306027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14370" cy="3074351"/>
                    </a:xfrm>
                    <a:prstGeom prst="rect">
                      <a:avLst/>
                    </a:prstGeom>
                    <a:noFill/>
                    <a:ln>
                      <a:noFill/>
                    </a:ln>
                  </pic:spPr>
                </pic:pic>
              </a:graphicData>
            </a:graphic>
          </wp:inline>
        </w:drawing>
      </w:r>
    </w:p>
    <w:p w14:paraId="19AF74B1" w14:textId="77777777" w:rsidR="002E50CC" w:rsidRDefault="002E50CC" w:rsidP="002E50CC">
      <w:pPr>
        <w:pStyle w:val="Bab"/>
        <w:numPr>
          <w:ilvl w:val="1"/>
          <w:numId w:val="1"/>
        </w:numPr>
        <w:jc w:val="both"/>
        <w:rPr>
          <w:b w:val="0"/>
          <w:lang w:val="en-US"/>
        </w:rPr>
      </w:pPr>
      <w:r>
        <w:rPr>
          <w:b w:val="0"/>
          <w:lang w:val="en-US"/>
        </w:rPr>
        <w:t>Pengungkapan Kualitatif</w:t>
      </w:r>
    </w:p>
    <w:p w14:paraId="7B1C7B12" w14:textId="77777777" w:rsidR="002E50CC" w:rsidRPr="00A23E22" w:rsidRDefault="002E50CC" w:rsidP="002E50CC">
      <w:pPr>
        <w:pStyle w:val="Bab"/>
        <w:numPr>
          <w:ilvl w:val="0"/>
          <w:numId w:val="0"/>
        </w:numPr>
        <w:ind w:left="1418"/>
        <w:jc w:val="both"/>
        <w:rPr>
          <w:b w:val="0"/>
          <w:lang w:val="en-US"/>
        </w:rPr>
      </w:pPr>
      <w:r w:rsidRPr="00A23E22">
        <w:rPr>
          <w:b w:val="0"/>
          <w:noProof/>
          <w:lang w:val="en-US"/>
        </w:rPr>
        <w:drawing>
          <wp:inline distT="0" distB="0" distL="0" distR="0" wp14:anchorId="0F94E7A4" wp14:editId="7BE1029E">
            <wp:extent cx="5218381" cy="1024467"/>
            <wp:effectExtent l="0" t="0" r="1905"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39061" cy="1028527"/>
                    </a:xfrm>
                    <a:prstGeom prst="rect">
                      <a:avLst/>
                    </a:prstGeom>
                    <a:noFill/>
                    <a:ln>
                      <a:noFill/>
                    </a:ln>
                  </pic:spPr>
                </pic:pic>
              </a:graphicData>
            </a:graphic>
          </wp:inline>
        </w:drawing>
      </w:r>
    </w:p>
    <w:p w14:paraId="1C7E44D5" w14:textId="30E171D6" w:rsidR="002E50CC" w:rsidRDefault="002E50CC" w:rsidP="00707E5F">
      <w:pPr>
        <w:pStyle w:val="Bab"/>
        <w:numPr>
          <w:ilvl w:val="0"/>
          <w:numId w:val="8"/>
        </w:numPr>
        <w:jc w:val="both"/>
        <w:rPr>
          <w:b w:val="0"/>
          <w:lang w:val="en-US"/>
        </w:rPr>
      </w:pPr>
      <w:r>
        <w:rPr>
          <w:b w:val="0"/>
          <w:lang w:val="en-US"/>
        </w:rPr>
        <w:t>Petunjuk Pengisian</w:t>
      </w:r>
    </w:p>
    <w:p w14:paraId="1F1FF6C6" w14:textId="77777777" w:rsidR="006F2D7C" w:rsidRDefault="006F2D7C" w:rsidP="00707E5F">
      <w:pPr>
        <w:pStyle w:val="Bab"/>
        <w:numPr>
          <w:ilvl w:val="1"/>
          <w:numId w:val="8"/>
        </w:numPr>
        <w:ind w:left="1418"/>
        <w:jc w:val="both"/>
        <w:rPr>
          <w:b w:val="0"/>
          <w:lang w:val="en-US"/>
        </w:rPr>
      </w:pPr>
      <w:bookmarkStart w:id="52" w:name="_Toc138270989"/>
      <w:bookmarkEnd w:id="51"/>
      <w:r>
        <w:rPr>
          <w:b w:val="0"/>
          <w:lang w:val="en-US"/>
        </w:rPr>
        <w:t>Harga Pokok Dana Kredit (HPDK)</w:t>
      </w:r>
      <w:bookmarkEnd w:id="52"/>
    </w:p>
    <w:p w14:paraId="284AD16A" w14:textId="77777777" w:rsidR="006F2D7C" w:rsidRPr="00A23E22" w:rsidRDefault="006F2D7C" w:rsidP="003D1385">
      <w:pPr>
        <w:pStyle w:val="Bab"/>
        <w:numPr>
          <w:ilvl w:val="0"/>
          <w:numId w:val="0"/>
        </w:numPr>
        <w:ind w:left="1440"/>
        <w:jc w:val="both"/>
        <w:rPr>
          <w:b w:val="0"/>
          <w:color w:val="000000" w:themeColor="text1"/>
          <w:lang w:val="en-US"/>
        </w:rPr>
      </w:pPr>
      <w:bookmarkStart w:id="53" w:name="_Toc138270990"/>
      <w:r>
        <w:rPr>
          <w:b w:val="0"/>
          <w:lang w:val="en-US"/>
        </w:rPr>
        <w:lastRenderedPageBreak/>
        <w:t xml:space="preserve">HPDK merupakan beban/biaya yang timbul </w:t>
      </w:r>
      <w:r w:rsidR="00C17CE3">
        <w:rPr>
          <w:b w:val="0"/>
          <w:lang w:val="en-US"/>
        </w:rPr>
        <w:t xml:space="preserve">dari kegiatan penghimpunan dana yang terdiri dari biaya dana, biaya jasa, biaya regulasi, dan </w:t>
      </w:r>
      <w:r w:rsidR="00C17CE3" w:rsidRPr="00A23E22">
        <w:rPr>
          <w:b w:val="0"/>
          <w:color w:val="000000" w:themeColor="text1"/>
          <w:lang w:val="en-US"/>
        </w:rPr>
        <w:t>HPDK lain.</w:t>
      </w:r>
      <w:bookmarkEnd w:id="53"/>
      <w:r w:rsidR="00C17CE3" w:rsidRPr="00A23E22">
        <w:rPr>
          <w:b w:val="0"/>
          <w:color w:val="000000" w:themeColor="text1"/>
          <w:lang w:val="en-US"/>
        </w:rPr>
        <w:t xml:space="preserve"> </w:t>
      </w:r>
    </w:p>
    <w:p w14:paraId="59508DEC" w14:textId="6C4D9C20" w:rsidR="00C17CE3" w:rsidRPr="00A23E22" w:rsidRDefault="00F307C6" w:rsidP="003D1385">
      <w:pPr>
        <w:pStyle w:val="Bab"/>
        <w:numPr>
          <w:ilvl w:val="0"/>
          <w:numId w:val="0"/>
        </w:numPr>
        <w:ind w:left="1800" w:hanging="360"/>
        <w:jc w:val="both"/>
        <w:rPr>
          <w:b w:val="0"/>
          <w:color w:val="000000" w:themeColor="text1"/>
          <w:lang w:val="en-US"/>
        </w:rPr>
      </w:pPr>
      <w:bookmarkStart w:id="54" w:name="_Toc138270991"/>
      <w:r>
        <w:rPr>
          <w:b w:val="0"/>
          <w:color w:val="000000" w:themeColor="text1"/>
          <w:lang w:val="en-US"/>
        </w:rPr>
        <w:t>A</w:t>
      </w:r>
      <w:r w:rsidR="00C17CE3" w:rsidRPr="00A23E22">
        <w:rPr>
          <w:b w:val="0"/>
          <w:color w:val="000000" w:themeColor="text1"/>
          <w:lang w:val="en-US"/>
        </w:rPr>
        <w:t>dapun perhitungan HPDK dirinci sebagai berikut:</w:t>
      </w:r>
      <w:bookmarkEnd w:id="54"/>
    </w:p>
    <w:p w14:paraId="02617C57" w14:textId="49553205" w:rsidR="00C17CE3" w:rsidRPr="00A23E22" w:rsidRDefault="00676782" w:rsidP="00707E5F">
      <w:pPr>
        <w:pStyle w:val="Bab"/>
        <w:numPr>
          <w:ilvl w:val="3"/>
          <w:numId w:val="8"/>
        </w:numPr>
        <w:ind w:left="1843"/>
        <w:jc w:val="both"/>
        <w:rPr>
          <w:b w:val="0"/>
          <w:color w:val="000000" w:themeColor="text1"/>
          <w:lang w:val="en-US"/>
        </w:rPr>
      </w:pPr>
      <w:bookmarkStart w:id="55" w:name="_Toc138270992"/>
      <w:r>
        <w:rPr>
          <w:b w:val="0"/>
          <w:color w:val="000000" w:themeColor="text1"/>
          <w:lang w:val="en-US"/>
        </w:rPr>
        <w:t>B</w:t>
      </w:r>
      <w:r w:rsidR="00C17CE3" w:rsidRPr="00A23E22">
        <w:rPr>
          <w:b w:val="0"/>
          <w:color w:val="000000" w:themeColor="text1"/>
          <w:lang w:val="en-US"/>
        </w:rPr>
        <w:t>iaya dana yaitu biaya dari l</w:t>
      </w:r>
      <w:r w:rsidR="001228DB" w:rsidRPr="00A23E22">
        <w:rPr>
          <w:b w:val="0"/>
          <w:color w:val="000000" w:themeColor="text1"/>
          <w:lang w:val="en-US"/>
        </w:rPr>
        <w:t>iabilitas BUK kepada penduduk maupun bukan penduduk berupa biaya bunga</w:t>
      </w:r>
      <w:r w:rsidR="00D66E91" w:rsidRPr="00A23E22">
        <w:rPr>
          <w:b w:val="0"/>
          <w:color w:val="000000" w:themeColor="text1"/>
          <w:lang w:val="en-US"/>
        </w:rPr>
        <w:t xml:space="preserve"> yang dialokasi</w:t>
      </w:r>
      <w:r w:rsidR="00DB2262" w:rsidRPr="00A23E22">
        <w:rPr>
          <w:b w:val="0"/>
          <w:color w:val="000000" w:themeColor="text1"/>
          <w:lang w:val="en-US"/>
        </w:rPr>
        <w:t>kan ke kredit</w:t>
      </w:r>
      <w:r w:rsidR="001228DB" w:rsidRPr="00A23E22">
        <w:rPr>
          <w:b w:val="0"/>
          <w:color w:val="000000" w:themeColor="text1"/>
          <w:lang w:val="en-US"/>
        </w:rPr>
        <w:t xml:space="preserve"> yang timbul dari liabilitas kepada pihak ketiga, dan liabilitas biaya bunga lain, dengan rincian sebagai berikut:</w:t>
      </w:r>
      <w:bookmarkEnd w:id="55"/>
    </w:p>
    <w:p w14:paraId="019F49E5" w14:textId="3D9A7EAF" w:rsidR="006440C2" w:rsidRPr="00A23E22" w:rsidRDefault="00676782" w:rsidP="00707E5F">
      <w:pPr>
        <w:pStyle w:val="Bab"/>
        <w:numPr>
          <w:ilvl w:val="4"/>
          <w:numId w:val="8"/>
        </w:numPr>
        <w:ind w:left="2268" w:hanging="425"/>
        <w:jc w:val="both"/>
        <w:rPr>
          <w:b w:val="0"/>
          <w:color w:val="000000" w:themeColor="text1"/>
          <w:lang w:val="en-US"/>
        </w:rPr>
      </w:pPr>
      <w:bookmarkStart w:id="56" w:name="_Toc138270993"/>
      <w:r>
        <w:rPr>
          <w:b w:val="0"/>
          <w:color w:val="000000" w:themeColor="text1"/>
          <w:lang w:val="en-US"/>
        </w:rPr>
        <w:t>B</w:t>
      </w:r>
      <w:r w:rsidR="006440C2" w:rsidRPr="00A23E22">
        <w:rPr>
          <w:b w:val="0"/>
          <w:color w:val="000000" w:themeColor="text1"/>
          <w:lang w:val="en-US"/>
        </w:rPr>
        <w:t>iaya dana pihak ketiga yaitu seluruh biaya bunga yang dialokasikan ke kredit atas kewajiban bank kepada pihak ketiga bukan bank dalam bentuk giro, tabungan, dan deposito.</w:t>
      </w:r>
    </w:p>
    <w:p w14:paraId="64B7B4D8" w14:textId="33B011FA" w:rsidR="00DE3B18" w:rsidRPr="00A23E22" w:rsidRDefault="00676782" w:rsidP="00707E5F">
      <w:pPr>
        <w:pStyle w:val="Bab"/>
        <w:numPr>
          <w:ilvl w:val="5"/>
          <w:numId w:val="10"/>
        </w:numPr>
        <w:ind w:left="2694" w:hanging="425"/>
        <w:jc w:val="both"/>
        <w:rPr>
          <w:b w:val="0"/>
          <w:color w:val="000000" w:themeColor="text1"/>
          <w:lang w:val="en-US"/>
        </w:rPr>
      </w:pPr>
      <w:r>
        <w:rPr>
          <w:b w:val="0"/>
          <w:color w:val="000000" w:themeColor="text1"/>
          <w:lang w:val="en-US"/>
        </w:rPr>
        <w:t>B</w:t>
      </w:r>
      <w:r w:rsidR="00DE3B18" w:rsidRPr="00A23E22">
        <w:rPr>
          <w:b w:val="0"/>
          <w:color w:val="000000" w:themeColor="text1"/>
          <w:lang w:val="en-US"/>
        </w:rPr>
        <w:t>iaya dana pihak ketiga selain biaya GWM dan biaya penjaminan LPS yaitu seluruh biaya bunga yang dialokasikan ke kredit atas kewajiban bank kepada pihak ketiga bukan bank dalam bentuk giro, tabungan, dan deposito. Pos ini harus sejalan dengan sandi 05.11.03.01.01.00, 05.11.03.02.01.00, 05.11.03.03.01.00 pada ketentuan otoritas moneter tentang Laporan Bank Umum Terintegrasi tidak termasuk biaya GWM dan Biaya Premi Lembaga Penjamin Simpanan.</w:t>
      </w:r>
    </w:p>
    <w:p w14:paraId="70EBD4C4" w14:textId="310CBCA0" w:rsidR="00F2732A" w:rsidRPr="00A23E22" w:rsidRDefault="00676782" w:rsidP="00707E5F">
      <w:pPr>
        <w:pStyle w:val="Bab"/>
        <w:numPr>
          <w:ilvl w:val="5"/>
          <w:numId w:val="10"/>
        </w:numPr>
        <w:ind w:left="2694" w:hanging="425"/>
        <w:jc w:val="both"/>
        <w:rPr>
          <w:b w:val="0"/>
          <w:color w:val="000000" w:themeColor="text1"/>
          <w:lang w:val="en-US"/>
        </w:rPr>
      </w:pPr>
      <w:r>
        <w:rPr>
          <w:b w:val="0"/>
          <w:color w:val="000000" w:themeColor="text1"/>
          <w:lang w:val="en-US"/>
        </w:rPr>
        <w:t>B</w:t>
      </w:r>
      <w:r w:rsidR="00F2732A" w:rsidRPr="00A23E22">
        <w:rPr>
          <w:b w:val="0"/>
          <w:color w:val="000000" w:themeColor="text1"/>
          <w:lang w:val="en-US"/>
        </w:rPr>
        <w:t xml:space="preserve">iaya Giro Wajib Minimum (GWM) merupakan </w:t>
      </w:r>
      <w:r w:rsidR="00DE3B18" w:rsidRPr="00A23E22">
        <w:rPr>
          <w:b w:val="0"/>
          <w:color w:val="000000" w:themeColor="text1"/>
          <w:lang w:val="en-US"/>
        </w:rPr>
        <w:t xml:space="preserve">sebagaimana dimaksud pada peraturan otoritas moneter yang mengatur mengenai giro wajib minimum. </w:t>
      </w:r>
      <w:r>
        <w:rPr>
          <w:b w:val="0"/>
          <w:color w:val="000000" w:themeColor="text1"/>
          <w:lang w:val="en-US"/>
        </w:rPr>
        <w:t>B</w:t>
      </w:r>
      <w:r w:rsidR="00DE3B18" w:rsidRPr="00A23E22">
        <w:rPr>
          <w:b w:val="0"/>
          <w:color w:val="000000" w:themeColor="text1"/>
          <w:lang w:val="en-US"/>
        </w:rPr>
        <w:t xml:space="preserve">iaya GWM ini merupakan biaya GWM </w:t>
      </w:r>
      <w:r w:rsidR="00F2732A" w:rsidRPr="00A23E22">
        <w:rPr>
          <w:b w:val="0"/>
          <w:color w:val="000000" w:themeColor="text1"/>
          <w:lang w:val="en-US"/>
        </w:rPr>
        <w:t>yang dialokasikan ke HPDK.</w:t>
      </w:r>
    </w:p>
    <w:p w14:paraId="224E6821" w14:textId="4462E765" w:rsidR="00F2732A" w:rsidRPr="00A23E22" w:rsidRDefault="00676782" w:rsidP="00707E5F">
      <w:pPr>
        <w:pStyle w:val="Bab"/>
        <w:numPr>
          <w:ilvl w:val="5"/>
          <w:numId w:val="10"/>
        </w:numPr>
        <w:ind w:left="2694" w:hanging="425"/>
        <w:jc w:val="both"/>
        <w:rPr>
          <w:b w:val="0"/>
          <w:color w:val="000000" w:themeColor="text1"/>
          <w:lang w:val="en-US"/>
        </w:rPr>
      </w:pPr>
      <w:r>
        <w:rPr>
          <w:b w:val="0"/>
          <w:color w:val="000000" w:themeColor="text1"/>
          <w:lang w:val="en-US"/>
        </w:rPr>
        <w:t>B</w:t>
      </w:r>
      <w:r w:rsidR="00F2732A" w:rsidRPr="00A23E22">
        <w:rPr>
          <w:b w:val="0"/>
          <w:color w:val="000000" w:themeColor="text1"/>
          <w:lang w:val="en-US"/>
        </w:rPr>
        <w:t>iaya premi Lembaga Penjamin Simpanan</w:t>
      </w:r>
      <w:r>
        <w:rPr>
          <w:b w:val="0"/>
          <w:color w:val="000000" w:themeColor="text1"/>
          <w:lang w:val="en-US"/>
        </w:rPr>
        <w:t xml:space="preserve"> (LPS)</w:t>
      </w:r>
      <w:r w:rsidR="00F2732A" w:rsidRPr="00A23E22">
        <w:rPr>
          <w:b w:val="0"/>
          <w:color w:val="000000" w:themeColor="text1"/>
          <w:lang w:val="en-US"/>
        </w:rPr>
        <w:t xml:space="preserve"> merupakan </w:t>
      </w:r>
      <w:r w:rsidR="00DE3B18" w:rsidRPr="00A23E22">
        <w:rPr>
          <w:b w:val="0"/>
          <w:color w:val="000000" w:themeColor="text1"/>
          <w:lang w:val="en-US"/>
        </w:rPr>
        <w:t xml:space="preserve">sebagaimana dimaksud pada peraturan </w:t>
      </w:r>
      <w:r>
        <w:rPr>
          <w:b w:val="0"/>
          <w:color w:val="000000" w:themeColor="text1"/>
          <w:lang w:val="en-US"/>
        </w:rPr>
        <w:t>LPS</w:t>
      </w:r>
      <w:r w:rsidR="00DE3B18" w:rsidRPr="00A23E22">
        <w:rPr>
          <w:b w:val="0"/>
          <w:color w:val="000000" w:themeColor="text1"/>
          <w:lang w:val="en-US"/>
        </w:rPr>
        <w:t xml:space="preserve"> yang mengatur mengenai program penjamin simpanan. </w:t>
      </w:r>
      <w:r>
        <w:rPr>
          <w:b w:val="0"/>
          <w:color w:val="000000" w:themeColor="text1"/>
          <w:lang w:val="en-US"/>
        </w:rPr>
        <w:t>B</w:t>
      </w:r>
      <w:r w:rsidR="00DE3B18" w:rsidRPr="00A23E22">
        <w:rPr>
          <w:b w:val="0"/>
          <w:color w:val="000000" w:themeColor="text1"/>
          <w:lang w:val="en-US"/>
        </w:rPr>
        <w:t xml:space="preserve">iaya premi LPS ini </w:t>
      </w:r>
      <w:r w:rsidR="00F2732A" w:rsidRPr="00A23E22">
        <w:rPr>
          <w:b w:val="0"/>
          <w:color w:val="000000" w:themeColor="text1"/>
          <w:lang w:val="en-US"/>
        </w:rPr>
        <w:t>yang dialokasikan ke HPDK.</w:t>
      </w:r>
    </w:p>
    <w:p w14:paraId="7E25C8CE" w14:textId="2D39234F" w:rsidR="00DB2262" w:rsidRPr="00A23E22" w:rsidRDefault="00676782" w:rsidP="00707E5F">
      <w:pPr>
        <w:pStyle w:val="Bab"/>
        <w:numPr>
          <w:ilvl w:val="4"/>
          <w:numId w:val="8"/>
        </w:numPr>
        <w:ind w:left="2268" w:hanging="425"/>
        <w:jc w:val="both"/>
        <w:rPr>
          <w:b w:val="0"/>
          <w:color w:val="000000" w:themeColor="text1"/>
          <w:lang w:val="en-US"/>
        </w:rPr>
      </w:pPr>
      <w:bookmarkStart w:id="57" w:name="_Toc138270994"/>
      <w:bookmarkEnd w:id="56"/>
      <w:r>
        <w:rPr>
          <w:b w:val="0"/>
          <w:color w:val="000000" w:themeColor="text1"/>
          <w:lang w:val="en-US"/>
        </w:rPr>
        <w:t>B</w:t>
      </w:r>
      <w:r w:rsidR="00DB2262" w:rsidRPr="00A23E22">
        <w:rPr>
          <w:b w:val="0"/>
          <w:color w:val="000000" w:themeColor="text1"/>
          <w:lang w:val="en-US"/>
        </w:rPr>
        <w:t>iaya dana bukan pihak ketiga yaitu seluruh biaya bunga yang dialokasikan ke kredit atas kewajiban BUK kepada bukan pihak ketiga, yang terdiri atas:</w:t>
      </w:r>
      <w:bookmarkEnd w:id="57"/>
    </w:p>
    <w:p w14:paraId="0A958FBC" w14:textId="697FDB3A" w:rsidR="00DB2262" w:rsidRPr="00A23E22" w:rsidRDefault="00676782" w:rsidP="00707E5F">
      <w:pPr>
        <w:pStyle w:val="Bab"/>
        <w:numPr>
          <w:ilvl w:val="5"/>
          <w:numId w:val="11"/>
        </w:numPr>
        <w:ind w:left="2694" w:hanging="426"/>
        <w:jc w:val="both"/>
        <w:rPr>
          <w:b w:val="0"/>
          <w:color w:val="000000" w:themeColor="text1"/>
          <w:lang w:val="en-US"/>
        </w:rPr>
      </w:pPr>
      <w:bookmarkStart w:id="58" w:name="_Toc138270995"/>
      <w:r>
        <w:rPr>
          <w:b w:val="0"/>
          <w:color w:val="000000" w:themeColor="text1"/>
          <w:lang w:val="en-US"/>
        </w:rPr>
        <w:t>B</w:t>
      </w:r>
      <w:r w:rsidR="00DB2262" w:rsidRPr="00A23E22">
        <w:rPr>
          <w:b w:val="0"/>
          <w:color w:val="000000" w:themeColor="text1"/>
          <w:lang w:val="en-US"/>
        </w:rPr>
        <w:t xml:space="preserve">iaya dana liabilitas kepada Bank Indonesia yaitu seluruh biaya bunga </w:t>
      </w:r>
      <w:r w:rsidR="00E65F00" w:rsidRPr="00A23E22">
        <w:rPr>
          <w:b w:val="0"/>
          <w:color w:val="000000" w:themeColor="text1"/>
          <w:lang w:val="en-US"/>
        </w:rPr>
        <w:t xml:space="preserve">yang dialokasikan ke kredit </w:t>
      </w:r>
      <w:r w:rsidR="00DB2262" w:rsidRPr="00A23E22">
        <w:rPr>
          <w:b w:val="0"/>
          <w:color w:val="000000" w:themeColor="text1"/>
          <w:lang w:val="en-US"/>
        </w:rPr>
        <w:t>atas pinjaman dari Bank Indonesia. Pos ini harus sejalan dengan sandi 05.11.01.00.00.00 pada ketentuan otoritas moneter tentang Laporan Bank Umum Terintegrasi.</w:t>
      </w:r>
      <w:bookmarkEnd w:id="58"/>
    </w:p>
    <w:p w14:paraId="26B7CD61" w14:textId="4731478B" w:rsidR="00DB2262" w:rsidRPr="00A23E22" w:rsidRDefault="00676782" w:rsidP="00707E5F">
      <w:pPr>
        <w:pStyle w:val="Bab"/>
        <w:numPr>
          <w:ilvl w:val="5"/>
          <w:numId w:val="11"/>
        </w:numPr>
        <w:ind w:left="2694" w:hanging="426"/>
        <w:jc w:val="both"/>
        <w:rPr>
          <w:b w:val="0"/>
          <w:color w:val="000000" w:themeColor="text1"/>
          <w:lang w:val="en-US"/>
        </w:rPr>
      </w:pPr>
      <w:bookmarkStart w:id="59" w:name="_Toc138270996"/>
      <w:r>
        <w:rPr>
          <w:b w:val="0"/>
          <w:color w:val="000000" w:themeColor="text1"/>
          <w:lang w:val="en-US"/>
        </w:rPr>
        <w:t>B</w:t>
      </w:r>
      <w:r w:rsidR="00DB2262" w:rsidRPr="00A23E22">
        <w:rPr>
          <w:b w:val="0"/>
          <w:color w:val="000000" w:themeColor="text1"/>
          <w:lang w:val="en-US"/>
        </w:rPr>
        <w:t xml:space="preserve">iaya dana liabilitas kepada bank lain yaitu seluruh biaya bunga kepada bank lain yang dialokasikan ke kredit dalam bentuk giro, </w:t>
      </w:r>
      <w:r w:rsidR="00DB2262" w:rsidRPr="00A23E22">
        <w:rPr>
          <w:b w:val="0"/>
          <w:i/>
          <w:color w:val="000000" w:themeColor="text1"/>
          <w:lang w:val="en-US"/>
        </w:rPr>
        <w:t>interbank call money</w:t>
      </w:r>
      <w:r w:rsidR="00DB2262" w:rsidRPr="00A23E22">
        <w:rPr>
          <w:b w:val="0"/>
          <w:color w:val="000000" w:themeColor="text1"/>
          <w:lang w:val="en-US"/>
        </w:rPr>
        <w:t>, tabungan, deposito, dan dalam bentuk lain. Pos ini harus sejalan dengan sandi 05.11.02.01.01.00, 05.11.02.02.01.00, 05.11.02.03.01.00, 05.11.02.04.00.00, dan 05.11.02.99.01.00 pada ketentuan otoritas moneter tentang Laporan Bank Umum Terintegrasi.</w:t>
      </w:r>
      <w:bookmarkEnd w:id="59"/>
    </w:p>
    <w:p w14:paraId="744ED0E9" w14:textId="37F1F6A5" w:rsidR="00E65F00" w:rsidRPr="00A23E22" w:rsidRDefault="00676782" w:rsidP="00707E5F">
      <w:pPr>
        <w:pStyle w:val="Bab"/>
        <w:numPr>
          <w:ilvl w:val="5"/>
          <w:numId w:val="11"/>
        </w:numPr>
        <w:ind w:left="2694" w:hanging="426"/>
        <w:jc w:val="both"/>
        <w:rPr>
          <w:b w:val="0"/>
          <w:color w:val="000000" w:themeColor="text1"/>
          <w:lang w:val="en-US"/>
        </w:rPr>
      </w:pPr>
      <w:bookmarkStart w:id="60" w:name="_Toc138270997"/>
      <w:r>
        <w:rPr>
          <w:b w:val="0"/>
          <w:color w:val="000000" w:themeColor="text1"/>
          <w:lang w:val="en-US"/>
        </w:rPr>
        <w:t>B</w:t>
      </w:r>
      <w:r w:rsidR="00E65F00" w:rsidRPr="00A23E22">
        <w:rPr>
          <w:b w:val="0"/>
          <w:color w:val="000000" w:themeColor="text1"/>
          <w:lang w:val="en-US"/>
        </w:rPr>
        <w:t xml:space="preserve">iaya dana surat berharga yang diterbitkan yaitu seluruh biaya bunga yang dialokasikan ke kredit yang dibayarkan atas penerbitan surat berharga yang diterbitkan kepada </w:t>
      </w:r>
      <w:r w:rsidR="00E65F00" w:rsidRPr="00A23E22">
        <w:rPr>
          <w:b w:val="0"/>
          <w:color w:val="000000" w:themeColor="text1"/>
          <w:lang w:val="en-US"/>
        </w:rPr>
        <w:lastRenderedPageBreak/>
        <w:t xml:space="preserve">Bank Indonesia, kepada bank lain, dan kepada pihak ketiga bukan bank.  Pos ini harus sejalan dengan sandi 05.11.04.10.00.00, </w:t>
      </w:r>
      <w:r w:rsidR="00E65F00" w:rsidRPr="00A23E22">
        <w:rPr>
          <w:b w:val="0"/>
          <w:color w:val="000000" w:themeColor="text1"/>
          <w:lang w:val="en-US"/>
        </w:rPr>
        <w:br/>
        <w:t>05.11.04.21.01.00, 05.11.04.21.02.00, 05.11.04.21.03.00, 05.11.04.21.04.00, 05.11.04.21.05.00, 05.11.04.21.06.00, 05.11.04.21.99.00, 05.11.04.31.01.00, 05.11.04.31.02.00, 05.11.04.31.03.00, 05.11.04.31.04.00, 05.11.04.31.05.00, 05.11.04.31.06.00, 05.11.04.31.99.00 pada ketentuan otoritas moneter tentang Laporan Bank Umum Terintegrasi.</w:t>
      </w:r>
      <w:bookmarkEnd w:id="60"/>
    </w:p>
    <w:p w14:paraId="0EB17036" w14:textId="100A62AF" w:rsidR="00E65F00" w:rsidRPr="00A23E22" w:rsidRDefault="00676782" w:rsidP="00707E5F">
      <w:pPr>
        <w:pStyle w:val="Bab"/>
        <w:numPr>
          <w:ilvl w:val="5"/>
          <w:numId w:val="11"/>
        </w:numPr>
        <w:ind w:left="2694" w:hanging="426"/>
        <w:jc w:val="both"/>
        <w:rPr>
          <w:b w:val="0"/>
          <w:color w:val="000000" w:themeColor="text1"/>
          <w:lang w:val="en-US"/>
        </w:rPr>
      </w:pPr>
      <w:bookmarkStart w:id="61" w:name="_Toc138270998"/>
      <w:r>
        <w:rPr>
          <w:b w:val="0"/>
          <w:color w:val="000000" w:themeColor="text1"/>
          <w:lang w:val="en-US"/>
        </w:rPr>
        <w:t>B</w:t>
      </w:r>
      <w:r w:rsidR="00E65F00" w:rsidRPr="00A23E22">
        <w:rPr>
          <w:b w:val="0"/>
          <w:color w:val="000000" w:themeColor="text1"/>
          <w:lang w:val="en-US"/>
        </w:rPr>
        <w:t>iaya dana pinjaman yang diterima yaitu seluruh biaya bunga yang dialokasikan ke kredit yang dibayarkan atas pinjaman yang diterima dari Bank Indonesia, kepada bank lain, dan kepada pihak ketiga bukan bank.  Pos ini harus sejalan dengan sandi 05.11.05.10.00.00, 05.11.05.21.00.00, 05.11.05.31.00.00 pada ketentuan otoritas moneter tentang Laporan Bank Umum Terintegrasi.</w:t>
      </w:r>
      <w:bookmarkEnd w:id="61"/>
    </w:p>
    <w:p w14:paraId="482A7AF1" w14:textId="22855101" w:rsidR="00AF3262" w:rsidRPr="00A23E22" w:rsidRDefault="00676782" w:rsidP="00707E5F">
      <w:pPr>
        <w:pStyle w:val="Bab"/>
        <w:numPr>
          <w:ilvl w:val="5"/>
          <w:numId w:val="11"/>
        </w:numPr>
        <w:ind w:left="2694" w:hanging="426"/>
        <w:jc w:val="both"/>
        <w:rPr>
          <w:b w:val="0"/>
          <w:color w:val="000000" w:themeColor="text1"/>
          <w:lang w:val="en-US"/>
        </w:rPr>
      </w:pPr>
      <w:bookmarkStart w:id="62" w:name="_Toc138270999"/>
      <w:r>
        <w:rPr>
          <w:b w:val="0"/>
          <w:color w:val="000000" w:themeColor="text1"/>
          <w:lang w:val="en-US"/>
        </w:rPr>
        <w:t>B</w:t>
      </w:r>
      <w:r w:rsidR="001F15D7" w:rsidRPr="00A23E22">
        <w:rPr>
          <w:b w:val="0"/>
          <w:color w:val="000000" w:themeColor="text1"/>
          <w:lang w:val="en-US"/>
        </w:rPr>
        <w:t xml:space="preserve">iaya dana liabilitas lainnya yaitu seluruh biaya bunga </w:t>
      </w:r>
      <w:r w:rsidR="00861C53" w:rsidRPr="00A23E22">
        <w:rPr>
          <w:b w:val="0"/>
          <w:color w:val="000000" w:themeColor="text1"/>
          <w:lang w:val="en-US"/>
        </w:rPr>
        <w:t xml:space="preserve">yang dialokasikan ke kredit </w:t>
      </w:r>
      <w:r w:rsidR="001F15D7" w:rsidRPr="00A23E22">
        <w:rPr>
          <w:b w:val="0"/>
          <w:color w:val="000000" w:themeColor="text1"/>
          <w:lang w:val="en-US"/>
        </w:rPr>
        <w:t>yang dibayarkan kepada Bank Indonesia, bank lain, pihak ketiga bukan bank, dan transaksi antar kantor. Pos ini harus sejalan dengan sandi 05.11.99.40.00.00, 05.11.99.10.00.00, 05.11.99.20.00.00, 05.11.99.30.01.00, 05.11.99.30.02.00 pada ketentuan otoritas moneter tentang Laporan Bank Umum Terintegrasi.</w:t>
      </w:r>
      <w:bookmarkEnd w:id="62"/>
      <w:r w:rsidR="00AF3262" w:rsidRPr="00A23E22">
        <w:rPr>
          <w:b w:val="0"/>
          <w:color w:val="000000" w:themeColor="text1"/>
          <w:lang w:val="en-US"/>
        </w:rPr>
        <w:t xml:space="preserve"> Biaya lain dalam komponen ini antara lain biaya bunga/diskonto yang dibayar bank yang timbul dari antara lain berasal dari penjualan surat berharga dengan janji dibeli kembali (repo), biaya </w:t>
      </w:r>
      <w:r w:rsidR="00AF3262" w:rsidRPr="00A23E22">
        <w:rPr>
          <w:b w:val="0"/>
          <w:i/>
          <w:color w:val="000000" w:themeColor="text1"/>
          <w:lang w:val="en-US"/>
        </w:rPr>
        <w:t>fund transfer pricing</w:t>
      </w:r>
      <w:r w:rsidR="00AF3262" w:rsidRPr="00A23E22">
        <w:rPr>
          <w:b w:val="0"/>
          <w:color w:val="000000" w:themeColor="text1"/>
          <w:lang w:val="en-US"/>
        </w:rPr>
        <w:t xml:space="preserve"> (FTP), dan sub komponen biaya lainnya.</w:t>
      </w:r>
    </w:p>
    <w:p w14:paraId="20BB59A7" w14:textId="77777777" w:rsidR="00C72334" w:rsidRPr="00A23E22" w:rsidRDefault="00C72334" w:rsidP="00707E5F">
      <w:pPr>
        <w:pStyle w:val="Bab"/>
        <w:numPr>
          <w:ilvl w:val="3"/>
          <w:numId w:val="8"/>
        </w:numPr>
        <w:ind w:left="1843"/>
        <w:jc w:val="both"/>
        <w:rPr>
          <w:b w:val="0"/>
          <w:color w:val="000000" w:themeColor="text1"/>
          <w:lang w:val="en-US"/>
        </w:rPr>
      </w:pPr>
      <w:bookmarkStart w:id="63" w:name="_Toc138271004"/>
      <w:r w:rsidRPr="00A23E22">
        <w:rPr>
          <w:b w:val="0"/>
          <w:color w:val="000000" w:themeColor="text1"/>
          <w:lang w:val="en-US"/>
        </w:rPr>
        <w:t>HPDK lainnya.</w:t>
      </w:r>
      <w:r w:rsidR="00E358A1" w:rsidRPr="00A23E22">
        <w:rPr>
          <w:b w:val="0"/>
          <w:color w:val="000000" w:themeColor="text1"/>
          <w:lang w:val="en-US"/>
        </w:rPr>
        <w:t xml:space="preserve"> Jika BUK mencantumkan biaya lain, maka bank menginformasikan jenis komponen dan metode perhitungannya kepada Otoritas Jasa Keuangan.</w:t>
      </w:r>
      <w:bookmarkEnd w:id="63"/>
    </w:p>
    <w:p w14:paraId="4E6B16F0" w14:textId="77777777" w:rsidR="00C72334" w:rsidRPr="00A23E22" w:rsidRDefault="00C72334" w:rsidP="00707E5F">
      <w:pPr>
        <w:pStyle w:val="Bab"/>
        <w:numPr>
          <w:ilvl w:val="1"/>
          <w:numId w:val="8"/>
        </w:numPr>
        <w:ind w:left="1418"/>
        <w:jc w:val="both"/>
        <w:rPr>
          <w:b w:val="0"/>
          <w:color w:val="000000" w:themeColor="text1"/>
          <w:lang w:val="en-US"/>
        </w:rPr>
      </w:pPr>
      <w:bookmarkStart w:id="64" w:name="_Toc138271005"/>
      <w:r w:rsidRPr="006F39D9">
        <w:rPr>
          <w:b w:val="0"/>
          <w:lang w:val="en-US"/>
        </w:rPr>
        <w:t>Biaya</w:t>
      </w:r>
      <w:r w:rsidRPr="00A23E22">
        <w:rPr>
          <w:b w:val="0"/>
          <w:color w:val="000000" w:themeColor="text1"/>
          <w:lang w:val="en-US"/>
        </w:rPr>
        <w:t xml:space="preserve"> </w:t>
      </w:r>
      <w:r w:rsidRPr="00A23E22">
        <w:rPr>
          <w:b w:val="0"/>
          <w:i/>
          <w:color w:val="000000" w:themeColor="text1"/>
          <w:lang w:val="en-US"/>
        </w:rPr>
        <w:t>overhead</w:t>
      </w:r>
      <w:bookmarkEnd w:id="64"/>
    </w:p>
    <w:p w14:paraId="7D5BC2A9" w14:textId="77777777" w:rsidR="00C72334" w:rsidRPr="00A23E22" w:rsidRDefault="00C72334" w:rsidP="006F3180">
      <w:pPr>
        <w:pStyle w:val="Bab"/>
        <w:numPr>
          <w:ilvl w:val="0"/>
          <w:numId w:val="0"/>
        </w:numPr>
        <w:ind w:left="1440"/>
        <w:jc w:val="both"/>
        <w:rPr>
          <w:b w:val="0"/>
          <w:color w:val="000000" w:themeColor="text1"/>
          <w:lang w:val="en-US"/>
        </w:rPr>
      </w:pPr>
      <w:bookmarkStart w:id="65" w:name="_Toc138271006"/>
      <w:r w:rsidRPr="00A23E22">
        <w:rPr>
          <w:b w:val="0"/>
          <w:color w:val="000000" w:themeColor="text1"/>
          <w:lang w:val="en-US"/>
        </w:rPr>
        <w:t xml:space="preserve">Biaya </w:t>
      </w:r>
      <w:r w:rsidRPr="00A23E22">
        <w:rPr>
          <w:b w:val="0"/>
          <w:i/>
          <w:color w:val="000000" w:themeColor="text1"/>
          <w:lang w:val="en-US"/>
        </w:rPr>
        <w:t xml:space="preserve">overhead </w:t>
      </w:r>
      <w:r w:rsidRPr="00A23E22">
        <w:rPr>
          <w:b w:val="0"/>
          <w:color w:val="000000" w:themeColor="text1"/>
          <w:lang w:val="en-US"/>
        </w:rPr>
        <w:t xml:space="preserve">merupakan biaya operasional lainnya yang dikeluarkan oleh BUK untuk kegiatan penghimpunan dana dan penyaluran kredit termasuk biaya pajak yang dikeluarkan. Perhitungan biaya </w:t>
      </w:r>
      <w:r w:rsidRPr="00A23E22">
        <w:rPr>
          <w:b w:val="0"/>
          <w:i/>
          <w:color w:val="000000" w:themeColor="text1"/>
          <w:lang w:val="en-US"/>
        </w:rPr>
        <w:t xml:space="preserve">overhead </w:t>
      </w:r>
      <w:r w:rsidRPr="00A23E22">
        <w:rPr>
          <w:b w:val="0"/>
          <w:color w:val="000000" w:themeColor="text1"/>
          <w:lang w:val="en-US"/>
        </w:rPr>
        <w:t>dirinci sebagai berikut:</w:t>
      </w:r>
      <w:bookmarkEnd w:id="65"/>
    </w:p>
    <w:p w14:paraId="4447C68E" w14:textId="77777777" w:rsidR="00C72334" w:rsidRPr="00A23E22" w:rsidRDefault="00861C53" w:rsidP="00707E5F">
      <w:pPr>
        <w:pStyle w:val="Bab"/>
        <w:numPr>
          <w:ilvl w:val="2"/>
          <w:numId w:val="8"/>
        </w:numPr>
        <w:ind w:left="1843" w:hanging="425"/>
        <w:jc w:val="both"/>
        <w:rPr>
          <w:b w:val="0"/>
          <w:color w:val="000000" w:themeColor="text1"/>
          <w:lang w:val="en-US"/>
        </w:rPr>
      </w:pPr>
      <w:bookmarkStart w:id="66" w:name="_Toc138271007"/>
      <w:r w:rsidRPr="00A23E22">
        <w:rPr>
          <w:b w:val="0"/>
          <w:color w:val="000000" w:themeColor="text1"/>
          <w:lang w:val="en-US"/>
        </w:rPr>
        <w:t>Peningkatan nilai wajar liabilitas keuangan yang dialokasikan ke kredit yaitu potensi kerugian yang belum terealisasi yang timbul dari selisih positif antara nilai wajar liabilitas keuangan pada tanggal laporan dan nilai wajar liabilitas keuangan tersebut pada saat pengakuan awal. Pos ini harus sejalan dengan sandi 05.12.04.00.00.00 pada ketentuan otoritas moneter tentang Laporan Bank Umum Terintegrasi.</w:t>
      </w:r>
      <w:bookmarkEnd w:id="66"/>
    </w:p>
    <w:p w14:paraId="1099047D" w14:textId="771840EC" w:rsidR="00861C53" w:rsidRPr="00A23E22" w:rsidRDefault="00861C53" w:rsidP="00707E5F">
      <w:pPr>
        <w:pStyle w:val="Bab"/>
        <w:numPr>
          <w:ilvl w:val="2"/>
          <w:numId w:val="8"/>
        </w:numPr>
        <w:ind w:left="1843" w:hanging="425"/>
        <w:jc w:val="both"/>
        <w:rPr>
          <w:b w:val="0"/>
          <w:color w:val="000000" w:themeColor="text1"/>
          <w:lang w:val="en-US"/>
        </w:rPr>
      </w:pPr>
      <w:bookmarkStart w:id="67" w:name="_Toc138271008"/>
      <w:r w:rsidRPr="00A23E22">
        <w:rPr>
          <w:b w:val="0"/>
          <w:color w:val="000000" w:themeColor="text1"/>
          <w:lang w:val="en-US"/>
        </w:rPr>
        <w:t xml:space="preserve">Kerugian terkait risiko operasional terkait dengan penyaluran dana dan pemberian kredit yaitu </w:t>
      </w:r>
      <w:r w:rsidR="000925BA" w:rsidRPr="00A23E22">
        <w:rPr>
          <w:b w:val="0"/>
          <w:color w:val="000000" w:themeColor="text1"/>
          <w:lang w:val="en-US"/>
        </w:rPr>
        <w:t>k</w:t>
      </w:r>
      <w:r w:rsidRPr="00A23E22">
        <w:rPr>
          <w:b w:val="0"/>
          <w:color w:val="000000" w:themeColor="text1"/>
          <w:lang w:val="en-US"/>
        </w:rPr>
        <w:t xml:space="preserve">erugian terkait risiko </w:t>
      </w:r>
      <w:r w:rsidRPr="00A23E22">
        <w:rPr>
          <w:b w:val="0"/>
          <w:color w:val="000000" w:themeColor="text1"/>
          <w:lang w:val="en-US"/>
        </w:rPr>
        <w:lastRenderedPageBreak/>
        <w:t>operasional yang telah terjadi dan diidentifikasi berdasarkan jenis kejadian kerugian (</w:t>
      </w:r>
      <w:r w:rsidRPr="00A23E22">
        <w:rPr>
          <w:b w:val="0"/>
          <w:i/>
          <w:color w:val="000000" w:themeColor="text1"/>
          <w:lang w:val="en-US"/>
        </w:rPr>
        <w:t>loss event</w:t>
      </w:r>
      <w:r w:rsidRPr="00A23E22">
        <w:rPr>
          <w:b w:val="0"/>
          <w:color w:val="000000" w:themeColor="text1"/>
          <w:lang w:val="en-US"/>
        </w:rPr>
        <w:t>). Pengakuan kerugian dapat dilakukan dengan pembebanan langsung dan/atau reklasifikasi pos penyisihan kerugian risiko operasional. Pos ini harus sejalan dengan sandi 05.12.08.01.00.00 dan 05.12.08.02.00.00 pada ketentuan otoritas moneter tentang Laporan Bank Umum Terintegrasi.</w:t>
      </w:r>
      <w:bookmarkEnd w:id="67"/>
    </w:p>
    <w:p w14:paraId="594DED26" w14:textId="7EC10454" w:rsidR="00662417" w:rsidRPr="00A23E22" w:rsidRDefault="00662417" w:rsidP="00707E5F">
      <w:pPr>
        <w:pStyle w:val="Bab"/>
        <w:numPr>
          <w:ilvl w:val="2"/>
          <w:numId w:val="8"/>
        </w:numPr>
        <w:ind w:left="1843" w:hanging="425"/>
        <w:jc w:val="both"/>
        <w:rPr>
          <w:b w:val="0"/>
          <w:color w:val="000000" w:themeColor="text1"/>
          <w:lang w:val="en-US"/>
        </w:rPr>
      </w:pPr>
      <w:bookmarkStart w:id="68" w:name="_Toc138271009"/>
      <w:r w:rsidRPr="00A23E22">
        <w:rPr>
          <w:b w:val="0"/>
          <w:color w:val="000000" w:themeColor="text1"/>
          <w:lang w:val="en-US"/>
        </w:rPr>
        <w:t>Komisi/provisi/</w:t>
      </w:r>
      <w:r w:rsidRPr="00A23E22">
        <w:rPr>
          <w:b w:val="0"/>
          <w:i/>
          <w:color w:val="000000" w:themeColor="text1"/>
          <w:lang w:val="en-US"/>
        </w:rPr>
        <w:t>fee</w:t>
      </w:r>
      <w:r w:rsidRPr="00A23E22">
        <w:rPr>
          <w:b w:val="0"/>
          <w:color w:val="000000" w:themeColor="text1"/>
          <w:lang w:val="en-US"/>
        </w:rPr>
        <w:t xml:space="preserve"> dan administrasi terkait dengan penyaluran dan pemberian kredit yang dibayarkan oleh BUK yaitu </w:t>
      </w:r>
      <w:r w:rsidR="00676782">
        <w:rPr>
          <w:b w:val="0"/>
          <w:color w:val="000000" w:themeColor="text1"/>
          <w:lang w:val="en-US"/>
        </w:rPr>
        <w:t>k</w:t>
      </w:r>
      <w:r w:rsidRPr="00A23E22">
        <w:rPr>
          <w:b w:val="0"/>
          <w:color w:val="000000" w:themeColor="text1"/>
          <w:lang w:val="en-US"/>
        </w:rPr>
        <w:t>omisi dan provisi yang dibayar BUK karena penerimaan kredit. Pos ini harus sejalan dengan sandi 05.12.10.01.00.00, 05.12.10.02.00.00, 05.12.10.03.00.00, dan 05.12.10.99.00.00 pada ketentuan otoritas moneter tentang Laporan Bank Umum Terintegrasi.</w:t>
      </w:r>
      <w:bookmarkEnd w:id="68"/>
    </w:p>
    <w:p w14:paraId="1D8FBE6C" w14:textId="77777777" w:rsidR="00861C53" w:rsidRPr="00A23E22" w:rsidRDefault="00662417" w:rsidP="00707E5F">
      <w:pPr>
        <w:pStyle w:val="Bab"/>
        <w:numPr>
          <w:ilvl w:val="2"/>
          <w:numId w:val="8"/>
        </w:numPr>
        <w:ind w:left="1843" w:hanging="425"/>
        <w:jc w:val="both"/>
        <w:rPr>
          <w:b w:val="0"/>
          <w:color w:val="000000" w:themeColor="text1"/>
          <w:lang w:val="en-US"/>
        </w:rPr>
      </w:pPr>
      <w:bookmarkStart w:id="69" w:name="_Toc138271010"/>
      <w:r w:rsidRPr="00A23E22">
        <w:rPr>
          <w:b w:val="0"/>
          <w:color w:val="000000" w:themeColor="text1"/>
          <w:lang w:val="en-US"/>
        </w:rPr>
        <w:t>Penyusutan/amortisasi yang dialokasikan kepada pemberian kredit yaitu biaya penyusutan aset yang terkait dengan dialokasikan kepada suku bunga kredit. Pos ini harus sejalan dengan sandi 05.12.11.01.00.00, 05.12.11.02.00.00, 05.12.11.03.00.00, 05.12.11.04.00.00, dan 05.12.11.09.00.00 pada ketentuan otoritas moneter tentang Laporan Bank Umum Terintegrasi.</w:t>
      </w:r>
      <w:bookmarkEnd w:id="69"/>
    </w:p>
    <w:p w14:paraId="2E88F320" w14:textId="77777777" w:rsidR="00E41A85" w:rsidRPr="00A23E22" w:rsidRDefault="00662417" w:rsidP="00707E5F">
      <w:pPr>
        <w:pStyle w:val="Bab"/>
        <w:numPr>
          <w:ilvl w:val="2"/>
          <w:numId w:val="8"/>
        </w:numPr>
        <w:ind w:left="1843" w:hanging="425"/>
        <w:jc w:val="both"/>
        <w:rPr>
          <w:b w:val="0"/>
          <w:color w:val="000000" w:themeColor="text1"/>
          <w:lang w:val="en-US"/>
        </w:rPr>
      </w:pPr>
      <w:bookmarkStart w:id="70" w:name="_Toc138271011"/>
      <w:r w:rsidRPr="00A23E22">
        <w:rPr>
          <w:b w:val="0"/>
          <w:color w:val="000000" w:themeColor="text1"/>
          <w:lang w:val="en-US"/>
        </w:rPr>
        <w:t>Kerugian penurunan nilai aset lainnya (nonkeuangan) yang dialokasikan kepada pemberian kredit yaitu</w:t>
      </w:r>
      <w:r w:rsidR="000C3BAA" w:rsidRPr="00A23E22">
        <w:rPr>
          <w:b w:val="0"/>
          <w:color w:val="000000" w:themeColor="text1"/>
          <w:lang w:val="en-US"/>
        </w:rPr>
        <w:t xml:space="preserve"> kerugian penurunan nilai aset lainnya (nonkeuangan) </w:t>
      </w:r>
      <w:r w:rsidRPr="00A23E22">
        <w:rPr>
          <w:b w:val="0"/>
          <w:color w:val="000000" w:themeColor="text1"/>
          <w:lang w:val="en-US"/>
        </w:rPr>
        <w:t>yang dialokasikan kepada suku bunga kredit. Pos ini harus sejalan dengan sandi 05.12.1</w:t>
      </w:r>
      <w:r w:rsidR="000C3BAA" w:rsidRPr="00A23E22">
        <w:rPr>
          <w:b w:val="0"/>
          <w:color w:val="000000" w:themeColor="text1"/>
          <w:lang w:val="en-US"/>
        </w:rPr>
        <w:t>2</w:t>
      </w:r>
      <w:r w:rsidRPr="00A23E22">
        <w:rPr>
          <w:b w:val="0"/>
          <w:color w:val="000000" w:themeColor="text1"/>
          <w:lang w:val="en-US"/>
        </w:rPr>
        <w:t>.0</w:t>
      </w:r>
      <w:r w:rsidR="000C3BAA" w:rsidRPr="00A23E22">
        <w:rPr>
          <w:b w:val="0"/>
          <w:color w:val="000000" w:themeColor="text1"/>
          <w:lang w:val="en-US"/>
        </w:rPr>
        <w:t>2</w:t>
      </w:r>
      <w:r w:rsidRPr="00A23E22">
        <w:rPr>
          <w:b w:val="0"/>
          <w:color w:val="000000" w:themeColor="text1"/>
          <w:lang w:val="en-US"/>
        </w:rPr>
        <w:t>.00.00, 05.12.1</w:t>
      </w:r>
      <w:r w:rsidR="000C3BAA" w:rsidRPr="00A23E22">
        <w:rPr>
          <w:b w:val="0"/>
          <w:color w:val="000000" w:themeColor="text1"/>
          <w:lang w:val="en-US"/>
        </w:rPr>
        <w:t>2</w:t>
      </w:r>
      <w:r w:rsidRPr="00A23E22">
        <w:rPr>
          <w:b w:val="0"/>
          <w:color w:val="000000" w:themeColor="text1"/>
          <w:lang w:val="en-US"/>
        </w:rPr>
        <w:t>.0</w:t>
      </w:r>
      <w:r w:rsidR="000C3BAA" w:rsidRPr="00A23E22">
        <w:rPr>
          <w:b w:val="0"/>
          <w:color w:val="000000" w:themeColor="text1"/>
          <w:lang w:val="en-US"/>
        </w:rPr>
        <w:t>3</w:t>
      </w:r>
      <w:r w:rsidRPr="00A23E22">
        <w:rPr>
          <w:b w:val="0"/>
          <w:color w:val="000000" w:themeColor="text1"/>
          <w:lang w:val="en-US"/>
        </w:rPr>
        <w:t>.00.00, 05.12.1</w:t>
      </w:r>
      <w:r w:rsidR="000C3BAA" w:rsidRPr="00A23E22">
        <w:rPr>
          <w:b w:val="0"/>
          <w:color w:val="000000" w:themeColor="text1"/>
          <w:lang w:val="en-US"/>
        </w:rPr>
        <w:t>2</w:t>
      </w:r>
      <w:r w:rsidRPr="00A23E22">
        <w:rPr>
          <w:b w:val="0"/>
          <w:color w:val="000000" w:themeColor="text1"/>
          <w:lang w:val="en-US"/>
        </w:rPr>
        <w:t>.0</w:t>
      </w:r>
      <w:r w:rsidR="000C3BAA" w:rsidRPr="00A23E22">
        <w:rPr>
          <w:b w:val="0"/>
          <w:color w:val="000000" w:themeColor="text1"/>
          <w:lang w:val="en-US"/>
        </w:rPr>
        <w:t>4</w:t>
      </w:r>
      <w:r w:rsidRPr="00A23E22">
        <w:rPr>
          <w:b w:val="0"/>
          <w:color w:val="000000" w:themeColor="text1"/>
          <w:lang w:val="en-US"/>
        </w:rPr>
        <w:t>.00.00, 05.12.1</w:t>
      </w:r>
      <w:r w:rsidR="000C3BAA" w:rsidRPr="00A23E22">
        <w:rPr>
          <w:b w:val="0"/>
          <w:color w:val="000000" w:themeColor="text1"/>
          <w:lang w:val="en-US"/>
        </w:rPr>
        <w:t>2</w:t>
      </w:r>
      <w:r w:rsidRPr="00A23E22">
        <w:rPr>
          <w:b w:val="0"/>
          <w:color w:val="000000" w:themeColor="text1"/>
          <w:lang w:val="en-US"/>
        </w:rPr>
        <w:t>.0</w:t>
      </w:r>
      <w:r w:rsidR="000C3BAA" w:rsidRPr="00A23E22">
        <w:rPr>
          <w:b w:val="0"/>
          <w:color w:val="000000" w:themeColor="text1"/>
          <w:lang w:val="en-US"/>
        </w:rPr>
        <w:t>5</w:t>
      </w:r>
      <w:r w:rsidRPr="00A23E22">
        <w:rPr>
          <w:b w:val="0"/>
          <w:color w:val="000000" w:themeColor="text1"/>
          <w:lang w:val="en-US"/>
        </w:rPr>
        <w:t>.00.00, 05.12.1</w:t>
      </w:r>
      <w:r w:rsidR="000C3BAA" w:rsidRPr="00A23E22">
        <w:rPr>
          <w:b w:val="0"/>
          <w:color w:val="000000" w:themeColor="text1"/>
          <w:lang w:val="en-US"/>
        </w:rPr>
        <w:t>2</w:t>
      </w:r>
      <w:r w:rsidRPr="00A23E22">
        <w:rPr>
          <w:b w:val="0"/>
          <w:color w:val="000000" w:themeColor="text1"/>
          <w:lang w:val="en-US"/>
        </w:rPr>
        <w:t>.0</w:t>
      </w:r>
      <w:r w:rsidR="000C3BAA" w:rsidRPr="00A23E22">
        <w:rPr>
          <w:b w:val="0"/>
          <w:color w:val="000000" w:themeColor="text1"/>
          <w:lang w:val="en-US"/>
        </w:rPr>
        <w:t>6</w:t>
      </w:r>
      <w:r w:rsidRPr="00A23E22">
        <w:rPr>
          <w:b w:val="0"/>
          <w:color w:val="000000" w:themeColor="text1"/>
          <w:lang w:val="en-US"/>
        </w:rPr>
        <w:t>.00.00</w:t>
      </w:r>
      <w:r w:rsidR="000C3BAA" w:rsidRPr="00A23E22">
        <w:rPr>
          <w:b w:val="0"/>
          <w:color w:val="000000" w:themeColor="text1"/>
          <w:lang w:val="en-US"/>
        </w:rPr>
        <w:t>, 05.12.12.07.00.00, 05.12.12.08.00.00,</w:t>
      </w:r>
      <w:r w:rsidRPr="00A23E22">
        <w:rPr>
          <w:b w:val="0"/>
          <w:color w:val="000000" w:themeColor="text1"/>
          <w:lang w:val="en-US"/>
        </w:rPr>
        <w:t xml:space="preserve"> </w:t>
      </w:r>
      <w:r w:rsidR="001F415E" w:rsidRPr="00A23E22">
        <w:rPr>
          <w:b w:val="0"/>
          <w:color w:val="000000" w:themeColor="text1"/>
          <w:lang w:val="en-US"/>
        </w:rPr>
        <w:t xml:space="preserve">dan </w:t>
      </w:r>
      <w:r w:rsidR="000C3BAA" w:rsidRPr="00A23E22">
        <w:rPr>
          <w:b w:val="0"/>
          <w:color w:val="000000" w:themeColor="text1"/>
          <w:lang w:val="en-US"/>
        </w:rPr>
        <w:t>05.12.12.99.00.00</w:t>
      </w:r>
      <w:r w:rsidR="001F415E" w:rsidRPr="00A23E22">
        <w:rPr>
          <w:b w:val="0"/>
          <w:color w:val="000000" w:themeColor="text1"/>
          <w:lang w:val="en-US"/>
        </w:rPr>
        <w:t xml:space="preserve"> dikurangin 04.12.10.01.00.00 dan 04.12.10.99.00.00</w:t>
      </w:r>
      <w:r w:rsidR="000C3BAA" w:rsidRPr="00A23E22">
        <w:rPr>
          <w:b w:val="0"/>
          <w:color w:val="000000" w:themeColor="text1"/>
          <w:lang w:val="en-US"/>
        </w:rPr>
        <w:t xml:space="preserve"> </w:t>
      </w:r>
      <w:r w:rsidRPr="00A23E22">
        <w:rPr>
          <w:b w:val="0"/>
          <w:color w:val="000000" w:themeColor="text1"/>
          <w:lang w:val="en-US"/>
        </w:rPr>
        <w:t>pada ketentuan otoritas moneter tentang Laporan Bank Umum Terintegrasi.</w:t>
      </w:r>
      <w:bookmarkEnd w:id="70"/>
      <w:r w:rsidR="00E41A85" w:rsidRPr="00A23E22">
        <w:rPr>
          <w:b w:val="0"/>
          <w:color w:val="000000" w:themeColor="text1"/>
          <w:lang w:val="en-US"/>
        </w:rPr>
        <w:t xml:space="preserve"> </w:t>
      </w:r>
    </w:p>
    <w:p w14:paraId="56E3EDD0" w14:textId="77777777" w:rsidR="00662417" w:rsidRPr="00A23E22" w:rsidRDefault="00E923C8" w:rsidP="00707E5F">
      <w:pPr>
        <w:pStyle w:val="Bab"/>
        <w:numPr>
          <w:ilvl w:val="2"/>
          <w:numId w:val="8"/>
        </w:numPr>
        <w:ind w:left="1843" w:hanging="425"/>
        <w:jc w:val="both"/>
        <w:rPr>
          <w:b w:val="0"/>
          <w:color w:val="000000" w:themeColor="text1"/>
          <w:lang w:val="en-US"/>
        </w:rPr>
      </w:pPr>
      <w:bookmarkStart w:id="71" w:name="_Toc138271012"/>
      <w:r w:rsidRPr="00A23E22">
        <w:rPr>
          <w:b w:val="0"/>
          <w:color w:val="000000" w:themeColor="text1"/>
          <w:lang w:val="en-US"/>
        </w:rPr>
        <w:t xml:space="preserve">Beban </w:t>
      </w:r>
      <w:r w:rsidR="000C3BAA" w:rsidRPr="00A23E22">
        <w:rPr>
          <w:b w:val="0"/>
          <w:color w:val="000000" w:themeColor="text1"/>
          <w:lang w:val="en-US"/>
        </w:rPr>
        <w:t xml:space="preserve">tenaga </w:t>
      </w:r>
      <w:r w:rsidR="00D9557A" w:rsidRPr="00A23E22">
        <w:rPr>
          <w:b w:val="0"/>
          <w:color w:val="000000" w:themeColor="text1"/>
          <w:lang w:val="en-US"/>
        </w:rPr>
        <w:t xml:space="preserve">kerja </w:t>
      </w:r>
      <w:r w:rsidR="000C3BAA" w:rsidRPr="00A23E22">
        <w:rPr>
          <w:b w:val="0"/>
          <w:color w:val="000000" w:themeColor="text1"/>
          <w:lang w:val="en-US"/>
        </w:rPr>
        <w:t>yang dialokasikan kepada suku bunga kredit. Pos ini harus sejalan dengan sandi 05.12.13.01.00.00, 05.12.13.02.00.00, 05.12.13.03.00.00, 05.12.13.04.00.00, dan 05.12.13.99.00.00 pada ketentuan otoritas moneter tentang Laporan Bank Umum Terintegrasi.</w:t>
      </w:r>
      <w:bookmarkEnd w:id="71"/>
    </w:p>
    <w:p w14:paraId="01272094" w14:textId="77777777" w:rsidR="00E41A85" w:rsidRPr="00A23E22" w:rsidRDefault="00E923C8" w:rsidP="00707E5F">
      <w:pPr>
        <w:pStyle w:val="Bab"/>
        <w:numPr>
          <w:ilvl w:val="2"/>
          <w:numId w:val="8"/>
        </w:numPr>
        <w:ind w:left="1843" w:hanging="425"/>
        <w:jc w:val="both"/>
        <w:rPr>
          <w:b w:val="0"/>
          <w:color w:val="000000" w:themeColor="text1"/>
          <w:lang w:val="en-US"/>
        </w:rPr>
      </w:pPr>
      <w:bookmarkStart w:id="72" w:name="_Toc138271013"/>
      <w:r w:rsidRPr="00A23E22">
        <w:rPr>
          <w:b w:val="0"/>
          <w:color w:val="000000" w:themeColor="text1"/>
          <w:lang w:val="en-US"/>
        </w:rPr>
        <w:t>Beban promosi yang dialokasikan kepada suku bunga kredit. Pos ini harus sejalan dengan sandi 05.12.14.00.00.00 pada ketentuan otoritas moneter tentang Laporan Bank Umum Terintegrasi.</w:t>
      </w:r>
      <w:bookmarkEnd w:id="72"/>
      <w:r w:rsidR="00E41A85" w:rsidRPr="00A23E22">
        <w:rPr>
          <w:b w:val="0"/>
          <w:color w:val="000000" w:themeColor="text1"/>
          <w:lang w:val="en-US"/>
        </w:rPr>
        <w:t xml:space="preserve"> Pos ini dibagi menjadi:</w:t>
      </w:r>
    </w:p>
    <w:p w14:paraId="1B391395" w14:textId="1845D282" w:rsidR="00757C95" w:rsidRPr="00A23E22" w:rsidRDefault="00757C95" w:rsidP="00707E5F">
      <w:pPr>
        <w:pStyle w:val="Bab"/>
        <w:numPr>
          <w:ilvl w:val="4"/>
          <w:numId w:val="8"/>
        </w:numPr>
        <w:ind w:left="2268"/>
        <w:jc w:val="both"/>
        <w:rPr>
          <w:b w:val="0"/>
          <w:color w:val="000000" w:themeColor="text1"/>
          <w:lang w:val="en-US"/>
        </w:rPr>
      </w:pPr>
      <w:r w:rsidRPr="00A23E22">
        <w:rPr>
          <w:b w:val="0"/>
          <w:color w:val="000000" w:themeColor="text1"/>
          <w:lang w:val="en-US"/>
        </w:rPr>
        <w:t>Beban Promosi selain Hadiah dan Iklan dan Promosi;</w:t>
      </w:r>
    </w:p>
    <w:p w14:paraId="55198357" w14:textId="6E062141" w:rsidR="00E41A85" w:rsidRPr="00A23E22" w:rsidRDefault="00E41A85" w:rsidP="00707E5F">
      <w:pPr>
        <w:pStyle w:val="Bab"/>
        <w:numPr>
          <w:ilvl w:val="4"/>
          <w:numId w:val="8"/>
        </w:numPr>
        <w:ind w:left="2268"/>
        <w:jc w:val="both"/>
        <w:rPr>
          <w:b w:val="0"/>
          <w:color w:val="000000" w:themeColor="text1"/>
          <w:lang w:val="en-US"/>
        </w:rPr>
      </w:pPr>
      <w:r w:rsidRPr="00A23E22">
        <w:rPr>
          <w:b w:val="0"/>
          <w:color w:val="000000" w:themeColor="text1"/>
          <w:lang w:val="en-US"/>
        </w:rPr>
        <w:t>Hadiah;</w:t>
      </w:r>
      <w:r w:rsidR="00757C95" w:rsidRPr="00A23E22">
        <w:rPr>
          <w:b w:val="0"/>
          <w:color w:val="000000" w:themeColor="text1"/>
          <w:lang w:val="en-US"/>
        </w:rPr>
        <w:t xml:space="preserve"> serta</w:t>
      </w:r>
    </w:p>
    <w:p w14:paraId="2E3B6CF5" w14:textId="6A2FEAD0" w:rsidR="00E923C8" w:rsidRPr="00A23E22" w:rsidRDefault="00E41A85" w:rsidP="00707E5F">
      <w:pPr>
        <w:pStyle w:val="Bab"/>
        <w:numPr>
          <w:ilvl w:val="4"/>
          <w:numId w:val="8"/>
        </w:numPr>
        <w:ind w:left="2268"/>
        <w:jc w:val="both"/>
        <w:rPr>
          <w:b w:val="0"/>
          <w:color w:val="000000" w:themeColor="text1"/>
          <w:lang w:val="en-US"/>
        </w:rPr>
      </w:pPr>
      <w:r w:rsidRPr="00A23E22">
        <w:rPr>
          <w:b w:val="0"/>
          <w:color w:val="000000" w:themeColor="text1"/>
          <w:lang w:val="en-US"/>
        </w:rPr>
        <w:t>Iklan dan promosi</w:t>
      </w:r>
      <w:r w:rsidR="00757C95" w:rsidRPr="00A23E22">
        <w:rPr>
          <w:b w:val="0"/>
          <w:color w:val="000000" w:themeColor="text1"/>
          <w:lang w:val="en-US"/>
        </w:rPr>
        <w:t>.</w:t>
      </w:r>
      <w:r w:rsidRPr="00A23E22">
        <w:rPr>
          <w:b w:val="0"/>
          <w:color w:val="000000" w:themeColor="text1"/>
          <w:lang w:val="en-US"/>
        </w:rPr>
        <w:t xml:space="preserve"> </w:t>
      </w:r>
    </w:p>
    <w:p w14:paraId="38CFC3B4" w14:textId="77777777" w:rsidR="00E923C8" w:rsidRPr="00A23E22" w:rsidRDefault="00E923C8" w:rsidP="00707E5F">
      <w:pPr>
        <w:pStyle w:val="Bab"/>
        <w:numPr>
          <w:ilvl w:val="2"/>
          <w:numId w:val="8"/>
        </w:numPr>
        <w:ind w:left="1843" w:hanging="425"/>
        <w:jc w:val="both"/>
        <w:rPr>
          <w:b w:val="0"/>
          <w:color w:val="000000" w:themeColor="text1"/>
          <w:lang w:val="en-US"/>
        </w:rPr>
      </w:pPr>
      <w:bookmarkStart w:id="73" w:name="_Toc138271014"/>
      <w:r w:rsidRPr="00A23E22">
        <w:rPr>
          <w:b w:val="0"/>
          <w:color w:val="000000" w:themeColor="text1"/>
          <w:lang w:val="en-US"/>
        </w:rPr>
        <w:t>Kerugian penjabaran transaksi valuta asing yang dialokasikan kepada suku bunga kredit. Pos ini harus sejalan dengan sandi 05.12.15.00.00.00 pada ketentuan otoritas moneter tentang Laporan Bank Umum Terintegrasi.</w:t>
      </w:r>
      <w:bookmarkEnd w:id="73"/>
    </w:p>
    <w:p w14:paraId="15939BEC" w14:textId="649E6F1D" w:rsidR="00E923C8" w:rsidRPr="00A23E22" w:rsidRDefault="00F717B2" w:rsidP="00707E5F">
      <w:pPr>
        <w:pStyle w:val="Bab"/>
        <w:numPr>
          <w:ilvl w:val="2"/>
          <w:numId w:val="8"/>
        </w:numPr>
        <w:ind w:left="1843" w:hanging="425"/>
        <w:jc w:val="both"/>
        <w:rPr>
          <w:b w:val="0"/>
          <w:color w:val="000000" w:themeColor="text1"/>
          <w:lang w:val="en-US"/>
        </w:rPr>
      </w:pPr>
      <w:bookmarkStart w:id="74" w:name="_Toc138271015"/>
      <w:bookmarkStart w:id="75" w:name="_GoBack"/>
      <w:r>
        <w:rPr>
          <w:b w:val="0"/>
          <w:color w:val="000000" w:themeColor="text1"/>
          <w:lang w:val="en-US"/>
        </w:rPr>
        <w:t>B</w:t>
      </w:r>
      <w:r w:rsidR="00E923C8" w:rsidRPr="00A23E22">
        <w:rPr>
          <w:b w:val="0"/>
          <w:color w:val="000000" w:themeColor="text1"/>
          <w:lang w:val="en-US"/>
        </w:rPr>
        <w:t xml:space="preserve">eban lainnya </w:t>
      </w:r>
      <w:bookmarkEnd w:id="75"/>
      <w:r w:rsidR="00E923C8" w:rsidRPr="00A23E22">
        <w:rPr>
          <w:b w:val="0"/>
          <w:color w:val="000000" w:themeColor="text1"/>
          <w:lang w:val="en-US"/>
        </w:rPr>
        <w:t>yang dialokasikan kepada suku bunga kredit. Pos ini harus sejalan dengan sandi 05.12.</w:t>
      </w:r>
      <w:r w:rsidR="00060941" w:rsidRPr="00A23E22">
        <w:rPr>
          <w:b w:val="0"/>
          <w:color w:val="000000" w:themeColor="text1"/>
          <w:lang w:val="en-US"/>
        </w:rPr>
        <w:t>99</w:t>
      </w:r>
      <w:r w:rsidR="00E923C8" w:rsidRPr="00A23E22">
        <w:rPr>
          <w:b w:val="0"/>
          <w:color w:val="000000" w:themeColor="text1"/>
          <w:lang w:val="en-US"/>
        </w:rPr>
        <w:t>.0</w:t>
      </w:r>
      <w:r w:rsidR="00C9068B" w:rsidRPr="00A23E22">
        <w:rPr>
          <w:b w:val="0"/>
          <w:color w:val="000000" w:themeColor="text1"/>
          <w:lang w:val="en-US"/>
        </w:rPr>
        <w:t>2</w:t>
      </w:r>
      <w:r w:rsidR="00E923C8" w:rsidRPr="00A23E22">
        <w:rPr>
          <w:b w:val="0"/>
          <w:color w:val="000000" w:themeColor="text1"/>
          <w:lang w:val="en-US"/>
        </w:rPr>
        <w:t>.0</w:t>
      </w:r>
      <w:r w:rsidR="00C9068B" w:rsidRPr="00A23E22">
        <w:rPr>
          <w:b w:val="0"/>
          <w:color w:val="000000" w:themeColor="text1"/>
          <w:lang w:val="en-US"/>
        </w:rPr>
        <w:t>0</w:t>
      </w:r>
      <w:r w:rsidR="00E923C8" w:rsidRPr="00A23E22">
        <w:rPr>
          <w:b w:val="0"/>
          <w:color w:val="000000" w:themeColor="text1"/>
          <w:lang w:val="en-US"/>
        </w:rPr>
        <w:t>.00</w:t>
      </w:r>
      <w:r w:rsidR="00C9068B" w:rsidRPr="00A23E22">
        <w:rPr>
          <w:b w:val="0"/>
          <w:color w:val="000000" w:themeColor="text1"/>
          <w:lang w:val="en-US"/>
        </w:rPr>
        <w:t>,</w:t>
      </w:r>
      <w:r w:rsidR="00E923C8" w:rsidRPr="00A23E22">
        <w:rPr>
          <w:b w:val="0"/>
          <w:color w:val="000000" w:themeColor="text1"/>
          <w:lang w:val="en-US"/>
        </w:rPr>
        <w:t xml:space="preserve"> </w:t>
      </w:r>
      <w:r w:rsidR="00C9068B" w:rsidRPr="00A23E22">
        <w:rPr>
          <w:b w:val="0"/>
          <w:color w:val="000000" w:themeColor="text1"/>
          <w:lang w:val="en-US"/>
        </w:rPr>
        <w:t xml:space="preserve">05.12.99.03.00.00, 05.12.99.04.00.00, 05.12.99.05.00.00, </w:t>
      </w:r>
      <w:r w:rsidR="00C9068B" w:rsidRPr="00A23E22">
        <w:rPr>
          <w:b w:val="0"/>
          <w:color w:val="000000" w:themeColor="text1"/>
          <w:lang w:val="en-US"/>
        </w:rPr>
        <w:lastRenderedPageBreak/>
        <w:t>05.12.99.06.01.00, 05.12.99.06.99.00, 05.12.99.07.00.00, 05.12.99.08.00.00, 05.12.99.09.00.00, 05.12.99.99.00.00, 05.12.99.99.00.00</w:t>
      </w:r>
      <w:r w:rsidR="00E358A1" w:rsidRPr="00A23E22">
        <w:rPr>
          <w:b w:val="0"/>
          <w:color w:val="000000" w:themeColor="text1"/>
          <w:lang w:val="en-US"/>
        </w:rPr>
        <w:t>,</w:t>
      </w:r>
      <w:r w:rsidR="00C9068B" w:rsidRPr="00A23E22">
        <w:rPr>
          <w:b w:val="0"/>
          <w:color w:val="000000" w:themeColor="text1"/>
          <w:lang w:val="en-US"/>
        </w:rPr>
        <w:t xml:space="preserve"> </w:t>
      </w:r>
      <w:r w:rsidR="00E358A1" w:rsidRPr="00A23E22">
        <w:rPr>
          <w:b w:val="0"/>
          <w:color w:val="000000" w:themeColor="text1"/>
          <w:lang w:val="en-US"/>
        </w:rPr>
        <w:t xml:space="preserve">05.20.01.00.00.00, </w:t>
      </w:r>
      <w:r w:rsidR="00CF7DE1" w:rsidRPr="00A23E22">
        <w:rPr>
          <w:b w:val="0"/>
          <w:color w:val="000000" w:themeColor="text1"/>
          <w:lang w:val="en-US"/>
        </w:rPr>
        <w:t>05.20.99.99.00.00</w:t>
      </w:r>
      <w:r w:rsidR="00E358A1" w:rsidRPr="00A23E22">
        <w:rPr>
          <w:b w:val="0"/>
          <w:color w:val="000000" w:themeColor="text1"/>
          <w:lang w:val="en-US"/>
        </w:rPr>
        <w:t>, 03.05.02.01.40.00, 03.05.02.02.40.01,</w:t>
      </w:r>
      <w:r w:rsidR="00CF7DE1" w:rsidRPr="00A23E22">
        <w:rPr>
          <w:b w:val="0"/>
          <w:color w:val="000000" w:themeColor="text1"/>
          <w:lang w:val="en-US"/>
        </w:rPr>
        <w:t xml:space="preserve"> </w:t>
      </w:r>
      <w:r w:rsidR="00E358A1" w:rsidRPr="00A23E22">
        <w:rPr>
          <w:b w:val="0"/>
          <w:color w:val="000000" w:themeColor="text1"/>
          <w:lang w:val="en-US"/>
        </w:rPr>
        <w:t>03.05.02.02.40.02</w:t>
      </w:r>
      <w:r w:rsidR="00B1385A" w:rsidRPr="00A23E22">
        <w:rPr>
          <w:b w:val="0"/>
          <w:color w:val="000000" w:themeColor="text1"/>
          <w:lang w:val="en-US"/>
        </w:rPr>
        <w:t xml:space="preserve">, 05.12.99.01.02.00, 05.12.99.01.03.00, dan 05.12.99.01.99.00 </w:t>
      </w:r>
      <w:r w:rsidR="00C9068B" w:rsidRPr="00A23E22">
        <w:rPr>
          <w:b w:val="0"/>
          <w:color w:val="000000" w:themeColor="text1"/>
          <w:lang w:val="en-US"/>
        </w:rPr>
        <w:t xml:space="preserve"> </w:t>
      </w:r>
      <w:r w:rsidR="00E923C8" w:rsidRPr="00A23E22">
        <w:rPr>
          <w:b w:val="0"/>
          <w:color w:val="000000" w:themeColor="text1"/>
          <w:lang w:val="en-US"/>
        </w:rPr>
        <w:t>pada ketentuan otoritas moneter tentang Laporan Bank Umum Terintegrasi.</w:t>
      </w:r>
      <w:bookmarkEnd w:id="74"/>
      <w:r w:rsidR="001A0B1C" w:rsidRPr="00A23E22">
        <w:rPr>
          <w:b w:val="0"/>
          <w:color w:val="000000" w:themeColor="text1"/>
          <w:lang w:val="en-US"/>
        </w:rPr>
        <w:t xml:space="preserve"> </w:t>
      </w:r>
      <w:r>
        <w:rPr>
          <w:b w:val="0"/>
          <w:color w:val="000000" w:themeColor="text1"/>
          <w:lang w:val="en-US"/>
        </w:rPr>
        <w:t>P</w:t>
      </w:r>
      <w:r w:rsidR="001A0B1C" w:rsidRPr="00A23E22">
        <w:rPr>
          <w:b w:val="0"/>
          <w:color w:val="000000" w:themeColor="text1"/>
          <w:lang w:val="en-US"/>
        </w:rPr>
        <w:t xml:space="preserve">os ini tidak termasuk biaya GWM dan biaya penjaminan LPS. </w:t>
      </w:r>
    </w:p>
    <w:p w14:paraId="5AD163CE" w14:textId="47F33BFA" w:rsidR="00E358A1" w:rsidRPr="00A23E22" w:rsidRDefault="00F717B2" w:rsidP="00707E5F">
      <w:pPr>
        <w:pStyle w:val="Bab"/>
        <w:numPr>
          <w:ilvl w:val="2"/>
          <w:numId w:val="8"/>
        </w:numPr>
        <w:ind w:left="1843" w:hanging="425"/>
        <w:jc w:val="both"/>
        <w:rPr>
          <w:b w:val="0"/>
          <w:color w:val="000000" w:themeColor="text1"/>
          <w:lang w:val="en-US"/>
        </w:rPr>
      </w:pPr>
      <w:bookmarkStart w:id="76" w:name="_Toc138271016"/>
      <w:r>
        <w:rPr>
          <w:b w:val="0"/>
          <w:color w:val="000000" w:themeColor="text1"/>
          <w:lang w:val="en-US"/>
        </w:rPr>
        <w:t>B</w:t>
      </w:r>
      <w:r w:rsidR="00E358A1" w:rsidRPr="00A23E22">
        <w:rPr>
          <w:b w:val="0"/>
          <w:color w:val="000000" w:themeColor="text1"/>
          <w:lang w:val="en-US"/>
        </w:rPr>
        <w:t xml:space="preserve">iaya </w:t>
      </w:r>
      <w:r w:rsidR="00E358A1" w:rsidRPr="00A23E22">
        <w:rPr>
          <w:b w:val="0"/>
          <w:i/>
          <w:color w:val="000000" w:themeColor="text1"/>
          <w:lang w:val="en-US"/>
        </w:rPr>
        <w:t>overhead</w:t>
      </w:r>
      <w:r w:rsidR="00E358A1" w:rsidRPr="00A23E22">
        <w:rPr>
          <w:b w:val="0"/>
          <w:color w:val="000000" w:themeColor="text1"/>
          <w:lang w:val="en-US"/>
        </w:rPr>
        <w:t xml:space="preserve"> lain. Jika BUK mencantumkan biaya lain, maka bank menginformasikan jenis komponen dan metode perhitungannya kepada Otoritas Jasa Keuangan.</w:t>
      </w:r>
      <w:bookmarkEnd w:id="76"/>
    </w:p>
    <w:p w14:paraId="2DEEC315" w14:textId="455B3F74" w:rsidR="00E923C8" w:rsidRPr="00A23E22" w:rsidRDefault="00E358A1" w:rsidP="00707E5F">
      <w:pPr>
        <w:pStyle w:val="Bab"/>
        <w:numPr>
          <w:ilvl w:val="1"/>
          <w:numId w:val="8"/>
        </w:numPr>
        <w:ind w:left="1418"/>
        <w:jc w:val="both"/>
        <w:rPr>
          <w:b w:val="0"/>
          <w:color w:val="000000" w:themeColor="text1"/>
          <w:lang w:val="en-US"/>
        </w:rPr>
      </w:pPr>
      <w:bookmarkStart w:id="77" w:name="_Toc138271017"/>
      <w:r w:rsidRPr="006F39D9">
        <w:rPr>
          <w:b w:val="0"/>
          <w:lang w:val="en-US"/>
        </w:rPr>
        <w:t>Marjin</w:t>
      </w:r>
      <w:r w:rsidRPr="00A23E22">
        <w:rPr>
          <w:b w:val="0"/>
          <w:color w:val="000000" w:themeColor="text1"/>
          <w:lang w:val="en-US"/>
        </w:rPr>
        <w:t xml:space="preserve"> keuntungan, yaitu marjin keuntungan yang ditetapkan oleh bank dalam kegiatan penyaluran kredit. Penetapan marjin keuntungan yang ingin didapatkan bank dengan mempertimbangkan target </w:t>
      </w:r>
      <w:r w:rsidR="00EC64E1" w:rsidRPr="00A23E22">
        <w:rPr>
          <w:b w:val="0"/>
          <w:i/>
          <w:color w:val="000000" w:themeColor="text1"/>
          <w:lang w:val="en-US"/>
        </w:rPr>
        <w:t xml:space="preserve">return on asset </w:t>
      </w:r>
      <w:r w:rsidRPr="00A23E22">
        <w:rPr>
          <w:b w:val="0"/>
          <w:color w:val="000000" w:themeColor="text1"/>
          <w:lang w:val="en-US"/>
        </w:rPr>
        <w:t>yang ingin dicapai sesuai rencana bisnis bank setelah memperhitungkan pajak yang harus dibayar.</w:t>
      </w:r>
      <w:bookmarkEnd w:id="77"/>
      <w:r w:rsidR="00E41A85" w:rsidRPr="00A23E22">
        <w:rPr>
          <w:b w:val="0"/>
          <w:color w:val="000000" w:themeColor="text1"/>
          <w:lang w:val="en-US"/>
        </w:rPr>
        <w:t xml:space="preserve"> </w:t>
      </w:r>
    </w:p>
    <w:p w14:paraId="3BBED006" w14:textId="77777777" w:rsidR="00E358A1" w:rsidRDefault="00E358A1" w:rsidP="00707E5F">
      <w:pPr>
        <w:pStyle w:val="Bab"/>
        <w:numPr>
          <w:ilvl w:val="1"/>
          <w:numId w:val="8"/>
        </w:numPr>
        <w:ind w:left="1418"/>
        <w:jc w:val="both"/>
        <w:rPr>
          <w:b w:val="0"/>
          <w:lang w:val="en-US"/>
        </w:rPr>
      </w:pPr>
      <w:bookmarkStart w:id="78" w:name="_Toc138271018"/>
      <w:r w:rsidRPr="006F39D9">
        <w:rPr>
          <w:b w:val="0"/>
          <w:lang w:val="en-US"/>
        </w:rPr>
        <w:t>Estimasi</w:t>
      </w:r>
      <w:r w:rsidRPr="00A23E22">
        <w:rPr>
          <w:b w:val="0"/>
          <w:color w:val="000000" w:themeColor="text1"/>
          <w:lang w:val="en-US"/>
        </w:rPr>
        <w:t xml:space="preserve"> premi risiko, yaitu perkiraan marjin yang ditetapkan bank kepada debitur untuk mengkompensasi risiko gagal bayar baik secara langsung maupun tidak langsung atas kredit yang diberikan. Adapun komponen estimasi premi risiko adalah sebagai </w:t>
      </w:r>
      <w:r>
        <w:rPr>
          <w:b w:val="0"/>
          <w:lang w:val="en-US"/>
        </w:rPr>
        <w:t>berikut:</w:t>
      </w:r>
      <w:bookmarkEnd w:id="78"/>
    </w:p>
    <w:p w14:paraId="223F5664" w14:textId="77777777" w:rsidR="00E358A1" w:rsidRDefault="00E358A1" w:rsidP="00707E5F">
      <w:pPr>
        <w:pStyle w:val="Bab"/>
        <w:numPr>
          <w:ilvl w:val="3"/>
          <w:numId w:val="8"/>
        </w:numPr>
        <w:ind w:left="1701"/>
        <w:jc w:val="both"/>
        <w:rPr>
          <w:b w:val="0"/>
          <w:lang w:val="en-US"/>
        </w:rPr>
      </w:pPr>
      <w:bookmarkStart w:id="79" w:name="_Toc138271019"/>
      <w:r w:rsidRPr="00E358A1">
        <w:rPr>
          <w:b w:val="0"/>
          <w:lang w:val="en-US"/>
        </w:rPr>
        <w:t xml:space="preserve">Estimasi premi risiko kredit merepresentasikan penilaian bank terhadap prospek pelunasan kredit oleh calon debitur baik debitur individual maupun kelompok debitur, yang antara lain mempertimbangkan kondisi keuangan, jangka waktu kredit, dan prospek usaha. Beberapa biaya yang dapat masuk dalam komponen ini </w:t>
      </w:r>
      <w:r>
        <w:rPr>
          <w:b w:val="0"/>
          <w:lang w:val="en-US"/>
        </w:rPr>
        <w:t xml:space="preserve">yaitu </w:t>
      </w:r>
      <w:r w:rsidRPr="00E358A1">
        <w:rPr>
          <w:b w:val="0"/>
          <w:lang w:val="en-US"/>
        </w:rPr>
        <w:t>biaya CKPN</w:t>
      </w:r>
      <w:r>
        <w:rPr>
          <w:b w:val="0"/>
          <w:lang w:val="en-US"/>
        </w:rPr>
        <w:t xml:space="preserve"> Kredit </w:t>
      </w:r>
      <w:r w:rsidR="00444C41">
        <w:rPr>
          <w:b w:val="0"/>
          <w:lang w:val="en-US"/>
        </w:rPr>
        <w:t xml:space="preserve">yang di </w:t>
      </w:r>
      <w:r w:rsidR="00444C41" w:rsidRPr="00410A5F">
        <w:rPr>
          <w:b w:val="0"/>
          <w:i/>
          <w:lang w:val="en-US"/>
        </w:rPr>
        <w:t>netting</w:t>
      </w:r>
      <w:r w:rsidR="00444C41">
        <w:rPr>
          <w:b w:val="0"/>
          <w:lang w:val="en-US"/>
        </w:rPr>
        <w:t xml:space="preserve"> </w:t>
      </w:r>
      <w:r>
        <w:rPr>
          <w:b w:val="0"/>
          <w:lang w:val="en-US"/>
        </w:rPr>
        <w:t>dan</w:t>
      </w:r>
      <w:r w:rsidRPr="00E358A1">
        <w:rPr>
          <w:b w:val="0"/>
          <w:lang w:val="en-US"/>
        </w:rPr>
        <w:t xml:space="preserve"> biaya premi asuransi</w:t>
      </w:r>
      <w:r w:rsidR="00B1385A">
        <w:rPr>
          <w:b w:val="0"/>
          <w:lang w:val="en-US"/>
        </w:rPr>
        <w:t xml:space="preserve"> kredit</w:t>
      </w:r>
      <w:r>
        <w:rPr>
          <w:b w:val="0"/>
          <w:lang w:val="en-US"/>
        </w:rPr>
        <w:t xml:space="preserve"> yang dialokasikan untuk penghimpunan dana dan penyaluran kredit</w:t>
      </w:r>
      <w:r w:rsidRPr="00E358A1">
        <w:rPr>
          <w:b w:val="0"/>
          <w:lang w:val="en-US"/>
        </w:rPr>
        <w:t xml:space="preserve">. </w:t>
      </w:r>
      <w:r>
        <w:rPr>
          <w:b w:val="0"/>
          <w:lang w:val="en-US"/>
        </w:rPr>
        <w:t xml:space="preserve">Pos ini harus sejalan dengan sandi </w:t>
      </w:r>
      <w:r w:rsidRPr="00662417">
        <w:rPr>
          <w:b w:val="0"/>
          <w:lang w:val="en-US"/>
        </w:rPr>
        <w:t>05.12.</w:t>
      </w:r>
      <w:r>
        <w:rPr>
          <w:b w:val="0"/>
          <w:lang w:val="en-US"/>
        </w:rPr>
        <w:t>07</w:t>
      </w:r>
      <w:r w:rsidRPr="00662417">
        <w:rPr>
          <w:b w:val="0"/>
          <w:lang w:val="en-US"/>
        </w:rPr>
        <w:t>.0</w:t>
      </w:r>
      <w:r>
        <w:rPr>
          <w:b w:val="0"/>
          <w:lang w:val="en-US"/>
        </w:rPr>
        <w:t>5</w:t>
      </w:r>
      <w:r w:rsidRPr="00662417">
        <w:rPr>
          <w:b w:val="0"/>
          <w:lang w:val="en-US"/>
        </w:rPr>
        <w:t>.0</w:t>
      </w:r>
      <w:r>
        <w:rPr>
          <w:b w:val="0"/>
          <w:lang w:val="en-US"/>
        </w:rPr>
        <w:t>1</w:t>
      </w:r>
      <w:r w:rsidRPr="00662417">
        <w:rPr>
          <w:b w:val="0"/>
          <w:lang w:val="en-US"/>
        </w:rPr>
        <w:t>.0</w:t>
      </w:r>
      <w:r>
        <w:rPr>
          <w:b w:val="0"/>
          <w:lang w:val="en-US"/>
        </w:rPr>
        <w:t xml:space="preserve">1, </w:t>
      </w:r>
      <w:r w:rsidRPr="00662417">
        <w:rPr>
          <w:b w:val="0"/>
          <w:lang w:val="en-US"/>
        </w:rPr>
        <w:t>05.12.</w:t>
      </w:r>
      <w:r>
        <w:rPr>
          <w:b w:val="0"/>
          <w:lang w:val="en-US"/>
        </w:rPr>
        <w:t>07</w:t>
      </w:r>
      <w:r w:rsidRPr="00662417">
        <w:rPr>
          <w:b w:val="0"/>
          <w:lang w:val="en-US"/>
        </w:rPr>
        <w:t>.0</w:t>
      </w:r>
      <w:r>
        <w:rPr>
          <w:b w:val="0"/>
          <w:lang w:val="en-US"/>
        </w:rPr>
        <w:t>5</w:t>
      </w:r>
      <w:r w:rsidRPr="00662417">
        <w:rPr>
          <w:b w:val="0"/>
          <w:lang w:val="en-US"/>
        </w:rPr>
        <w:t>.0</w:t>
      </w:r>
      <w:r>
        <w:rPr>
          <w:b w:val="0"/>
          <w:lang w:val="en-US"/>
        </w:rPr>
        <w:t>1</w:t>
      </w:r>
      <w:r w:rsidRPr="00662417">
        <w:rPr>
          <w:b w:val="0"/>
          <w:lang w:val="en-US"/>
        </w:rPr>
        <w:t>.0</w:t>
      </w:r>
      <w:r>
        <w:rPr>
          <w:b w:val="0"/>
          <w:lang w:val="en-US"/>
        </w:rPr>
        <w:t xml:space="preserve">2, </w:t>
      </w:r>
      <w:r w:rsidR="00B1385A">
        <w:rPr>
          <w:b w:val="0"/>
          <w:lang w:val="en-US"/>
        </w:rPr>
        <w:t xml:space="preserve">dan </w:t>
      </w:r>
      <w:r w:rsidRPr="00662417">
        <w:rPr>
          <w:b w:val="0"/>
          <w:lang w:val="en-US"/>
        </w:rPr>
        <w:t>05.12.</w:t>
      </w:r>
      <w:r>
        <w:rPr>
          <w:b w:val="0"/>
          <w:lang w:val="en-US"/>
        </w:rPr>
        <w:t>99</w:t>
      </w:r>
      <w:r w:rsidRPr="00662417">
        <w:rPr>
          <w:b w:val="0"/>
          <w:lang w:val="en-US"/>
        </w:rPr>
        <w:t>.0</w:t>
      </w:r>
      <w:r>
        <w:rPr>
          <w:b w:val="0"/>
          <w:lang w:val="en-US"/>
        </w:rPr>
        <w:t>1</w:t>
      </w:r>
      <w:r w:rsidRPr="00662417">
        <w:rPr>
          <w:b w:val="0"/>
          <w:lang w:val="en-US"/>
        </w:rPr>
        <w:t>.0</w:t>
      </w:r>
      <w:r>
        <w:rPr>
          <w:b w:val="0"/>
          <w:lang w:val="en-US"/>
        </w:rPr>
        <w:t>1</w:t>
      </w:r>
      <w:r w:rsidRPr="00662417">
        <w:rPr>
          <w:b w:val="0"/>
          <w:lang w:val="en-US"/>
        </w:rPr>
        <w:t>.0</w:t>
      </w:r>
      <w:r>
        <w:rPr>
          <w:b w:val="0"/>
          <w:lang w:val="en-US"/>
        </w:rPr>
        <w:t xml:space="preserve">0 </w:t>
      </w:r>
      <w:r w:rsidR="001F415E">
        <w:rPr>
          <w:b w:val="0"/>
          <w:lang w:val="en-US"/>
        </w:rPr>
        <w:t xml:space="preserve">dikurangi </w:t>
      </w:r>
      <w:r w:rsidR="001F415E" w:rsidRPr="001F415E">
        <w:rPr>
          <w:b w:val="0"/>
          <w:lang w:val="en-US"/>
        </w:rPr>
        <w:t>04.12.10.01.00.00</w:t>
      </w:r>
      <w:r w:rsidR="001F415E">
        <w:rPr>
          <w:b w:val="0"/>
          <w:lang w:val="en-US"/>
        </w:rPr>
        <w:t xml:space="preserve"> </w:t>
      </w:r>
      <w:r>
        <w:rPr>
          <w:b w:val="0"/>
          <w:lang w:val="en-US"/>
        </w:rPr>
        <w:t>pada ketentuan otoritas moneter tentang Laporan Bank Umum Terintegrasi.</w:t>
      </w:r>
      <w:bookmarkEnd w:id="79"/>
    </w:p>
    <w:p w14:paraId="72E1F67E" w14:textId="3A30E16B" w:rsidR="0030088F" w:rsidRPr="000C3BAA" w:rsidRDefault="0030088F" w:rsidP="00707E5F">
      <w:pPr>
        <w:pStyle w:val="Bab"/>
        <w:numPr>
          <w:ilvl w:val="3"/>
          <w:numId w:val="8"/>
        </w:numPr>
        <w:ind w:left="1701"/>
        <w:jc w:val="both"/>
        <w:rPr>
          <w:b w:val="0"/>
          <w:lang w:val="en-US"/>
        </w:rPr>
      </w:pPr>
      <w:bookmarkStart w:id="80" w:name="_Toc138271020"/>
      <w:r w:rsidRPr="0030088F">
        <w:rPr>
          <w:b w:val="0"/>
          <w:lang w:val="en-US"/>
        </w:rPr>
        <w:t xml:space="preserve">Estimasi premi </w:t>
      </w:r>
      <w:r w:rsidR="001F415E">
        <w:rPr>
          <w:b w:val="0"/>
          <w:lang w:val="en-US"/>
        </w:rPr>
        <w:t>tidak terkait risiko kredit</w:t>
      </w:r>
      <w:r w:rsidRPr="0030088F">
        <w:rPr>
          <w:b w:val="0"/>
          <w:lang w:val="en-US"/>
        </w:rPr>
        <w:t xml:space="preserve"> merepresentasikan penilaian bank terhadap risiko selain kredit, antara lain terkait risiko likuiditas dan risiko lain yang dinilai dapat mempengaruhi penetapan suku bunga yang ditawarkan. </w:t>
      </w:r>
      <w:bookmarkEnd w:id="80"/>
    </w:p>
    <w:p w14:paraId="61BA3A81" w14:textId="77777777" w:rsidR="00305EA3" w:rsidRDefault="00305EA3" w:rsidP="00017180">
      <w:pPr>
        <w:pStyle w:val="Bab"/>
        <w:numPr>
          <w:ilvl w:val="0"/>
          <w:numId w:val="0"/>
        </w:numPr>
        <w:ind w:left="720"/>
        <w:jc w:val="both"/>
      </w:pPr>
      <w:bookmarkStart w:id="81" w:name="_Toc412622722"/>
      <w:bookmarkStart w:id="82" w:name="_Toc412623641"/>
      <w:bookmarkStart w:id="83" w:name="_Toc412624516"/>
      <w:bookmarkStart w:id="84" w:name="_Toc412625552"/>
      <w:bookmarkEnd w:id="11"/>
      <w:bookmarkEnd w:id="12"/>
      <w:bookmarkEnd w:id="13"/>
      <w:bookmarkEnd w:id="14"/>
      <w:bookmarkEnd w:id="15"/>
      <w:bookmarkEnd w:id="16"/>
      <w:bookmarkEnd w:id="17"/>
      <w:bookmarkEnd w:id="18"/>
    </w:p>
    <w:p w14:paraId="40635515" w14:textId="77777777" w:rsidR="00305EA3" w:rsidRPr="00305EA3" w:rsidRDefault="00305EA3" w:rsidP="00305EA3">
      <w:pPr>
        <w:spacing w:after="0"/>
        <w:ind w:left="3828"/>
        <w:rPr>
          <w:rFonts w:ascii="Bookman Old Style" w:hAnsi="Bookman Old Style"/>
          <w:sz w:val="24"/>
          <w:szCs w:val="24"/>
        </w:rPr>
      </w:pPr>
      <w:r w:rsidRPr="00305EA3">
        <w:rPr>
          <w:rFonts w:ascii="Bookman Old Style" w:hAnsi="Bookman Old Style"/>
          <w:sz w:val="24"/>
          <w:szCs w:val="24"/>
        </w:rPr>
        <w:t>Ditetapkan di Jakarta</w:t>
      </w:r>
    </w:p>
    <w:p w14:paraId="3DC3E7E3" w14:textId="77777777" w:rsidR="00305EA3" w:rsidRPr="00305EA3" w:rsidRDefault="007336A8" w:rsidP="00305EA3">
      <w:pPr>
        <w:spacing w:after="0"/>
        <w:ind w:left="3828"/>
        <w:rPr>
          <w:rFonts w:ascii="Bookman Old Style" w:hAnsi="Bookman Old Style"/>
          <w:sz w:val="24"/>
          <w:szCs w:val="24"/>
        </w:rPr>
      </w:pPr>
      <w:r>
        <w:rPr>
          <w:rFonts w:ascii="Bookman Old Style" w:hAnsi="Bookman Old Style"/>
          <w:sz w:val="24"/>
          <w:szCs w:val="24"/>
        </w:rPr>
        <w:t>p</w:t>
      </w:r>
      <w:r w:rsidR="00305EA3" w:rsidRPr="00305EA3">
        <w:rPr>
          <w:rFonts w:ascii="Bookman Old Style" w:hAnsi="Bookman Old Style"/>
          <w:sz w:val="24"/>
          <w:szCs w:val="24"/>
        </w:rPr>
        <w:t>ada tanggal</w:t>
      </w:r>
    </w:p>
    <w:p w14:paraId="1FA3C077" w14:textId="77777777" w:rsidR="00305EA3" w:rsidRPr="00305EA3" w:rsidRDefault="00305EA3" w:rsidP="00305EA3">
      <w:pPr>
        <w:spacing w:after="0"/>
        <w:ind w:left="3828"/>
        <w:rPr>
          <w:rFonts w:ascii="Bookman Old Style" w:hAnsi="Bookman Old Style"/>
          <w:sz w:val="24"/>
          <w:szCs w:val="24"/>
        </w:rPr>
      </w:pPr>
      <w:r w:rsidRPr="00305EA3">
        <w:rPr>
          <w:rFonts w:ascii="Bookman Old Style" w:hAnsi="Bookman Old Style"/>
          <w:sz w:val="24"/>
          <w:szCs w:val="24"/>
        </w:rPr>
        <w:t>KEPALA EKSEKUTIF PENGAWAS PERBANKAN</w:t>
      </w:r>
    </w:p>
    <w:p w14:paraId="681B5644" w14:textId="77777777" w:rsidR="00305EA3" w:rsidRPr="00305EA3" w:rsidRDefault="00305EA3" w:rsidP="00305EA3">
      <w:pPr>
        <w:spacing w:after="0"/>
        <w:ind w:left="3828"/>
        <w:rPr>
          <w:rFonts w:ascii="Bookman Old Style" w:hAnsi="Bookman Old Style"/>
          <w:sz w:val="24"/>
          <w:szCs w:val="24"/>
        </w:rPr>
      </w:pPr>
      <w:r w:rsidRPr="00305EA3">
        <w:rPr>
          <w:rFonts w:ascii="Bookman Old Style" w:hAnsi="Bookman Old Style"/>
          <w:sz w:val="24"/>
          <w:szCs w:val="24"/>
        </w:rPr>
        <w:t>OTORITAS JASA KEUANGAN,</w:t>
      </w:r>
    </w:p>
    <w:p w14:paraId="7BC96204" w14:textId="77777777" w:rsidR="00305EA3" w:rsidRPr="00305EA3" w:rsidRDefault="00305EA3" w:rsidP="00305EA3">
      <w:pPr>
        <w:spacing w:after="0"/>
        <w:ind w:left="3828"/>
        <w:rPr>
          <w:rFonts w:ascii="Bookman Old Style" w:hAnsi="Bookman Old Style"/>
          <w:sz w:val="24"/>
          <w:szCs w:val="24"/>
        </w:rPr>
      </w:pPr>
    </w:p>
    <w:p w14:paraId="77C22232" w14:textId="77777777" w:rsidR="00305EA3" w:rsidRPr="00305EA3" w:rsidRDefault="00305EA3" w:rsidP="00305EA3">
      <w:pPr>
        <w:spacing w:after="0"/>
        <w:ind w:left="3828"/>
        <w:rPr>
          <w:rFonts w:ascii="Bookman Old Style" w:hAnsi="Bookman Old Style"/>
          <w:sz w:val="24"/>
          <w:szCs w:val="24"/>
        </w:rPr>
      </w:pPr>
    </w:p>
    <w:p w14:paraId="6DA6C3FC" w14:textId="77777777" w:rsidR="00305EA3" w:rsidRPr="00305EA3" w:rsidRDefault="00305EA3" w:rsidP="00305EA3">
      <w:pPr>
        <w:spacing w:after="0"/>
        <w:ind w:left="3828"/>
        <w:rPr>
          <w:rFonts w:ascii="Bookman Old Style" w:hAnsi="Bookman Old Style"/>
          <w:sz w:val="24"/>
          <w:szCs w:val="24"/>
        </w:rPr>
      </w:pPr>
    </w:p>
    <w:p w14:paraId="31B98313" w14:textId="77777777" w:rsidR="00305EA3" w:rsidRPr="00305EA3" w:rsidRDefault="00305EA3" w:rsidP="00305EA3">
      <w:pPr>
        <w:spacing w:after="0"/>
        <w:ind w:left="3828"/>
        <w:rPr>
          <w:rFonts w:ascii="Bookman Old Style" w:hAnsi="Bookman Old Style"/>
          <w:sz w:val="24"/>
          <w:szCs w:val="24"/>
        </w:rPr>
      </w:pPr>
    </w:p>
    <w:p w14:paraId="34E6325D" w14:textId="77777777" w:rsidR="00305EA3" w:rsidRPr="0030088F" w:rsidRDefault="0030088F" w:rsidP="00305EA3">
      <w:pPr>
        <w:spacing w:after="0"/>
        <w:ind w:left="3828"/>
        <w:rPr>
          <w:rFonts w:ascii="Bookman Old Style" w:hAnsi="Bookman Old Style"/>
          <w:sz w:val="24"/>
          <w:szCs w:val="24"/>
          <w:lang w:val="en-US"/>
        </w:rPr>
      </w:pPr>
      <w:r>
        <w:rPr>
          <w:rFonts w:ascii="Bookman Old Style" w:hAnsi="Bookman Old Style"/>
          <w:sz w:val="24"/>
          <w:szCs w:val="24"/>
          <w:lang w:val="en-US"/>
        </w:rPr>
        <w:t>DIAN EDIANA RAE</w:t>
      </w:r>
    </w:p>
    <w:bookmarkEnd w:id="81"/>
    <w:bookmarkEnd w:id="82"/>
    <w:bookmarkEnd w:id="83"/>
    <w:bookmarkEnd w:id="84"/>
    <w:p w14:paraId="7E26F80B" w14:textId="77777777" w:rsidR="00305EA3" w:rsidRDefault="00305EA3" w:rsidP="00017180">
      <w:pPr>
        <w:pStyle w:val="Bab"/>
        <w:numPr>
          <w:ilvl w:val="0"/>
          <w:numId w:val="0"/>
        </w:numPr>
        <w:ind w:left="720"/>
        <w:jc w:val="both"/>
      </w:pPr>
    </w:p>
    <w:sectPr w:rsidR="00305EA3" w:rsidSect="001D5F31">
      <w:headerReference w:type="even" r:id="rId14"/>
      <w:headerReference w:type="default" r:id="rId15"/>
      <w:headerReference w:type="first" r:id="rId16"/>
      <w:pgSz w:w="12242" w:h="18722" w:code="14"/>
      <w:pgMar w:top="1440" w:right="1327" w:bottom="1440" w:left="1440" w:header="720" w:footer="720" w:gutter="0"/>
      <w:pgNumType w:fmt="numberInDash"/>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F6E9C" w16cex:dateUtc="2023-08-22T10: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B4CB6" w14:textId="77777777" w:rsidR="00707E5F" w:rsidRDefault="00707E5F" w:rsidP="00001900">
      <w:pPr>
        <w:spacing w:after="0" w:line="240" w:lineRule="auto"/>
      </w:pPr>
      <w:r>
        <w:separator/>
      </w:r>
    </w:p>
  </w:endnote>
  <w:endnote w:type="continuationSeparator" w:id="0">
    <w:p w14:paraId="0DE40EF5" w14:textId="77777777" w:rsidR="00707E5F" w:rsidRDefault="00707E5F" w:rsidP="0000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9A450" w14:textId="77777777" w:rsidR="00662417" w:rsidRDefault="00662417">
    <w:pPr>
      <w:pStyle w:val="Footer"/>
      <w:jc w:val="right"/>
    </w:pPr>
  </w:p>
  <w:p w14:paraId="34716FFF" w14:textId="77777777" w:rsidR="00662417" w:rsidRDefault="00662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119DD" w14:textId="77777777" w:rsidR="00707E5F" w:rsidRDefault="00707E5F" w:rsidP="00001900">
      <w:pPr>
        <w:spacing w:after="0" w:line="240" w:lineRule="auto"/>
      </w:pPr>
      <w:r>
        <w:separator/>
      </w:r>
    </w:p>
  </w:footnote>
  <w:footnote w:type="continuationSeparator" w:id="0">
    <w:p w14:paraId="3A4D239A" w14:textId="77777777" w:rsidR="00707E5F" w:rsidRDefault="00707E5F" w:rsidP="00001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21424" w14:textId="77777777" w:rsidR="00662417" w:rsidRPr="00527E87" w:rsidRDefault="00662417">
    <w:pPr>
      <w:pStyle w:val="Header"/>
      <w:jc w:val="center"/>
      <w:rPr>
        <w:rFonts w:ascii="Bookman Old Style" w:hAnsi="Bookman Old Style"/>
      </w:rPr>
    </w:pPr>
  </w:p>
  <w:p w14:paraId="364B8DEF" w14:textId="77777777" w:rsidR="00662417" w:rsidRDefault="006624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B27CF" w14:textId="77777777" w:rsidR="00662417" w:rsidRDefault="006624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B9B40" w14:textId="77777777" w:rsidR="00662417" w:rsidRPr="00527E87" w:rsidRDefault="00707E5F">
    <w:pPr>
      <w:pStyle w:val="Header"/>
      <w:jc w:val="center"/>
      <w:rPr>
        <w:rFonts w:ascii="Bookman Old Style" w:hAnsi="Bookman Old Style"/>
      </w:rPr>
    </w:pPr>
    <w:sdt>
      <w:sdtPr>
        <w:id w:val="-1599784661"/>
        <w:docPartObj>
          <w:docPartGallery w:val="Page Numbers (Top of Page)"/>
          <w:docPartUnique/>
        </w:docPartObj>
      </w:sdtPr>
      <w:sdtEndPr>
        <w:rPr>
          <w:rFonts w:ascii="Bookman Old Style" w:hAnsi="Bookman Old Style"/>
        </w:rPr>
      </w:sdtEndPr>
      <w:sdtContent>
        <w:r w:rsidR="00662417" w:rsidRPr="00527E87">
          <w:rPr>
            <w:rFonts w:ascii="Bookman Old Style" w:hAnsi="Bookman Old Style"/>
          </w:rPr>
          <w:fldChar w:fldCharType="begin"/>
        </w:r>
        <w:r w:rsidR="00662417" w:rsidRPr="00527E87">
          <w:rPr>
            <w:rFonts w:ascii="Bookman Old Style" w:hAnsi="Bookman Old Style"/>
          </w:rPr>
          <w:instrText xml:space="preserve"> PAGE   \* MERGEFORMAT </w:instrText>
        </w:r>
        <w:r w:rsidR="00662417" w:rsidRPr="00527E87">
          <w:rPr>
            <w:rFonts w:ascii="Bookman Old Style" w:hAnsi="Bookman Old Style"/>
          </w:rPr>
          <w:fldChar w:fldCharType="separate"/>
        </w:r>
        <w:r w:rsidR="00662417">
          <w:rPr>
            <w:rFonts w:ascii="Bookman Old Style" w:hAnsi="Bookman Old Style"/>
            <w:noProof/>
          </w:rPr>
          <w:t>- 49 -</w:t>
        </w:r>
        <w:r w:rsidR="00662417" w:rsidRPr="00527E87">
          <w:rPr>
            <w:rFonts w:ascii="Bookman Old Style" w:hAnsi="Bookman Old Style"/>
            <w:noProof/>
          </w:rPr>
          <w:fldChar w:fldCharType="end"/>
        </w:r>
      </w:sdtContent>
    </w:sdt>
  </w:p>
  <w:p w14:paraId="2E4FC064" w14:textId="77777777" w:rsidR="00662417" w:rsidRDefault="006624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60180" w14:textId="77777777" w:rsidR="00662417" w:rsidRDefault="006624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13F80"/>
    <w:multiLevelType w:val="hybridMultilevel"/>
    <w:tmpl w:val="3BCA145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5FB4FFA0">
      <w:start w:val="1"/>
      <w:numFmt w:val="decimal"/>
      <w:pStyle w:val="4"/>
      <w:lvlText w:val="%3)"/>
      <w:lvlJc w:val="left"/>
      <w:pPr>
        <w:ind w:left="2520" w:hanging="180"/>
      </w:pPr>
    </w:lvl>
    <w:lvl w:ilvl="3" w:tplc="FEDC0694">
      <w:start w:val="1"/>
      <w:numFmt w:val="lowerLetter"/>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0F71F7"/>
    <w:multiLevelType w:val="hybridMultilevel"/>
    <w:tmpl w:val="A3DA7AF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9">
      <w:start w:val="1"/>
      <w:numFmt w:val="lowerLetter"/>
      <w:lvlText w:val="%3."/>
      <w:lvlJc w:val="left"/>
      <w:pPr>
        <w:ind w:left="2160" w:hanging="180"/>
      </w:pPr>
    </w:lvl>
    <w:lvl w:ilvl="3" w:tplc="3809001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DA45080"/>
    <w:multiLevelType w:val="hybridMultilevel"/>
    <w:tmpl w:val="563229BE"/>
    <w:lvl w:ilvl="0" w:tplc="7C2C3E24">
      <w:start w:val="1"/>
      <w:numFmt w:val="decimal"/>
      <w:pStyle w:val="individukonso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1A26E04"/>
    <w:multiLevelType w:val="hybridMultilevel"/>
    <w:tmpl w:val="665C3682"/>
    <w:lvl w:ilvl="0" w:tplc="5C628570">
      <w:start w:val="1"/>
      <w:numFmt w:val="decimal"/>
      <w:lvlText w:val="%1."/>
      <w:lvlJc w:val="left"/>
      <w:pPr>
        <w:ind w:left="1080" w:hanging="360"/>
      </w:pPr>
      <w:rPr>
        <w:rFonts w:hint="default"/>
        <w:b w:val="0"/>
      </w:rPr>
    </w:lvl>
    <w:lvl w:ilvl="1" w:tplc="240A0E14">
      <w:start w:val="1"/>
      <w:numFmt w:val="lowerLetter"/>
      <w:lvlText w:val="%2."/>
      <w:lvlJc w:val="left"/>
      <w:pPr>
        <w:ind w:left="1800" w:hanging="360"/>
      </w:pPr>
      <w:rPr>
        <w:color w:val="auto"/>
      </w:rPr>
    </w:lvl>
    <w:lvl w:ilvl="2" w:tplc="38090011">
      <w:start w:val="1"/>
      <w:numFmt w:val="decimal"/>
      <w:lvlText w:val="%3)"/>
      <w:lvlJc w:val="left"/>
      <w:pPr>
        <w:ind w:left="2520" w:hanging="180"/>
      </w:pPr>
    </w:lvl>
    <w:lvl w:ilvl="3" w:tplc="FEDC0694">
      <w:start w:val="1"/>
      <w:numFmt w:val="lowerLetter"/>
      <w:lvlText w:val="%4)"/>
      <w:lvlJc w:val="left"/>
      <w:pPr>
        <w:ind w:left="3240" w:hanging="360"/>
      </w:pPr>
    </w:lvl>
    <w:lvl w:ilvl="4" w:tplc="38090017">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3CBF2C43"/>
    <w:multiLevelType w:val="hybridMultilevel"/>
    <w:tmpl w:val="287A2828"/>
    <w:lvl w:ilvl="0" w:tplc="E10E7B18">
      <w:start w:val="1"/>
      <w:numFmt w:val="lowerLetter"/>
      <w:pStyle w:val="5"/>
      <w:lvlText w:val="%1)"/>
      <w:lvlJc w:val="left"/>
      <w:pPr>
        <w:ind w:left="2487" w:hanging="360"/>
      </w:pPr>
      <w:rPr>
        <w:i w:val="0"/>
      </w:r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5" w15:restartNumberingAfterBreak="0">
    <w:nsid w:val="3FC530BE"/>
    <w:multiLevelType w:val="hybridMultilevel"/>
    <w:tmpl w:val="13E459EA"/>
    <w:lvl w:ilvl="0" w:tplc="5C628570">
      <w:start w:val="1"/>
      <w:numFmt w:val="decimal"/>
      <w:lvlText w:val="%1."/>
      <w:lvlJc w:val="left"/>
      <w:pPr>
        <w:ind w:left="1080" w:hanging="360"/>
      </w:pPr>
      <w:rPr>
        <w:rFonts w:hint="default"/>
        <w:b w:val="0"/>
      </w:rPr>
    </w:lvl>
    <w:lvl w:ilvl="1" w:tplc="38090019">
      <w:start w:val="1"/>
      <w:numFmt w:val="lowerLetter"/>
      <w:lvlText w:val="%2."/>
      <w:lvlJc w:val="left"/>
      <w:pPr>
        <w:ind w:left="1800" w:hanging="360"/>
      </w:pPr>
    </w:lvl>
    <w:lvl w:ilvl="2" w:tplc="38090011">
      <w:start w:val="1"/>
      <w:numFmt w:val="decimal"/>
      <w:lvlText w:val="%3)"/>
      <w:lvlJc w:val="left"/>
      <w:pPr>
        <w:ind w:left="2520" w:hanging="180"/>
      </w:pPr>
    </w:lvl>
    <w:lvl w:ilvl="3" w:tplc="38090017">
      <w:start w:val="1"/>
      <w:numFmt w:val="lowerLetter"/>
      <w:lvlText w:val="%4)"/>
      <w:lvlJc w:val="left"/>
      <w:pPr>
        <w:ind w:left="3240" w:hanging="360"/>
      </w:pPr>
    </w:lvl>
    <w:lvl w:ilvl="4" w:tplc="A07A0FCA">
      <w:start w:val="1"/>
      <w:numFmt w:val="decimal"/>
      <w:lvlText w:val="(%5)"/>
      <w:lvlJc w:val="left"/>
      <w:pPr>
        <w:ind w:left="3960" w:hanging="360"/>
      </w:pPr>
      <w:rPr>
        <w:rFonts w:hint="default"/>
      </w:rPr>
    </w:lvl>
    <w:lvl w:ilvl="5" w:tplc="A07A0FCA">
      <w:start w:val="1"/>
      <w:numFmt w:val="decimal"/>
      <w:lvlText w:val="(%6)"/>
      <w:lvlJc w:val="left"/>
      <w:pPr>
        <w:ind w:left="4680" w:hanging="180"/>
      </w:pPr>
      <w:rPr>
        <w:rFonts w:hint="default"/>
      </w:r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40530490"/>
    <w:multiLevelType w:val="hybridMultilevel"/>
    <w:tmpl w:val="04F47458"/>
    <w:lvl w:ilvl="0" w:tplc="5C628570">
      <w:start w:val="1"/>
      <w:numFmt w:val="decimal"/>
      <w:lvlText w:val="%1."/>
      <w:lvlJc w:val="left"/>
      <w:pPr>
        <w:ind w:left="1080" w:hanging="360"/>
      </w:pPr>
      <w:rPr>
        <w:rFonts w:hint="default"/>
        <w:b w:val="0"/>
      </w:rPr>
    </w:lvl>
    <w:lvl w:ilvl="1" w:tplc="38090019">
      <w:start w:val="1"/>
      <w:numFmt w:val="lowerLetter"/>
      <w:lvlText w:val="%2."/>
      <w:lvlJc w:val="left"/>
      <w:pPr>
        <w:ind w:left="1800" w:hanging="360"/>
      </w:pPr>
    </w:lvl>
    <w:lvl w:ilvl="2" w:tplc="38090011">
      <w:start w:val="1"/>
      <w:numFmt w:val="decimal"/>
      <w:lvlText w:val="%3)"/>
      <w:lvlJc w:val="left"/>
      <w:pPr>
        <w:ind w:left="2520" w:hanging="180"/>
      </w:pPr>
    </w:lvl>
    <w:lvl w:ilvl="3" w:tplc="38090011">
      <w:start w:val="1"/>
      <w:numFmt w:val="decimal"/>
      <w:lvlText w:val="%4)"/>
      <w:lvlJc w:val="left"/>
      <w:pPr>
        <w:ind w:left="3240" w:hanging="360"/>
      </w:pPr>
    </w:lvl>
    <w:lvl w:ilvl="4" w:tplc="FEDC0694">
      <w:start w:val="1"/>
      <w:numFmt w:val="lowerLetter"/>
      <w:lvlText w:val="%5)"/>
      <w:lvlJc w:val="left"/>
      <w:pPr>
        <w:ind w:left="6031" w:hanging="360"/>
      </w:pPr>
      <w:rPr>
        <w:rFonts w:hint="default"/>
      </w:rPr>
    </w:lvl>
    <w:lvl w:ilvl="5" w:tplc="3809001B">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456D28F0"/>
    <w:multiLevelType w:val="hybridMultilevel"/>
    <w:tmpl w:val="33ACABA2"/>
    <w:lvl w:ilvl="0" w:tplc="35382A7A">
      <w:start w:val="1"/>
      <w:numFmt w:val="upperRoman"/>
      <w:pStyle w:val="Bab"/>
      <w:lvlText w:val="%1."/>
      <w:lvlJc w:val="right"/>
      <w:pPr>
        <w:ind w:left="720" w:hanging="360"/>
      </w:pPr>
    </w:lvl>
    <w:lvl w:ilvl="1" w:tplc="04090019">
      <w:start w:val="1"/>
      <w:numFmt w:val="lowerLetter"/>
      <w:lvlText w:val="%2."/>
      <w:lvlJc w:val="left"/>
      <w:pPr>
        <w:ind w:left="1440" w:hanging="360"/>
      </w:pPr>
    </w:lvl>
    <w:lvl w:ilvl="2" w:tplc="0B4CC174">
      <w:start w:val="10"/>
      <w:numFmt w:val="bullet"/>
      <w:lvlText w:val=""/>
      <w:lvlJc w:val="left"/>
      <w:pPr>
        <w:ind w:left="2340" w:hanging="360"/>
      </w:pPr>
      <w:rPr>
        <w:rFonts w:ascii="Wingdings" w:eastAsiaTheme="minorEastAsia" w:hAnsi="Wingdings" w:cstheme="minorBidi" w:hint="default"/>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5A579B"/>
    <w:multiLevelType w:val="hybridMultilevel"/>
    <w:tmpl w:val="3620F838"/>
    <w:lvl w:ilvl="0" w:tplc="2A2C3244">
      <w:start w:val="1"/>
      <w:numFmt w:val="decimal"/>
      <w:pStyle w:val="Subbab"/>
      <w:lvlText w:val="%1."/>
      <w:lvlJc w:val="left"/>
      <w:pPr>
        <w:ind w:left="1080" w:hanging="360"/>
      </w:pPr>
      <w:rPr>
        <w:i w:val="0"/>
      </w:rPr>
    </w:lvl>
    <w:lvl w:ilvl="1" w:tplc="D26ABA1E">
      <w:start w:val="1"/>
      <w:numFmt w:val="lowerLetter"/>
      <w:pStyle w:val="FormatdanPedoman"/>
      <w:lvlText w:val="%2."/>
      <w:lvlJc w:val="left"/>
      <w:pPr>
        <w:ind w:left="1637"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8163CAB"/>
    <w:multiLevelType w:val="hybridMultilevel"/>
    <w:tmpl w:val="F1F024C4"/>
    <w:lvl w:ilvl="0" w:tplc="5C628570">
      <w:start w:val="1"/>
      <w:numFmt w:val="decimal"/>
      <w:lvlText w:val="%1."/>
      <w:lvlJc w:val="left"/>
      <w:pPr>
        <w:ind w:left="1080" w:hanging="360"/>
      </w:pPr>
      <w:rPr>
        <w:rFonts w:hint="default"/>
        <w:b w:val="0"/>
      </w:rPr>
    </w:lvl>
    <w:lvl w:ilvl="1" w:tplc="38090019">
      <w:start w:val="1"/>
      <w:numFmt w:val="lowerLetter"/>
      <w:lvlText w:val="%2."/>
      <w:lvlJc w:val="left"/>
      <w:pPr>
        <w:ind w:left="1800" w:hanging="360"/>
      </w:pPr>
    </w:lvl>
    <w:lvl w:ilvl="2" w:tplc="38090011">
      <w:start w:val="1"/>
      <w:numFmt w:val="decimal"/>
      <w:lvlText w:val="%3)"/>
      <w:lvlJc w:val="lef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781B713D"/>
    <w:multiLevelType w:val="hybridMultilevel"/>
    <w:tmpl w:val="9DC65556"/>
    <w:lvl w:ilvl="0" w:tplc="5C628570">
      <w:start w:val="1"/>
      <w:numFmt w:val="decimal"/>
      <w:lvlText w:val="%1."/>
      <w:lvlJc w:val="left"/>
      <w:pPr>
        <w:ind w:left="1080" w:hanging="360"/>
      </w:pPr>
      <w:rPr>
        <w:rFonts w:hint="default"/>
        <w:b w:val="0"/>
      </w:rPr>
    </w:lvl>
    <w:lvl w:ilvl="1" w:tplc="38090019">
      <w:start w:val="1"/>
      <w:numFmt w:val="lowerLetter"/>
      <w:lvlText w:val="%2."/>
      <w:lvlJc w:val="left"/>
      <w:pPr>
        <w:ind w:left="1800" w:hanging="360"/>
      </w:pPr>
    </w:lvl>
    <w:lvl w:ilvl="2" w:tplc="38090011">
      <w:start w:val="1"/>
      <w:numFmt w:val="decimal"/>
      <w:lvlText w:val="%3)"/>
      <w:lvlJc w:val="left"/>
      <w:pPr>
        <w:ind w:left="2520" w:hanging="180"/>
      </w:pPr>
    </w:lvl>
    <w:lvl w:ilvl="3" w:tplc="38090017">
      <w:start w:val="1"/>
      <w:numFmt w:val="lowerLetter"/>
      <w:lvlText w:val="%4)"/>
      <w:lvlJc w:val="left"/>
      <w:pPr>
        <w:ind w:left="3240" w:hanging="360"/>
      </w:pPr>
    </w:lvl>
    <w:lvl w:ilvl="4" w:tplc="A07A0FCA">
      <w:start w:val="1"/>
      <w:numFmt w:val="decimal"/>
      <w:lvlText w:val="(%5)"/>
      <w:lvlJc w:val="left"/>
      <w:pPr>
        <w:ind w:left="6031" w:hanging="360"/>
      </w:pPr>
      <w:rPr>
        <w:rFonts w:hint="default"/>
      </w:rPr>
    </w:lvl>
    <w:lvl w:ilvl="5" w:tplc="A07A0FCA">
      <w:start w:val="1"/>
      <w:numFmt w:val="decimal"/>
      <w:lvlText w:val="(%6)"/>
      <w:lvlJc w:val="left"/>
      <w:pPr>
        <w:ind w:left="4680" w:hanging="180"/>
      </w:pPr>
      <w:rPr>
        <w:rFonts w:hint="default"/>
      </w:r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7"/>
  </w:num>
  <w:num w:numId="2">
    <w:abstractNumId w:val="8"/>
  </w:num>
  <w:num w:numId="3">
    <w:abstractNumId w:val="0"/>
  </w:num>
  <w:num w:numId="4">
    <w:abstractNumId w:val="4"/>
  </w:num>
  <w:num w:numId="5">
    <w:abstractNumId w:val="2"/>
  </w:num>
  <w:num w:numId="6">
    <w:abstractNumId w:val="3"/>
  </w:num>
  <w:num w:numId="7">
    <w:abstractNumId w:val="9"/>
  </w:num>
  <w:num w:numId="8">
    <w:abstractNumId w:val="6"/>
  </w:num>
  <w:num w:numId="9">
    <w:abstractNumId w:val="1"/>
  </w:num>
  <w:num w:numId="10">
    <w:abstractNumId w:val="5"/>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293"/>
    <w:rsid w:val="0000092F"/>
    <w:rsid w:val="00001900"/>
    <w:rsid w:val="00003601"/>
    <w:rsid w:val="00005B3C"/>
    <w:rsid w:val="000060E5"/>
    <w:rsid w:val="00007A28"/>
    <w:rsid w:val="00017180"/>
    <w:rsid w:val="00020D76"/>
    <w:rsid w:val="00023CBC"/>
    <w:rsid w:val="00025FEC"/>
    <w:rsid w:val="000262B9"/>
    <w:rsid w:val="00026AC5"/>
    <w:rsid w:val="00035189"/>
    <w:rsid w:val="0003528C"/>
    <w:rsid w:val="00040056"/>
    <w:rsid w:val="000419A1"/>
    <w:rsid w:val="000439CB"/>
    <w:rsid w:val="000443A5"/>
    <w:rsid w:val="00044E03"/>
    <w:rsid w:val="00045D18"/>
    <w:rsid w:val="00047D62"/>
    <w:rsid w:val="00050174"/>
    <w:rsid w:val="00050ED3"/>
    <w:rsid w:val="000536BE"/>
    <w:rsid w:val="000577F0"/>
    <w:rsid w:val="00060941"/>
    <w:rsid w:val="0006160B"/>
    <w:rsid w:val="00061EF1"/>
    <w:rsid w:val="00062E64"/>
    <w:rsid w:val="00063EF9"/>
    <w:rsid w:val="00063F44"/>
    <w:rsid w:val="00064B7F"/>
    <w:rsid w:val="0006696C"/>
    <w:rsid w:val="000672E1"/>
    <w:rsid w:val="00067B28"/>
    <w:rsid w:val="00070E2A"/>
    <w:rsid w:val="0007131E"/>
    <w:rsid w:val="0007138A"/>
    <w:rsid w:val="00072433"/>
    <w:rsid w:val="00080FEE"/>
    <w:rsid w:val="00081556"/>
    <w:rsid w:val="000816CF"/>
    <w:rsid w:val="00083E09"/>
    <w:rsid w:val="000856A7"/>
    <w:rsid w:val="00086D08"/>
    <w:rsid w:val="00092319"/>
    <w:rsid w:val="000925BA"/>
    <w:rsid w:val="00092FDE"/>
    <w:rsid w:val="00093D9D"/>
    <w:rsid w:val="00095F35"/>
    <w:rsid w:val="0009743B"/>
    <w:rsid w:val="000A3048"/>
    <w:rsid w:val="000A32B6"/>
    <w:rsid w:val="000A5B5A"/>
    <w:rsid w:val="000A70CF"/>
    <w:rsid w:val="000A72D7"/>
    <w:rsid w:val="000B1A96"/>
    <w:rsid w:val="000B3ADD"/>
    <w:rsid w:val="000B4929"/>
    <w:rsid w:val="000B77A1"/>
    <w:rsid w:val="000C25B5"/>
    <w:rsid w:val="000C3352"/>
    <w:rsid w:val="000C3A59"/>
    <w:rsid w:val="000C3BAA"/>
    <w:rsid w:val="000C46F0"/>
    <w:rsid w:val="000C68E0"/>
    <w:rsid w:val="000C7150"/>
    <w:rsid w:val="000C7A61"/>
    <w:rsid w:val="000D0B86"/>
    <w:rsid w:val="000D10D3"/>
    <w:rsid w:val="000D4889"/>
    <w:rsid w:val="000D6064"/>
    <w:rsid w:val="000E0693"/>
    <w:rsid w:val="000E3282"/>
    <w:rsid w:val="000E55F2"/>
    <w:rsid w:val="000E6327"/>
    <w:rsid w:val="000E7A24"/>
    <w:rsid w:val="000E7DFC"/>
    <w:rsid w:val="000F01D8"/>
    <w:rsid w:val="000F3832"/>
    <w:rsid w:val="000F5B6A"/>
    <w:rsid w:val="00100A58"/>
    <w:rsid w:val="00100EA1"/>
    <w:rsid w:val="00102701"/>
    <w:rsid w:val="00103A87"/>
    <w:rsid w:val="00103E9E"/>
    <w:rsid w:val="00105E5D"/>
    <w:rsid w:val="00106509"/>
    <w:rsid w:val="0010683F"/>
    <w:rsid w:val="001069BA"/>
    <w:rsid w:val="00107091"/>
    <w:rsid w:val="00113761"/>
    <w:rsid w:val="00114087"/>
    <w:rsid w:val="0011507D"/>
    <w:rsid w:val="001152C1"/>
    <w:rsid w:val="00115C9A"/>
    <w:rsid w:val="00116034"/>
    <w:rsid w:val="001168D0"/>
    <w:rsid w:val="001205BD"/>
    <w:rsid w:val="00121972"/>
    <w:rsid w:val="001228DB"/>
    <w:rsid w:val="0012577A"/>
    <w:rsid w:val="001325D2"/>
    <w:rsid w:val="0013312E"/>
    <w:rsid w:val="001346DC"/>
    <w:rsid w:val="0013655A"/>
    <w:rsid w:val="00136D19"/>
    <w:rsid w:val="0013736F"/>
    <w:rsid w:val="00143A22"/>
    <w:rsid w:val="00145F25"/>
    <w:rsid w:val="00146ACC"/>
    <w:rsid w:val="00151F1A"/>
    <w:rsid w:val="00157B6D"/>
    <w:rsid w:val="00161D7C"/>
    <w:rsid w:val="001625F5"/>
    <w:rsid w:val="001635BC"/>
    <w:rsid w:val="001667C1"/>
    <w:rsid w:val="00172CA5"/>
    <w:rsid w:val="00172DB1"/>
    <w:rsid w:val="00176E83"/>
    <w:rsid w:val="001770DE"/>
    <w:rsid w:val="001811DA"/>
    <w:rsid w:val="0018361C"/>
    <w:rsid w:val="001847C9"/>
    <w:rsid w:val="00184BD2"/>
    <w:rsid w:val="0018528A"/>
    <w:rsid w:val="00191CAE"/>
    <w:rsid w:val="001920BF"/>
    <w:rsid w:val="0019276E"/>
    <w:rsid w:val="001938E6"/>
    <w:rsid w:val="00194125"/>
    <w:rsid w:val="001941A3"/>
    <w:rsid w:val="00197171"/>
    <w:rsid w:val="001971C6"/>
    <w:rsid w:val="0019785A"/>
    <w:rsid w:val="001A0B1C"/>
    <w:rsid w:val="001A3FFE"/>
    <w:rsid w:val="001A531F"/>
    <w:rsid w:val="001A7D2B"/>
    <w:rsid w:val="001B02B3"/>
    <w:rsid w:val="001B052A"/>
    <w:rsid w:val="001B3788"/>
    <w:rsid w:val="001B444E"/>
    <w:rsid w:val="001B55B5"/>
    <w:rsid w:val="001B7709"/>
    <w:rsid w:val="001C0BC6"/>
    <w:rsid w:val="001C0F0E"/>
    <w:rsid w:val="001C120C"/>
    <w:rsid w:val="001C3DAF"/>
    <w:rsid w:val="001C4E5E"/>
    <w:rsid w:val="001C68A4"/>
    <w:rsid w:val="001C7269"/>
    <w:rsid w:val="001C7C23"/>
    <w:rsid w:val="001D4021"/>
    <w:rsid w:val="001D427D"/>
    <w:rsid w:val="001D45BD"/>
    <w:rsid w:val="001D524B"/>
    <w:rsid w:val="001D5F31"/>
    <w:rsid w:val="001D6BB1"/>
    <w:rsid w:val="001D7F5F"/>
    <w:rsid w:val="001E0E1F"/>
    <w:rsid w:val="001E1EB9"/>
    <w:rsid w:val="001E3583"/>
    <w:rsid w:val="001E49D4"/>
    <w:rsid w:val="001E4C1C"/>
    <w:rsid w:val="001E50CD"/>
    <w:rsid w:val="001E67BD"/>
    <w:rsid w:val="001F15D7"/>
    <w:rsid w:val="001F17B6"/>
    <w:rsid w:val="001F2F56"/>
    <w:rsid w:val="001F3060"/>
    <w:rsid w:val="001F40B6"/>
    <w:rsid w:val="001F415E"/>
    <w:rsid w:val="001F53F9"/>
    <w:rsid w:val="002008B2"/>
    <w:rsid w:val="00202519"/>
    <w:rsid w:val="00202520"/>
    <w:rsid w:val="00202617"/>
    <w:rsid w:val="00202EC9"/>
    <w:rsid w:val="00203AAB"/>
    <w:rsid w:val="002048C7"/>
    <w:rsid w:val="00206056"/>
    <w:rsid w:val="00211355"/>
    <w:rsid w:val="0021163A"/>
    <w:rsid w:val="00212902"/>
    <w:rsid w:val="00213288"/>
    <w:rsid w:val="00222D83"/>
    <w:rsid w:val="00225DB7"/>
    <w:rsid w:val="0022643D"/>
    <w:rsid w:val="00227074"/>
    <w:rsid w:val="00230EAD"/>
    <w:rsid w:val="0023187D"/>
    <w:rsid w:val="00234AE6"/>
    <w:rsid w:val="00234D1F"/>
    <w:rsid w:val="0023502E"/>
    <w:rsid w:val="00235109"/>
    <w:rsid w:val="00235617"/>
    <w:rsid w:val="00237805"/>
    <w:rsid w:val="002408D6"/>
    <w:rsid w:val="00240D0F"/>
    <w:rsid w:val="00242A17"/>
    <w:rsid w:val="002448B0"/>
    <w:rsid w:val="00247DCB"/>
    <w:rsid w:val="00250600"/>
    <w:rsid w:val="002513DC"/>
    <w:rsid w:val="00251D2A"/>
    <w:rsid w:val="00252354"/>
    <w:rsid w:val="002527C3"/>
    <w:rsid w:val="00252FDB"/>
    <w:rsid w:val="00254455"/>
    <w:rsid w:val="00255DDD"/>
    <w:rsid w:val="00256676"/>
    <w:rsid w:val="002574CF"/>
    <w:rsid w:val="00257ADA"/>
    <w:rsid w:val="00260786"/>
    <w:rsid w:val="00261F1D"/>
    <w:rsid w:val="00264673"/>
    <w:rsid w:val="00267D64"/>
    <w:rsid w:val="002738A9"/>
    <w:rsid w:val="00273B60"/>
    <w:rsid w:val="00273CF8"/>
    <w:rsid w:val="00276D9F"/>
    <w:rsid w:val="00280BC9"/>
    <w:rsid w:val="0028399A"/>
    <w:rsid w:val="00283DFC"/>
    <w:rsid w:val="00283F56"/>
    <w:rsid w:val="00283FAD"/>
    <w:rsid w:val="002868D7"/>
    <w:rsid w:val="00290F22"/>
    <w:rsid w:val="00291956"/>
    <w:rsid w:val="00291FD1"/>
    <w:rsid w:val="002930F9"/>
    <w:rsid w:val="002933DF"/>
    <w:rsid w:val="00295E8B"/>
    <w:rsid w:val="002A01C3"/>
    <w:rsid w:val="002A05B2"/>
    <w:rsid w:val="002A0B83"/>
    <w:rsid w:val="002A0F7B"/>
    <w:rsid w:val="002A2309"/>
    <w:rsid w:val="002A3340"/>
    <w:rsid w:val="002A45A1"/>
    <w:rsid w:val="002A563D"/>
    <w:rsid w:val="002A57CA"/>
    <w:rsid w:val="002A5D5C"/>
    <w:rsid w:val="002A6DF0"/>
    <w:rsid w:val="002B0936"/>
    <w:rsid w:val="002B51BD"/>
    <w:rsid w:val="002B63C8"/>
    <w:rsid w:val="002C2576"/>
    <w:rsid w:val="002C4910"/>
    <w:rsid w:val="002C4D20"/>
    <w:rsid w:val="002C61C9"/>
    <w:rsid w:val="002C7980"/>
    <w:rsid w:val="002D15EE"/>
    <w:rsid w:val="002D1F84"/>
    <w:rsid w:val="002D2E0C"/>
    <w:rsid w:val="002D4676"/>
    <w:rsid w:val="002D7F15"/>
    <w:rsid w:val="002E50CC"/>
    <w:rsid w:val="002E5D47"/>
    <w:rsid w:val="002E5DD6"/>
    <w:rsid w:val="002F1585"/>
    <w:rsid w:val="002F4789"/>
    <w:rsid w:val="00300053"/>
    <w:rsid w:val="0030088F"/>
    <w:rsid w:val="00301FB5"/>
    <w:rsid w:val="00305EA3"/>
    <w:rsid w:val="003073B1"/>
    <w:rsid w:val="00307518"/>
    <w:rsid w:val="0031016E"/>
    <w:rsid w:val="00310698"/>
    <w:rsid w:val="00310D0E"/>
    <w:rsid w:val="00310DBC"/>
    <w:rsid w:val="003113FA"/>
    <w:rsid w:val="0031147C"/>
    <w:rsid w:val="00312D12"/>
    <w:rsid w:val="00313901"/>
    <w:rsid w:val="0031470E"/>
    <w:rsid w:val="00315479"/>
    <w:rsid w:val="00315EFB"/>
    <w:rsid w:val="003178B2"/>
    <w:rsid w:val="00320F83"/>
    <w:rsid w:val="003217A8"/>
    <w:rsid w:val="00323736"/>
    <w:rsid w:val="0033024F"/>
    <w:rsid w:val="00332168"/>
    <w:rsid w:val="00340954"/>
    <w:rsid w:val="003409B7"/>
    <w:rsid w:val="003409C2"/>
    <w:rsid w:val="00343831"/>
    <w:rsid w:val="00347598"/>
    <w:rsid w:val="003506E8"/>
    <w:rsid w:val="00350FD0"/>
    <w:rsid w:val="00350FFD"/>
    <w:rsid w:val="00351D00"/>
    <w:rsid w:val="00352A13"/>
    <w:rsid w:val="003540D7"/>
    <w:rsid w:val="00356404"/>
    <w:rsid w:val="0035684B"/>
    <w:rsid w:val="00361171"/>
    <w:rsid w:val="00364B68"/>
    <w:rsid w:val="00364D86"/>
    <w:rsid w:val="00365D6C"/>
    <w:rsid w:val="00365E63"/>
    <w:rsid w:val="003673B7"/>
    <w:rsid w:val="00367B39"/>
    <w:rsid w:val="00370809"/>
    <w:rsid w:val="003711F6"/>
    <w:rsid w:val="0037227C"/>
    <w:rsid w:val="00375D7A"/>
    <w:rsid w:val="00376789"/>
    <w:rsid w:val="0037711E"/>
    <w:rsid w:val="0038192D"/>
    <w:rsid w:val="00382A99"/>
    <w:rsid w:val="0039034C"/>
    <w:rsid w:val="003904C6"/>
    <w:rsid w:val="00390A59"/>
    <w:rsid w:val="00392231"/>
    <w:rsid w:val="003923BC"/>
    <w:rsid w:val="003957C6"/>
    <w:rsid w:val="003969CE"/>
    <w:rsid w:val="003A0D97"/>
    <w:rsid w:val="003A31D0"/>
    <w:rsid w:val="003A656F"/>
    <w:rsid w:val="003A6EF7"/>
    <w:rsid w:val="003A7293"/>
    <w:rsid w:val="003B11A7"/>
    <w:rsid w:val="003B18B8"/>
    <w:rsid w:val="003B1AD4"/>
    <w:rsid w:val="003B3ED7"/>
    <w:rsid w:val="003B56AD"/>
    <w:rsid w:val="003C20E3"/>
    <w:rsid w:val="003C4584"/>
    <w:rsid w:val="003C53CC"/>
    <w:rsid w:val="003C569C"/>
    <w:rsid w:val="003C7673"/>
    <w:rsid w:val="003D03A3"/>
    <w:rsid w:val="003D1385"/>
    <w:rsid w:val="003D18B5"/>
    <w:rsid w:val="003D56FD"/>
    <w:rsid w:val="003D7492"/>
    <w:rsid w:val="003E09A7"/>
    <w:rsid w:val="003E1E76"/>
    <w:rsid w:val="003E21CA"/>
    <w:rsid w:val="003E32B5"/>
    <w:rsid w:val="003F1608"/>
    <w:rsid w:val="003F7871"/>
    <w:rsid w:val="004004A7"/>
    <w:rsid w:val="00404159"/>
    <w:rsid w:val="0040773B"/>
    <w:rsid w:val="00410A5F"/>
    <w:rsid w:val="004114E5"/>
    <w:rsid w:val="00412C65"/>
    <w:rsid w:val="004210A2"/>
    <w:rsid w:val="00424669"/>
    <w:rsid w:val="004252B9"/>
    <w:rsid w:val="00427182"/>
    <w:rsid w:val="00432BC5"/>
    <w:rsid w:val="00434D28"/>
    <w:rsid w:val="0044017C"/>
    <w:rsid w:val="004433C9"/>
    <w:rsid w:val="004436C3"/>
    <w:rsid w:val="00444C41"/>
    <w:rsid w:val="00445C26"/>
    <w:rsid w:val="0044605C"/>
    <w:rsid w:val="00446F10"/>
    <w:rsid w:val="00447A95"/>
    <w:rsid w:val="0045202C"/>
    <w:rsid w:val="004523CE"/>
    <w:rsid w:val="00455253"/>
    <w:rsid w:val="00455F1B"/>
    <w:rsid w:val="00463277"/>
    <w:rsid w:val="00470FBF"/>
    <w:rsid w:val="00471C01"/>
    <w:rsid w:val="00474845"/>
    <w:rsid w:val="00476B41"/>
    <w:rsid w:val="00476C22"/>
    <w:rsid w:val="0047730C"/>
    <w:rsid w:val="0048418F"/>
    <w:rsid w:val="00485513"/>
    <w:rsid w:val="004860C2"/>
    <w:rsid w:val="00487F57"/>
    <w:rsid w:val="004910CA"/>
    <w:rsid w:val="004930F6"/>
    <w:rsid w:val="004934D1"/>
    <w:rsid w:val="00493ADC"/>
    <w:rsid w:val="00494534"/>
    <w:rsid w:val="00495EF7"/>
    <w:rsid w:val="00496FA8"/>
    <w:rsid w:val="004A122E"/>
    <w:rsid w:val="004A4402"/>
    <w:rsid w:val="004A4966"/>
    <w:rsid w:val="004B0105"/>
    <w:rsid w:val="004B07BE"/>
    <w:rsid w:val="004B2CFB"/>
    <w:rsid w:val="004B73A1"/>
    <w:rsid w:val="004B744C"/>
    <w:rsid w:val="004C02FC"/>
    <w:rsid w:val="004C2580"/>
    <w:rsid w:val="004C3E40"/>
    <w:rsid w:val="004D0B02"/>
    <w:rsid w:val="004D11D4"/>
    <w:rsid w:val="004D300F"/>
    <w:rsid w:val="004D45EC"/>
    <w:rsid w:val="004D4BC6"/>
    <w:rsid w:val="004D51CC"/>
    <w:rsid w:val="004D5941"/>
    <w:rsid w:val="004D5C60"/>
    <w:rsid w:val="004D6C62"/>
    <w:rsid w:val="004E4884"/>
    <w:rsid w:val="004E537E"/>
    <w:rsid w:val="004E5B05"/>
    <w:rsid w:val="004E6070"/>
    <w:rsid w:val="004E6130"/>
    <w:rsid w:val="004E65C2"/>
    <w:rsid w:val="004E7C7B"/>
    <w:rsid w:val="004E7E99"/>
    <w:rsid w:val="004F0284"/>
    <w:rsid w:val="004F1491"/>
    <w:rsid w:val="004F7C1C"/>
    <w:rsid w:val="00500052"/>
    <w:rsid w:val="0050192B"/>
    <w:rsid w:val="00504D10"/>
    <w:rsid w:val="005052B5"/>
    <w:rsid w:val="00506FF4"/>
    <w:rsid w:val="0050795F"/>
    <w:rsid w:val="005126CC"/>
    <w:rsid w:val="00516466"/>
    <w:rsid w:val="0052346E"/>
    <w:rsid w:val="00527E42"/>
    <w:rsid w:val="00527E87"/>
    <w:rsid w:val="00530811"/>
    <w:rsid w:val="00531135"/>
    <w:rsid w:val="00533B49"/>
    <w:rsid w:val="00534AEE"/>
    <w:rsid w:val="00534EA3"/>
    <w:rsid w:val="005364E2"/>
    <w:rsid w:val="00540A40"/>
    <w:rsid w:val="00545BE7"/>
    <w:rsid w:val="00546ECD"/>
    <w:rsid w:val="00551A61"/>
    <w:rsid w:val="0055338D"/>
    <w:rsid w:val="00554683"/>
    <w:rsid w:val="005624C8"/>
    <w:rsid w:val="00562668"/>
    <w:rsid w:val="00562F90"/>
    <w:rsid w:val="0056442A"/>
    <w:rsid w:val="0057127D"/>
    <w:rsid w:val="0057135A"/>
    <w:rsid w:val="0057278A"/>
    <w:rsid w:val="00572F99"/>
    <w:rsid w:val="005737B0"/>
    <w:rsid w:val="00573888"/>
    <w:rsid w:val="005755A0"/>
    <w:rsid w:val="0057752D"/>
    <w:rsid w:val="005777E8"/>
    <w:rsid w:val="00580421"/>
    <w:rsid w:val="005821DC"/>
    <w:rsid w:val="00590F56"/>
    <w:rsid w:val="005926B2"/>
    <w:rsid w:val="00597357"/>
    <w:rsid w:val="005A1922"/>
    <w:rsid w:val="005A5230"/>
    <w:rsid w:val="005A5281"/>
    <w:rsid w:val="005A61CD"/>
    <w:rsid w:val="005A68C6"/>
    <w:rsid w:val="005A736F"/>
    <w:rsid w:val="005B0797"/>
    <w:rsid w:val="005B1352"/>
    <w:rsid w:val="005B1419"/>
    <w:rsid w:val="005B7E7B"/>
    <w:rsid w:val="005C1DCB"/>
    <w:rsid w:val="005C2BB2"/>
    <w:rsid w:val="005C48CE"/>
    <w:rsid w:val="005C5344"/>
    <w:rsid w:val="005C6448"/>
    <w:rsid w:val="005D07F4"/>
    <w:rsid w:val="005D0A2F"/>
    <w:rsid w:val="005D31D7"/>
    <w:rsid w:val="005D3E51"/>
    <w:rsid w:val="005D725C"/>
    <w:rsid w:val="005E089A"/>
    <w:rsid w:val="005E3983"/>
    <w:rsid w:val="005E3F5D"/>
    <w:rsid w:val="005E561A"/>
    <w:rsid w:val="005E6B4A"/>
    <w:rsid w:val="005E76A9"/>
    <w:rsid w:val="005F155D"/>
    <w:rsid w:val="005F225A"/>
    <w:rsid w:val="005F2D32"/>
    <w:rsid w:val="005F2E60"/>
    <w:rsid w:val="005F5893"/>
    <w:rsid w:val="005F5CA8"/>
    <w:rsid w:val="005F6320"/>
    <w:rsid w:val="005F75C5"/>
    <w:rsid w:val="005F79F2"/>
    <w:rsid w:val="0060100A"/>
    <w:rsid w:val="006026E3"/>
    <w:rsid w:val="006032DC"/>
    <w:rsid w:val="006052DC"/>
    <w:rsid w:val="00606C03"/>
    <w:rsid w:val="006120DA"/>
    <w:rsid w:val="00614F4D"/>
    <w:rsid w:val="00620DFB"/>
    <w:rsid w:val="0062276C"/>
    <w:rsid w:val="006236CC"/>
    <w:rsid w:val="00623C22"/>
    <w:rsid w:val="006243DD"/>
    <w:rsid w:val="00627D7F"/>
    <w:rsid w:val="00631A77"/>
    <w:rsid w:val="0063224B"/>
    <w:rsid w:val="00641E7C"/>
    <w:rsid w:val="006426E6"/>
    <w:rsid w:val="006440C2"/>
    <w:rsid w:val="00646459"/>
    <w:rsid w:val="006521FC"/>
    <w:rsid w:val="00656DFC"/>
    <w:rsid w:val="00662417"/>
    <w:rsid w:val="006625D7"/>
    <w:rsid w:val="00664770"/>
    <w:rsid w:val="006654A4"/>
    <w:rsid w:val="00665694"/>
    <w:rsid w:val="006669B0"/>
    <w:rsid w:val="0066748F"/>
    <w:rsid w:val="0067140F"/>
    <w:rsid w:val="00671B1B"/>
    <w:rsid w:val="006755AA"/>
    <w:rsid w:val="00675AE7"/>
    <w:rsid w:val="00676782"/>
    <w:rsid w:val="00677132"/>
    <w:rsid w:val="00677B9B"/>
    <w:rsid w:val="00680EE9"/>
    <w:rsid w:val="00682D00"/>
    <w:rsid w:val="00683672"/>
    <w:rsid w:val="00683BB3"/>
    <w:rsid w:val="006879B1"/>
    <w:rsid w:val="00692218"/>
    <w:rsid w:val="00692C6F"/>
    <w:rsid w:val="00695C84"/>
    <w:rsid w:val="00695EB3"/>
    <w:rsid w:val="00696289"/>
    <w:rsid w:val="00696A12"/>
    <w:rsid w:val="00697904"/>
    <w:rsid w:val="006A0550"/>
    <w:rsid w:val="006A1DE2"/>
    <w:rsid w:val="006A1E59"/>
    <w:rsid w:val="006A4DA2"/>
    <w:rsid w:val="006A5140"/>
    <w:rsid w:val="006A7104"/>
    <w:rsid w:val="006A734E"/>
    <w:rsid w:val="006A7C1C"/>
    <w:rsid w:val="006A7C89"/>
    <w:rsid w:val="006A7E9A"/>
    <w:rsid w:val="006B1D64"/>
    <w:rsid w:val="006B23E7"/>
    <w:rsid w:val="006B4C1E"/>
    <w:rsid w:val="006B5D00"/>
    <w:rsid w:val="006B6462"/>
    <w:rsid w:val="006B7318"/>
    <w:rsid w:val="006C02A5"/>
    <w:rsid w:val="006C6EF4"/>
    <w:rsid w:val="006C7C54"/>
    <w:rsid w:val="006D044F"/>
    <w:rsid w:val="006D18EF"/>
    <w:rsid w:val="006D1F74"/>
    <w:rsid w:val="006D294C"/>
    <w:rsid w:val="006D4891"/>
    <w:rsid w:val="006D4C9D"/>
    <w:rsid w:val="006E0C7B"/>
    <w:rsid w:val="006E19DE"/>
    <w:rsid w:val="006E19EF"/>
    <w:rsid w:val="006E2345"/>
    <w:rsid w:val="006E2D70"/>
    <w:rsid w:val="006E32AB"/>
    <w:rsid w:val="006E364F"/>
    <w:rsid w:val="006E3A34"/>
    <w:rsid w:val="006E3AF8"/>
    <w:rsid w:val="006E494F"/>
    <w:rsid w:val="006E51D7"/>
    <w:rsid w:val="006E7345"/>
    <w:rsid w:val="006F2278"/>
    <w:rsid w:val="006F2B62"/>
    <w:rsid w:val="006F2D7C"/>
    <w:rsid w:val="006F3180"/>
    <w:rsid w:val="006F31F2"/>
    <w:rsid w:val="006F39D9"/>
    <w:rsid w:val="006F6C57"/>
    <w:rsid w:val="0070116B"/>
    <w:rsid w:val="007013E6"/>
    <w:rsid w:val="00701504"/>
    <w:rsid w:val="00702BE5"/>
    <w:rsid w:val="00704623"/>
    <w:rsid w:val="0070486A"/>
    <w:rsid w:val="00705E21"/>
    <w:rsid w:val="007070EB"/>
    <w:rsid w:val="007073BF"/>
    <w:rsid w:val="007076D3"/>
    <w:rsid w:val="00707854"/>
    <w:rsid w:val="00707E5F"/>
    <w:rsid w:val="00710795"/>
    <w:rsid w:val="00710A76"/>
    <w:rsid w:val="0071224B"/>
    <w:rsid w:val="007131EF"/>
    <w:rsid w:val="0071422F"/>
    <w:rsid w:val="00715F2B"/>
    <w:rsid w:val="00716CDD"/>
    <w:rsid w:val="007173D2"/>
    <w:rsid w:val="00720188"/>
    <w:rsid w:val="00720905"/>
    <w:rsid w:val="00722EF7"/>
    <w:rsid w:val="0073123E"/>
    <w:rsid w:val="00731960"/>
    <w:rsid w:val="00731A89"/>
    <w:rsid w:val="00732EE1"/>
    <w:rsid w:val="00732EFF"/>
    <w:rsid w:val="007336A8"/>
    <w:rsid w:val="00736A2D"/>
    <w:rsid w:val="00736C17"/>
    <w:rsid w:val="0073732D"/>
    <w:rsid w:val="00737D08"/>
    <w:rsid w:val="00746DDD"/>
    <w:rsid w:val="00750ABA"/>
    <w:rsid w:val="00751A3D"/>
    <w:rsid w:val="0075291B"/>
    <w:rsid w:val="00752A83"/>
    <w:rsid w:val="007557A2"/>
    <w:rsid w:val="00755958"/>
    <w:rsid w:val="00757557"/>
    <w:rsid w:val="00757C95"/>
    <w:rsid w:val="00760340"/>
    <w:rsid w:val="00760FED"/>
    <w:rsid w:val="007618E9"/>
    <w:rsid w:val="00764D8D"/>
    <w:rsid w:val="007659D6"/>
    <w:rsid w:val="0076712D"/>
    <w:rsid w:val="00773063"/>
    <w:rsid w:val="00773A72"/>
    <w:rsid w:val="00773B11"/>
    <w:rsid w:val="00773DDF"/>
    <w:rsid w:val="007744A8"/>
    <w:rsid w:val="00774C8C"/>
    <w:rsid w:val="007751CE"/>
    <w:rsid w:val="0077634A"/>
    <w:rsid w:val="007763FC"/>
    <w:rsid w:val="007771DA"/>
    <w:rsid w:val="007774A1"/>
    <w:rsid w:val="00782283"/>
    <w:rsid w:val="00782ABA"/>
    <w:rsid w:val="00782C5E"/>
    <w:rsid w:val="007879E8"/>
    <w:rsid w:val="007909BA"/>
    <w:rsid w:val="00791F87"/>
    <w:rsid w:val="007927E1"/>
    <w:rsid w:val="00793841"/>
    <w:rsid w:val="00794C9A"/>
    <w:rsid w:val="0079799B"/>
    <w:rsid w:val="00797F18"/>
    <w:rsid w:val="007A094D"/>
    <w:rsid w:val="007A0A2E"/>
    <w:rsid w:val="007A1617"/>
    <w:rsid w:val="007A17ED"/>
    <w:rsid w:val="007A4197"/>
    <w:rsid w:val="007A756B"/>
    <w:rsid w:val="007B1863"/>
    <w:rsid w:val="007B1CEF"/>
    <w:rsid w:val="007B34B3"/>
    <w:rsid w:val="007B7386"/>
    <w:rsid w:val="007C0AAD"/>
    <w:rsid w:val="007C0EF4"/>
    <w:rsid w:val="007C3CD8"/>
    <w:rsid w:val="007C3FEC"/>
    <w:rsid w:val="007C5A44"/>
    <w:rsid w:val="007D18D6"/>
    <w:rsid w:val="007D1AB6"/>
    <w:rsid w:val="007D2ACC"/>
    <w:rsid w:val="007D502E"/>
    <w:rsid w:val="007D5EA9"/>
    <w:rsid w:val="007D60DC"/>
    <w:rsid w:val="007D6699"/>
    <w:rsid w:val="007E1812"/>
    <w:rsid w:val="007E2071"/>
    <w:rsid w:val="007E215E"/>
    <w:rsid w:val="007E2C3B"/>
    <w:rsid w:val="007E4E31"/>
    <w:rsid w:val="007E5695"/>
    <w:rsid w:val="007E7835"/>
    <w:rsid w:val="007F1461"/>
    <w:rsid w:val="007F41A8"/>
    <w:rsid w:val="007F5761"/>
    <w:rsid w:val="007F7618"/>
    <w:rsid w:val="00802DA1"/>
    <w:rsid w:val="00804A46"/>
    <w:rsid w:val="008051DF"/>
    <w:rsid w:val="008101B3"/>
    <w:rsid w:val="00810265"/>
    <w:rsid w:val="00810D87"/>
    <w:rsid w:val="008119AC"/>
    <w:rsid w:val="00811F0B"/>
    <w:rsid w:val="0081454E"/>
    <w:rsid w:val="0081477B"/>
    <w:rsid w:val="00814A21"/>
    <w:rsid w:val="00814B50"/>
    <w:rsid w:val="0081592D"/>
    <w:rsid w:val="008159D8"/>
    <w:rsid w:val="00815CB6"/>
    <w:rsid w:val="00816113"/>
    <w:rsid w:val="00817311"/>
    <w:rsid w:val="00820F3D"/>
    <w:rsid w:val="00822037"/>
    <w:rsid w:val="0082705D"/>
    <w:rsid w:val="0082736A"/>
    <w:rsid w:val="00831293"/>
    <w:rsid w:val="00834662"/>
    <w:rsid w:val="008361BB"/>
    <w:rsid w:val="00841033"/>
    <w:rsid w:val="0084122B"/>
    <w:rsid w:val="00844A6C"/>
    <w:rsid w:val="00845796"/>
    <w:rsid w:val="0084783A"/>
    <w:rsid w:val="008537D0"/>
    <w:rsid w:val="00854EAA"/>
    <w:rsid w:val="008573C6"/>
    <w:rsid w:val="00860096"/>
    <w:rsid w:val="00860FE2"/>
    <w:rsid w:val="00861C53"/>
    <w:rsid w:val="00861CC9"/>
    <w:rsid w:val="00863800"/>
    <w:rsid w:val="00864C30"/>
    <w:rsid w:val="008660D7"/>
    <w:rsid w:val="0086668F"/>
    <w:rsid w:val="00867320"/>
    <w:rsid w:val="00871D18"/>
    <w:rsid w:val="00876BD1"/>
    <w:rsid w:val="008772F9"/>
    <w:rsid w:val="00880369"/>
    <w:rsid w:val="00880DA0"/>
    <w:rsid w:val="00884BB2"/>
    <w:rsid w:val="008851BC"/>
    <w:rsid w:val="00887331"/>
    <w:rsid w:val="008877FE"/>
    <w:rsid w:val="0089188D"/>
    <w:rsid w:val="00893750"/>
    <w:rsid w:val="00893DD2"/>
    <w:rsid w:val="00895B9D"/>
    <w:rsid w:val="00895DA7"/>
    <w:rsid w:val="008A06C5"/>
    <w:rsid w:val="008A56AA"/>
    <w:rsid w:val="008A5A01"/>
    <w:rsid w:val="008B01EC"/>
    <w:rsid w:val="008B33E4"/>
    <w:rsid w:val="008B4DE0"/>
    <w:rsid w:val="008B4EE2"/>
    <w:rsid w:val="008B79A0"/>
    <w:rsid w:val="008C0DAF"/>
    <w:rsid w:val="008C50F6"/>
    <w:rsid w:val="008C5D47"/>
    <w:rsid w:val="008C7E13"/>
    <w:rsid w:val="008D1165"/>
    <w:rsid w:val="008D1B63"/>
    <w:rsid w:val="008D25C4"/>
    <w:rsid w:val="008D3A14"/>
    <w:rsid w:val="008D6211"/>
    <w:rsid w:val="008D7056"/>
    <w:rsid w:val="008D7DB3"/>
    <w:rsid w:val="008E0CDE"/>
    <w:rsid w:val="008E34BB"/>
    <w:rsid w:val="008E3824"/>
    <w:rsid w:val="008E4D3D"/>
    <w:rsid w:val="008E6B7A"/>
    <w:rsid w:val="008F5144"/>
    <w:rsid w:val="008F5F95"/>
    <w:rsid w:val="008F6A7E"/>
    <w:rsid w:val="008F6AE7"/>
    <w:rsid w:val="009015F8"/>
    <w:rsid w:val="009038A0"/>
    <w:rsid w:val="0090443A"/>
    <w:rsid w:val="0090520C"/>
    <w:rsid w:val="00906A99"/>
    <w:rsid w:val="00907C22"/>
    <w:rsid w:val="00910C29"/>
    <w:rsid w:val="009126E2"/>
    <w:rsid w:val="0091394B"/>
    <w:rsid w:val="00916192"/>
    <w:rsid w:val="00916605"/>
    <w:rsid w:val="00916A8E"/>
    <w:rsid w:val="00917132"/>
    <w:rsid w:val="00920634"/>
    <w:rsid w:val="0092205C"/>
    <w:rsid w:val="009234E2"/>
    <w:rsid w:val="00923ECD"/>
    <w:rsid w:val="00925CF9"/>
    <w:rsid w:val="00925D7B"/>
    <w:rsid w:val="00931135"/>
    <w:rsid w:val="00931652"/>
    <w:rsid w:val="00932407"/>
    <w:rsid w:val="009343D5"/>
    <w:rsid w:val="00936E73"/>
    <w:rsid w:val="0093780A"/>
    <w:rsid w:val="00941E04"/>
    <w:rsid w:val="009429AD"/>
    <w:rsid w:val="009435DC"/>
    <w:rsid w:val="0094380C"/>
    <w:rsid w:val="00944B76"/>
    <w:rsid w:val="00944D12"/>
    <w:rsid w:val="009473A5"/>
    <w:rsid w:val="00947E19"/>
    <w:rsid w:val="00952E3F"/>
    <w:rsid w:val="00953C41"/>
    <w:rsid w:val="00954898"/>
    <w:rsid w:val="00955C57"/>
    <w:rsid w:val="00956233"/>
    <w:rsid w:val="009613BA"/>
    <w:rsid w:val="0096385F"/>
    <w:rsid w:val="00963F38"/>
    <w:rsid w:val="009640D2"/>
    <w:rsid w:val="0096414D"/>
    <w:rsid w:val="0096709E"/>
    <w:rsid w:val="009679C1"/>
    <w:rsid w:val="009702E7"/>
    <w:rsid w:val="00973232"/>
    <w:rsid w:val="009743FC"/>
    <w:rsid w:val="00974640"/>
    <w:rsid w:val="00975491"/>
    <w:rsid w:val="00975D56"/>
    <w:rsid w:val="0097767B"/>
    <w:rsid w:val="0098242B"/>
    <w:rsid w:val="009830A0"/>
    <w:rsid w:val="0098384D"/>
    <w:rsid w:val="00983D2F"/>
    <w:rsid w:val="0098500B"/>
    <w:rsid w:val="009862DF"/>
    <w:rsid w:val="0098653C"/>
    <w:rsid w:val="009920FC"/>
    <w:rsid w:val="0099294F"/>
    <w:rsid w:val="0099348C"/>
    <w:rsid w:val="009950C9"/>
    <w:rsid w:val="009974CC"/>
    <w:rsid w:val="009A0B2A"/>
    <w:rsid w:val="009A1529"/>
    <w:rsid w:val="009A1745"/>
    <w:rsid w:val="009A3130"/>
    <w:rsid w:val="009A5B3E"/>
    <w:rsid w:val="009A6DAC"/>
    <w:rsid w:val="009B2063"/>
    <w:rsid w:val="009B5EE2"/>
    <w:rsid w:val="009C0DF7"/>
    <w:rsid w:val="009C15A3"/>
    <w:rsid w:val="009C19B4"/>
    <w:rsid w:val="009C1BE9"/>
    <w:rsid w:val="009C2022"/>
    <w:rsid w:val="009C2E47"/>
    <w:rsid w:val="009C368A"/>
    <w:rsid w:val="009C5436"/>
    <w:rsid w:val="009C5753"/>
    <w:rsid w:val="009C597D"/>
    <w:rsid w:val="009D1C30"/>
    <w:rsid w:val="009D2DB1"/>
    <w:rsid w:val="009D2DC6"/>
    <w:rsid w:val="009D7583"/>
    <w:rsid w:val="009E317E"/>
    <w:rsid w:val="009E40B2"/>
    <w:rsid w:val="009E4C85"/>
    <w:rsid w:val="009E64EB"/>
    <w:rsid w:val="009E65B1"/>
    <w:rsid w:val="009E65CC"/>
    <w:rsid w:val="009F0425"/>
    <w:rsid w:val="009F1A25"/>
    <w:rsid w:val="009F1AC3"/>
    <w:rsid w:val="009F1B93"/>
    <w:rsid w:val="009F2CE6"/>
    <w:rsid w:val="009F3CB3"/>
    <w:rsid w:val="009F4787"/>
    <w:rsid w:val="009F749A"/>
    <w:rsid w:val="00A00C36"/>
    <w:rsid w:val="00A01346"/>
    <w:rsid w:val="00A05B24"/>
    <w:rsid w:val="00A06FEB"/>
    <w:rsid w:val="00A107D7"/>
    <w:rsid w:val="00A1265D"/>
    <w:rsid w:val="00A137A5"/>
    <w:rsid w:val="00A15CC8"/>
    <w:rsid w:val="00A16781"/>
    <w:rsid w:val="00A16EC9"/>
    <w:rsid w:val="00A202D8"/>
    <w:rsid w:val="00A2167F"/>
    <w:rsid w:val="00A21CC7"/>
    <w:rsid w:val="00A23E22"/>
    <w:rsid w:val="00A25430"/>
    <w:rsid w:val="00A33FA5"/>
    <w:rsid w:val="00A41D89"/>
    <w:rsid w:val="00A4258E"/>
    <w:rsid w:val="00A44367"/>
    <w:rsid w:val="00A4436F"/>
    <w:rsid w:val="00A44C1C"/>
    <w:rsid w:val="00A47101"/>
    <w:rsid w:val="00A47EA3"/>
    <w:rsid w:val="00A50461"/>
    <w:rsid w:val="00A5103A"/>
    <w:rsid w:val="00A51203"/>
    <w:rsid w:val="00A516B4"/>
    <w:rsid w:val="00A52E16"/>
    <w:rsid w:val="00A57C91"/>
    <w:rsid w:val="00A57CA9"/>
    <w:rsid w:val="00A60C47"/>
    <w:rsid w:val="00A61AC9"/>
    <w:rsid w:val="00A6203E"/>
    <w:rsid w:val="00A627F5"/>
    <w:rsid w:val="00A6357B"/>
    <w:rsid w:val="00A63A39"/>
    <w:rsid w:val="00A65873"/>
    <w:rsid w:val="00A65C46"/>
    <w:rsid w:val="00A66774"/>
    <w:rsid w:val="00A667D7"/>
    <w:rsid w:val="00A71737"/>
    <w:rsid w:val="00A72D6F"/>
    <w:rsid w:val="00A72D87"/>
    <w:rsid w:val="00A74AC5"/>
    <w:rsid w:val="00A7717E"/>
    <w:rsid w:val="00A776D7"/>
    <w:rsid w:val="00A7786F"/>
    <w:rsid w:val="00A82AF5"/>
    <w:rsid w:val="00A846C3"/>
    <w:rsid w:val="00A90C06"/>
    <w:rsid w:val="00A910C9"/>
    <w:rsid w:val="00A919C0"/>
    <w:rsid w:val="00A93B6C"/>
    <w:rsid w:val="00A94A1B"/>
    <w:rsid w:val="00A94E8D"/>
    <w:rsid w:val="00A96C34"/>
    <w:rsid w:val="00A9703E"/>
    <w:rsid w:val="00AA0BEC"/>
    <w:rsid w:val="00AA6448"/>
    <w:rsid w:val="00AA6CC6"/>
    <w:rsid w:val="00AA7075"/>
    <w:rsid w:val="00AA7444"/>
    <w:rsid w:val="00AA7EB0"/>
    <w:rsid w:val="00AB19C1"/>
    <w:rsid w:val="00AB1CB7"/>
    <w:rsid w:val="00AB2B88"/>
    <w:rsid w:val="00AB2DFD"/>
    <w:rsid w:val="00AB3B41"/>
    <w:rsid w:val="00AB69D2"/>
    <w:rsid w:val="00AC4311"/>
    <w:rsid w:val="00AD1E00"/>
    <w:rsid w:val="00AD27DC"/>
    <w:rsid w:val="00AD302D"/>
    <w:rsid w:val="00AD4372"/>
    <w:rsid w:val="00AD52DD"/>
    <w:rsid w:val="00AD5B75"/>
    <w:rsid w:val="00AD7976"/>
    <w:rsid w:val="00AE144B"/>
    <w:rsid w:val="00AE194D"/>
    <w:rsid w:val="00AF0732"/>
    <w:rsid w:val="00AF29CF"/>
    <w:rsid w:val="00AF2A5B"/>
    <w:rsid w:val="00AF3262"/>
    <w:rsid w:val="00AF35F6"/>
    <w:rsid w:val="00AF425A"/>
    <w:rsid w:val="00AF791F"/>
    <w:rsid w:val="00AF7DD9"/>
    <w:rsid w:val="00B01048"/>
    <w:rsid w:val="00B01A51"/>
    <w:rsid w:val="00B0261B"/>
    <w:rsid w:val="00B05A16"/>
    <w:rsid w:val="00B07704"/>
    <w:rsid w:val="00B1385A"/>
    <w:rsid w:val="00B17484"/>
    <w:rsid w:val="00B179BB"/>
    <w:rsid w:val="00B2144C"/>
    <w:rsid w:val="00B22562"/>
    <w:rsid w:val="00B26E78"/>
    <w:rsid w:val="00B30215"/>
    <w:rsid w:val="00B31315"/>
    <w:rsid w:val="00B324AC"/>
    <w:rsid w:val="00B3687C"/>
    <w:rsid w:val="00B36D18"/>
    <w:rsid w:val="00B418E5"/>
    <w:rsid w:val="00B41F6A"/>
    <w:rsid w:val="00B429F6"/>
    <w:rsid w:val="00B43909"/>
    <w:rsid w:val="00B4400D"/>
    <w:rsid w:val="00B4507C"/>
    <w:rsid w:val="00B45715"/>
    <w:rsid w:val="00B45C04"/>
    <w:rsid w:val="00B504B8"/>
    <w:rsid w:val="00B531C1"/>
    <w:rsid w:val="00B53F4E"/>
    <w:rsid w:val="00B54B9B"/>
    <w:rsid w:val="00B55179"/>
    <w:rsid w:val="00B55AC6"/>
    <w:rsid w:val="00B56967"/>
    <w:rsid w:val="00B57881"/>
    <w:rsid w:val="00B62048"/>
    <w:rsid w:val="00B62AA1"/>
    <w:rsid w:val="00B64A66"/>
    <w:rsid w:val="00B652C3"/>
    <w:rsid w:val="00B700B2"/>
    <w:rsid w:val="00B73ABE"/>
    <w:rsid w:val="00B76573"/>
    <w:rsid w:val="00B77746"/>
    <w:rsid w:val="00B81E7C"/>
    <w:rsid w:val="00B82B00"/>
    <w:rsid w:val="00B847AC"/>
    <w:rsid w:val="00B85C12"/>
    <w:rsid w:val="00B85E81"/>
    <w:rsid w:val="00B870C4"/>
    <w:rsid w:val="00B87E08"/>
    <w:rsid w:val="00B906D9"/>
    <w:rsid w:val="00B909F0"/>
    <w:rsid w:val="00B918F9"/>
    <w:rsid w:val="00BA2DD5"/>
    <w:rsid w:val="00BA3394"/>
    <w:rsid w:val="00BA67E9"/>
    <w:rsid w:val="00BB153B"/>
    <w:rsid w:val="00BB18FD"/>
    <w:rsid w:val="00BB1E23"/>
    <w:rsid w:val="00BB354E"/>
    <w:rsid w:val="00BB515A"/>
    <w:rsid w:val="00BB718E"/>
    <w:rsid w:val="00BB7242"/>
    <w:rsid w:val="00BC2EB3"/>
    <w:rsid w:val="00BC5F07"/>
    <w:rsid w:val="00BC637D"/>
    <w:rsid w:val="00BC6425"/>
    <w:rsid w:val="00BD0122"/>
    <w:rsid w:val="00BD0377"/>
    <w:rsid w:val="00BD2614"/>
    <w:rsid w:val="00BD3400"/>
    <w:rsid w:val="00BD3D6A"/>
    <w:rsid w:val="00BD3EF9"/>
    <w:rsid w:val="00BD44E0"/>
    <w:rsid w:val="00BD4F4A"/>
    <w:rsid w:val="00BD7BB3"/>
    <w:rsid w:val="00BD7F26"/>
    <w:rsid w:val="00BE0AF8"/>
    <w:rsid w:val="00BE0BFD"/>
    <w:rsid w:val="00BE0D1A"/>
    <w:rsid w:val="00BE181B"/>
    <w:rsid w:val="00BE21D2"/>
    <w:rsid w:val="00BE510D"/>
    <w:rsid w:val="00BE749A"/>
    <w:rsid w:val="00BF05E0"/>
    <w:rsid w:val="00BF1300"/>
    <w:rsid w:val="00BF3310"/>
    <w:rsid w:val="00BF440A"/>
    <w:rsid w:val="00BF470A"/>
    <w:rsid w:val="00BF6479"/>
    <w:rsid w:val="00BF693A"/>
    <w:rsid w:val="00BF7C61"/>
    <w:rsid w:val="00C012F9"/>
    <w:rsid w:val="00C01866"/>
    <w:rsid w:val="00C043CA"/>
    <w:rsid w:val="00C06261"/>
    <w:rsid w:val="00C06D15"/>
    <w:rsid w:val="00C077C8"/>
    <w:rsid w:val="00C13476"/>
    <w:rsid w:val="00C13CEF"/>
    <w:rsid w:val="00C13F9E"/>
    <w:rsid w:val="00C17CB4"/>
    <w:rsid w:val="00C17CE3"/>
    <w:rsid w:val="00C20408"/>
    <w:rsid w:val="00C21335"/>
    <w:rsid w:val="00C21D3E"/>
    <w:rsid w:val="00C24395"/>
    <w:rsid w:val="00C25B53"/>
    <w:rsid w:val="00C26803"/>
    <w:rsid w:val="00C302AF"/>
    <w:rsid w:val="00C30974"/>
    <w:rsid w:val="00C31225"/>
    <w:rsid w:val="00C33C33"/>
    <w:rsid w:val="00C3487E"/>
    <w:rsid w:val="00C351FD"/>
    <w:rsid w:val="00C374E2"/>
    <w:rsid w:val="00C37A5E"/>
    <w:rsid w:val="00C40A99"/>
    <w:rsid w:val="00C45CED"/>
    <w:rsid w:val="00C4739A"/>
    <w:rsid w:val="00C474E7"/>
    <w:rsid w:val="00C50026"/>
    <w:rsid w:val="00C51620"/>
    <w:rsid w:val="00C52836"/>
    <w:rsid w:val="00C52B89"/>
    <w:rsid w:val="00C52CD8"/>
    <w:rsid w:val="00C53A87"/>
    <w:rsid w:val="00C54B4B"/>
    <w:rsid w:val="00C601C7"/>
    <w:rsid w:val="00C63CEA"/>
    <w:rsid w:val="00C648B1"/>
    <w:rsid w:val="00C64C55"/>
    <w:rsid w:val="00C6544E"/>
    <w:rsid w:val="00C6581C"/>
    <w:rsid w:val="00C65CA0"/>
    <w:rsid w:val="00C65D1E"/>
    <w:rsid w:val="00C718AB"/>
    <w:rsid w:val="00C72334"/>
    <w:rsid w:val="00C72CB7"/>
    <w:rsid w:val="00C72E24"/>
    <w:rsid w:val="00C74CD0"/>
    <w:rsid w:val="00C74ED0"/>
    <w:rsid w:val="00C75C34"/>
    <w:rsid w:val="00C76CDF"/>
    <w:rsid w:val="00C77C81"/>
    <w:rsid w:val="00C8061D"/>
    <w:rsid w:val="00C8063F"/>
    <w:rsid w:val="00C83B88"/>
    <w:rsid w:val="00C872A8"/>
    <w:rsid w:val="00C9068B"/>
    <w:rsid w:val="00C93D90"/>
    <w:rsid w:val="00C96030"/>
    <w:rsid w:val="00C96CFC"/>
    <w:rsid w:val="00CA08C6"/>
    <w:rsid w:val="00CA0F25"/>
    <w:rsid w:val="00CA3ED2"/>
    <w:rsid w:val="00CA4612"/>
    <w:rsid w:val="00CA4F73"/>
    <w:rsid w:val="00CA5786"/>
    <w:rsid w:val="00CA698E"/>
    <w:rsid w:val="00CA6E6D"/>
    <w:rsid w:val="00CB3922"/>
    <w:rsid w:val="00CB3A7F"/>
    <w:rsid w:val="00CC096C"/>
    <w:rsid w:val="00CC1166"/>
    <w:rsid w:val="00CC1A67"/>
    <w:rsid w:val="00CC2C5F"/>
    <w:rsid w:val="00CC2CAF"/>
    <w:rsid w:val="00CC45A7"/>
    <w:rsid w:val="00CC4C91"/>
    <w:rsid w:val="00CD2C2A"/>
    <w:rsid w:val="00CD33E3"/>
    <w:rsid w:val="00CD616E"/>
    <w:rsid w:val="00CD71AA"/>
    <w:rsid w:val="00CE3F60"/>
    <w:rsid w:val="00CE4B86"/>
    <w:rsid w:val="00CE50CF"/>
    <w:rsid w:val="00CE5DB6"/>
    <w:rsid w:val="00CF7DE1"/>
    <w:rsid w:val="00D037F4"/>
    <w:rsid w:val="00D046F7"/>
    <w:rsid w:val="00D0479D"/>
    <w:rsid w:val="00D060AB"/>
    <w:rsid w:val="00D060EC"/>
    <w:rsid w:val="00D06B60"/>
    <w:rsid w:val="00D07DA7"/>
    <w:rsid w:val="00D10C0C"/>
    <w:rsid w:val="00D12084"/>
    <w:rsid w:val="00D16B3B"/>
    <w:rsid w:val="00D17F49"/>
    <w:rsid w:val="00D209D8"/>
    <w:rsid w:val="00D20D91"/>
    <w:rsid w:val="00D219D0"/>
    <w:rsid w:val="00D21BA6"/>
    <w:rsid w:val="00D21D05"/>
    <w:rsid w:val="00D2372A"/>
    <w:rsid w:val="00D30A31"/>
    <w:rsid w:val="00D32FD6"/>
    <w:rsid w:val="00D34379"/>
    <w:rsid w:val="00D34B3B"/>
    <w:rsid w:val="00D35078"/>
    <w:rsid w:val="00D35580"/>
    <w:rsid w:val="00D40274"/>
    <w:rsid w:val="00D4263E"/>
    <w:rsid w:val="00D44456"/>
    <w:rsid w:val="00D44844"/>
    <w:rsid w:val="00D44A79"/>
    <w:rsid w:val="00D45F84"/>
    <w:rsid w:val="00D468BA"/>
    <w:rsid w:val="00D55DC3"/>
    <w:rsid w:val="00D601BF"/>
    <w:rsid w:val="00D62E21"/>
    <w:rsid w:val="00D639B7"/>
    <w:rsid w:val="00D645A5"/>
    <w:rsid w:val="00D667CB"/>
    <w:rsid w:val="00D66AC5"/>
    <w:rsid w:val="00D66E91"/>
    <w:rsid w:val="00D70AEF"/>
    <w:rsid w:val="00D70FD9"/>
    <w:rsid w:val="00D729FB"/>
    <w:rsid w:val="00D73851"/>
    <w:rsid w:val="00D73B60"/>
    <w:rsid w:val="00D757A6"/>
    <w:rsid w:val="00D77DA8"/>
    <w:rsid w:val="00D808B7"/>
    <w:rsid w:val="00D834DB"/>
    <w:rsid w:val="00D84143"/>
    <w:rsid w:val="00D843F1"/>
    <w:rsid w:val="00D855F6"/>
    <w:rsid w:val="00D861B2"/>
    <w:rsid w:val="00D86927"/>
    <w:rsid w:val="00D9557A"/>
    <w:rsid w:val="00D9652B"/>
    <w:rsid w:val="00D97325"/>
    <w:rsid w:val="00DA0464"/>
    <w:rsid w:val="00DA19C9"/>
    <w:rsid w:val="00DA1D41"/>
    <w:rsid w:val="00DA2F68"/>
    <w:rsid w:val="00DA3A6D"/>
    <w:rsid w:val="00DA6146"/>
    <w:rsid w:val="00DA71CB"/>
    <w:rsid w:val="00DB18C6"/>
    <w:rsid w:val="00DB2262"/>
    <w:rsid w:val="00DB4A5E"/>
    <w:rsid w:val="00DB65B9"/>
    <w:rsid w:val="00DC0263"/>
    <w:rsid w:val="00DC285A"/>
    <w:rsid w:val="00DC286D"/>
    <w:rsid w:val="00DC57FD"/>
    <w:rsid w:val="00DC6066"/>
    <w:rsid w:val="00DC6AFC"/>
    <w:rsid w:val="00DD2293"/>
    <w:rsid w:val="00DD2DAB"/>
    <w:rsid w:val="00DD567F"/>
    <w:rsid w:val="00DE3B18"/>
    <w:rsid w:val="00DE3F52"/>
    <w:rsid w:val="00DF0547"/>
    <w:rsid w:val="00DF14BE"/>
    <w:rsid w:val="00DF60AF"/>
    <w:rsid w:val="00DF7703"/>
    <w:rsid w:val="00E0051C"/>
    <w:rsid w:val="00E027AD"/>
    <w:rsid w:val="00E063EF"/>
    <w:rsid w:val="00E0648F"/>
    <w:rsid w:val="00E07468"/>
    <w:rsid w:val="00E10008"/>
    <w:rsid w:val="00E140AB"/>
    <w:rsid w:val="00E149AD"/>
    <w:rsid w:val="00E15AE5"/>
    <w:rsid w:val="00E168CA"/>
    <w:rsid w:val="00E237E3"/>
    <w:rsid w:val="00E2474F"/>
    <w:rsid w:val="00E265CE"/>
    <w:rsid w:val="00E27907"/>
    <w:rsid w:val="00E358A1"/>
    <w:rsid w:val="00E35FBA"/>
    <w:rsid w:val="00E36D84"/>
    <w:rsid w:val="00E41325"/>
    <w:rsid w:val="00E41A85"/>
    <w:rsid w:val="00E42E35"/>
    <w:rsid w:val="00E446C3"/>
    <w:rsid w:val="00E470C8"/>
    <w:rsid w:val="00E47CE2"/>
    <w:rsid w:val="00E50EAB"/>
    <w:rsid w:val="00E53B60"/>
    <w:rsid w:val="00E554BA"/>
    <w:rsid w:val="00E60D0C"/>
    <w:rsid w:val="00E63D0A"/>
    <w:rsid w:val="00E64869"/>
    <w:rsid w:val="00E65F00"/>
    <w:rsid w:val="00E71B85"/>
    <w:rsid w:val="00E72039"/>
    <w:rsid w:val="00E72589"/>
    <w:rsid w:val="00E72CE2"/>
    <w:rsid w:val="00E749A2"/>
    <w:rsid w:val="00E7583C"/>
    <w:rsid w:val="00E8014A"/>
    <w:rsid w:val="00E806F4"/>
    <w:rsid w:val="00E82237"/>
    <w:rsid w:val="00E825BC"/>
    <w:rsid w:val="00E83000"/>
    <w:rsid w:val="00E86525"/>
    <w:rsid w:val="00E9010F"/>
    <w:rsid w:val="00E91EE1"/>
    <w:rsid w:val="00E923C8"/>
    <w:rsid w:val="00E92ACD"/>
    <w:rsid w:val="00E937D0"/>
    <w:rsid w:val="00E93997"/>
    <w:rsid w:val="00E953FE"/>
    <w:rsid w:val="00EA0575"/>
    <w:rsid w:val="00EA172D"/>
    <w:rsid w:val="00EA24BA"/>
    <w:rsid w:val="00EA27A4"/>
    <w:rsid w:val="00EA2BD9"/>
    <w:rsid w:val="00EA3C30"/>
    <w:rsid w:val="00EA455C"/>
    <w:rsid w:val="00EA4636"/>
    <w:rsid w:val="00EA6BAA"/>
    <w:rsid w:val="00EA7C05"/>
    <w:rsid w:val="00EB03B5"/>
    <w:rsid w:val="00EB1681"/>
    <w:rsid w:val="00EB20F3"/>
    <w:rsid w:val="00EB3317"/>
    <w:rsid w:val="00EB4E43"/>
    <w:rsid w:val="00EB697C"/>
    <w:rsid w:val="00EB6D01"/>
    <w:rsid w:val="00EB7750"/>
    <w:rsid w:val="00EC1185"/>
    <w:rsid w:val="00EC395C"/>
    <w:rsid w:val="00EC4192"/>
    <w:rsid w:val="00EC64E1"/>
    <w:rsid w:val="00EC6E03"/>
    <w:rsid w:val="00ED060E"/>
    <w:rsid w:val="00ED0809"/>
    <w:rsid w:val="00ED08F0"/>
    <w:rsid w:val="00ED129A"/>
    <w:rsid w:val="00ED294B"/>
    <w:rsid w:val="00ED2E63"/>
    <w:rsid w:val="00ED38EA"/>
    <w:rsid w:val="00ED6F31"/>
    <w:rsid w:val="00EE1C6F"/>
    <w:rsid w:val="00EE3247"/>
    <w:rsid w:val="00EE4943"/>
    <w:rsid w:val="00EE639A"/>
    <w:rsid w:val="00EE6B1A"/>
    <w:rsid w:val="00EF066E"/>
    <w:rsid w:val="00EF0E0F"/>
    <w:rsid w:val="00EF2FF8"/>
    <w:rsid w:val="00EF39CF"/>
    <w:rsid w:val="00EF4D71"/>
    <w:rsid w:val="00EF6853"/>
    <w:rsid w:val="00EF7745"/>
    <w:rsid w:val="00EF7CCC"/>
    <w:rsid w:val="00F02C23"/>
    <w:rsid w:val="00F03404"/>
    <w:rsid w:val="00F06AF5"/>
    <w:rsid w:val="00F06BB7"/>
    <w:rsid w:val="00F06F10"/>
    <w:rsid w:val="00F11C06"/>
    <w:rsid w:val="00F1280D"/>
    <w:rsid w:val="00F14BDE"/>
    <w:rsid w:val="00F160AE"/>
    <w:rsid w:val="00F17C7A"/>
    <w:rsid w:val="00F2035B"/>
    <w:rsid w:val="00F22CEC"/>
    <w:rsid w:val="00F23E6D"/>
    <w:rsid w:val="00F24681"/>
    <w:rsid w:val="00F24D48"/>
    <w:rsid w:val="00F26648"/>
    <w:rsid w:val="00F26744"/>
    <w:rsid w:val="00F26885"/>
    <w:rsid w:val="00F2732A"/>
    <w:rsid w:val="00F307C6"/>
    <w:rsid w:val="00F313C8"/>
    <w:rsid w:val="00F32113"/>
    <w:rsid w:val="00F33A89"/>
    <w:rsid w:val="00F34D2F"/>
    <w:rsid w:val="00F35D08"/>
    <w:rsid w:val="00F3672E"/>
    <w:rsid w:val="00F372C7"/>
    <w:rsid w:val="00F4197C"/>
    <w:rsid w:val="00F41E1C"/>
    <w:rsid w:val="00F435BC"/>
    <w:rsid w:val="00F43A82"/>
    <w:rsid w:val="00F45709"/>
    <w:rsid w:val="00F45AEE"/>
    <w:rsid w:val="00F4710B"/>
    <w:rsid w:val="00F50842"/>
    <w:rsid w:val="00F51B92"/>
    <w:rsid w:val="00F53F0D"/>
    <w:rsid w:val="00F55FC3"/>
    <w:rsid w:val="00F632CC"/>
    <w:rsid w:val="00F64B30"/>
    <w:rsid w:val="00F64C92"/>
    <w:rsid w:val="00F7020D"/>
    <w:rsid w:val="00F708BF"/>
    <w:rsid w:val="00F717B2"/>
    <w:rsid w:val="00F71D24"/>
    <w:rsid w:val="00F71E1A"/>
    <w:rsid w:val="00F765B1"/>
    <w:rsid w:val="00F7674B"/>
    <w:rsid w:val="00F80D4E"/>
    <w:rsid w:val="00F826E0"/>
    <w:rsid w:val="00F84A1B"/>
    <w:rsid w:val="00F90741"/>
    <w:rsid w:val="00F916F5"/>
    <w:rsid w:val="00F9177E"/>
    <w:rsid w:val="00F9279A"/>
    <w:rsid w:val="00F93491"/>
    <w:rsid w:val="00F93AFE"/>
    <w:rsid w:val="00FA68CE"/>
    <w:rsid w:val="00FA7B9F"/>
    <w:rsid w:val="00FB0BA0"/>
    <w:rsid w:val="00FB1085"/>
    <w:rsid w:val="00FB13BD"/>
    <w:rsid w:val="00FB1492"/>
    <w:rsid w:val="00FB1A2A"/>
    <w:rsid w:val="00FB402E"/>
    <w:rsid w:val="00FB42B1"/>
    <w:rsid w:val="00FB469B"/>
    <w:rsid w:val="00FB6762"/>
    <w:rsid w:val="00FB704A"/>
    <w:rsid w:val="00FB7D88"/>
    <w:rsid w:val="00FC1C2A"/>
    <w:rsid w:val="00FC4EAA"/>
    <w:rsid w:val="00FC5C86"/>
    <w:rsid w:val="00FD2E1F"/>
    <w:rsid w:val="00FD2F2A"/>
    <w:rsid w:val="00FD3F7C"/>
    <w:rsid w:val="00FD4B3F"/>
    <w:rsid w:val="00FD6063"/>
    <w:rsid w:val="00FF31DB"/>
    <w:rsid w:val="00FF3DFB"/>
    <w:rsid w:val="00FF6EB4"/>
    <w:rsid w:val="00FF7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85AFC"/>
  <w15:docId w15:val="{19FC1FC5-7691-4A8F-8469-E318A5297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49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149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149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B1492"/>
    <w:pPr>
      <w:ind w:left="720"/>
      <w:contextualSpacing/>
    </w:pPr>
  </w:style>
  <w:style w:type="paragraph" w:styleId="Header">
    <w:name w:val="header"/>
    <w:basedOn w:val="Normal"/>
    <w:link w:val="HeaderChar"/>
    <w:uiPriority w:val="99"/>
    <w:unhideWhenUsed/>
    <w:rsid w:val="00001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900"/>
  </w:style>
  <w:style w:type="paragraph" w:styleId="Footer">
    <w:name w:val="footer"/>
    <w:basedOn w:val="Normal"/>
    <w:link w:val="FooterChar"/>
    <w:uiPriority w:val="99"/>
    <w:unhideWhenUsed/>
    <w:rsid w:val="00001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900"/>
  </w:style>
  <w:style w:type="table" w:styleId="TableGrid">
    <w:name w:val="Table Grid"/>
    <w:basedOn w:val="TableNormal"/>
    <w:uiPriority w:val="59"/>
    <w:rsid w:val="00CC4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next w:val="Normal"/>
    <w:uiPriority w:val="99"/>
    <w:rsid w:val="004E5B05"/>
    <w:pPr>
      <w:autoSpaceDE w:val="0"/>
      <w:autoSpaceDN w:val="0"/>
      <w:adjustRightInd w:val="0"/>
      <w:spacing w:after="0" w:line="240" w:lineRule="auto"/>
    </w:pPr>
    <w:rPr>
      <w:rFonts w:ascii="Arial" w:hAnsi="Arial" w:cs="Arial"/>
      <w:sz w:val="24"/>
      <w:szCs w:val="24"/>
    </w:rPr>
  </w:style>
  <w:style w:type="paragraph" w:customStyle="1" w:styleId="Default">
    <w:name w:val="Default"/>
    <w:rsid w:val="004E5B0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E5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B05"/>
    <w:rPr>
      <w:rFonts w:ascii="Tahoma" w:hAnsi="Tahoma" w:cs="Tahoma"/>
      <w:sz w:val="16"/>
      <w:szCs w:val="16"/>
    </w:rPr>
  </w:style>
  <w:style w:type="paragraph" w:customStyle="1" w:styleId="Bab">
    <w:name w:val="Bab"/>
    <w:basedOn w:val="ListParagraph"/>
    <w:link w:val="BabChar"/>
    <w:qFormat/>
    <w:rsid w:val="00E149AD"/>
    <w:pPr>
      <w:numPr>
        <w:numId w:val="1"/>
      </w:numPr>
    </w:pPr>
    <w:rPr>
      <w:rFonts w:ascii="Bookman Old Style" w:hAnsi="Bookman Old Style"/>
      <w:b/>
      <w:sz w:val="24"/>
      <w:szCs w:val="24"/>
    </w:rPr>
  </w:style>
  <w:style w:type="character" w:customStyle="1" w:styleId="Heading1Char">
    <w:name w:val="Heading 1 Char"/>
    <w:basedOn w:val="DefaultParagraphFont"/>
    <w:link w:val="Heading1"/>
    <w:uiPriority w:val="9"/>
    <w:rsid w:val="00E149AD"/>
    <w:rPr>
      <w:rFonts w:asciiTheme="majorHAnsi" w:eastAsiaTheme="majorEastAsia" w:hAnsiTheme="majorHAnsi" w:cstheme="majorBidi"/>
      <w:b/>
      <w:bCs/>
      <w:color w:val="365F91" w:themeColor="accent1" w:themeShade="BF"/>
      <w:sz w:val="28"/>
      <w:szCs w:val="28"/>
    </w:rPr>
  </w:style>
  <w:style w:type="character" w:customStyle="1" w:styleId="ListParagraphChar">
    <w:name w:val="List Paragraph Char"/>
    <w:basedOn w:val="DefaultParagraphFont"/>
    <w:link w:val="ListParagraph"/>
    <w:uiPriority w:val="34"/>
    <w:rsid w:val="00E149AD"/>
  </w:style>
  <w:style w:type="character" w:customStyle="1" w:styleId="BabChar">
    <w:name w:val="Bab Char"/>
    <w:basedOn w:val="ListParagraphChar"/>
    <w:link w:val="Bab"/>
    <w:rsid w:val="00E149AD"/>
    <w:rPr>
      <w:rFonts w:ascii="Bookman Old Style" w:hAnsi="Bookman Old Style"/>
      <w:b/>
      <w:sz w:val="24"/>
      <w:szCs w:val="24"/>
    </w:rPr>
  </w:style>
  <w:style w:type="paragraph" w:styleId="TOCHeading">
    <w:name w:val="TOC Heading"/>
    <w:basedOn w:val="Heading1"/>
    <w:next w:val="Normal"/>
    <w:uiPriority w:val="39"/>
    <w:semiHidden/>
    <w:unhideWhenUsed/>
    <w:qFormat/>
    <w:rsid w:val="00E149AD"/>
    <w:pPr>
      <w:outlineLvl w:val="9"/>
    </w:pPr>
    <w:rPr>
      <w:lang w:val="en-US" w:eastAsia="en-US"/>
    </w:rPr>
  </w:style>
  <w:style w:type="character" w:customStyle="1" w:styleId="Heading2Char">
    <w:name w:val="Heading 2 Char"/>
    <w:basedOn w:val="DefaultParagraphFont"/>
    <w:link w:val="Heading2"/>
    <w:uiPriority w:val="9"/>
    <w:semiHidden/>
    <w:rsid w:val="00E149AD"/>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802DA1"/>
    <w:pPr>
      <w:tabs>
        <w:tab w:val="left" w:pos="440"/>
        <w:tab w:val="right" w:leader="dot" w:pos="9017"/>
      </w:tabs>
      <w:spacing w:after="100" w:line="240" w:lineRule="auto"/>
      <w:ind w:left="426" w:hanging="426"/>
    </w:pPr>
    <w:rPr>
      <w:rFonts w:ascii="Bookman Old Style" w:hAnsi="Bookman Old Style"/>
      <w:noProof/>
      <w:sz w:val="24"/>
      <w:szCs w:val="24"/>
    </w:rPr>
  </w:style>
  <w:style w:type="character" w:customStyle="1" w:styleId="Heading3Char">
    <w:name w:val="Heading 3 Char"/>
    <w:basedOn w:val="DefaultParagraphFont"/>
    <w:link w:val="Heading3"/>
    <w:uiPriority w:val="9"/>
    <w:semiHidden/>
    <w:rsid w:val="00E149AD"/>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E149AD"/>
    <w:rPr>
      <w:color w:val="0000FF" w:themeColor="hyperlink"/>
      <w:u w:val="single"/>
    </w:rPr>
  </w:style>
  <w:style w:type="paragraph" w:customStyle="1" w:styleId="Subbab">
    <w:name w:val="Sub bab"/>
    <w:basedOn w:val="ListParagraph"/>
    <w:link w:val="SubbabChar"/>
    <w:qFormat/>
    <w:rsid w:val="0057752D"/>
    <w:pPr>
      <w:numPr>
        <w:numId w:val="2"/>
      </w:numPr>
      <w:spacing w:after="0"/>
      <w:jc w:val="both"/>
    </w:pPr>
    <w:rPr>
      <w:rFonts w:ascii="Bookman Old Style" w:hAnsi="Bookman Old Style"/>
      <w:sz w:val="24"/>
      <w:szCs w:val="24"/>
    </w:rPr>
  </w:style>
  <w:style w:type="paragraph" w:customStyle="1" w:styleId="FormatdanPedoman">
    <w:name w:val="Format dan Pedoman"/>
    <w:basedOn w:val="ListParagraph"/>
    <w:link w:val="FormatdanPedomanChar"/>
    <w:qFormat/>
    <w:rsid w:val="00C50026"/>
    <w:pPr>
      <w:numPr>
        <w:ilvl w:val="1"/>
        <w:numId w:val="2"/>
      </w:numPr>
      <w:spacing w:after="0"/>
      <w:ind w:left="1701" w:hanging="425"/>
    </w:pPr>
    <w:rPr>
      <w:rFonts w:ascii="Bookman Old Style" w:hAnsi="Bookman Old Style"/>
      <w:sz w:val="24"/>
      <w:szCs w:val="24"/>
    </w:rPr>
  </w:style>
  <w:style w:type="character" w:customStyle="1" w:styleId="SubbabChar">
    <w:name w:val="Sub bab Char"/>
    <w:basedOn w:val="ListParagraphChar"/>
    <w:link w:val="Subbab"/>
    <w:rsid w:val="0057752D"/>
    <w:rPr>
      <w:rFonts w:ascii="Bookman Old Style" w:hAnsi="Bookman Old Style"/>
      <w:sz w:val="24"/>
      <w:szCs w:val="24"/>
    </w:rPr>
  </w:style>
  <w:style w:type="paragraph" w:styleId="TOC2">
    <w:name w:val="toc 2"/>
    <w:basedOn w:val="Normal"/>
    <w:next w:val="Normal"/>
    <w:autoRedefine/>
    <w:uiPriority w:val="39"/>
    <w:unhideWhenUsed/>
    <w:rsid w:val="00BB1E23"/>
    <w:pPr>
      <w:tabs>
        <w:tab w:val="left" w:pos="851"/>
        <w:tab w:val="right" w:leader="dot" w:pos="9017"/>
      </w:tabs>
      <w:spacing w:after="100" w:line="240" w:lineRule="auto"/>
      <w:ind w:left="851" w:hanging="425"/>
    </w:pPr>
  </w:style>
  <w:style w:type="character" w:customStyle="1" w:styleId="FormatdanPedomanChar">
    <w:name w:val="Format dan Pedoman Char"/>
    <w:basedOn w:val="ListParagraphChar"/>
    <w:link w:val="FormatdanPedoman"/>
    <w:rsid w:val="00C50026"/>
    <w:rPr>
      <w:rFonts w:ascii="Bookman Old Style" w:hAnsi="Bookman Old Style"/>
      <w:sz w:val="24"/>
      <w:szCs w:val="24"/>
    </w:rPr>
  </w:style>
  <w:style w:type="paragraph" w:styleId="TOC3">
    <w:name w:val="toc 3"/>
    <w:basedOn w:val="Normal"/>
    <w:next w:val="Normal"/>
    <w:autoRedefine/>
    <w:uiPriority w:val="39"/>
    <w:unhideWhenUsed/>
    <w:rsid w:val="00BB1E23"/>
    <w:pPr>
      <w:tabs>
        <w:tab w:val="left" w:pos="1560"/>
        <w:tab w:val="right" w:leader="dot" w:pos="9017"/>
      </w:tabs>
      <w:spacing w:after="100" w:line="240" w:lineRule="auto"/>
      <w:ind w:left="1134" w:hanging="283"/>
    </w:pPr>
  </w:style>
  <w:style w:type="paragraph" w:customStyle="1" w:styleId="4">
    <w:name w:val="4"/>
    <w:basedOn w:val="ListParagraph"/>
    <w:link w:val="4Char"/>
    <w:rsid w:val="00290F22"/>
    <w:pPr>
      <w:numPr>
        <w:ilvl w:val="2"/>
        <w:numId w:val="3"/>
      </w:numPr>
      <w:spacing w:after="0" w:line="240" w:lineRule="auto"/>
      <w:contextualSpacing w:val="0"/>
    </w:pPr>
    <w:rPr>
      <w:rFonts w:ascii="Bookman Old Style" w:hAnsi="Bookman Old Style"/>
      <w:sz w:val="24"/>
      <w:szCs w:val="24"/>
    </w:rPr>
  </w:style>
  <w:style w:type="paragraph" w:customStyle="1" w:styleId="3">
    <w:name w:val="3"/>
    <w:basedOn w:val="FormatdanPedoman"/>
    <w:link w:val="3Char"/>
    <w:qFormat/>
    <w:rsid w:val="00C50026"/>
    <w:pPr>
      <w:ind w:left="1637" w:hanging="360"/>
    </w:pPr>
  </w:style>
  <w:style w:type="character" w:customStyle="1" w:styleId="4Char">
    <w:name w:val="4 Char"/>
    <w:basedOn w:val="ListParagraphChar"/>
    <w:link w:val="4"/>
    <w:rsid w:val="00290F22"/>
    <w:rPr>
      <w:rFonts w:ascii="Bookman Old Style" w:hAnsi="Bookman Old Style"/>
      <w:sz w:val="24"/>
      <w:szCs w:val="24"/>
    </w:rPr>
  </w:style>
  <w:style w:type="paragraph" w:customStyle="1" w:styleId="individukonsol">
    <w:name w:val="individu konsol"/>
    <w:basedOn w:val="4"/>
    <w:link w:val="individukonsolChar"/>
    <w:qFormat/>
    <w:rsid w:val="0057752D"/>
    <w:pPr>
      <w:numPr>
        <w:ilvl w:val="0"/>
        <w:numId w:val="5"/>
      </w:numPr>
      <w:tabs>
        <w:tab w:val="left" w:pos="2127"/>
      </w:tabs>
    </w:pPr>
  </w:style>
  <w:style w:type="character" w:customStyle="1" w:styleId="3Char">
    <w:name w:val="3 Char"/>
    <w:basedOn w:val="FormatdanPedomanChar"/>
    <w:link w:val="3"/>
    <w:rsid w:val="00C50026"/>
    <w:rPr>
      <w:rFonts w:ascii="Bookman Old Style" w:hAnsi="Bookman Old Style"/>
      <w:sz w:val="24"/>
      <w:szCs w:val="24"/>
    </w:rPr>
  </w:style>
  <w:style w:type="paragraph" w:styleId="TOC4">
    <w:name w:val="toc 4"/>
    <w:basedOn w:val="Normal"/>
    <w:next w:val="Normal"/>
    <w:autoRedefine/>
    <w:uiPriority w:val="39"/>
    <w:unhideWhenUsed/>
    <w:rsid w:val="00802DA1"/>
    <w:pPr>
      <w:tabs>
        <w:tab w:val="left" w:pos="1560"/>
        <w:tab w:val="right" w:leader="dot" w:pos="9000"/>
      </w:tabs>
      <w:spacing w:after="100"/>
      <w:ind w:left="1560" w:right="90" w:hanging="426"/>
    </w:pPr>
    <w:rPr>
      <w:rFonts w:ascii="Bookman Old Style" w:hAnsi="Bookman Old Style"/>
      <w:noProof/>
      <w:sz w:val="24"/>
      <w:szCs w:val="24"/>
    </w:rPr>
  </w:style>
  <w:style w:type="character" w:customStyle="1" w:styleId="individukonsolChar">
    <w:name w:val="individu konsol Char"/>
    <w:basedOn w:val="4Char"/>
    <w:link w:val="individukonsol"/>
    <w:rsid w:val="0057752D"/>
    <w:rPr>
      <w:rFonts w:ascii="Bookman Old Style" w:hAnsi="Bookman Old Style"/>
      <w:sz w:val="24"/>
      <w:szCs w:val="24"/>
    </w:rPr>
  </w:style>
  <w:style w:type="paragraph" w:styleId="TOC5">
    <w:name w:val="toc 5"/>
    <w:basedOn w:val="Normal"/>
    <w:next w:val="Normal"/>
    <w:autoRedefine/>
    <w:uiPriority w:val="39"/>
    <w:unhideWhenUsed/>
    <w:rsid w:val="00474845"/>
    <w:pPr>
      <w:tabs>
        <w:tab w:val="left" w:pos="1320"/>
        <w:tab w:val="right" w:leader="dot" w:pos="9017"/>
      </w:tabs>
      <w:spacing w:after="100" w:line="240" w:lineRule="auto"/>
      <w:ind w:left="1843" w:hanging="283"/>
    </w:pPr>
  </w:style>
  <w:style w:type="paragraph" w:styleId="TOC6">
    <w:name w:val="toc 6"/>
    <w:basedOn w:val="Normal"/>
    <w:next w:val="Normal"/>
    <w:autoRedefine/>
    <w:uiPriority w:val="39"/>
    <w:unhideWhenUsed/>
    <w:rsid w:val="006E3A34"/>
    <w:pPr>
      <w:spacing w:after="100"/>
      <w:ind w:left="1100"/>
    </w:pPr>
  </w:style>
  <w:style w:type="paragraph" w:styleId="TOC7">
    <w:name w:val="toc 7"/>
    <w:basedOn w:val="Normal"/>
    <w:next w:val="Normal"/>
    <w:autoRedefine/>
    <w:uiPriority w:val="39"/>
    <w:unhideWhenUsed/>
    <w:rsid w:val="006E3A34"/>
    <w:pPr>
      <w:spacing w:after="100"/>
      <w:ind w:left="1320"/>
    </w:pPr>
  </w:style>
  <w:style w:type="paragraph" w:styleId="TOC8">
    <w:name w:val="toc 8"/>
    <w:basedOn w:val="Normal"/>
    <w:next w:val="Normal"/>
    <w:autoRedefine/>
    <w:uiPriority w:val="39"/>
    <w:unhideWhenUsed/>
    <w:rsid w:val="006E3A34"/>
    <w:pPr>
      <w:spacing w:after="100"/>
      <w:ind w:left="1540"/>
    </w:pPr>
  </w:style>
  <w:style w:type="paragraph" w:styleId="TOC9">
    <w:name w:val="toc 9"/>
    <w:basedOn w:val="Normal"/>
    <w:next w:val="Normal"/>
    <w:autoRedefine/>
    <w:uiPriority w:val="39"/>
    <w:unhideWhenUsed/>
    <w:rsid w:val="006E3A34"/>
    <w:pPr>
      <w:spacing w:after="100"/>
      <w:ind w:left="1760"/>
    </w:pPr>
  </w:style>
  <w:style w:type="paragraph" w:customStyle="1" w:styleId="5">
    <w:name w:val="5"/>
    <w:basedOn w:val="ListParagraph"/>
    <w:link w:val="5Char"/>
    <w:qFormat/>
    <w:rsid w:val="0057752D"/>
    <w:pPr>
      <w:numPr>
        <w:numId w:val="4"/>
      </w:numPr>
      <w:tabs>
        <w:tab w:val="left" w:pos="2552"/>
      </w:tabs>
      <w:spacing w:after="0"/>
      <w:contextualSpacing w:val="0"/>
    </w:pPr>
    <w:rPr>
      <w:rFonts w:ascii="Bookman Old Style" w:hAnsi="Bookman Old Style"/>
      <w:sz w:val="24"/>
      <w:szCs w:val="24"/>
    </w:rPr>
  </w:style>
  <w:style w:type="paragraph" w:styleId="NoSpacing">
    <w:name w:val="No Spacing"/>
    <w:uiPriority w:val="1"/>
    <w:qFormat/>
    <w:rsid w:val="00315479"/>
    <w:pPr>
      <w:spacing w:after="0" w:line="240" w:lineRule="auto"/>
    </w:pPr>
  </w:style>
  <w:style w:type="character" w:customStyle="1" w:styleId="5Char">
    <w:name w:val="5 Char"/>
    <w:basedOn w:val="ListParagraphChar"/>
    <w:link w:val="5"/>
    <w:rsid w:val="0057752D"/>
    <w:rPr>
      <w:rFonts w:ascii="Bookman Old Style" w:hAnsi="Bookman Old Style"/>
      <w:sz w:val="24"/>
      <w:szCs w:val="24"/>
    </w:rPr>
  </w:style>
  <w:style w:type="character" w:styleId="CommentReference">
    <w:name w:val="annotation reference"/>
    <w:basedOn w:val="DefaultParagraphFont"/>
    <w:uiPriority w:val="99"/>
    <w:semiHidden/>
    <w:unhideWhenUsed/>
    <w:rsid w:val="00376789"/>
    <w:rPr>
      <w:sz w:val="16"/>
      <w:szCs w:val="16"/>
    </w:rPr>
  </w:style>
  <w:style w:type="paragraph" w:styleId="CommentText">
    <w:name w:val="annotation text"/>
    <w:basedOn w:val="Normal"/>
    <w:link w:val="CommentTextChar"/>
    <w:uiPriority w:val="99"/>
    <w:unhideWhenUsed/>
    <w:rsid w:val="00376789"/>
    <w:pPr>
      <w:spacing w:line="240" w:lineRule="auto"/>
    </w:pPr>
    <w:rPr>
      <w:sz w:val="20"/>
      <w:szCs w:val="20"/>
    </w:rPr>
  </w:style>
  <w:style w:type="character" w:customStyle="1" w:styleId="CommentTextChar">
    <w:name w:val="Comment Text Char"/>
    <w:basedOn w:val="DefaultParagraphFont"/>
    <w:link w:val="CommentText"/>
    <w:uiPriority w:val="99"/>
    <w:rsid w:val="00376789"/>
    <w:rPr>
      <w:sz w:val="20"/>
      <w:szCs w:val="20"/>
    </w:rPr>
  </w:style>
  <w:style w:type="paragraph" w:customStyle="1" w:styleId="Style1">
    <w:name w:val="Style1"/>
    <w:basedOn w:val="Subbab"/>
    <w:link w:val="Style1Char"/>
    <w:qFormat/>
    <w:rsid w:val="00B55179"/>
    <w:pPr>
      <w:ind w:left="10206"/>
    </w:pPr>
    <w:rPr>
      <w:lang w:val="en-US"/>
    </w:rPr>
  </w:style>
  <w:style w:type="character" w:customStyle="1" w:styleId="Style1Char">
    <w:name w:val="Style1 Char"/>
    <w:basedOn w:val="SubbabChar"/>
    <w:link w:val="Style1"/>
    <w:rsid w:val="00B55179"/>
    <w:rPr>
      <w:rFonts w:ascii="Bookman Old Style" w:hAnsi="Bookman Old Style"/>
      <w:sz w:val="24"/>
      <w:szCs w:val="24"/>
      <w:lang w:val="en-US"/>
    </w:rPr>
  </w:style>
  <w:style w:type="paragraph" w:styleId="CommentSubject">
    <w:name w:val="annotation subject"/>
    <w:basedOn w:val="CommentText"/>
    <w:next w:val="CommentText"/>
    <w:link w:val="CommentSubjectChar"/>
    <w:uiPriority w:val="99"/>
    <w:semiHidden/>
    <w:unhideWhenUsed/>
    <w:rsid w:val="00143A22"/>
    <w:rPr>
      <w:b/>
      <w:bCs/>
    </w:rPr>
  </w:style>
  <w:style w:type="character" w:customStyle="1" w:styleId="CommentSubjectChar">
    <w:name w:val="Comment Subject Char"/>
    <w:basedOn w:val="CommentTextChar"/>
    <w:link w:val="CommentSubject"/>
    <w:uiPriority w:val="99"/>
    <w:semiHidden/>
    <w:rsid w:val="00143A22"/>
    <w:rPr>
      <w:b/>
      <w:bCs/>
      <w:sz w:val="20"/>
      <w:szCs w:val="20"/>
    </w:rPr>
  </w:style>
  <w:style w:type="character" w:styleId="UnresolvedMention">
    <w:name w:val="Unresolved Mention"/>
    <w:basedOn w:val="DefaultParagraphFont"/>
    <w:uiPriority w:val="99"/>
    <w:semiHidden/>
    <w:unhideWhenUsed/>
    <w:rsid w:val="00300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9381">
      <w:bodyDiv w:val="1"/>
      <w:marLeft w:val="0"/>
      <w:marRight w:val="0"/>
      <w:marTop w:val="0"/>
      <w:marBottom w:val="0"/>
      <w:divBdr>
        <w:top w:val="none" w:sz="0" w:space="0" w:color="auto"/>
        <w:left w:val="none" w:sz="0" w:space="0" w:color="auto"/>
        <w:bottom w:val="none" w:sz="0" w:space="0" w:color="auto"/>
        <w:right w:val="none" w:sz="0" w:space="0" w:color="auto"/>
      </w:divBdr>
    </w:div>
    <w:div w:id="33117406">
      <w:bodyDiv w:val="1"/>
      <w:marLeft w:val="0"/>
      <w:marRight w:val="0"/>
      <w:marTop w:val="0"/>
      <w:marBottom w:val="0"/>
      <w:divBdr>
        <w:top w:val="none" w:sz="0" w:space="0" w:color="auto"/>
        <w:left w:val="none" w:sz="0" w:space="0" w:color="auto"/>
        <w:bottom w:val="none" w:sz="0" w:space="0" w:color="auto"/>
        <w:right w:val="none" w:sz="0" w:space="0" w:color="auto"/>
      </w:divBdr>
      <w:divsChild>
        <w:div w:id="1810005050">
          <w:marLeft w:val="0"/>
          <w:marRight w:val="0"/>
          <w:marTop w:val="0"/>
          <w:marBottom w:val="0"/>
          <w:divBdr>
            <w:top w:val="none" w:sz="0" w:space="0" w:color="auto"/>
            <w:left w:val="none" w:sz="0" w:space="0" w:color="auto"/>
            <w:bottom w:val="none" w:sz="0" w:space="0" w:color="auto"/>
            <w:right w:val="none" w:sz="0" w:space="0" w:color="auto"/>
          </w:divBdr>
          <w:divsChild>
            <w:div w:id="492377379">
              <w:marLeft w:val="0"/>
              <w:marRight w:val="0"/>
              <w:marTop w:val="0"/>
              <w:marBottom w:val="0"/>
              <w:divBdr>
                <w:top w:val="none" w:sz="0" w:space="0" w:color="auto"/>
                <w:left w:val="none" w:sz="0" w:space="0" w:color="auto"/>
                <w:bottom w:val="none" w:sz="0" w:space="0" w:color="auto"/>
                <w:right w:val="none" w:sz="0" w:space="0" w:color="auto"/>
              </w:divBdr>
            </w:div>
          </w:divsChild>
        </w:div>
        <w:div w:id="839080159">
          <w:marLeft w:val="0"/>
          <w:marRight w:val="0"/>
          <w:marTop w:val="0"/>
          <w:marBottom w:val="0"/>
          <w:divBdr>
            <w:top w:val="none" w:sz="0" w:space="0" w:color="auto"/>
            <w:left w:val="none" w:sz="0" w:space="0" w:color="auto"/>
            <w:bottom w:val="single" w:sz="6" w:space="0" w:color="C0C0C0"/>
            <w:right w:val="none" w:sz="0" w:space="0" w:color="auto"/>
          </w:divBdr>
          <w:divsChild>
            <w:div w:id="993726623">
              <w:marLeft w:val="0"/>
              <w:marRight w:val="0"/>
              <w:marTop w:val="0"/>
              <w:marBottom w:val="0"/>
              <w:divBdr>
                <w:top w:val="none" w:sz="0" w:space="0" w:color="auto"/>
                <w:left w:val="none" w:sz="0" w:space="0" w:color="auto"/>
                <w:bottom w:val="none" w:sz="0" w:space="0" w:color="auto"/>
                <w:right w:val="none" w:sz="0" w:space="0" w:color="auto"/>
              </w:divBdr>
              <w:divsChild>
                <w:div w:id="905458016">
                  <w:marLeft w:val="0"/>
                  <w:marRight w:val="0"/>
                  <w:marTop w:val="0"/>
                  <w:marBottom w:val="0"/>
                  <w:divBdr>
                    <w:top w:val="none" w:sz="0" w:space="0" w:color="auto"/>
                    <w:left w:val="none" w:sz="0" w:space="0" w:color="auto"/>
                    <w:bottom w:val="none" w:sz="0" w:space="0" w:color="auto"/>
                    <w:right w:val="none" w:sz="0" w:space="0" w:color="auto"/>
                  </w:divBdr>
                  <w:divsChild>
                    <w:div w:id="175271768">
                      <w:marLeft w:val="0"/>
                      <w:marRight w:val="0"/>
                      <w:marTop w:val="0"/>
                      <w:marBottom w:val="0"/>
                      <w:divBdr>
                        <w:top w:val="none" w:sz="0" w:space="0" w:color="auto"/>
                        <w:left w:val="none" w:sz="0" w:space="0" w:color="auto"/>
                        <w:bottom w:val="none" w:sz="0" w:space="0" w:color="auto"/>
                        <w:right w:val="none" w:sz="0" w:space="0" w:color="auto"/>
                      </w:divBdr>
                      <w:divsChild>
                        <w:div w:id="190113670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75802">
      <w:bodyDiv w:val="1"/>
      <w:marLeft w:val="0"/>
      <w:marRight w:val="0"/>
      <w:marTop w:val="0"/>
      <w:marBottom w:val="0"/>
      <w:divBdr>
        <w:top w:val="none" w:sz="0" w:space="0" w:color="auto"/>
        <w:left w:val="none" w:sz="0" w:space="0" w:color="auto"/>
        <w:bottom w:val="none" w:sz="0" w:space="0" w:color="auto"/>
        <w:right w:val="none" w:sz="0" w:space="0" w:color="auto"/>
      </w:divBdr>
    </w:div>
    <w:div w:id="140930652">
      <w:bodyDiv w:val="1"/>
      <w:marLeft w:val="0"/>
      <w:marRight w:val="0"/>
      <w:marTop w:val="0"/>
      <w:marBottom w:val="0"/>
      <w:divBdr>
        <w:top w:val="none" w:sz="0" w:space="0" w:color="auto"/>
        <w:left w:val="none" w:sz="0" w:space="0" w:color="auto"/>
        <w:bottom w:val="none" w:sz="0" w:space="0" w:color="auto"/>
        <w:right w:val="none" w:sz="0" w:space="0" w:color="auto"/>
      </w:divBdr>
    </w:div>
    <w:div w:id="160782810">
      <w:bodyDiv w:val="1"/>
      <w:marLeft w:val="0"/>
      <w:marRight w:val="0"/>
      <w:marTop w:val="0"/>
      <w:marBottom w:val="0"/>
      <w:divBdr>
        <w:top w:val="none" w:sz="0" w:space="0" w:color="auto"/>
        <w:left w:val="none" w:sz="0" w:space="0" w:color="auto"/>
        <w:bottom w:val="none" w:sz="0" w:space="0" w:color="auto"/>
        <w:right w:val="none" w:sz="0" w:space="0" w:color="auto"/>
      </w:divBdr>
    </w:div>
    <w:div w:id="168644574">
      <w:bodyDiv w:val="1"/>
      <w:marLeft w:val="0"/>
      <w:marRight w:val="0"/>
      <w:marTop w:val="0"/>
      <w:marBottom w:val="0"/>
      <w:divBdr>
        <w:top w:val="none" w:sz="0" w:space="0" w:color="auto"/>
        <w:left w:val="none" w:sz="0" w:space="0" w:color="auto"/>
        <w:bottom w:val="none" w:sz="0" w:space="0" w:color="auto"/>
        <w:right w:val="none" w:sz="0" w:space="0" w:color="auto"/>
      </w:divBdr>
    </w:div>
    <w:div w:id="182211859">
      <w:bodyDiv w:val="1"/>
      <w:marLeft w:val="0"/>
      <w:marRight w:val="0"/>
      <w:marTop w:val="0"/>
      <w:marBottom w:val="0"/>
      <w:divBdr>
        <w:top w:val="none" w:sz="0" w:space="0" w:color="auto"/>
        <w:left w:val="none" w:sz="0" w:space="0" w:color="auto"/>
        <w:bottom w:val="none" w:sz="0" w:space="0" w:color="auto"/>
        <w:right w:val="none" w:sz="0" w:space="0" w:color="auto"/>
      </w:divBdr>
    </w:div>
    <w:div w:id="309403554">
      <w:bodyDiv w:val="1"/>
      <w:marLeft w:val="0"/>
      <w:marRight w:val="0"/>
      <w:marTop w:val="0"/>
      <w:marBottom w:val="0"/>
      <w:divBdr>
        <w:top w:val="none" w:sz="0" w:space="0" w:color="auto"/>
        <w:left w:val="none" w:sz="0" w:space="0" w:color="auto"/>
        <w:bottom w:val="none" w:sz="0" w:space="0" w:color="auto"/>
        <w:right w:val="none" w:sz="0" w:space="0" w:color="auto"/>
      </w:divBdr>
    </w:div>
    <w:div w:id="326985703">
      <w:bodyDiv w:val="1"/>
      <w:marLeft w:val="0"/>
      <w:marRight w:val="0"/>
      <w:marTop w:val="0"/>
      <w:marBottom w:val="0"/>
      <w:divBdr>
        <w:top w:val="none" w:sz="0" w:space="0" w:color="auto"/>
        <w:left w:val="none" w:sz="0" w:space="0" w:color="auto"/>
        <w:bottom w:val="none" w:sz="0" w:space="0" w:color="auto"/>
        <w:right w:val="none" w:sz="0" w:space="0" w:color="auto"/>
      </w:divBdr>
    </w:div>
    <w:div w:id="363021160">
      <w:bodyDiv w:val="1"/>
      <w:marLeft w:val="0"/>
      <w:marRight w:val="0"/>
      <w:marTop w:val="0"/>
      <w:marBottom w:val="0"/>
      <w:divBdr>
        <w:top w:val="none" w:sz="0" w:space="0" w:color="auto"/>
        <w:left w:val="none" w:sz="0" w:space="0" w:color="auto"/>
        <w:bottom w:val="none" w:sz="0" w:space="0" w:color="auto"/>
        <w:right w:val="none" w:sz="0" w:space="0" w:color="auto"/>
      </w:divBdr>
    </w:div>
    <w:div w:id="363362253">
      <w:bodyDiv w:val="1"/>
      <w:marLeft w:val="0"/>
      <w:marRight w:val="0"/>
      <w:marTop w:val="0"/>
      <w:marBottom w:val="0"/>
      <w:divBdr>
        <w:top w:val="none" w:sz="0" w:space="0" w:color="auto"/>
        <w:left w:val="none" w:sz="0" w:space="0" w:color="auto"/>
        <w:bottom w:val="none" w:sz="0" w:space="0" w:color="auto"/>
        <w:right w:val="none" w:sz="0" w:space="0" w:color="auto"/>
      </w:divBdr>
    </w:div>
    <w:div w:id="392196202">
      <w:bodyDiv w:val="1"/>
      <w:marLeft w:val="0"/>
      <w:marRight w:val="0"/>
      <w:marTop w:val="0"/>
      <w:marBottom w:val="0"/>
      <w:divBdr>
        <w:top w:val="none" w:sz="0" w:space="0" w:color="auto"/>
        <w:left w:val="none" w:sz="0" w:space="0" w:color="auto"/>
        <w:bottom w:val="none" w:sz="0" w:space="0" w:color="auto"/>
        <w:right w:val="none" w:sz="0" w:space="0" w:color="auto"/>
      </w:divBdr>
    </w:div>
    <w:div w:id="464323831">
      <w:bodyDiv w:val="1"/>
      <w:marLeft w:val="0"/>
      <w:marRight w:val="0"/>
      <w:marTop w:val="0"/>
      <w:marBottom w:val="0"/>
      <w:divBdr>
        <w:top w:val="none" w:sz="0" w:space="0" w:color="auto"/>
        <w:left w:val="none" w:sz="0" w:space="0" w:color="auto"/>
        <w:bottom w:val="none" w:sz="0" w:space="0" w:color="auto"/>
        <w:right w:val="none" w:sz="0" w:space="0" w:color="auto"/>
      </w:divBdr>
    </w:div>
    <w:div w:id="470751691">
      <w:bodyDiv w:val="1"/>
      <w:marLeft w:val="0"/>
      <w:marRight w:val="0"/>
      <w:marTop w:val="0"/>
      <w:marBottom w:val="0"/>
      <w:divBdr>
        <w:top w:val="none" w:sz="0" w:space="0" w:color="auto"/>
        <w:left w:val="none" w:sz="0" w:space="0" w:color="auto"/>
        <w:bottom w:val="none" w:sz="0" w:space="0" w:color="auto"/>
        <w:right w:val="none" w:sz="0" w:space="0" w:color="auto"/>
      </w:divBdr>
    </w:div>
    <w:div w:id="497162119">
      <w:bodyDiv w:val="1"/>
      <w:marLeft w:val="0"/>
      <w:marRight w:val="0"/>
      <w:marTop w:val="0"/>
      <w:marBottom w:val="0"/>
      <w:divBdr>
        <w:top w:val="none" w:sz="0" w:space="0" w:color="auto"/>
        <w:left w:val="none" w:sz="0" w:space="0" w:color="auto"/>
        <w:bottom w:val="none" w:sz="0" w:space="0" w:color="auto"/>
        <w:right w:val="none" w:sz="0" w:space="0" w:color="auto"/>
      </w:divBdr>
    </w:div>
    <w:div w:id="522091169">
      <w:bodyDiv w:val="1"/>
      <w:marLeft w:val="0"/>
      <w:marRight w:val="0"/>
      <w:marTop w:val="0"/>
      <w:marBottom w:val="0"/>
      <w:divBdr>
        <w:top w:val="none" w:sz="0" w:space="0" w:color="auto"/>
        <w:left w:val="none" w:sz="0" w:space="0" w:color="auto"/>
        <w:bottom w:val="none" w:sz="0" w:space="0" w:color="auto"/>
        <w:right w:val="none" w:sz="0" w:space="0" w:color="auto"/>
      </w:divBdr>
    </w:div>
    <w:div w:id="532035063">
      <w:bodyDiv w:val="1"/>
      <w:marLeft w:val="0"/>
      <w:marRight w:val="0"/>
      <w:marTop w:val="0"/>
      <w:marBottom w:val="0"/>
      <w:divBdr>
        <w:top w:val="none" w:sz="0" w:space="0" w:color="auto"/>
        <w:left w:val="none" w:sz="0" w:space="0" w:color="auto"/>
        <w:bottom w:val="none" w:sz="0" w:space="0" w:color="auto"/>
        <w:right w:val="none" w:sz="0" w:space="0" w:color="auto"/>
      </w:divBdr>
    </w:div>
    <w:div w:id="544952462">
      <w:bodyDiv w:val="1"/>
      <w:marLeft w:val="0"/>
      <w:marRight w:val="0"/>
      <w:marTop w:val="0"/>
      <w:marBottom w:val="0"/>
      <w:divBdr>
        <w:top w:val="none" w:sz="0" w:space="0" w:color="auto"/>
        <w:left w:val="none" w:sz="0" w:space="0" w:color="auto"/>
        <w:bottom w:val="none" w:sz="0" w:space="0" w:color="auto"/>
        <w:right w:val="none" w:sz="0" w:space="0" w:color="auto"/>
      </w:divBdr>
    </w:div>
    <w:div w:id="562839830">
      <w:bodyDiv w:val="1"/>
      <w:marLeft w:val="0"/>
      <w:marRight w:val="0"/>
      <w:marTop w:val="0"/>
      <w:marBottom w:val="0"/>
      <w:divBdr>
        <w:top w:val="none" w:sz="0" w:space="0" w:color="auto"/>
        <w:left w:val="none" w:sz="0" w:space="0" w:color="auto"/>
        <w:bottom w:val="none" w:sz="0" w:space="0" w:color="auto"/>
        <w:right w:val="none" w:sz="0" w:space="0" w:color="auto"/>
      </w:divBdr>
      <w:divsChild>
        <w:div w:id="1741710909">
          <w:marLeft w:val="360"/>
          <w:marRight w:val="0"/>
          <w:marTop w:val="0"/>
          <w:marBottom w:val="0"/>
          <w:divBdr>
            <w:top w:val="none" w:sz="0" w:space="0" w:color="auto"/>
            <w:left w:val="none" w:sz="0" w:space="0" w:color="auto"/>
            <w:bottom w:val="none" w:sz="0" w:space="0" w:color="auto"/>
            <w:right w:val="none" w:sz="0" w:space="0" w:color="auto"/>
          </w:divBdr>
        </w:div>
        <w:div w:id="2110083224">
          <w:marLeft w:val="360"/>
          <w:marRight w:val="0"/>
          <w:marTop w:val="0"/>
          <w:marBottom w:val="0"/>
          <w:divBdr>
            <w:top w:val="none" w:sz="0" w:space="0" w:color="auto"/>
            <w:left w:val="none" w:sz="0" w:space="0" w:color="auto"/>
            <w:bottom w:val="none" w:sz="0" w:space="0" w:color="auto"/>
            <w:right w:val="none" w:sz="0" w:space="0" w:color="auto"/>
          </w:divBdr>
        </w:div>
        <w:div w:id="1995796423">
          <w:marLeft w:val="360"/>
          <w:marRight w:val="0"/>
          <w:marTop w:val="0"/>
          <w:marBottom w:val="0"/>
          <w:divBdr>
            <w:top w:val="none" w:sz="0" w:space="0" w:color="auto"/>
            <w:left w:val="none" w:sz="0" w:space="0" w:color="auto"/>
            <w:bottom w:val="none" w:sz="0" w:space="0" w:color="auto"/>
            <w:right w:val="none" w:sz="0" w:space="0" w:color="auto"/>
          </w:divBdr>
        </w:div>
        <w:div w:id="712390375">
          <w:marLeft w:val="360"/>
          <w:marRight w:val="0"/>
          <w:marTop w:val="0"/>
          <w:marBottom w:val="0"/>
          <w:divBdr>
            <w:top w:val="none" w:sz="0" w:space="0" w:color="auto"/>
            <w:left w:val="none" w:sz="0" w:space="0" w:color="auto"/>
            <w:bottom w:val="none" w:sz="0" w:space="0" w:color="auto"/>
            <w:right w:val="none" w:sz="0" w:space="0" w:color="auto"/>
          </w:divBdr>
        </w:div>
        <w:div w:id="599874490">
          <w:marLeft w:val="360"/>
          <w:marRight w:val="0"/>
          <w:marTop w:val="0"/>
          <w:marBottom w:val="0"/>
          <w:divBdr>
            <w:top w:val="none" w:sz="0" w:space="0" w:color="auto"/>
            <w:left w:val="none" w:sz="0" w:space="0" w:color="auto"/>
            <w:bottom w:val="none" w:sz="0" w:space="0" w:color="auto"/>
            <w:right w:val="none" w:sz="0" w:space="0" w:color="auto"/>
          </w:divBdr>
        </w:div>
      </w:divsChild>
    </w:div>
    <w:div w:id="564147764">
      <w:bodyDiv w:val="1"/>
      <w:marLeft w:val="0"/>
      <w:marRight w:val="0"/>
      <w:marTop w:val="0"/>
      <w:marBottom w:val="0"/>
      <w:divBdr>
        <w:top w:val="none" w:sz="0" w:space="0" w:color="auto"/>
        <w:left w:val="none" w:sz="0" w:space="0" w:color="auto"/>
        <w:bottom w:val="none" w:sz="0" w:space="0" w:color="auto"/>
        <w:right w:val="none" w:sz="0" w:space="0" w:color="auto"/>
      </w:divBdr>
    </w:div>
    <w:div w:id="627007561">
      <w:bodyDiv w:val="1"/>
      <w:marLeft w:val="0"/>
      <w:marRight w:val="0"/>
      <w:marTop w:val="0"/>
      <w:marBottom w:val="0"/>
      <w:divBdr>
        <w:top w:val="none" w:sz="0" w:space="0" w:color="auto"/>
        <w:left w:val="none" w:sz="0" w:space="0" w:color="auto"/>
        <w:bottom w:val="none" w:sz="0" w:space="0" w:color="auto"/>
        <w:right w:val="none" w:sz="0" w:space="0" w:color="auto"/>
      </w:divBdr>
    </w:div>
    <w:div w:id="688684039">
      <w:bodyDiv w:val="1"/>
      <w:marLeft w:val="0"/>
      <w:marRight w:val="0"/>
      <w:marTop w:val="0"/>
      <w:marBottom w:val="0"/>
      <w:divBdr>
        <w:top w:val="none" w:sz="0" w:space="0" w:color="auto"/>
        <w:left w:val="none" w:sz="0" w:space="0" w:color="auto"/>
        <w:bottom w:val="none" w:sz="0" w:space="0" w:color="auto"/>
        <w:right w:val="none" w:sz="0" w:space="0" w:color="auto"/>
      </w:divBdr>
      <w:divsChild>
        <w:div w:id="181936398">
          <w:marLeft w:val="360"/>
          <w:marRight w:val="0"/>
          <w:marTop w:val="0"/>
          <w:marBottom w:val="0"/>
          <w:divBdr>
            <w:top w:val="none" w:sz="0" w:space="0" w:color="auto"/>
            <w:left w:val="none" w:sz="0" w:space="0" w:color="auto"/>
            <w:bottom w:val="none" w:sz="0" w:space="0" w:color="auto"/>
            <w:right w:val="none" w:sz="0" w:space="0" w:color="auto"/>
          </w:divBdr>
        </w:div>
      </w:divsChild>
    </w:div>
    <w:div w:id="708263551">
      <w:bodyDiv w:val="1"/>
      <w:marLeft w:val="0"/>
      <w:marRight w:val="0"/>
      <w:marTop w:val="0"/>
      <w:marBottom w:val="0"/>
      <w:divBdr>
        <w:top w:val="none" w:sz="0" w:space="0" w:color="auto"/>
        <w:left w:val="none" w:sz="0" w:space="0" w:color="auto"/>
        <w:bottom w:val="none" w:sz="0" w:space="0" w:color="auto"/>
        <w:right w:val="none" w:sz="0" w:space="0" w:color="auto"/>
      </w:divBdr>
    </w:div>
    <w:div w:id="770198441">
      <w:bodyDiv w:val="1"/>
      <w:marLeft w:val="0"/>
      <w:marRight w:val="0"/>
      <w:marTop w:val="0"/>
      <w:marBottom w:val="0"/>
      <w:divBdr>
        <w:top w:val="none" w:sz="0" w:space="0" w:color="auto"/>
        <w:left w:val="none" w:sz="0" w:space="0" w:color="auto"/>
        <w:bottom w:val="none" w:sz="0" w:space="0" w:color="auto"/>
        <w:right w:val="none" w:sz="0" w:space="0" w:color="auto"/>
      </w:divBdr>
    </w:div>
    <w:div w:id="780346671">
      <w:bodyDiv w:val="1"/>
      <w:marLeft w:val="0"/>
      <w:marRight w:val="0"/>
      <w:marTop w:val="0"/>
      <w:marBottom w:val="0"/>
      <w:divBdr>
        <w:top w:val="none" w:sz="0" w:space="0" w:color="auto"/>
        <w:left w:val="none" w:sz="0" w:space="0" w:color="auto"/>
        <w:bottom w:val="none" w:sz="0" w:space="0" w:color="auto"/>
        <w:right w:val="none" w:sz="0" w:space="0" w:color="auto"/>
      </w:divBdr>
      <w:divsChild>
        <w:div w:id="1174346672">
          <w:marLeft w:val="0"/>
          <w:marRight w:val="0"/>
          <w:marTop w:val="0"/>
          <w:marBottom w:val="0"/>
          <w:divBdr>
            <w:top w:val="none" w:sz="0" w:space="0" w:color="auto"/>
            <w:left w:val="none" w:sz="0" w:space="0" w:color="auto"/>
            <w:bottom w:val="none" w:sz="0" w:space="0" w:color="auto"/>
            <w:right w:val="none" w:sz="0" w:space="0" w:color="auto"/>
          </w:divBdr>
          <w:divsChild>
            <w:div w:id="1051347258">
              <w:marLeft w:val="0"/>
              <w:marRight w:val="0"/>
              <w:marTop w:val="0"/>
              <w:marBottom w:val="0"/>
              <w:divBdr>
                <w:top w:val="none" w:sz="0" w:space="0" w:color="auto"/>
                <w:left w:val="none" w:sz="0" w:space="0" w:color="auto"/>
                <w:bottom w:val="none" w:sz="0" w:space="0" w:color="auto"/>
                <w:right w:val="none" w:sz="0" w:space="0" w:color="auto"/>
              </w:divBdr>
            </w:div>
          </w:divsChild>
        </w:div>
        <w:div w:id="1001009537">
          <w:marLeft w:val="0"/>
          <w:marRight w:val="0"/>
          <w:marTop w:val="0"/>
          <w:marBottom w:val="0"/>
          <w:divBdr>
            <w:top w:val="none" w:sz="0" w:space="0" w:color="auto"/>
            <w:left w:val="none" w:sz="0" w:space="0" w:color="auto"/>
            <w:bottom w:val="single" w:sz="6" w:space="0" w:color="C0C0C0"/>
            <w:right w:val="none" w:sz="0" w:space="0" w:color="auto"/>
          </w:divBdr>
          <w:divsChild>
            <w:div w:id="193083217">
              <w:marLeft w:val="0"/>
              <w:marRight w:val="0"/>
              <w:marTop w:val="0"/>
              <w:marBottom w:val="0"/>
              <w:divBdr>
                <w:top w:val="none" w:sz="0" w:space="0" w:color="auto"/>
                <w:left w:val="none" w:sz="0" w:space="0" w:color="auto"/>
                <w:bottom w:val="none" w:sz="0" w:space="0" w:color="auto"/>
                <w:right w:val="none" w:sz="0" w:space="0" w:color="auto"/>
              </w:divBdr>
              <w:divsChild>
                <w:div w:id="1183401345">
                  <w:marLeft w:val="0"/>
                  <w:marRight w:val="0"/>
                  <w:marTop w:val="0"/>
                  <w:marBottom w:val="0"/>
                  <w:divBdr>
                    <w:top w:val="none" w:sz="0" w:space="0" w:color="auto"/>
                    <w:left w:val="none" w:sz="0" w:space="0" w:color="auto"/>
                    <w:bottom w:val="none" w:sz="0" w:space="0" w:color="auto"/>
                    <w:right w:val="none" w:sz="0" w:space="0" w:color="auto"/>
                  </w:divBdr>
                  <w:divsChild>
                    <w:div w:id="711611423">
                      <w:marLeft w:val="0"/>
                      <w:marRight w:val="0"/>
                      <w:marTop w:val="0"/>
                      <w:marBottom w:val="0"/>
                      <w:divBdr>
                        <w:top w:val="none" w:sz="0" w:space="0" w:color="auto"/>
                        <w:left w:val="none" w:sz="0" w:space="0" w:color="auto"/>
                        <w:bottom w:val="none" w:sz="0" w:space="0" w:color="auto"/>
                        <w:right w:val="none" w:sz="0" w:space="0" w:color="auto"/>
                      </w:divBdr>
                      <w:divsChild>
                        <w:div w:id="135911412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4898674">
      <w:bodyDiv w:val="1"/>
      <w:marLeft w:val="0"/>
      <w:marRight w:val="0"/>
      <w:marTop w:val="0"/>
      <w:marBottom w:val="0"/>
      <w:divBdr>
        <w:top w:val="none" w:sz="0" w:space="0" w:color="auto"/>
        <w:left w:val="none" w:sz="0" w:space="0" w:color="auto"/>
        <w:bottom w:val="none" w:sz="0" w:space="0" w:color="auto"/>
        <w:right w:val="none" w:sz="0" w:space="0" w:color="auto"/>
      </w:divBdr>
    </w:div>
    <w:div w:id="854460631">
      <w:bodyDiv w:val="1"/>
      <w:marLeft w:val="0"/>
      <w:marRight w:val="0"/>
      <w:marTop w:val="0"/>
      <w:marBottom w:val="0"/>
      <w:divBdr>
        <w:top w:val="none" w:sz="0" w:space="0" w:color="auto"/>
        <w:left w:val="none" w:sz="0" w:space="0" w:color="auto"/>
        <w:bottom w:val="none" w:sz="0" w:space="0" w:color="auto"/>
        <w:right w:val="none" w:sz="0" w:space="0" w:color="auto"/>
      </w:divBdr>
    </w:div>
    <w:div w:id="1040669470">
      <w:bodyDiv w:val="1"/>
      <w:marLeft w:val="0"/>
      <w:marRight w:val="0"/>
      <w:marTop w:val="0"/>
      <w:marBottom w:val="0"/>
      <w:divBdr>
        <w:top w:val="none" w:sz="0" w:space="0" w:color="auto"/>
        <w:left w:val="none" w:sz="0" w:space="0" w:color="auto"/>
        <w:bottom w:val="none" w:sz="0" w:space="0" w:color="auto"/>
        <w:right w:val="none" w:sz="0" w:space="0" w:color="auto"/>
      </w:divBdr>
    </w:div>
    <w:div w:id="1041593610">
      <w:bodyDiv w:val="1"/>
      <w:marLeft w:val="0"/>
      <w:marRight w:val="0"/>
      <w:marTop w:val="0"/>
      <w:marBottom w:val="0"/>
      <w:divBdr>
        <w:top w:val="none" w:sz="0" w:space="0" w:color="auto"/>
        <w:left w:val="none" w:sz="0" w:space="0" w:color="auto"/>
        <w:bottom w:val="none" w:sz="0" w:space="0" w:color="auto"/>
        <w:right w:val="none" w:sz="0" w:space="0" w:color="auto"/>
      </w:divBdr>
    </w:div>
    <w:div w:id="1080715964">
      <w:bodyDiv w:val="1"/>
      <w:marLeft w:val="0"/>
      <w:marRight w:val="0"/>
      <w:marTop w:val="0"/>
      <w:marBottom w:val="0"/>
      <w:divBdr>
        <w:top w:val="none" w:sz="0" w:space="0" w:color="auto"/>
        <w:left w:val="none" w:sz="0" w:space="0" w:color="auto"/>
        <w:bottom w:val="none" w:sz="0" w:space="0" w:color="auto"/>
        <w:right w:val="none" w:sz="0" w:space="0" w:color="auto"/>
      </w:divBdr>
      <w:divsChild>
        <w:div w:id="1370254626">
          <w:marLeft w:val="360"/>
          <w:marRight w:val="0"/>
          <w:marTop w:val="0"/>
          <w:marBottom w:val="0"/>
          <w:divBdr>
            <w:top w:val="none" w:sz="0" w:space="0" w:color="auto"/>
            <w:left w:val="none" w:sz="0" w:space="0" w:color="auto"/>
            <w:bottom w:val="none" w:sz="0" w:space="0" w:color="auto"/>
            <w:right w:val="none" w:sz="0" w:space="0" w:color="auto"/>
          </w:divBdr>
        </w:div>
        <w:div w:id="242763517">
          <w:marLeft w:val="360"/>
          <w:marRight w:val="0"/>
          <w:marTop w:val="0"/>
          <w:marBottom w:val="0"/>
          <w:divBdr>
            <w:top w:val="none" w:sz="0" w:space="0" w:color="auto"/>
            <w:left w:val="none" w:sz="0" w:space="0" w:color="auto"/>
            <w:bottom w:val="none" w:sz="0" w:space="0" w:color="auto"/>
            <w:right w:val="none" w:sz="0" w:space="0" w:color="auto"/>
          </w:divBdr>
        </w:div>
        <w:div w:id="225607487">
          <w:marLeft w:val="360"/>
          <w:marRight w:val="0"/>
          <w:marTop w:val="0"/>
          <w:marBottom w:val="0"/>
          <w:divBdr>
            <w:top w:val="none" w:sz="0" w:space="0" w:color="auto"/>
            <w:left w:val="none" w:sz="0" w:space="0" w:color="auto"/>
            <w:bottom w:val="none" w:sz="0" w:space="0" w:color="auto"/>
            <w:right w:val="none" w:sz="0" w:space="0" w:color="auto"/>
          </w:divBdr>
        </w:div>
        <w:div w:id="1272010506">
          <w:marLeft w:val="360"/>
          <w:marRight w:val="0"/>
          <w:marTop w:val="0"/>
          <w:marBottom w:val="0"/>
          <w:divBdr>
            <w:top w:val="none" w:sz="0" w:space="0" w:color="auto"/>
            <w:left w:val="none" w:sz="0" w:space="0" w:color="auto"/>
            <w:bottom w:val="none" w:sz="0" w:space="0" w:color="auto"/>
            <w:right w:val="none" w:sz="0" w:space="0" w:color="auto"/>
          </w:divBdr>
        </w:div>
        <w:div w:id="1158955381">
          <w:marLeft w:val="360"/>
          <w:marRight w:val="0"/>
          <w:marTop w:val="0"/>
          <w:marBottom w:val="0"/>
          <w:divBdr>
            <w:top w:val="none" w:sz="0" w:space="0" w:color="auto"/>
            <w:left w:val="none" w:sz="0" w:space="0" w:color="auto"/>
            <w:bottom w:val="none" w:sz="0" w:space="0" w:color="auto"/>
            <w:right w:val="none" w:sz="0" w:space="0" w:color="auto"/>
          </w:divBdr>
        </w:div>
      </w:divsChild>
    </w:div>
    <w:div w:id="1139566871">
      <w:bodyDiv w:val="1"/>
      <w:marLeft w:val="0"/>
      <w:marRight w:val="0"/>
      <w:marTop w:val="0"/>
      <w:marBottom w:val="0"/>
      <w:divBdr>
        <w:top w:val="none" w:sz="0" w:space="0" w:color="auto"/>
        <w:left w:val="none" w:sz="0" w:space="0" w:color="auto"/>
        <w:bottom w:val="none" w:sz="0" w:space="0" w:color="auto"/>
        <w:right w:val="none" w:sz="0" w:space="0" w:color="auto"/>
      </w:divBdr>
    </w:div>
    <w:div w:id="1175657318">
      <w:bodyDiv w:val="1"/>
      <w:marLeft w:val="0"/>
      <w:marRight w:val="0"/>
      <w:marTop w:val="0"/>
      <w:marBottom w:val="0"/>
      <w:divBdr>
        <w:top w:val="none" w:sz="0" w:space="0" w:color="auto"/>
        <w:left w:val="none" w:sz="0" w:space="0" w:color="auto"/>
        <w:bottom w:val="none" w:sz="0" w:space="0" w:color="auto"/>
        <w:right w:val="none" w:sz="0" w:space="0" w:color="auto"/>
      </w:divBdr>
    </w:div>
    <w:div w:id="1179584573">
      <w:bodyDiv w:val="1"/>
      <w:marLeft w:val="0"/>
      <w:marRight w:val="0"/>
      <w:marTop w:val="0"/>
      <w:marBottom w:val="0"/>
      <w:divBdr>
        <w:top w:val="none" w:sz="0" w:space="0" w:color="auto"/>
        <w:left w:val="none" w:sz="0" w:space="0" w:color="auto"/>
        <w:bottom w:val="none" w:sz="0" w:space="0" w:color="auto"/>
        <w:right w:val="none" w:sz="0" w:space="0" w:color="auto"/>
      </w:divBdr>
    </w:div>
    <w:div w:id="1278177742">
      <w:bodyDiv w:val="1"/>
      <w:marLeft w:val="0"/>
      <w:marRight w:val="0"/>
      <w:marTop w:val="0"/>
      <w:marBottom w:val="0"/>
      <w:divBdr>
        <w:top w:val="none" w:sz="0" w:space="0" w:color="auto"/>
        <w:left w:val="none" w:sz="0" w:space="0" w:color="auto"/>
        <w:bottom w:val="none" w:sz="0" w:space="0" w:color="auto"/>
        <w:right w:val="none" w:sz="0" w:space="0" w:color="auto"/>
      </w:divBdr>
    </w:div>
    <w:div w:id="1383015745">
      <w:bodyDiv w:val="1"/>
      <w:marLeft w:val="0"/>
      <w:marRight w:val="0"/>
      <w:marTop w:val="0"/>
      <w:marBottom w:val="0"/>
      <w:divBdr>
        <w:top w:val="none" w:sz="0" w:space="0" w:color="auto"/>
        <w:left w:val="none" w:sz="0" w:space="0" w:color="auto"/>
        <w:bottom w:val="none" w:sz="0" w:space="0" w:color="auto"/>
        <w:right w:val="none" w:sz="0" w:space="0" w:color="auto"/>
      </w:divBdr>
    </w:div>
    <w:div w:id="1416394154">
      <w:bodyDiv w:val="1"/>
      <w:marLeft w:val="0"/>
      <w:marRight w:val="0"/>
      <w:marTop w:val="0"/>
      <w:marBottom w:val="0"/>
      <w:divBdr>
        <w:top w:val="none" w:sz="0" w:space="0" w:color="auto"/>
        <w:left w:val="none" w:sz="0" w:space="0" w:color="auto"/>
        <w:bottom w:val="none" w:sz="0" w:space="0" w:color="auto"/>
        <w:right w:val="none" w:sz="0" w:space="0" w:color="auto"/>
      </w:divBdr>
      <w:divsChild>
        <w:div w:id="19554588">
          <w:marLeft w:val="0"/>
          <w:marRight w:val="0"/>
          <w:marTop w:val="0"/>
          <w:marBottom w:val="0"/>
          <w:divBdr>
            <w:top w:val="none" w:sz="0" w:space="0" w:color="auto"/>
            <w:left w:val="none" w:sz="0" w:space="0" w:color="auto"/>
            <w:bottom w:val="single" w:sz="6" w:space="0" w:color="F9FBFD"/>
            <w:right w:val="none" w:sz="0" w:space="0" w:color="auto"/>
          </w:divBdr>
          <w:divsChild>
            <w:div w:id="1972054396">
              <w:marLeft w:val="0"/>
              <w:marRight w:val="0"/>
              <w:marTop w:val="0"/>
              <w:marBottom w:val="0"/>
              <w:divBdr>
                <w:top w:val="none" w:sz="0" w:space="0" w:color="auto"/>
                <w:left w:val="none" w:sz="0" w:space="0" w:color="auto"/>
                <w:bottom w:val="none" w:sz="0" w:space="0" w:color="auto"/>
                <w:right w:val="none" w:sz="0" w:space="0" w:color="auto"/>
              </w:divBdr>
              <w:divsChild>
                <w:div w:id="673915632">
                  <w:marLeft w:val="0"/>
                  <w:marRight w:val="0"/>
                  <w:marTop w:val="0"/>
                  <w:marBottom w:val="0"/>
                  <w:divBdr>
                    <w:top w:val="none" w:sz="0" w:space="0" w:color="auto"/>
                    <w:left w:val="none" w:sz="0" w:space="0" w:color="auto"/>
                    <w:bottom w:val="none" w:sz="0" w:space="0" w:color="auto"/>
                    <w:right w:val="none" w:sz="0" w:space="0" w:color="auto"/>
                  </w:divBdr>
                  <w:divsChild>
                    <w:div w:id="1577209836">
                      <w:marLeft w:val="0"/>
                      <w:marRight w:val="0"/>
                      <w:marTop w:val="0"/>
                      <w:marBottom w:val="0"/>
                      <w:divBdr>
                        <w:top w:val="none" w:sz="0" w:space="0" w:color="auto"/>
                        <w:left w:val="none" w:sz="0" w:space="0" w:color="auto"/>
                        <w:bottom w:val="single" w:sz="6" w:space="0" w:color="C0C0C0"/>
                        <w:right w:val="none" w:sz="0" w:space="0" w:color="auto"/>
                      </w:divBdr>
                      <w:divsChild>
                        <w:div w:id="1641688543">
                          <w:marLeft w:val="0"/>
                          <w:marRight w:val="0"/>
                          <w:marTop w:val="0"/>
                          <w:marBottom w:val="0"/>
                          <w:divBdr>
                            <w:top w:val="none" w:sz="0" w:space="0" w:color="auto"/>
                            <w:left w:val="none" w:sz="0" w:space="0" w:color="auto"/>
                            <w:bottom w:val="none" w:sz="0" w:space="0" w:color="auto"/>
                            <w:right w:val="none" w:sz="0" w:space="0" w:color="auto"/>
                          </w:divBdr>
                          <w:divsChild>
                            <w:div w:id="148328733">
                              <w:marLeft w:val="0"/>
                              <w:marRight w:val="0"/>
                              <w:marTop w:val="0"/>
                              <w:marBottom w:val="0"/>
                              <w:divBdr>
                                <w:top w:val="none" w:sz="0" w:space="0" w:color="auto"/>
                                <w:left w:val="none" w:sz="0" w:space="0" w:color="auto"/>
                                <w:bottom w:val="none" w:sz="0" w:space="0" w:color="auto"/>
                                <w:right w:val="none" w:sz="0" w:space="0" w:color="auto"/>
                              </w:divBdr>
                              <w:divsChild>
                                <w:div w:id="1852792322">
                                  <w:marLeft w:val="0"/>
                                  <w:marRight w:val="0"/>
                                  <w:marTop w:val="0"/>
                                  <w:marBottom w:val="0"/>
                                  <w:divBdr>
                                    <w:top w:val="none" w:sz="0" w:space="0" w:color="auto"/>
                                    <w:left w:val="none" w:sz="0" w:space="0" w:color="auto"/>
                                    <w:bottom w:val="none" w:sz="0" w:space="0" w:color="auto"/>
                                    <w:right w:val="none" w:sz="0" w:space="0" w:color="auto"/>
                                  </w:divBdr>
                                  <w:divsChild>
                                    <w:div w:id="150844428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3292634">
          <w:marLeft w:val="0"/>
          <w:marRight w:val="0"/>
          <w:marTop w:val="0"/>
          <w:marBottom w:val="0"/>
          <w:divBdr>
            <w:top w:val="none" w:sz="0" w:space="0" w:color="auto"/>
            <w:left w:val="none" w:sz="0" w:space="0" w:color="auto"/>
            <w:bottom w:val="none" w:sz="0" w:space="0" w:color="auto"/>
            <w:right w:val="none" w:sz="0" w:space="0" w:color="auto"/>
          </w:divBdr>
          <w:divsChild>
            <w:div w:id="1915699061">
              <w:marLeft w:val="0"/>
              <w:marRight w:val="0"/>
              <w:marTop w:val="0"/>
              <w:marBottom w:val="0"/>
              <w:divBdr>
                <w:top w:val="none" w:sz="0" w:space="0" w:color="auto"/>
                <w:left w:val="none" w:sz="0" w:space="0" w:color="auto"/>
                <w:bottom w:val="none" w:sz="0" w:space="0" w:color="auto"/>
                <w:right w:val="none" w:sz="0" w:space="0" w:color="auto"/>
              </w:divBdr>
              <w:divsChild>
                <w:div w:id="1444886261">
                  <w:marLeft w:val="0"/>
                  <w:marRight w:val="0"/>
                  <w:marTop w:val="0"/>
                  <w:marBottom w:val="0"/>
                  <w:divBdr>
                    <w:top w:val="none" w:sz="0" w:space="0" w:color="auto"/>
                    <w:left w:val="none" w:sz="0" w:space="0" w:color="auto"/>
                    <w:bottom w:val="none" w:sz="0" w:space="0" w:color="auto"/>
                    <w:right w:val="none" w:sz="0" w:space="0" w:color="auto"/>
                  </w:divBdr>
                  <w:divsChild>
                    <w:div w:id="979845433">
                      <w:marLeft w:val="0"/>
                      <w:marRight w:val="0"/>
                      <w:marTop w:val="0"/>
                      <w:marBottom w:val="0"/>
                      <w:divBdr>
                        <w:top w:val="none" w:sz="0" w:space="0" w:color="auto"/>
                        <w:left w:val="none" w:sz="0" w:space="0" w:color="auto"/>
                        <w:bottom w:val="none" w:sz="0" w:space="0" w:color="auto"/>
                        <w:right w:val="none" w:sz="0" w:space="0" w:color="auto"/>
                      </w:divBdr>
                      <w:divsChild>
                        <w:div w:id="1827626472">
                          <w:marLeft w:val="0"/>
                          <w:marRight w:val="0"/>
                          <w:marTop w:val="0"/>
                          <w:marBottom w:val="0"/>
                          <w:divBdr>
                            <w:top w:val="none" w:sz="0" w:space="0" w:color="auto"/>
                            <w:left w:val="none" w:sz="0" w:space="0" w:color="auto"/>
                            <w:bottom w:val="none" w:sz="0" w:space="0" w:color="auto"/>
                            <w:right w:val="none" w:sz="0" w:space="0" w:color="auto"/>
                          </w:divBdr>
                          <w:divsChild>
                            <w:div w:id="982805744">
                              <w:marLeft w:val="0"/>
                              <w:marRight w:val="0"/>
                              <w:marTop w:val="0"/>
                              <w:marBottom w:val="0"/>
                              <w:divBdr>
                                <w:top w:val="none" w:sz="0" w:space="0" w:color="auto"/>
                                <w:left w:val="none" w:sz="0" w:space="0" w:color="auto"/>
                                <w:bottom w:val="none" w:sz="0" w:space="0" w:color="auto"/>
                                <w:right w:val="none" w:sz="0" w:space="0" w:color="auto"/>
                              </w:divBdr>
                              <w:divsChild>
                                <w:div w:id="1402219004">
                                  <w:marLeft w:val="0"/>
                                  <w:marRight w:val="0"/>
                                  <w:marTop w:val="0"/>
                                  <w:marBottom w:val="0"/>
                                  <w:divBdr>
                                    <w:top w:val="none" w:sz="0" w:space="0" w:color="auto"/>
                                    <w:left w:val="none" w:sz="0" w:space="0" w:color="auto"/>
                                    <w:bottom w:val="none" w:sz="0" w:space="0" w:color="auto"/>
                                    <w:right w:val="none" w:sz="0" w:space="0" w:color="auto"/>
                                  </w:divBdr>
                                  <w:divsChild>
                                    <w:div w:id="1366055474">
                                      <w:marLeft w:val="0"/>
                                      <w:marRight w:val="0"/>
                                      <w:marTop w:val="0"/>
                                      <w:marBottom w:val="0"/>
                                      <w:divBdr>
                                        <w:top w:val="none" w:sz="0" w:space="0" w:color="auto"/>
                                        <w:left w:val="none" w:sz="0" w:space="0" w:color="auto"/>
                                        <w:bottom w:val="none" w:sz="0" w:space="0" w:color="auto"/>
                                        <w:right w:val="none" w:sz="0" w:space="0" w:color="auto"/>
                                      </w:divBdr>
                                      <w:divsChild>
                                        <w:div w:id="5100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3528825">
      <w:bodyDiv w:val="1"/>
      <w:marLeft w:val="0"/>
      <w:marRight w:val="0"/>
      <w:marTop w:val="0"/>
      <w:marBottom w:val="0"/>
      <w:divBdr>
        <w:top w:val="none" w:sz="0" w:space="0" w:color="auto"/>
        <w:left w:val="none" w:sz="0" w:space="0" w:color="auto"/>
        <w:bottom w:val="none" w:sz="0" w:space="0" w:color="auto"/>
        <w:right w:val="none" w:sz="0" w:space="0" w:color="auto"/>
      </w:divBdr>
    </w:div>
    <w:div w:id="1425345214">
      <w:bodyDiv w:val="1"/>
      <w:marLeft w:val="0"/>
      <w:marRight w:val="0"/>
      <w:marTop w:val="0"/>
      <w:marBottom w:val="0"/>
      <w:divBdr>
        <w:top w:val="none" w:sz="0" w:space="0" w:color="auto"/>
        <w:left w:val="none" w:sz="0" w:space="0" w:color="auto"/>
        <w:bottom w:val="none" w:sz="0" w:space="0" w:color="auto"/>
        <w:right w:val="none" w:sz="0" w:space="0" w:color="auto"/>
      </w:divBdr>
      <w:divsChild>
        <w:div w:id="992836383">
          <w:marLeft w:val="0"/>
          <w:marRight w:val="0"/>
          <w:marTop w:val="0"/>
          <w:marBottom w:val="0"/>
          <w:divBdr>
            <w:top w:val="none" w:sz="0" w:space="0" w:color="auto"/>
            <w:left w:val="none" w:sz="0" w:space="0" w:color="auto"/>
            <w:bottom w:val="none" w:sz="0" w:space="0" w:color="auto"/>
            <w:right w:val="none" w:sz="0" w:space="0" w:color="auto"/>
          </w:divBdr>
          <w:divsChild>
            <w:div w:id="95096394">
              <w:marLeft w:val="0"/>
              <w:marRight w:val="0"/>
              <w:marTop w:val="0"/>
              <w:marBottom w:val="0"/>
              <w:divBdr>
                <w:top w:val="none" w:sz="0" w:space="0" w:color="auto"/>
                <w:left w:val="none" w:sz="0" w:space="0" w:color="auto"/>
                <w:bottom w:val="none" w:sz="0" w:space="0" w:color="auto"/>
                <w:right w:val="none" w:sz="0" w:space="0" w:color="auto"/>
              </w:divBdr>
            </w:div>
          </w:divsChild>
        </w:div>
        <w:div w:id="1257252298">
          <w:marLeft w:val="0"/>
          <w:marRight w:val="0"/>
          <w:marTop w:val="0"/>
          <w:marBottom w:val="0"/>
          <w:divBdr>
            <w:top w:val="none" w:sz="0" w:space="0" w:color="auto"/>
            <w:left w:val="none" w:sz="0" w:space="0" w:color="auto"/>
            <w:bottom w:val="single" w:sz="6" w:space="0" w:color="C0C0C0"/>
            <w:right w:val="none" w:sz="0" w:space="0" w:color="auto"/>
          </w:divBdr>
          <w:divsChild>
            <w:div w:id="1880162723">
              <w:marLeft w:val="0"/>
              <w:marRight w:val="0"/>
              <w:marTop w:val="0"/>
              <w:marBottom w:val="0"/>
              <w:divBdr>
                <w:top w:val="none" w:sz="0" w:space="0" w:color="auto"/>
                <w:left w:val="none" w:sz="0" w:space="0" w:color="auto"/>
                <w:bottom w:val="none" w:sz="0" w:space="0" w:color="auto"/>
                <w:right w:val="none" w:sz="0" w:space="0" w:color="auto"/>
              </w:divBdr>
              <w:divsChild>
                <w:div w:id="912275376">
                  <w:marLeft w:val="0"/>
                  <w:marRight w:val="0"/>
                  <w:marTop w:val="0"/>
                  <w:marBottom w:val="0"/>
                  <w:divBdr>
                    <w:top w:val="none" w:sz="0" w:space="0" w:color="auto"/>
                    <w:left w:val="none" w:sz="0" w:space="0" w:color="auto"/>
                    <w:bottom w:val="none" w:sz="0" w:space="0" w:color="auto"/>
                    <w:right w:val="none" w:sz="0" w:space="0" w:color="auto"/>
                  </w:divBdr>
                  <w:divsChild>
                    <w:div w:id="1592156041">
                      <w:marLeft w:val="0"/>
                      <w:marRight w:val="0"/>
                      <w:marTop w:val="0"/>
                      <w:marBottom w:val="0"/>
                      <w:divBdr>
                        <w:top w:val="none" w:sz="0" w:space="0" w:color="auto"/>
                        <w:left w:val="none" w:sz="0" w:space="0" w:color="auto"/>
                        <w:bottom w:val="none" w:sz="0" w:space="0" w:color="auto"/>
                        <w:right w:val="none" w:sz="0" w:space="0" w:color="auto"/>
                      </w:divBdr>
                      <w:divsChild>
                        <w:div w:id="198423717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115171">
      <w:bodyDiv w:val="1"/>
      <w:marLeft w:val="0"/>
      <w:marRight w:val="0"/>
      <w:marTop w:val="0"/>
      <w:marBottom w:val="0"/>
      <w:divBdr>
        <w:top w:val="none" w:sz="0" w:space="0" w:color="auto"/>
        <w:left w:val="none" w:sz="0" w:space="0" w:color="auto"/>
        <w:bottom w:val="none" w:sz="0" w:space="0" w:color="auto"/>
        <w:right w:val="none" w:sz="0" w:space="0" w:color="auto"/>
      </w:divBdr>
    </w:div>
    <w:div w:id="1478452935">
      <w:bodyDiv w:val="1"/>
      <w:marLeft w:val="0"/>
      <w:marRight w:val="0"/>
      <w:marTop w:val="0"/>
      <w:marBottom w:val="0"/>
      <w:divBdr>
        <w:top w:val="none" w:sz="0" w:space="0" w:color="auto"/>
        <w:left w:val="none" w:sz="0" w:space="0" w:color="auto"/>
        <w:bottom w:val="none" w:sz="0" w:space="0" w:color="auto"/>
        <w:right w:val="none" w:sz="0" w:space="0" w:color="auto"/>
      </w:divBdr>
    </w:div>
    <w:div w:id="1589925241">
      <w:bodyDiv w:val="1"/>
      <w:marLeft w:val="0"/>
      <w:marRight w:val="0"/>
      <w:marTop w:val="0"/>
      <w:marBottom w:val="0"/>
      <w:divBdr>
        <w:top w:val="none" w:sz="0" w:space="0" w:color="auto"/>
        <w:left w:val="none" w:sz="0" w:space="0" w:color="auto"/>
        <w:bottom w:val="none" w:sz="0" w:space="0" w:color="auto"/>
        <w:right w:val="none" w:sz="0" w:space="0" w:color="auto"/>
      </w:divBdr>
    </w:div>
    <w:div w:id="1719083151">
      <w:bodyDiv w:val="1"/>
      <w:marLeft w:val="0"/>
      <w:marRight w:val="0"/>
      <w:marTop w:val="0"/>
      <w:marBottom w:val="0"/>
      <w:divBdr>
        <w:top w:val="none" w:sz="0" w:space="0" w:color="auto"/>
        <w:left w:val="none" w:sz="0" w:space="0" w:color="auto"/>
        <w:bottom w:val="none" w:sz="0" w:space="0" w:color="auto"/>
        <w:right w:val="none" w:sz="0" w:space="0" w:color="auto"/>
      </w:divBdr>
    </w:div>
    <w:div w:id="1721006599">
      <w:bodyDiv w:val="1"/>
      <w:marLeft w:val="0"/>
      <w:marRight w:val="0"/>
      <w:marTop w:val="0"/>
      <w:marBottom w:val="0"/>
      <w:divBdr>
        <w:top w:val="none" w:sz="0" w:space="0" w:color="auto"/>
        <w:left w:val="none" w:sz="0" w:space="0" w:color="auto"/>
        <w:bottom w:val="none" w:sz="0" w:space="0" w:color="auto"/>
        <w:right w:val="none" w:sz="0" w:space="0" w:color="auto"/>
      </w:divBdr>
    </w:div>
    <w:div w:id="1740516247">
      <w:bodyDiv w:val="1"/>
      <w:marLeft w:val="0"/>
      <w:marRight w:val="0"/>
      <w:marTop w:val="0"/>
      <w:marBottom w:val="0"/>
      <w:divBdr>
        <w:top w:val="none" w:sz="0" w:space="0" w:color="auto"/>
        <w:left w:val="none" w:sz="0" w:space="0" w:color="auto"/>
        <w:bottom w:val="none" w:sz="0" w:space="0" w:color="auto"/>
        <w:right w:val="none" w:sz="0" w:space="0" w:color="auto"/>
      </w:divBdr>
    </w:div>
    <w:div w:id="1762406063">
      <w:bodyDiv w:val="1"/>
      <w:marLeft w:val="0"/>
      <w:marRight w:val="0"/>
      <w:marTop w:val="0"/>
      <w:marBottom w:val="0"/>
      <w:divBdr>
        <w:top w:val="none" w:sz="0" w:space="0" w:color="auto"/>
        <w:left w:val="none" w:sz="0" w:space="0" w:color="auto"/>
        <w:bottom w:val="none" w:sz="0" w:space="0" w:color="auto"/>
        <w:right w:val="none" w:sz="0" w:space="0" w:color="auto"/>
      </w:divBdr>
    </w:div>
    <w:div w:id="1795127598">
      <w:bodyDiv w:val="1"/>
      <w:marLeft w:val="0"/>
      <w:marRight w:val="0"/>
      <w:marTop w:val="0"/>
      <w:marBottom w:val="0"/>
      <w:divBdr>
        <w:top w:val="none" w:sz="0" w:space="0" w:color="auto"/>
        <w:left w:val="none" w:sz="0" w:space="0" w:color="auto"/>
        <w:bottom w:val="none" w:sz="0" w:space="0" w:color="auto"/>
        <w:right w:val="none" w:sz="0" w:space="0" w:color="auto"/>
      </w:divBdr>
    </w:div>
    <w:div w:id="1842116541">
      <w:bodyDiv w:val="1"/>
      <w:marLeft w:val="0"/>
      <w:marRight w:val="0"/>
      <w:marTop w:val="0"/>
      <w:marBottom w:val="0"/>
      <w:divBdr>
        <w:top w:val="none" w:sz="0" w:space="0" w:color="auto"/>
        <w:left w:val="none" w:sz="0" w:space="0" w:color="auto"/>
        <w:bottom w:val="none" w:sz="0" w:space="0" w:color="auto"/>
        <w:right w:val="none" w:sz="0" w:space="0" w:color="auto"/>
      </w:divBdr>
    </w:div>
    <w:div w:id="1910534423">
      <w:bodyDiv w:val="1"/>
      <w:marLeft w:val="0"/>
      <w:marRight w:val="0"/>
      <w:marTop w:val="0"/>
      <w:marBottom w:val="0"/>
      <w:divBdr>
        <w:top w:val="none" w:sz="0" w:space="0" w:color="auto"/>
        <w:left w:val="none" w:sz="0" w:space="0" w:color="auto"/>
        <w:bottom w:val="none" w:sz="0" w:space="0" w:color="auto"/>
        <w:right w:val="none" w:sz="0" w:space="0" w:color="auto"/>
      </w:divBdr>
    </w:div>
    <w:div w:id="2090928085">
      <w:bodyDiv w:val="1"/>
      <w:marLeft w:val="0"/>
      <w:marRight w:val="0"/>
      <w:marTop w:val="0"/>
      <w:marBottom w:val="0"/>
      <w:divBdr>
        <w:top w:val="none" w:sz="0" w:space="0" w:color="auto"/>
        <w:left w:val="none" w:sz="0" w:space="0" w:color="auto"/>
        <w:bottom w:val="none" w:sz="0" w:space="0" w:color="auto"/>
        <w:right w:val="none" w:sz="0" w:space="0" w:color="auto"/>
      </w:divBdr>
    </w:div>
    <w:div w:id="213132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61AFA5-6FAF-4770-8D81-EB489C049883}">
  <ds:schemaRefs>
    <ds:schemaRef ds:uri="http://schemas.openxmlformats.org/officeDocument/2006/bibliography"/>
  </ds:schemaRefs>
</ds:datastoreItem>
</file>

<file path=customXml/itemProps2.xml><?xml version="1.0" encoding="utf-8"?>
<ds:datastoreItem xmlns:ds="http://schemas.openxmlformats.org/officeDocument/2006/customXml" ds:itemID="{36B850E0-DE84-4100-8367-F456B8FD0E99}"/>
</file>

<file path=customXml/itemProps3.xml><?xml version="1.0" encoding="utf-8"?>
<ds:datastoreItem xmlns:ds="http://schemas.openxmlformats.org/officeDocument/2006/customXml" ds:itemID="{BD0B0212-F75E-4244-997F-9DBB058C0999}"/>
</file>

<file path=customXml/itemProps4.xml><?xml version="1.0" encoding="utf-8"?>
<ds:datastoreItem xmlns:ds="http://schemas.openxmlformats.org/officeDocument/2006/customXml" ds:itemID="{73B1E5EC-204F-452A-AC21-90D501363619}"/>
</file>

<file path=docProps/app.xml><?xml version="1.0" encoding="utf-8"?>
<Properties xmlns="http://schemas.openxmlformats.org/officeDocument/2006/extended-properties" xmlns:vt="http://schemas.openxmlformats.org/officeDocument/2006/docPropsVTypes">
  <Template>Normal</Template>
  <TotalTime>250</TotalTime>
  <Pages>10</Pages>
  <Words>2534</Words>
  <Characters>14448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Bank Indonesia</Company>
  <LinksUpToDate>false</LinksUpToDate>
  <CharactersWithSpaces>16949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bahrudin</dc:creator>
  <cp:lastModifiedBy>Asakita Dikarla Muhammad</cp:lastModifiedBy>
  <cp:revision>15</cp:revision>
  <cp:lastPrinted>2016-08-01T00:41:00Z</cp:lastPrinted>
  <dcterms:created xsi:type="dcterms:W3CDTF">2023-09-12T07:43:00Z</dcterms:created>
  <dcterms:modified xsi:type="dcterms:W3CDTF">2023-11-07T12:51:00Z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ba673798d8a2bc771e27dd77908ffe70f91f6c4c4d798124089d9f60de6280d2</vt:lpwstr>
  </property>
  <property fmtid="{D5CDD505-2E9C-101B-9397-08002B2CF9AE}" pid="3" name="ContentTypeId">
    <vt:lpwstr>0x0101000E568EA12C02744B90C2548B18D7B906</vt:lpwstr>
  </property>
</Properties>
</file>