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5A91" w14:textId="77777777" w:rsidR="00127752" w:rsidRPr="00656081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656081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E13CF0E" wp14:editId="28FB039C">
            <wp:simplePos x="0" y="0"/>
            <wp:positionH relativeFrom="column">
              <wp:posOffset>-130175</wp:posOffset>
            </wp:positionH>
            <wp:positionV relativeFrom="paragraph">
              <wp:posOffset>-622642</wp:posOffset>
            </wp:positionV>
            <wp:extent cx="2333625" cy="1009650"/>
            <wp:effectExtent l="0" t="0" r="0" b="0"/>
            <wp:wrapNone/>
            <wp:docPr id="7" name="Picture 1" descr="A logo with a red and white letter k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logo with a red and white letter k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D65C4" w14:textId="77777777" w:rsidR="00127752" w:rsidRPr="00656081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295B1B3" w14:textId="77777777" w:rsidR="00127752" w:rsidRPr="00656081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F455BA1" w14:textId="77777777" w:rsidR="002E333D" w:rsidRPr="00656081" w:rsidRDefault="002E333D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50C54F8" w14:textId="77777777" w:rsidR="002E333D" w:rsidRPr="00656081" w:rsidRDefault="002E333D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43CEDAEC" w14:textId="72D8DFBD" w:rsidR="00127752" w:rsidRPr="00656081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656081">
        <w:rPr>
          <w:rStyle w:val="FontStyle29"/>
          <w:color w:val="000000" w:themeColor="text1"/>
          <w:sz w:val="24"/>
          <w:szCs w:val="24"/>
          <w:lang w:val="id-ID" w:eastAsia="id-ID"/>
        </w:rPr>
        <w:t>LAMPIRAN IV</w:t>
      </w:r>
    </w:p>
    <w:p w14:paraId="71B177BA" w14:textId="77777777" w:rsidR="00127752" w:rsidRPr="00656081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656081">
        <w:rPr>
          <w:rStyle w:val="FontStyle29"/>
          <w:color w:val="000000" w:themeColor="text1"/>
          <w:sz w:val="24"/>
          <w:szCs w:val="24"/>
          <w:lang w:val="id-ID" w:eastAsia="id-ID"/>
        </w:rPr>
        <w:t>RANCANGAN</w:t>
      </w:r>
    </w:p>
    <w:p w14:paraId="404B17A0" w14:textId="77777777" w:rsidR="00127752" w:rsidRPr="00656081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656081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SURAT EDARAN OTORITAS JASA KEUANGAN </w:t>
      </w:r>
    </w:p>
    <w:p w14:paraId="1BD6351C" w14:textId="052E421C" w:rsidR="00127752" w:rsidRPr="00656081" w:rsidRDefault="00127752" w:rsidP="00127752">
      <w:pPr>
        <w:pStyle w:val="Style1"/>
        <w:widowControl/>
        <w:snapToGrid w:val="0"/>
        <w:spacing w:line="240" w:lineRule="auto"/>
        <w:rPr>
          <w:color w:val="000000" w:themeColor="text1"/>
          <w:lang w:val="id-ID"/>
        </w:rPr>
      </w:pPr>
      <w:r w:rsidRPr="00656081">
        <w:rPr>
          <w:rStyle w:val="FontStyle29"/>
          <w:color w:val="000000" w:themeColor="text1"/>
          <w:sz w:val="24"/>
          <w:szCs w:val="24"/>
          <w:lang w:val="id-ID" w:eastAsia="id-ID"/>
        </w:rPr>
        <w:t>NOMOR .../SEOJK.06/</w:t>
      </w:r>
      <w:r w:rsidRPr="00656081">
        <w:rPr>
          <w:rStyle w:val="FontStyle18"/>
          <w:color w:val="000000" w:themeColor="text1"/>
          <w:sz w:val="24"/>
          <w:szCs w:val="24"/>
          <w:lang w:val="id-ID" w:eastAsia="id-ID"/>
        </w:rPr>
        <w:t>2</w:t>
      </w:r>
      <w:r w:rsidR="00FB7D64" w:rsidRPr="00656081">
        <w:rPr>
          <w:rStyle w:val="FontStyle18"/>
          <w:color w:val="000000" w:themeColor="text1"/>
          <w:sz w:val="24"/>
          <w:szCs w:val="24"/>
          <w:lang w:val="id-ID" w:eastAsia="id-ID"/>
        </w:rPr>
        <w:t>025</w:t>
      </w:r>
    </w:p>
    <w:p w14:paraId="03C040CD" w14:textId="77777777" w:rsidR="00127752" w:rsidRPr="00656081" w:rsidRDefault="00127752" w:rsidP="00127752">
      <w:pPr>
        <w:pStyle w:val="Style1"/>
        <w:widowControl/>
        <w:snapToGrid w:val="0"/>
        <w:spacing w:line="240" w:lineRule="auto"/>
        <w:rPr>
          <w:rFonts w:cs="Bookman Old Style"/>
          <w:color w:val="000000" w:themeColor="text1"/>
          <w:lang w:val="id-ID" w:eastAsia="id-ID"/>
        </w:rPr>
      </w:pPr>
      <w:r w:rsidRPr="00656081">
        <w:rPr>
          <w:rStyle w:val="FontStyle29"/>
          <w:color w:val="000000" w:themeColor="text1"/>
          <w:sz w:val="24"/>
          <w:szCs w:val="24"/>
          <w:lang w:val="id-ID" w:eastAsia="id-ID"/>
        </w:rPr>
        <w:t>TENTANG</w:t>
      </w:r>
    </w:p>
    <w:p w14:paraId="0182B2D9" w14:textId="32E3C8D6" w:rsidR="00127752" w:rsidRPr="00656081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656081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PENILAIAN TINGKAT KESEHATAN </w:t>
      </w:r>
      <w:r w:rsidR="003230E2" w:rsidRPr="003230E2">
        <w:rPr>
          <w:rFonts w:cs="Bookman Old Style"/>
          <w:color w:val="000000" w:themeColor="text1"/>
          <w:lang w:val="id-ID" w:eastAsia="id-ID"/>
        </w:rPr>
        <w:t>PENYELENGGARA</w:t>
      </w:r>
      <w:r w:rsidR="003230E2">
        <w:rPr>
          <w:rFonts w:cs="Bookman Old Style"/>
          <w:color w:val="000000" w:themeColor="text1"/>
          <w:lang w:val="id-ID" w:eastAsia="id-ID"/>
        </w:rPr>
        <w:t xml:space="preserve"> </w:t>
      </w:r>
      <w:r w:rsidR="00757D17" w:rsidRPr="00656081">
        <w:rPr>
          <w:rFonts w:cs="Bookman Old Style"/>
          <w:color w:val="000000" w:themeColor="text1"/>
          <w:lang w:val="id-ID" w:eastAsia="id-ID"/>
        </w:rPr>
        <w:t>LAYANAN PENDANAAN BERSAMA BERBASIS TEKNOLOGI INFORMASI</w:t>
      </w:r>
    </w:p>
    <w:p w14:paraId="69953262" w14:textId="2252FFDA" w:rsidR="00E67AD3" w:rsidRPr="00656081" w:rsidRDefault="00E67AD3" w:rsidP="00E67AD3">
      <w:pPr>
        <w:pStyle w:val="Style3"/>
        <w:widowControl/>
        <w:ind w:left="-142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656081">
        <w:rPr>
          <w:rStyle w:val="FontStyle29"/>
          <w:color w:val="000000" w:themeColor="text1"/>
          <w:sz w:val="24"/>
          <w:szCs w:val="24"/>
          <w:lang w:val="id-ID" w:eastAsia="id-ID"/>
        </w:rPr>
        <w:br w:type="column"/>
      </w:r>
      <w:r w:rsidRPr="00656081">
        <w:rPr>
          <w:rStyle w:val="FontStyle29"/>
          <w:color w:val="000000" w:themeColor="text1"/>
          <w:sz w:val="24"/>
          <w:szCs w:val="24"/>
          <w:lang w:val="id-ID" w:eastAsia="id-ID"/>
        </w:rPr>
        <w:lastRenderedPageBreak/>
        <w:t xml:space="preserve">PENILAIAN FAKTOR </w:t>
      </w:r>
      <w:r w:rsidRPr="00656081">
        <w:rPr>
          <w:rFonts w:cs="Bookman Old Style"/>
          <w:color w:val="000000" w:themeColor="text1"/>
          <w:lang w:eastAsia="id-ID"/>
        </w:rPr>
        <w:t>LIKUIDITAS</w:t>
      </w:r>
    </w:p>
    <w:p w14:paraId="1BBAD443" w14:textId="7A7C26EE" w:rsidR="00E67AD3" w:rsidRPr="00656081" w:rsidRDefault="00E67AD3" w:rsidP="00E67AD3">
      <w:pPr>
        <w:pStyle w:val="Style3"/>
        <w:widowControl/>
        <w:ind w:left="-142"/>
        <w:rPr>
          <w:rStyle w:val="FontStyle29"/>
          <w:color w:val="000000" w:themeColor="text1"/>
          <w:sz w:val="24"/>
          <w:szCs w:val="24"/>
          <w:lang w:eastAsia="id-ID"/>
        </w:rPr>
      </w:pPr>
      <w:r w:rsidRPr="00656081">
        <w:rPr>
          <w:color w:val="000000" w:themeColor="text1"/>
        </w:rPr>
        <w:t>TINGKAT KESEHATAN</w:t>
      </w:r>
      <w:r w:rsidR="003230E2">
        <w:rPr>
          <w:color w:val="000000" w:themeColor="text1"/>
        </w:rPr>
        <w:t xml:space="preserve"> </w:t>
      </w:r>
      <w:r w:rsidR="003230E2" w:rsidRPr="003230E2">
        <w:rPr>
          <w:color w:val="000000" w:themeColor="text1"/>
          <w:lang w:val="id-ID"/>
        </w:rPr>
        <w:t>PENYELENGGARA</w:t>
      </w:r>
      <w:r w:rsidRPr="00656081">
        <w:rPr>
          <w:color w:val="000000" w:themeColor="text1"/>
        </w:rPr>
        <w:t xml:space="preserve"> </w:t>
      </w:r>
      <w:r w:rsidR="00757D17" w:rsidRPr="00656081">
        <w:rPr>
          <w:rFonts w:cs="Bookman Old Style"/>
          <w:color w:val="000000" w:themeColor="text1"/>
          <w:lang w:val="id-ID" w:eastAsia="id-ID"/>
        </w:rPr>
        <w:t>LAYANAN PENDANAAN BERSAMA BERBASIS TEKNOLOGI INFORMASI</w:t>
      </w:r>
    </w:p>
    <w:p w14:paraId="696DCF13" w14:textId="77777777" w:rsidR="00E67AD3" w:rsidRPr="00656081" w:rsidRDefault="00E67AD3" w:rsidP="00E67AD3">
      <w:pPr>
        <w:pStyle w:val="Style3"/>
        <w:widowControl/>
        <w:ind w:left="-142"/>
        <w:jc w:val="both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643"/>
        <w:gridCol w:w="293"/>
        <w:gridCol w:w="6569"/>
        <w:gridCol w:w="661"/>
      </w:tblGrid>
      <w:tr w:rsidR="00656081" w:rsidRPr="00656081" w14:paraId="6E1021EE" w14:textId="77777777" w:rsidTr="00BC0F80">
        <w:tc>
          <w:tcPr>
            <w:tcW w:w="1643" w:type="dxa"/>
          </w:tcPr>
          <w:p w14:paraId="34AE09B5" w14:textId="1C055C2B" w:rsidR="00E67AD3" w:rsidRPr="00656081" w:rsidRDefault="00E67AD3" w:rsidP="00BC0F80">
            <w:pPr>
              <w:pStyle w:val="Style4"/>
              <w:snapToGrid w:val="0"/>
              <w:spacing w:line="240" w:lineRule="auto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Tabel I</w:t>
            </w:r>
            <w:r w:rsidR="00892072"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V</w:t>
            </w: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.A</w:t>
            </w:r>
          </w:p>
        </w:tc>
        <w:tc>
          <w:tcPr>
            <w:tcW w:w="293" w:type="dxa"/>
          </w:tcPr>
          <w:p w14:paraId="13B73D9F" w14:textId="77777777" w:rsidR="00E67AD3" w:rsidRPr="00656081" w:rsidRDefault="00E67AD3" w:rsidP="00BC0F80">
            <w:pPr>
              <w:adjustRightInd w:val="0"/>
              <w:snapToGrid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77C3C092" w14:textId="7B4B67BA" w:rsidR="00E67AD3" w:rsidRPr="00656081" w:rsidRDefault="00E67AD3" w:rsidP="009736CB">
            <w:pPr>
              <w:pStyle w:val="Style1"/>
              <w:snapToGrid w:val="0"/>
              <w:spacing w:line="240" w:lineRule="auto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Parameter atau </w:t>
            </w: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Indikator Penilaian Faktor </w:t>
            </w:r>
            <w:r w:rsidR="002166F4" w:rsidRPr="00656081">
              <w:rPr>
                <w:color w:val="000000" w:themeColor="text1"/>
                <w:lang w:val="en-ID"/>
              </w:rPr>
              <w:t>Likuiditas</w:t>
            </w:r>
          </w:p>
        </w:tc>
        <w:tc>
          <w:tcPr>
            <w:tcW w:w="661" w:type="dxa"/>
          </w:tcPr>
          <w:p w14:paraId="2BBF89A4" w14:textId="77777777" w:rsidR="00E67AD3" w:rsidRPr="00656081" w:rsidRDefault="00E67AD3" w:rsidP="00BC0F80">
            <w:pPr>
              <w:pStyle w:val="Style1"/>
              <w:snapToGrid w:val="0"/>
              <w:spacing w:line="240" w:lineRule="auto"/>
              <w:jc w:val="right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…</w:t>
            </w:r>
          </w:p>
        </w:tc>
      </w:tr>
      <w:tr w:rsidR="00656081" w:rsidRPr="00656081" w14:paraId="2F93FCCE" w14:textId="77777777" w:rsidTr="00BC0F80">
        <w:tc>
          <w:tcPr>
            <w:tcW w:w="1643" w:type="dxa"/>
          </w:tcPr>
          <w:p w14:paraId="51DEA2BF" w14:textId="4D24154A" w:rsidR="008C1955" w:rsidRPr="00656081" w:rsidRDefault="008C1955" w:rsidP="008C1955">
            <w:pPr>
              <w:pStyle w:val="Style4"/>
              <w:snapToGrid w:val="0"/>
              <w:spacing w:line="240" w:lineRule="auto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Tabel IV.B</w:t>
            </w:r>
          </w:p>
        </w:tc>
        <w:tc>
          <w:tcPr>
            <w:tcW w:w="293" w:type="dxa"/>
          </w:tcPr>
          <w:p w14:paraId="6516655B" w14:textId="7C519145" w:rsidR="008C1955" w:rsidRPr="00656081" w:rsidRDefault="008C1955" w:rsidP="008C1955">
            <w:pPr>
              <w:adjustRightInd w:val="0"/>
              <w:snapToGrid w:val="0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273B4A72" w14:textId="6C2AD5EB" w:rsidR="008C1955" w:rsidRPr="00656081" w:rsidRDefault="00757D17" w:rsidP="008C1955">
            <w:pPr>
              <w:pStyle w:val="Style1"/>
              <w:snapToGrid w:val="0"/>
              <w:spacing w:line="240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Pedoman Penetapan Peringkat Faktor </w:t>
            </w:r>
            <w:r w:rsidRPr="00656081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Likuiditas</w:t>
            </w:r>
          </w:p>
        </w:tc>
        <w:tc>
          <w:tcPr>
            <w:tcW w:w="661" w:type="dxa"/>
          </w:tcPr>
          <w:p w14:paraId="28A3D0F5" w14:textId="77777777" w:rsidR="008C1955" w:rsidRPr="00656081" w:rsidRDefault="008C1955" w:rsidP="008C1955">
            <w:pPr>
              <w:pStyle w:val="Style1"/>
              <w:snapToGrid w:val="0"/>
              <w:spacing w:line="240" w:lineRule="auto"/>
              <w:jc w:val="right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</w:p>
        </w:tc>
      </w:tr>
      <w:tr w:rsidR="00E67AD3" w:rsidRPr="00656081" w14:paraId="5418C0F1" w14:textId="77777777" w:rsidTr="00BC0F80">
        <w:tc>
          <w:tcPr>
            <w:tcW w:w="1643" w:type="dxa"/>
          </w:tcPr>
          <w:p w14:paraId="7BF2A0FE" w14:textId="03C2C9D7" w:rsidR="00E67AD3" w:rsidRPr="00656081" w:rsidRDefault="00E67AD3" w:rsidP="00BC0F80">
            <w:pPr>
              <w:pStyle w:val="Style4"/>
              <w:snapToGrid w:val="0"/>
              <w:spacing w:line="240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Tabel I</w:t>
            </w:r>
            <w:r w:rsidR="00892072"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V</w:t>
            </w: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.</w:t>
            </w:r>
            <w:r w:rsidR="008C1955" w:rsidRPr="00656081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C</w:t>
            </w:r>
          </w:p>
        </w:tc>
        <w:tc>
          <w:tcPr>
            <w:tcW w:w="293" w:type="dxa"/>
          </w:tcPr>
          <w:p w14:paraId="26172217" w14:textId="77777777" w:rsidR="00E67AD3" w:rsidRPr="00656081" w:rsidRDefault="00E67AD3" w:rsidP="00BC0F80">
            <w:pPr>
              <w:adjustRightInd w:val="0"/>
              <w:snapToGrid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6083A2E5" w14:textId="5802C114" w:rsidR="00E67AD3" w:rsidRPr="00656081" w:rsidRDefault="00757D17" w:rsidP="004D3FDB">
            <w:pPr>
              <w:pStyle w:val="Style1"/>
              <w:snapToGrid w:val="0"/>
              <w:spacing w:line="240" w:lineRule="auto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Kertas Kerja Penilaian Faktor </w:t>
            </w:r>
            <w:r w:rsidRPr="00656081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Likuiditas</w:t>
            </w: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61" w:type="dxa"/>
          </w:tcPr>
          <w:p w14:paraId="350D2387" w14:textId="77777777" w:rsidR="00E67AD3" w:rsidRPr="00656081" w:rsidRDefault="00E67AD3" w:rsidP="00BC0F80">
            <w:pPr>
              <w:pStyle w:val="Style1"/>
              <w:snapToGrid w:val="0"/>
              <w:spacing w:line="240" w:lineRule="auto"/>
              <w:jc w:val="right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…</w:t>
            </w:r>
          </w:p>
        </w:tc>
      </w:tr>
    </w:tbl>
    <w:p w14:paraId="722B4A95" w14:textId="77777777" w:rsidR="00FD6C6B" w:rsidRPr="00656081" w:rsidRDefault="00FD6C6B" w:rsidP="00FD6C6B">
      <w:pPr>
        <w:spacing w:line="276" w:lineRule="auto"/>
        <w:rPr>
          <w:rStyle w:val="FontStyle29"/>
          <w:rFonts w:eastAsiaTheme="minorEastAsia"/>
          <w:color w:val="000000" w:themeColor="text1"/>
          <w:sz w:val="24"/>
          <w:szCs w:val="24"/>
          <w:lang w:val="id-ID" w:eastAsia="id-ID"/>
        </w:rPr>
      </w:pPr>
    </w:p>
    <w:p w14:paraId="028DC915" w14:textId="77777777" w:rsidR="00A53E0B" w:rsidRPr="00656081" w:rsidRDefault="00A53E0B" w:rsidP="00A53E0B">
      <w:pPr>
        <w:rPr>
          <w:rStyle w:val="FontStyle29"/>
          <w:rFonts w:eastAsiaTheme="minorEastAsia"/>
          <w:color w:val="000000" w:themeColor="text1"/>
          <w:sz w:val="24"/>
          <w:szCs w:val="24"/>
          <w:lang w:val="id-ID" w:eastAsia="id-ID"/>
        </w:rPr>
      </w:pPr>
    </w:p>
    <w:p w14:paraId="6E9E478A" w14:textId="77777777" w:rsidR="00A53E0B" w:rsidRPr="00656081" w:rsidRDefault="00A53E0B" w:rsidP="00A53E0B">
      <w:pPr>
        <w:rPr>
          <w:rStyle w:val="FontStyle29"/>
          <w:rFonts w:eastAsiaTheme="minorEastAsia"/>
          <w:color w:val="000000" w:themeColor="text1"/>
          <w:sz w:val="24"/>
          <w:szCs w:val="24"/>
          <w:lang w:val="id-ID" w:eastAsia="id-ID"/>
        </w:rPr>
      </w:pPr>
    </w:p>
    <w:p w14:paraId="534CB85E" w14:textId="77777777" w:rsidR="004D3FDB" w:rsidRPr="00656081" w:rsidRDefault="004D3FDB" w:rsidP="00A53E0B">
      <w:pPr>
        <w:rPr>
          <w:rFonts w:ascii="Bookman Old Style" w:eastAsiaTheme="minorEastAsia" w:hAnsi="Bookman Old Style" w:cs="Bookman Old Style"/>
          <w:color w:val="000000" w:themeColor="text1"/>
          <w:sz w:val="24"/>
          <w:szCs w:val="24"/>
          <w:lang w:val="id-ID" w:eastAsia="id-ID"/>
        </w:rPr>
      </w:pPr>
      <w:r w:rsidRPr="00656081">
        <w:rPr>
          <w:rFonts w:ascii="Bookman Old Style" w:eastAsiaTheme="minorEastAsia" w:hAnsi="Bookman Old Style" w:cs="Bookman Old Style"/>
          <w:color w:val="000000" w:themeColor="text1"/>
          <w:sz w:val="24"/>
          <w:szCs w:val="24"/>
          <w:lang w:val="id-ID" w:eastAsia="id-ID"/>
        </w:rPr>
        <w:br w:type="column"/>
      </w:r>
    </w:p>
    <w:tbl>
      <w:tblPr>
        <w:tblStyle w:val="TableGrid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656081" w:rsidRPr="00656081" w14:paraId="49950389" w14:textId="77777777" w:rsidTr="00BC0F80">
        <w:trPr>
          <w:jc w:val="right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9DC4B" w14:textId="77777777" w:rsidR="004D3FDB" w:rsidRPr="00656081" w:rsidRDefault="004D3FDB" w:rsidP="00BC0F80">
            <w:pPr>
              <w:pStyle w:val="Style1"/>
              <w:spacing w:before="60" w:after="60" w:line="276" w:lineRule="auto"/>
              <w:ind w:right="100"/>
              <w:rPr>
                <w:color w:val="000000" w:themeColor="text1"/>
              </w:rPr>
            </w:pPr>
            <w:r w:rsidRPr="00656081">
              <w:rPr>
                <w:rFonts w:cs="Bookman Old Style"/>
                <w:color w:val="000000" w:themeColor="text1"/>
                <w:lang w:eastAsia="id-ID"/>
              </w:rPr>
              <w:t>Petunjuk Pengisian:</w:t>
            </w:r>
          </w:p>
        </w:tc>
      </w:tr>
      <w:tr w:rsidR="004D3FDB" w:rsidRPr="00656081" w14:paraId="576B5C52" w14:textId="77777777" w:rsidTr="00BC0F80">
        <w:trPr>
          <w:jc w:val="right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73E3" w14:textId="77777777" w:rsidR="004D3FDB" w:rsidRPr="00656081" w:rsidRDefault="004D3FDB" w:rsidP="00BC0F80">
            <w:pPr>
              <w:pStyle w:val="Style1"/>
              <w:numPr>
                <w:ilvl w:val="0"/>
                <w:numId w:val="10"/>
              </w:numPr>
              <w:spacing w:before="60" w:after="60" w:line="276" w:lineRule="auto"/>
              <w:ind w:left="567" w:hanging="567"/>
              <w:rPr>
                <w:rFonts w:cs="Bookman Old Style"/>
                <w:color w:val="000000" w:themeColor="text1"/>
                <w:lang w:eastAsia="id-ID"/>
              </w:rPr>
            </w:pPr>
            <w:r w:rsidRPr="00656081">
              <w:rPr>
                <w:rFonts w:cs="Bookman Old Style"/>
                <w:color w:val="000000" w:themeColor="text1"/>
                <w:lang w:eastAsia="id-ID"/>
              </w:rPr>
              <w:t xml:space="preserve">Parameter atau indikator penilaian faktor </w:t>
            </w:r>
            <w:r w:rsidRPr="00656081">
              <w:rPr>
                <w:rFonts w:cs="Bookman Old Style"/>
                <w:color w:val="000000" w:themeColor="text1"/>
                <w:lang w:val="en-US" w:eastAsia="id-ID"/>
              </w:rPr>
              <w:t>likuiditas</w:t>
            </w:r>
            <w:r w:rsidRPr="00656081">
              <w:rPr>
                <w:rFonts w:cs="Bookman Old Style"/>
                <w:color w:val="000000" w:themeColor="text1"/>
                <w:lang w:eastAsia="id-ID"/>
              </w:rPr>
              <w:t xml:space="preserve"> dalam Lampiran I</w:t>
            </w:r>
            <w:r w:rsidRPr="00656081">
              <w:rPr>
                <w:rFonts w:cs="Bookman Old Style"/>
                <w:color w:val="000000" w:themeColor="text1"/>
                <w:lang w:val="en-US" w:eastAsia="id-ID"/>
              </w:rPr>
              <w:t>V</w:t>
            </w:r>
            <w:r w:rsidRPr="00656081">
              <w:rPr>
                <w:rFonts w:cs="Bookman Old Style"/>
                <w:color w:val="000000" w:themeColor="text1"/>
                <w:lang w:eastAsia="id-ID"/>
              </w:rPr>
              <w:t xml:space="preserve">, merupakan standar minimum yang harus digunakan dalam melakukan penilaian faktor </w:t>
            </w:r>
            <w:r w:rsidRPr="00656081">
              <w:rPr>
                <w:rFonts w:cs="Bookman Old Style"/>
                <w:color w:val="000000" w:themeColor="text1"/>
                <w:lang w:val="en-US" w:eastAsia="id-ID"/>
              </w:rPr>
              <w:t>likuiditas</w:t>
            </w:r>
            <w:r w:rsidRPr="00656081">
              <w:rPr>
                <w:rFonts w:cs="Bookman Old Style"/>
                <w:color w:val="000000" w:themeColor="text1"/>
                <w:lang w:eastAsia="id-ID"/>
              </w:rPr>
              <w:t>.</w:t>
            </w:r>
          </w:p>
          <w:p w14:paraId="702BB27D" w14:textId="77777777" w:rsidR="004D3FDB" w:rsidRPr="00656081" w:rsidRDefault="004D3FDB" w:rsidP="00BC0F80">
            <w:pPr>
              <w:pStyle w:val="Style1"/>
              <w:numPr>
                <w:ilvl w:val="0"/>
                <w:numId w:val="10"/>
              </w:numPr>
              <w:spacing w:before="60" w:after="60" w:line="276" w:lineRule="auto"/>
              <w:ind w:left="567" w:hanging="567"/>
              <w:rPr>
                <w:rFonts w:cs="Bookman Old Style"/>
                <w:color w:val="000000" w:themeColor="text1"/>
                <w:lang w:eastAsia="id-ID"/>
              </w:rPr>
            </w:pPr>
            <w:r w:rsidRPr="00656081">
              <w:rPr>
                <w:rFonts w:cs="Bookman Old Style"/>
                <w:color w:val="000000" w:themeColor="text1"/>
                <w:lang w:eastAsia="id-ID"/>
              </w:rPr>
              <w:t xml:space="preserve">Penilaian dilakukan per posisi dan periode selama 12 (dua belas) bulan terakhir untuk parameter atau indikator yang bersifat kuantitatif.   </w:t>
            </w:r>
          </w:p>
        </w:tc>
      </w:tr>
    </w:tbl>
    <w:p w14:paraId="3B537642" w14:textId="632053E9" w:rsidR="00EB5A8C" w:rsidRPr="00656081" w:rsidRDefault="00EB5A8C" w:rsidP="00A53E0B">
      <w:pPr>
        <w:rPr>
          <w:rFonts w:ascii="Bookman Old Style" w:eastAsiaTheme="minorEastAsia" w:hAnsi="Bookman Old Style" w:cs="Bookman Old Style"/>
          <w:color w:val="000000" w:themeColor="text1"/>
          <w:sz w:val="24"/>
          <w:szCs w:val="24"/>
          <w:lang w:eastAsia="id-ID"/>
        </w:rPr>
      </w:pPr>
    </w:p>
    <w:p w14:paraId="6A3FED0E" w14:textId="77777777" w:rsidR="00EB5A8C" w:rsidRPr="00656081" w:rsidRDefault="00EB5A8C" w:rsidP="00EB5A8C">
      <w:pPr>
        <w:pStyle w:val="Style3"/>
        <w:widowControl/>
        <w:snapToGrid w:val="0"/>
        <w:jc w:val="left"/>
        <w:rPr>
          <w:rStyle w:val="FontStyle33"/>
          <w:color w:val="000000" w:themeColor="text1"/>
          <w:sz w:val="24"/>
          <w:szCs w:val="24"/>
          <w:lang w:val="id-ID" w:eastAsia="id-ID"/>
        </w:rPr>
      </w:pPr>
      <w:r w:rsidRPr="00656081">
        <w:rPr>
          <w:rFonts w:cs="Bookman Old Style"/>
          <w:color w:val="000000" w:themeColor="text1"/>
          <w:lang w:eastAsia="id-ID"/>
        </w:rPr>
        <w:br w:type="column"/>
      </w:r>
      <w:r w:rsidRPr="00656081">
        <w:rPr>
          <w:rStyle w:val="FontStyle33"/>
          <w:color w:val="000000" w:themeColor="text1"/>
          <w:sz w:val="24"/>
          <w:szCs w:val="24"/>
          <w:lang w:val="id-ID" w:eastAsia="id-ID"/>
        </w:rPr>
        <w:lastRenderedPageBreak/>
        <w:t xml:space="preserve">Tabel IV.A: Parameter atau Indikator Penilaian Faktor </w:t>
      </w:r>
      <w:r w:rsidRPr="00656081">
        <w:rPr>
          <w:rFonts w:cs="Bookman Old Style"/>
          <w:color w:val="000000" w:themeColor="text1"/>
          <w:lang w:val="pt-BR" w:eastAsia="id-ID"/>
        </w:rPr>
        <w:t>Likuiditas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11"/>
      </w:tblGrid>
      <w:tr w:rsidR="00656081" w:rsidRPr="00656081" w14:paraId="05DC4949" w14:textId="77777777" w:rsidTr="0666B626">
        <w:tc>
          <w:tcPr>
            <w:tcW w:w="3539" w:type="dxa"/>
            <w:shd w:val="clear" w:color="auto" w:fill="D9D9D9" w:themeFill="background1" w:themeFillShade="D9"/>
          </w:tcPr>
          <w:p w14:paraId="31762301" w14:textId="796E9CDA" w:rsidR="00EB5A8C" w:rsidRPr="00656081" w:rsidRDefault="00EB5A8C" w:rsidP="008E73ED">
            <w:pPr>
              <w:pStyle w:val="Style3"/>
              <w:widowControl/>
              <w:snapToGrid w:val="0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Parameter atau Indikator </w:t>
            </w:r>
            <w:r w:rsidR="007464AB" w:rsidRPr="00656081">
              <w:rPr>
                <w:rStyle w:val="FontStyle33"/>
                <w:color w:val="000000" w:themeColor="text1"/>
                <w:sz w:val="24"/>
                <w:szCs w:val="24"/>
                <w:lang w:val="pt-BR" w:eastAsia="id-ID"/>
              </w:rPr>
              <w:t>L</w:t>
            </w:r>
            <w:r w:rsidR="007464AB" w:rsidRPr="00656081">
              <w:rPr>
                <w:rStyle w:val="FontStyle33"/>
                <w:color w:val="000000" w:themeColor="text1"/>
                <w:sz w:val="24"/>
                <w:szCs w:val="24"/>
                <w:lang w:val="pt-BR"/>
              </w:rPr>
              <w:t>ikuiditas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1C29ACF1" w14:textId="77777777" w:rsidR="00EB5A8C" w:rsidRPr="00656081" w:rsidRDefault="00EB5A8C" w:rsidP="008E73ED">
            <w:pPr>
              <w:pStyle w:val="Style3"/>
              <w:widowControl/>
              <w:snapToGrid w:val="0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Keterangan</w:t>
            </w:r>
          </w:p>
        </w:tc>
      </w:tr>
      <w:tr w:rsidR="00656081" w:rsidRPr="00656081" w14:paraId="262383D7" w14:textId="77777777" w:rsidTr="0666B626">
        <w:tc>
          <w:tcPr>
            <w:tcW w:w="9350" w:type="dxa"/>
            <w:gridSpan w:val="2"/>
          </w:tcPr>
          <w:p w14:paraId="6EF41DAE" w14:textId="4CE5CD51" w:rsidR="00EB5A8C" w:rsidRPr="00656081" w:rsidRDefault="0090306C" w:rsidP="00F2508F">
            <w:pPr>
              <w:pStyle w:val="Style5"/>
              <w:snapToGrid w:val="0"/>
              <w:jc w:val="both"/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Fonts w:cs="Bookman Old Style"/>
                <w:color w:val="000000" w:themeColor="text1"/>
                <w:lang w:val="en-US" w:eastAsia="id-ID"/>
              </w:rPr>
              <w:t xml:space="preserve">Kemampuan </w:t>
            </w:r>
            <w:r w:rsidR="00AA4F87" w:rsidRPr="00656081">
              <w:rPr>
                <w:rFonts w:cs="Bookman Old Style"/>
                <w:color w:val="000000" w:themeColor="text1"/>
                <w:lang w:val="en-US" w:eastAsia="id-ID"/>
              </w:rPr>
              <w:t>Memenuhi Kewajiban Jangka Pendek, Jangka Panjang, dan Potensi Terjadinya Ketidaksesuaian antara Kewajiban Jangka Pendek dan Jangka Panjang</w:t>
            </w:r>
          </w:p>
        </w:tc>
      </w:tr>
      <w:tr w:rsidR="00656081" w:rsidRPr="00656081" w14:paraId="414CD253" w14:textId="77777777" w:rsidTr="0666B626">
        <w:tc>
          <w:tcPr>
            <w:tcW w:w="3539" w:type="dxa"/>
          </w:tcPr>
          <w:p w14:paraId="50D8B931" w14:textId="3E044820" w:rsidR="00EB5A8C" w:rsidRPr="00656081" w:rsidRDefault="00F93B6A" w:rsidP="009E7D70">
            <w:pPr>
              <w:pStyle w:val="Style3"/>
              <w:widowControl/>
              <w:numPr>
                <w:ilvl w:val="0"/>
                <w:numId w:val="29"/>
              </w:numPr>
              <w:snapToGrid w:val="0"/>
              <w:jc w:val="left"/>
              <w:rPr>
                <w:rStyle w:val="FontStyle33"/>
                <w:iCs/>
                <w:color w:val="000000" w:themeColor="text1"/>
                <w:sz w:val="24"/>
                <w:szCs w:val="24"/>
                <w:lang w:val="en-GB" w:eastAsia="id-ID"/>
              </w:rPr>
            </w:pPr>
            <w:r w:rsidRPr="00656081"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  <w:t>R</w:t>
            </w:r>
            <w:r w:rsidRPr="00656081">
              <w:rPr>
                <w:rStyle w:val="FontStyle33"/>
                <w:iCs/>
                <w:color w:val="000000" w:themeColor="text1"/>
                <w:sz w:val="24"/>
                <w:szCs w:val="24"/>
              </w:rPr>
              <w:t>asio likuiditas</w:t>
            </w:r>
            <w:r w:rsidR="00EB5A8C" w:rsidRPr="00656081"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  <w:t xml:space="preserve">  </w:t>
            </w:r>
            <w:r w:rsidR="00F865DB" w:rsidRPr="00656081">
              <w:rPr>
                <w:rStyle w:val="FontStyle33"/>
                <w:iCs/>
                <w:color w:val="000000" w:themeColor="text1"/>
                <w:sz w:val="24"/>
                <w:szCs w:val="24"/>
                <w:lang w:val="en-GB" w:eastAsia="id-ID"/>
              </w:rPr>
              <w:t>jangka pendek</w:t>
            </w:r>
          </w:p>
        </w:tc>
        <w:tc>
          <w:tcPr>
            <w:tcW w:w="5811" w:type="dxa"/>
          </w:tcPr>
          <w:p w14:paraId="3ACC434E" w14:textId="053C8539" w:rsidR="00754D47" w:rsidRPr="00656081" w:rsidRDefault="00754D47" w:rsidP="00754D47">
            <w:pPr>
              <w:pStyle w:val="Style3"/>
              <w:widowControl/>
              <w:numPr>
                <w:ilvl w:val="0"/>
                <w:numId w:val="36"/>
              </w:numPr>
              <w:snapToGrid w:val="0"/>
              <w:spacing w:after="240"/>
              <w:ind w:left="302"/>
              <w:jc w:val="left"/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  <w:t xml:space="preserve">Rasio likuiditas dihitung </w:t>
            </w:r>
            <w:r w:rsidR="00360E4E" w:rsidRPr="00656081"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  <w:t>dengan formula sebagai berikut</w:t>
            </w:r>
            <w:r w:rsidRPr="00656081"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  <w:t>:</w:t>
            </w:r>
          </w:p>
          <w:p w14:paraId="47C695AC" w14:textId="28B20C48" w:rsidR="00754D47" w:rsidRPr="00656081" w:rsidRDefault="00000000" w:rsidP="00360E4E">
            <w:pPr>
              <w:pStyle w:val="Style3"/>
              <w:widowControl/>
              <w:snapToGrid w:val="0"/>
              <w:spacing w:after="240"/>
              <w:jc w:val="left"/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Style w:val="FontStyle33"/>
                        <w:rFonts w:ascii="Cambria Math" w:hAnsi="Cambria Math"/>
                        <w:iCs/>
                        <w:color w:val="000000" w:themeColor="text1"/>
                        <w:sz w:val="24"/>
                        <w:szCs w:val="24"/>
                        <w:lang w:eastAsia="id-ID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sz w:val="24"/>
                        <w:szCs w:val="24"/>
                        <w:lang w:eastAsia="id-ID"/>
                      </w:rPr>
                      <m:t>jumlah aset lancar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sz w:val="24"/>
                        <w:szCs w:val="24"/>
                        <w:lang w:eastAsia="id-ID"/>
                      </w:rPr>
                      <m:t>jumlah liabilitas lancar</m:t>
                    </m:r>
                  </m:den>
                </m:f>
              </m:oMath>
            </m:oMathPara>
          </w:p>
          <w:p w14:paraId="1EF53A28" w14:textId="02817099" w:rsidR="00EB5A8C" w:rsidRPr="00656081" w:rsidRDefault="00754D47" w:rsidP="0666B626">
            <w:pPr>
              <w:pStyle w:val="Style3"/>
              <w:widowControl/>
              <w:numPr>
                <w:ilvl w:val="0"/>
                <w:numId w:val="36"/>
              </w:numPr>
              <w:snapToGrid w:val="0"/>
              <w:ind w:left="301"/>
              <w:jc w:val="both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666B626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Paling rendah </w:t>
            </w:r>
            <w:r w:rsidR="00360E4E" w:rsidRPr="0666B626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12</w:t>
            </w:r>
            <w:r w:rsidRPr="0666B626">
              <w:rPr>
                <w:color w:val="000000" w:themeColor="text1"/>
              </w:rPr>
              <w:t>0% (</w:t>
            </w:r>
            <w:r w:rsidR="00360E4E" w:rsidRPr="0666B626">
              <w:rPr>
                <w:color w:val="000000" w:themeColor="text1"/>
              </w:rPr>
              <w:t>seratus dua</w:t>
            </w:r>
            <w:r w:rsidRPr="0666B626">
              <w:rPr>
                <w:color w:val="000000" w:themeColor="text1"/>
              </w:rPr>
              <w:t xml:space="preserve"> puluh persen).</w:t>
            </w:r>
          </w:p>
          <w:p w14:paraId="761FE97A" w14:textId="50064D8E" w:rsidR="00EB5A8C" w:rsidRPr="00656081" w:rsidRDefault="00EB5A8C" w:rsidP="0666B626">
            <w:pPr>
              <w:pStyle w:val="Style3"/>
              <w:widowControl/>
              <w:snapToGrid w:val="0"/>
              <w:jc w:val="both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</w:p>
        </w:tc>
      </w:tr>
      <w:tr w:rsidR="00656081" w:rsidRPr="00656081" w14:paraId="1E156306" w14:textId="77777777" w:rsidTr="0666B626">
        <w:tc>
          <w:tcPr>
            <w:tcW w:w="3539" w:type="dxa"/>
          </w:tcPr>
          <w:p w14:paraId="167AD59E" w14:textId="6C9B94E5" w:rsidR="00EB5A8C" w:rsidRPr="00656081" w:rsidRDefault="001727B4" w:rsidP="009E7D70">
            <w:pPr>
              <w:pStyle w:val="Style3"/>
              <w:widowControl/>
              <w:numPr>
                <w:ilvl w:val="0"/>
                <w:numId w:val="29"/>
              </w:numPr>
              <w:snapToGrid w:val="0"/>
              <w:jc w:val="left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  <w:t>R</w:t>
            </w:r>
            <w:r w:rsidRPr="00656081">
              <w:rPr>
                <w:rStyle w:val="FontStyle33"/>
                <w:iCs/>
                <w:color w:val="000000" w:themeColor="text1"/>
                <w:sz w:val="24"/>
                <w:szCs w:val="24"/>
              </w:rPr>
              <w:t>asio likuiditas</w:t>
            </w:r>
            <w:r w:rsidRPr="00656081"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  <w:t xml:space="preserve">  </w:t>
            </w:r>
            <w:r w:rsidRPr="00656081">
              <w:rPr>
                <w:rStyle w:val="FontStyle33"/>
                <w:iCs/>
                <w:color w:val="000000" w:themeColor="text1"/>
                <w:sz w:val="24"/>
                <w:szCs w:val="24"/>
                <w:lang w:val="en-GB" w:eastAsia="id-ID"/>
              </w:rPr>
              <w:t>jangka panjang</w:t>
            </w:r>
          </w:p>
        </w:tc>
        <w:tc>
          <w:tcPr>
            <w:tcW w:w="5811" w:type="dxa"/>
          </w:tcPr>
          <w:p w14:paraId="7F54CBB4" w14:textId="0FF89C7B" w:rsidR="001727B4" w:rsidRPr="00656081" w:rsidRDefault="00000000" w:rsidP="00360E4E">
            <w:pPr>
              <w:pStyle w:val="Style3"/>
              <w:widowControl/>
              <w:snapToGrid w:val="0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Style w:val="FontStyle33"/>
                        <w:rFonts w:ascii="Cambria Math" w:hAnsi="Cambria Math"/>
                        <w:iCs/>
                        <w:color w:val="000000" w:themeColor="text1"/>
                        <w:sz w:val="24"/>
                        <w:szCs w:val="24"/>
                        <w:lang w:eastAsia="id-ID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sz w:val="24"/>
                        <w:szCs w:val="24"/>
                        <w:lang w:eastAsia="id-ID"/>
                      </w:rPr>
                      <m:t>jumlah aset tidak</m:t>
                    </m:r>
                    <m: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sz w:val="24"/>
                        <w:szCs w:val="24"/>
                        <w:lang w:eastAsia="id-ID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sz w:val="24"/>
                        <w:szCs w:val="24"/>
                        <w:lang w:eastAsia="id-ID"/>
                      </w:rPr>
                      <m:t>lancar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sz w:val="24"/>
                        <w:szCs w:val="24"/>
                        <w:lang w:eastAsia="id-ID"/>
                      </w:rPr>
                      <m:t>jumlah liabilitas tidak lancar</m:t>
                    </m:r>
                  </m:den>
                </m:f>
              </m:oMath>
            </m:oMathPara>
          </w:p>
          <w:p w14:paraId="0161C028" w14:textId="77777777" w:rsidR="00EB5A8C" w:rsidRPr="00656081" w:rsidRDefault="00EB5A8C" w:rsidP="008E73ED">
            <w:pPr>
              <w:pStyle w:val="Style3"/>
              <w:widowControl/>
              <w:snapToGrid w:val="0"/>
              <w:jc w:val="both"/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</w:pPr>
          </w:p>
        </w:tc>
      </w:tr>
      <w:tr w:rsidR="00656081" w:rsidRPr="00656081" w14:paraId="57CCFFA3" w14:textId="77777777" w:rsidTr="0666B626">
        <w:tc>
          <w:tcPr>
            <w:tcW w:w="9350" w:type="dxa"/>
            <w:gridSpan w:val="2"/>
          </w:tcPr>
          <w:p w14:paraId="3386DCAF" w14:textId="19CADF76" w:rsidR="00EB5A8C" w:rsidRPr="00656081" w:rsidRDefault="006A67C0" w:rsidP="00F2508F">
            <w:pPr>
              <w:pStyle w:val="Style5"/>
              <w:snapToGrid w:val="0"/>
              <w:jc w:val="both"/>
              <w:rPr>
                <w:rStyle w:val="FontStyle33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Fonts w:eastAsia="Bookman Old Style"/>
                <w:color w:val="000000" w:themeColor="text1"/>
              </w:rPr>
              <w:t xml:space="preserve">Kecukupan </w:t>
            </w:r>
            <w:r w:rsidR="00AA4F87" w:rsidRPr="00656081">
              <w:rPr>
                <w:rFonts w:eastAsia="Bookman Old Style"/>
                <w:color w:val="000000" w:themeColor="text1"/>
              </w:rPr>
              <w:t>Kebijakan Pengelolaan Likuiditas</w:t>
            </w:r>
          </w:p>
        </w:tc>
      </w:tr>
      <w:tr w:rsidR="00EB5A8C" w:rsidRPr="00656081" w14:paraId="3AFBF948" w14:textId="77777777" w:rsidTr="0666B626">
        <w:tc>
          <w:tcPr>
            <w:tcW w:w="3539" w:type="dxa"/>
          </w:tcPr>
          <w:p w14:paraId="6E77F6CA" w14:textId="339D4BDB" w:rsidR="00EB5A8C" w:rsidRPr="00656081" w:rsidRDefault="00EB5A8C" w:rsidP="008E73ED">
            <w:pPr>
              <w:pStyle w:val="Style3"/>
              <w:widowControl/>
              <w:snapToGrid w:val="0"/>
              <w:jc w:val="left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Manajemen pengelolaan likuiditas Pe</w:t>
            </w:r>
            <w:r w:rsidR="00360E4E" w:rsidRPr="00656081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nyelenggara</w:t>
            </w:r>
          </w:p>
        </w:tc>
        <w:tc>
          <w:tcPr>
            <w:tcW w:w="5811" w:type="dxa"/>
          </w:tcPr>
          <w:p w14:paraId="6598267F" w14:textId="47DA8D7E" w:rsidR="00B4695A" w:rsidRPr="00656081" w:rsidRDefault="00B4695A" w:rsidP="00B4695A">
            <w:pPr>
              <w:pStyle w:val="Style3"/>
              <w:widowControl/>
              <w:numPr>
                <w:ilvl w:val="0"/>
                <w:numId w:val="37"/>
              </w:numPr>
              <w:snapToGrid w:val="0"/>
              <w:ind w:left="301"/>
              <w:jc w:val="both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Hal ini meliputi pemahaman direksi dan dewan komisaris, kebijakan dan prosedur pengelolaan likuiditas, perencanaan, serta penilaian kecukupan likuiditas;</w:t>
            </w:r>
          </w:p>
          <w:p w14:paraId="4DC6FCAE" w14:textId="087DC503" w:rsidR="00360E4E" w:rsidRPr="00656081" w:rsidRDefault="00360E4E" w:rsidP="00360E4E">
            <w:pPr>
              <w:pStyle w:val="Style3"/>
              <w:widowControl/>
              <w:numPr>
                <w:ilvl w:val="0"/>
                <w:numId w:val="37"/>
              </w:numPr>
              <w:snapToGrid w:val="0"/>
              <w:ind w:left="301"/>
              <w:jc w:val="both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Dilakukan melalui analisis tren pemenuhan rasio likuiditas dari waktu ke waktu minimal selama 12 (dua belas) bulan terakhir dengan memperhatikan pengaruh kondisi tertentu terhadap pemenuhan rasio likuiditas pada waktu tertentu; dan</w:t>
            </w:r>
          </w:p>
          <w:p w14:paraId="0B4396C7" w14:textId="4C4B8787" w:rsidR="00360E4E" w:rsidRPr="00656081" w:rsidRDefault="00360E4E" w:rsidP="00360E4E">
            <w:pPr>
              <w:pStyle w:val="Style3"/>
              <w:widowControl/>
              <w:numPr>
                <w:ilvl w:val="0"/>
                <w:numId w:val="37"/>
              </w:numPr>
              <w:snapToGrid w:val="0"/>
              <w:ind w:left="301"/>
              <w:jc w:val="both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Kemampuan Penyelenggara dalam mengakses sumber pendanaan pada kondisi normal maupun tertentu dalam rangka mempertahankan akses sumber pendanaan dan reputasi Penyelenggara.</w:t>
            </w:r>
          </w:p>
        </w:tc>
      </w:tr>
    </w:tbl>
    <w:p w14:paraId="6F970057" w14:textId="77777777" w:rsidR="00EB5A8C" w:rsidRPr="00656081" w:rsidRDefault="00EB5A8C" w:rsidP="00EB5A8C">
      <w:pPr>
        <w:pStyle w:val="Style4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EF50ADC" w14:textId="77777777" w:rsidR="00EB5A8C" w:rsidRPr="00656081" w:rsidRDefault="00EB5A8C" w:rsidP="00EB5A8C">
      <w:pPr>
        <w:pStyle w:val="Style4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7D144E25" w14:textId="5D4FE259" w:rsidR="00757D17" w:rsidRPr="00656081" w:rsidRDefault="00757D17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656081">
        <w:rPr>
          <w:rFonts w:ascii="Bookman Old Style" w:hAnsi="Bookman Old Style"/>
          <w:color w:val="000000" w:themeColor="text1"/>
          <w:sz w:val="24"/>
          <w:szCs w:val="24"/>
        </w:rPr>
        <w:br w:type="page"/>
      </w:r>
    </w:p>
    <w:p w14:paraId="40DE777E" w14:textId="4E57A413" w:rsidR="00757D17" w:rsidRPr="00656081" w:rsidRDefault="00757D17" w:rsidP="00757D17">
      <w:pPr>
        <w:pStyle w:val="Style1"/>
        <w:widowControl/>
        <w:spacing w:before="60" w:after="60" w:line="276" w:lineRule="auto"/>
        <w:ind w:left="1843" w:hanging="1843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666B626">
        <w:rPr>
          <w:color w:val="000000" w:themeColor="text1"/>
        </w:rPr>
        <w:lastRenderedPageBreak/>
        <w:t xml:space="preserve">Tabel IV.B: Pedoman Penetapan Peringkat Faktor </w:t>
      </w:r>
      <w:r w:rsidRPr="0666B626">
        <w:rPr>
          <w:rStyle w:val="FontStyle29"/>
          <w:color w:val="000000" w:themeColor="text1"/>
          <w:sz w:val="24"/>
          <w:szCs w:val="24"/>
          <w:lang w:val="id-ID" w:eastAsia="id-ID"/>
        </w:rPr>
        <w:t>Likuiditas</w:t>
      </w:r>
    </w:p>
    <w:p w14:paraId="67402721" w14:textId="78FFA6A3" w:rsidR="0666B626" w:rsidRDefault="0666B626" w:rsidP="00885620">
      <w:pPr>
        <w:pStyle w:val="Style1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tbl>
      <w:tblPr>
        <w:tblW w:w="94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2"/>
        <w:gridCol w:w="7380"/>
      </w:tblGrid>
      <w:tr w:rsidR="00656081" w:rsidRPr="00656081" w14:paraId="3676C30F" w14:textId="77777777" w:rsidTr="00885620">
        <w:trPr>
          <w:tblHeader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0C81030" w14:textId="77777777" w:rsidR="00757D17" w:rsidRPr="00656081" w:rsidRDefault="00757D17" w:rsidP="00C85305">
            <w:pPr>
              <w:pStyle w:val="Style15"/>
              <w:widowControl/>
              <w:spacing w:before="60" w:after="60" w:line="240" w:lineRule="auto"/>
              <w:jc w:val="center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656081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Peringkat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621B702" w14:textId="77777777" w:rsidR="00757D17" w:rsidRPr="00656081" w:rsidRDefault="00757D17" w:rsidP="00C85305">
            <w:pPr>
              <w:pStyle w:val="Style15"/>
              <w:widowControl/>
              <w:spacing w:before="60" w:after="60" w:line="240" w:lineRule="auto"/>
              <w:ind w:left="2760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656081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Definisi Peringkat</w:t>
            </w:r>
          </w:p>
        </w:tc>
      </w:tr>
      <w:tr w:rsidR="00656081" w:rsidRPr="00656081" w14:paraId="55419746" w14:textId="77777777" w:rsidTr="00885620"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EF8B" w14:textId="77777777" w:rsidR="00757D17" w:rsidRPr="00656081" w:rsidRDefault="00757D17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color w:val="000000" w:themeColor="text1"/>
                <w:sz w:val="24"/>
                <w:szCs w:val="24"/>
                <w:lang w:val="id-ID"/>
              </w:rPr>
            </w:pPr>
            <w:r w:rsidRPr="00656081">
              <w:rPr>
                <w:color w:val="000000" w:themeColor="text1"/>
              </w:rPr>
              <w:t>Peringkat 1 (Sangat Rendah)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59DA" w14:textId="22026983" w:rsidR="00757D17" w:rsidRDefault="00757D17" w:rsidP="00C85305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Dengan mempertimbangkan aktivitas bisnis yang dilakukan Penyelenggara, kemungkinan kerugian yang dihadapi Penyelenggara dari </w:t>
            </w:r>
            <w:r w:rsidR="00B4695A"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risiko likuiditas 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tergolong sangat rendah selama periode waktu tertentu pada masa datang. Contoh karakteristik yang termasuk dalam peringkat 1 antara lain sebagai berikut:</w:t>
            </w:r>
          </w:p>
          <w:p w14:paraId="67EF44B2" w14:textId="0B90E16D" w:rsidR="00757D17" w:rsidRPr="00656081" w:rsidRDefault="00757D17" w:rsidP="00757D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42" w:hanging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memiliki</w:t>
            </w:r>
            <w:r w:rsidR="00885620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rasio likuiditas kurang dari sama dengan 140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%</w:t>
            </w:r>
            <w:r w:rsidR="00885620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(serratus empat puluh persen)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4D7AB611" w14:textId="422A32E5" w:rsidR="00757D17" w:rsidRPr="00656081" w:rsidRDefault="00757D17" w:rsidP="00757D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42" w:hanging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 memiliki aset likuid berkualitas tinggi yang sangat memadai untuk menutup liabilitas jatuh waktu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77A79B04" w14:textId="77777777" w:rsidR="00757D17" w:rsidRPr="00656081" w:rsidRDefault="00757D17" w:rsidP="00757D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42" w:hanging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Sumber pendanaan yang berupa pendanaan tidak stabil (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volatile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 tidak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73F2D76B" w14:textId="77777777" w:rsidR="00757D17" w:rsidRPr="00656081" w:rsidRDefault="00757D17" w:rsidP="00757D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42" w:hanging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Volume komitmen pendanaan intragrup tidak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463F2486" w14:textId="77777777" w:rsidR="00757D17" w:rsidRPr="00656081" w:rsidRDefault="00757D17" w:rsidP="00757D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42" w:hanging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Konsentrasi pada sumber pendanaan yang tidak stabil (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volatile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 tidak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7F68FDDF" w14:textId="47BE9DB7" w:rsidR="00757D17" w:rsidRPr="00656081" w:rsidRDefault="00757D17" w:rsidP="00757D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42" w:hanging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 sangat mampu memenuhi kewajiban dan kebutuhan arus kas pada kondisi normal maupun pada skenario krisis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79E04201" w14:textId="688A4443" w:rsidR="00757D17" w:rsidRPr="00656081" w:rsidRDefault="00757D17" w:rsidP="00757D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42" w:hanging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 kas yang berasal dari aset dan liabilitas dapat saling tutup dengan sangat baik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 dan</w:t>
            </w:r>
          </w:p>
          <w:p w14:paraId="6055C3B3" w14:textId="48FCBCAF" w:rsidR="00757D17" w:rsidRPr="00656081" w:rsidRDefault="00757D17" w:rsidP="00757D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42" w:hanging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Akses pada sumber pendanaan sangat memadai dibuktikan oleh reputasi Penyelenggara yang sangat baik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656081" w:rsidRPr="00656081" w14:paraId="7BCBFABE" w14:textId="77777777" w:rsidTr="00885620"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2BD3" w14:textId="77777777" w:rsidR="00757D17" w:rsidRPr="00656081" w:rsidRDefault="00757D17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color w:val="000000" w:themeColor="text1"/>
                <w:sz w:val="24"/>
                <w:szCs w:val="24"/>
                <w:lang w:val="id-ID"/>
              </w:rPr>
            </w:pPr>
            <w:r w:rsidRPr="00656081">
              <w:rPr>
                <w:color w:val="000000" w:themeColor="text1"/>
              </w:rPr>
              <w:t>Peringkat 2 (Rendah)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1DDC" w14:textId="4995D172" w:rsidR="00757D17" w:rsidRDefault="00757D17" w:rsidP="00C85305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Dengan mempertimbangkan aktivitas bisnis yang dilakukan Penyelenggara, kemungkinan kerugian yang dihadapi Penyelenggara dari </w:t>
            </w:r>
            <w:r w:rsidR="00B4695A"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risiko likuiditas 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tergolong rendah selama periode waktu tertentu pada masa datang. Contoh karakteristik Penyelenggara yang termasuk dalam peringkat</w:t>
            </w:r>
            <w:r w:rsidR="00863F7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 antara lain sebagai berikut:</w:t>
            </w:r>
          </w:p>
          <w:p w14:paraId="66A47027" w14:textId="42BD7D99" w:rsidR="00885620" w:rsidRPr="00656081" w:rsidRDefault="00885620" w:rsidP="0088562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memiliki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rasio likuiditas lebih besar sama dengan 130% (seratus tiga puluh persen) namun kurang dari 140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%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(serratus empat puluh persen)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1DA96374" w14:textId="5AF94630" w:rsidR="00757D17" w:rsidRPr="00656081" w:rsidRDefault="00757D17" w:rsidP="00757D1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 memiliki aset likuid berkualitas tinggi yang memadai untuk menutup liabilitas jatuh waktu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06592D97" w14:textId="77777777" w:rsidR="00757D17" w:rsidRPr="00656081" w:rsidRDefault="00757D17" w:rsidP="00757D1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Sumber pendanaan yang berupa pendanaan tidak stabil (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volatile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 kurang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2636A22B" w14:textId="77777777" w:rsidR="00757D17" w:rsidRPr="00656081" w:rsidRDefault="00757D17" w:rsidP="00757D1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Volume transaksi rekening administratif dan/atau komitmen pendanaan intragrup kurang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18F81AD3" w14:textId="77777777" w:rsidR="00757D17" w:rsidRPr="00656081" w:rsidRDefault="00757D17" w:rsidP="00757D1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Konsentrasi pada sumber pendanaan yang tidak stabil (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volatile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 kurang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0129C3E8" w14:textId="7191421E" w:rsidR="00757D17" w:rsidRPr="00656081" w:rsidRDefault="00757D17" w:rsidP="00757D1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Penyelenggara mampu memenuhi kewajiban dan kebutuhan arus kas pada kondisi normal maupun pada skenario krisis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2C27A4C6" w14:textId="77777777" w:rsidR="00757D17" w:rsidRPr="00656081" w:rsidRDefault="00757D17" w:rsidP="00757D1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 kas yang berasal dari aset dan liabilitas dapat saling tutup dengan baik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 dan</w:t>
            </w:r>
          </w:p>
          <w:p w14:paraId="2685F31A" w14:textId="22337BF8" w:rsidR="00757D17" w:rsidRPr="00656081" w:rsidRDefault="00757D17" w:rsidP="00757D1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42"/>
              <w:jc w:val="both"/>
              <w:rPr>
                <w:rStyle w:val="FontStyle29"/>
                <w:rFonts w:cstheme="minorBidi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Akses pada sumber pendanaan memadai dibuktikan oleh reputasi Penyelenggara yang baik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656081" w:rsidRPr="00656081" w14:paraId="75A285F6" w14:textId="77777777" w:rsidTr="00885620"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441B" w14:textId="77777777" w:rsidR="00757D17" w:rsidRPr="00656081" w:rsidRDefault="00757D17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color w:val="000000" w:themeColor="text1"/>
                <w:sz w:val="24"/>
                <w:szCs w:val="24"/>
                <w:lang w:val="id-ID" w:eastAsia="it-IT"/>
              </w:rPr>
            </w:pPr>
            <w:r w:rsidRPr="00656081">
              <w:rPr>
                <w:color w:val="000000" w:themeColor="text1"/>
              </w:rPr>
              <w:lastRenderedPageBreak/>
              <w:t>Peringkat 3 (Sedang)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AE07" w14:textId="13B1783C" w:rsidR="00757D17" w:rsidRDefault="00757D17" w:rsidP="00C85305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Dengan mempertimbangkan aktivitas bisnis yang dilakukan Penyelenggara, kemungkinan kerugian yang dihadapi Penyelenggara dari </w:t>
            </w:r>
            <w:r w:rsidR="00B4695A"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risiko likuiditas 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tergolong cukup tinggi selama periode waktu tertentu pada masa datang. Contoh karakteristik Penyelenggara yang termasuk dalam peringkat</w:t>
            </w:r>
            <w:r w:rsidR="00863F7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 antara lain sebagai berikut:</w:t>
            </w:r>
          </w:p>
          <w:p w14:paraId="593E30EF" w14:textId="0470A3AB" w:rsidR="00885620" w:rsidRPr="00656081" w:rsidRDefault="00885620" w:rsidP="008856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memiliki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rasio likuiditas lebih besar sama dengan 120% (seratus dua puluh persen) namun kurang dari sama dengan 130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%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(serratus tiga puluh persen)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445523CD" w14:textId="64633BAC" w:rsidR="00757D17" w:rsidRPr="00656081" w:rsidRDefault="00757D17" w:rsidP="00FB7D6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Aset likuid Penyelenggara cukup memadai untuk menutup liabilitas jatuh waktu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114B40A0" w14:textId="77777777" w:rsidR="00757D17" w:rsidRPr="00656081" w:rsidRDefault="00757D17" w:rsidP="00FB7D6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Sumber pendanaan yang berupa pendanaan tidak stabil (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volatile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 cukup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0EFAE2BD" w14:textId="77777777" w:rsidR="00757D17" w:rsidRPr="00656081" w:rsidRDefault="00757D17" w:rsidP="00FB7D6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Volume transaksi rekening administratif dan/atau komitmen pendanaan intragrup cukup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49D9315E" w14:textId="77777777" w:rsidR="00757D17" w:rsidRPr="00656081" w:rsidRDefault="00757D17" w:rsidP="00FB7D6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Konsentrasi pada sumber pendanaan yang tidak stabil (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volatile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 cukup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2C47D2A5" w14:textId="0D6001B8" w:rsidR="00757D17" w:rsidRPr="00656081" w:rsidRDefault="00757D17" w:rsidP="00FB7D6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 cukup mampu memenuhi kewajiban dan kebutuhan arus kas pada kondisi normal maupun pada skenario krisis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0C5BCFC0" w14:textId="77777777" w:rsidR="00757D17" w:rsidRPr="00656081" w:rsidRDefault="00757D17" w:rsidP="00FB7D6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42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 kas yang berasal dari aset dan liabilitas dapat saling tutup dengan cukup baik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 dan</w:t>
            </w:r>
          </w:p>
          <w:p w14:paraId="18E71F25" w14:textId="56CD79BE" w:rsidR="00757D17" w:rsidRPr="00656081" w:rsidRDefault="00757D17" w:rsidP="00FB7D6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42"/>
              <w:jc w:val="both"/>
              <w:rPr>
                <w:rStyle w:val="FontStyle29"/>
                <w:rFonts w:cstheme="minorBidi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Akses pada sumber pendanaan cukup memadai dibuktikan oleh reputasi Penyelenggara yang cukup baik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656081" w:rsidRPr="00656081" w14:paraId="590C952B" w14:textId="77777777" w:rsidTr="00885620"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1F0E" w14:textId="77777777" w:rsidR="00757D17" w:rsidRPr="00656081" w:rsidRDefault="00757D17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color w:val="000000" w:themeColor="text1"/>
                <w:sz w:val="24"/>
                <w:szCs w:val="24"/>
                <w:lang w:val="id-ID" w:eastAsia="it-IT"/>
              </w:rPr>
            </w:pPr>
            <w:r w:rsidRPr="00656081">
              <w:rPr>
                <w:color w:val="000000" w:themeColor="text1"/>
              </w:rPr>
              <w:t>Peringkat 4 (Tinggi)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637A" w14:textId="38465C74" w:rsidR="00757D17" w:rsidRDefault="00757D17" w:rsidP="00C85305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Dengan mempertimbangkan aktivitas bisnis yang dilakukan Penyelenggara, kemungkinan kerugian yang dihadapi Penyelenggara dari </w:t>
            </w:r>
            <w:r w:rsidR="00B4695A"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risiko likuiditas 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tergolong tinggi selama periode waktu tertentu pada masa datang. Contoh karakteristik Penyelenggara yang termasuk dalam peringkat</w:t>
            </w:r>
            <w:r w:rsidR="00863F7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 antara lain sebagai berikut:</w:t>
            </w:r>
          </w:p>
          <w:p w14:paraId="63294E46" w14:textId="4047C2FB" w:rsidR="00885620" w:rsidRPr="00656081" w:rsidRDefault="00885620" w:rsidP="008856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memiliki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rasio likuiditas lebih besar sama dengan 100% (seratus persen) namun kurang dari 120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%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(seratus dua puluh persen)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62A34836" w14:textId="6FD5D5DE" w:rsidR="00757D17" w:rsidRPr="00656081" w:rsidRDefault="00757D17" w:rsidP="008856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 xml:space="preserve">Terdapat 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concerns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atas kualitas aset likuid Penyelenggara dan kemampuan aset likuid untuk menutup liabilitas jatuh waktu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2D163A6D" w14:textId="77777777" w:rsidR="00757D17" w:rsidRPr="00656081" w:rsidRDefault="00757D17" w:rsidP="008856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Sumber pendanaan yang berupa pendanaan tidak stabil (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volatile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48CC3646" w14:textId="77777777" w:rsidR="00757D17" w:rsidRPr="00656081" w:rsidRDefault="00757D17" w:rsidP="008856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Transaksi rekening administratif dan/atau komitmen pendanaan intragrup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5D4AEAA1" w14:textId="77777777" w:rsidR="00757D17" w:rsidRPr="00656081" w:rsidRDefault="00757D17" w:rsidP="008856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Konsentrasi pada sumber pendanaan yang tidak stabil (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volatile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1E17FC1B" w14:textId="00E4BD98" w:rsidR="00757D17" w:rsidRPr="00656081" w:rsidRDefault="00757D17" w:rsidP="008856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 kurang mampu memenuhi kewajiban dan kebutuhan arus kas pada kondisi normal maupun pada skenario krisis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192F5494" w14:textId="56744057" w:rsidR="00757D17" w:rsidRPr="00656081" w:rsidRDefault="00757D17" w:rsidP="008856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Kesenjangan (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mismatch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 arus kas pada berbagai skala waktu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 dan</w:t>
            </w:r>
          </w:p>
          <w:p w14:paraId="091DD8A3" w14:textId="38424064" w:rsidR="00757D17" w:rsidRPr="00656081" w:rsidRDefault="00757D17" w:rsidP="008856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Style w:val="FontStyle29"/>
                <w:rFonts w:cstheme="minorBidi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Akses pada sumber pendanaan kurang memadai karena reputasi Penyelenggara yang kurang baik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656081" w:rsidRPr="00656081" w14:paraId="1249CC8B" w14:textId="77777777" w:rsidTr="00885620"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760D" w14:textId="77777777" w:rsidR="00757D17" w:rsidRPr="00656081" w:rsidRDefault="00757D17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color w:val="000000" w:themeColor="text1"/>
                <w:sz w:val="24"/>
                <w:szCs w:val="24"/>
                <w:lang w:val="id-ID"/>
              </w:rPr>
            </w:pPr>
            <w:r w:rsidRPr="00656081">
              <w:rPr>
                <w:color w:val="000000" w:themeColor="text1"/>
              </w:rPr>
              <w:lastRenderedPageBreak/>
              <w:t>Peringkat 5 (Sangat Tinggi)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ABFD" w14:textId="2D2E09F5" w:rsidR="00757D17" w:rsidRDefault="00757D17" w:rsidP="00C85305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Dengan mempertimbangkan aktivitas bisnis yang dilakukan Penyelenggara, kemungkinan kerugian yang dihadapi Penyelenggara dari </w:t>
            </w:r>
            <w:r w:rsidR="00B4695A"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risiko likuiditas 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tergolong sangat tinggi selama periode waktu tertentu pada masa datang. Contoh karakteristik Penyelenggara yang termasuk dalam peringkat</w:t>
            </w:r>
            <w:r w:rsidR="00863F7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 antara lain sebagai berikut:</w:t>
            </w:r>
          </w:p>
          <w:p w14:paraId="42ACB01E" w14:textId="587C8908" w:rsidR="00885620" w:rsidRPr="00656081" w:rsidRDefault="00885620" w:rsidP="008856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memiliki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rasio likuiditas kurang dari 100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%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 xml:space="preserve"> (seratus persen)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7596C586" w14:textId="3B409A09" w:rsidR="00757D17" w:rsidRPr="00656081" w:rsidRDefault="00757D17" w:rsidP="008856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Kualitas aset likuid buruk, dan volume aset likuid sangat tidak memadai untuk memenuhi liabilitas jatuh waktu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3424A3DC" w14:textId="77777777" w:rsidR="00757D17" w:rsidRPr="00656081" w:rsidRDefault="00757D17" w:rsidP="008856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Sumber pendanaan yang berupa pendanaan tidak stabil (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volatile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 sangat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7CAF0443" w14:textId="77777777" w:rsidR="00757D17" w:rsidRPr="00656081" w:rsidRDefault="00757D17" w:rsidP="008856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Transaksi rekening administratif dan/atau komitmen pendanaan intragrup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61437A45" w14:textId="77777777" w:rsidR="00757D17" w:rsidRPr="00656081" w:rsidRDefault="00757D17" w:rsidP="008856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Konsentrasi pada sumber pendanaan yang tidak stabil (</w:t>
            </w:r>
            <w:r w:rsidRPr="00656081">
              <w:rPr>
                <w:rFonts w:ascii="Bookman Old Style" w:hAnsi="Bookman Old Style"/>
                <w:i/>
                <w:iCs/>
                <w:color w:val="000000" w:themeColor="text1"/>
                <w:sz w:val="24"/>
                <w:szCs w:val="24"/>
              </w:rPr>
              <w:t>volatile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 sangat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74B693B0" w14:textId="449B223A" w:rsidR="00757D17" w:rsidRPr="00656081" w:rsidRDefault="00757D17" w:rsidP="008856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 tidak mampu memenuhi kewajiban dan kebutuhan arus kas pada kondisi normal maupun pada skenario krisis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1B4CB2FD" w14:textId="4FA486D3" w:rsidR="00757D17" w:rsidRPr="00656081" w:rsidRDefault="00757D17" w:rsidP="008856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 kas tidak dapat saling tutup pada hampir seluruh waktu signifikan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; dan</w:t>
            </w:r>
          </w:p>
          <w:p w14:paraId="5C06F74B" w14:textId="0F82986B" w:rsidR="00757D17" w:rsidRPr="00656081" w:rsidRDefault="00757D17" w:rsidP="008856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rPr>
                <w:rStyle w:val="FontStyle29"/>
                <w:rFonts w:cstheme="minorBidi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Akses pada sumber pendanaan kurang memadai karena reputasi </w:t>
            </w:r>
            <w:r w:rsidR="00FB7D64"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memburuk.</w:t>
            </w:r>
          </w:p>
        </w:tc>
      </w:tr>
    </w:tbl>
    <w:p w14:paraId="15A6AD24" w14:textId="77777777" w:rsidR="00757D17" w:rsidRPr="00656081" w:rsidRDefault="00757D17" w:rsidP="00EB5A8C">
      <w:pPr>
        <w:rPr>
          <w:rFonts w:ascii="Bookman Old Style" w:hAnsi="Bookman Old Style"/>
          <w:color w:val="000000" w:themeColor="text1"/>
          <w:sz w:val="24"/>
          <w:szCs w:val="24"/>
        </w:rPr>
        <w:sectPr w:rsidR="00757D17" w:rsidRPr="00656081" w:rsidSect="00B87201">
          <w:headerReference w:type="even" r:id="rId9"/>
          <w:pgSz w:w="12240" w:h="15840"/>
          <w:pgMar w:top="1440" w:right="1440" w:bottom="1440" w:left="1440" w:header="720" w:footer="720" w:gutter="0"/>
          <w:pgNumType w:fmt="numberInDash" w:start="0"/>
          <w:cols w:space="720"/>
          <w:titlePg/>
          <w:docGrid w:linePitch="360"/>
        </w:sectPr>
      </w:pPr>
    </w:p>
    <w:p w14:paraId="5ECF4AB2" w14:textId="2787E36B" w:rsidR="00E369D9" w:rsidRPr="00656081" w:rsidRDefault="00E369D9" w:rsidP="00E369D9">
      <w:pPr>
        <w:pStyle w:val="Style3"/>
        <w:widowControl/>
        <w:snapToGrid w:val="0"/>
        <w:jc w:val="left"/>
        <w:rPr>
          <w:rStyle w:val="FontStyle29"/>
          <w:color w:val="000000" w:themeColor="text1"/>
          <w:sz w:val="24"/>
          <w:szCs w:val="24"/>
          <w:lang w:eastAsia="id-ID"/>
        </w:rPr>
      </w:pPr>
      <w:r w:rsidRPr="00656081">
        <w:rPr>
          <w:color w:val="000000" w:themeColor="text1"/>
          <w:lang w:val="id-ID"/>
        </w:rPr>
        <w:lastRenderedPageBreak/>
        <w:t xml:space="preserve">Tabel </w:t>
      </w:r>
      <w:r w:rsidRPr="00656081">
        <w:rPr>
          <w:color w:val="000000" w:themeColor="text1"/>
          <w:lang w:val="en-GB"/>
        </w:rPr>
        <w:t>II</w:t>
      </w:r>
      <w:r w:rsidRPr="00656081">
        <w:rPr>
          <w:color w:val="000000" w:themeColor="text1"/>
          <w:lang w:val="id-ID"/>
        </w:rPr>
        <w:t>I.</w:t>
      </w:r>
      <w:r w:rsidRPr="00656081">
        <w:rPr>
          <w:color w:val="000000" w:themeColor="text1"/>
          <w:lang w:val="en-GB"/>
        </w:rPr>
        <w:t>B</w:t>
      </w:r>
      <w:r w:rsidRPr="00656081">
        <w:rPr>
          <w:color w:val="000000" w:themeColor="text1"/>
          <w:lang w:val="id-ID"/>
        </w:rPr>
        <w:t xml:space="preserve">: </w:t>
      </w:r>
      <w:r w:rsidRPr="00656081">
        <w:rPr>
          <w:rStyle w:val="FontStyle29"/>
          <w:color w:val="000000" w:themeColor="text1"/>
          <w:sz w:val="24"/>
          <w:szCs w:val="24"/>
          <w:lang w:eastAsia="id-ID"/>
        </w:rPr>
        <w:t>Kertas Kerja Penilaian Faktor Likuiditas</w:t>
      </w:r>
    </w:p>
    <w:tbl>
      <w:tblPr>
        <w:tblStyle w:val="TableGrid"/>
        <w:tblW w:w="12780" w:type="dxa"/>
        <w:tblInd w:w="85" w:type="dxa"/>
        <w:tblLook w:val="04A0" w:firstRow="1" w:lastRow="0" w:firstColumn="1" w:lastColumn="0" w:noHBand="0" w:noVBand="1"/>
      </w:tblPr>
      <w:tblGrid>
        <w:gridCol w:w="2472"/>
        <w:gridCol w:w="7403"/>
        <w:gridCol w:w="1258"/>
        <w:gridCol w:w="1647"/>
      </w:tblGrid>
      <w:tr w:rsidR="00656081" w:rsidRPr="00656081" w14:paraId="58EE0563" w14:textId="77777777" w:rsidTr="0666B626">
        <w:tc>
          <w:tcPr>
            <w:tcW w:w="2472" w:type="dxa"/>
          </w:tcPr>
          <w:p w14:paraId="5171704B" w14:textId="77777777" w:rsidR="00E369D9" w:rsidRPr="00656081" w:rsidRDefault="00E369D9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PARAMETER ATAU INDIKATOR</w:t>
            </w:r>
          </w:p>
        </w:tc>
        <w:tc>
          <w:tcPr>
            <w:tcW w:w="7403" w:type="dxa"/>
          </w:tcPr>
          <w:p w14:paraId="07EDE117" w14:textId="77777777" w:rsidR="00E369D9" w:rsidRPr="00656081" w:rsidRDefault="00E369D9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KOMPONEN PENILAIAN</w:t>
            </w:r>
          </w:p>
        </w:tc>
        <w:tc>
          <w:tcPr>
            <w:tcW w:w="1258" w:type="dxa"/>
          </w:tcPr>
          <w:p w14:paraId="4BE0DBCA" w14:textId="6BBB59EF" w:rsidR="00E369D9" w:rsidRPr="00863F7E" w:rsidRDefault="00863F7E" w:rsidP="0666B626">
            <w:pPr>
              <w:pStyle w:val="ListParagraph"/>
              <w:spacing w:line="320" w:lineRule="exact"/>
              <w:ind w:left="0" w:right="34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F7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NILAI/ RASIO (%)</w:t>
            </w:r>
            <w:r w:rsidR="00E369D9" w:rsidRPr="00863F7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14:paraId="0C5CA336" w14:textId="19A749EC" w:rsidR="00E369D9" w:rsidRPr="00656081" w:rsidRDefault="005E0869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PERINGKAT</w:t>
            </w:r>
          </w:p>
        </w:tc>
      </w:tr>
      <w:tr w:rsidR="00656081" w:rsidRPr="00656081" w14:paraId="7121052E" w14:textId="77777777" w:rsidTr="0666B626">
        <w:tc>
          <w:tcPr>
            <w:tcW w:w="2472" w:type="dxa"/>
          </w:tcPr>
          <w:p w14:paraId="3E519EB3" w14:textId="77777777" w:rsidR="00E369D9" w:rsidRPr="00656081" w:rsidRDefault="00E369D9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7403" w:type="dxa"/>
          </w:tcPr>
          <w:p w14:paraId="5C421CE8" w14:textId="77777777" w:rsidR="00E369D9" w:rsidRPr="00656081" w:rsidRDefault="00E369D9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b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8" w:type="dxa"/>
          </w:tcPr>
          <w:p w14:paraId="6F5BCEFD" w14:textId="77777777" w:rsidR="00E369D9" w:rsidRPr="00863F7E" w:rsidRDefault="00E369D9" w:rsidP="0666B626">
            <w:pPr>
              <w:pStyle w:val="ListParagraph"/>
              <w:spacing w:line="320" w:lineRule="exact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63F7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</w:t>
            </w:r>
            <w:r w:rsidRPr="00863F7E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c</w:t>
            </w:r>
            <w:r w:rsidRPr="00863F7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14:paraId="3020B087" w14:textId="77777777" w:rsidR="00E369D9" w:rsidRPr="00656081" w:rsidRDefault="00E369D9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d</w:t>
            </w: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</w:t>
            </w:r>
          </w:p>
        </w:tc>
      </w:tr>
      <w:tr w:rsidR="00656081" w:rsidRPr="00656081" w14:paraId="1ECBC7AB" w14:textId="77777777" w:rsidTr="00863F7E">
        <w:tc>
          <w:tcPr>
            <w:tcW w:w="9875" w:type="dxa"/>
            <w:gridSpan w:val="2"/>
          </w:tcPr>
          <w:p w14:paraId="46A57544" w14:textId="1A6B034B" w:rsidR="00541769" w:rsidRPr="00656081" w:rsidRDefault="00D91FEC" w:rsidP="00067C36">
            <w:pPr>
              <w:spacing w:line="320" w:lineRule="exact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4</w:t>
            </w:r>
            <w:r w:rsidR="005E0869"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 FAKTOR LIKUIDITAS</w:t>
            </w:r>
          </w:p>
        </w:tc>
        <w:tc>
          <w:tcPr>
            <w:tcW w:w="1258" w:type="dxa"/>
          </w:tcPr>
          <w:p w14:paraId="5490864C" w14:textId="0D76267B" w:rsidR="00541769" w:rsidRPr="00656081" w:rsidRDefault="00541769" w:rsidP="0666B626">
            <w:pPr>
              <w:pStyle w:val="ListParagraph"/>
              <w:spacing w:line="320" w:lineRule="exact"/>
              <w:ind w:left="0"/>
              <w:jc w:val="center"/>
              <w:rPr>
                <w:rFonts w:ascii="Bookman Old Style" w:hAnsi="Bookman Old Style"/>
                <w:strike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47" w:type="dxa"/>
          </w:tcPr>
          <w:p w14:paraId="477CEE38" w14:textId="77777777" w:rsidR="00541769" w:rsidRPr="00656081" w:rsidRDefault="00541769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56081" w:rsidRPr="00656081" w14:paraId="79906A76" w14:textId="77777777" w:rsidTr="0666B626">
        <w:tc>
          <w:tcPr>
            <w:tcW w:w="12780" w:type="dxa"/>
            <w:gridSpan w:val="4"/>
          </w:tcPr>
          <w:p w14:paraId="031FE492" w14:textId="6CFFEE1F" w:rsidR="005E0869" w:rsidRPr="00656081" w:rsidRDefault="005E0869" w:rsidP="005E0869">
            <w:pPr>
              <w:pStyle w:val="ListParagraph"/>
              <w:spacing w:line="320" w:lineRule="exact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Kemampuan Memenuhi Kewajiban Jangka Pendek, Jangka Panjang, dan Potensi Terjadinya Ketidaksesuaian antara Kewajiban Jangka Pendek dan Jangka Panjang</w:t>
            </w:r>
          </w:p>
        </w:tc>
      </w:tr>
      <w:tr w:rsidR="00863F7E" w:rsidRPr="00656081" w14:paraId="560B1ECD" w14:textId="77777777" w:rsidTr="00863F7E">
        <w:tc>
          <w:tcPr>
            <w:tcW w:w="2472" w:type="dxa"/>
            <w:vMerge w:val="restart"/>
          </w:tcPr>
          <w:p w14:paraId="34511E44" w14:textId="77777777" w:rsidR="00863F7E" w:rsidRPr="00656081" w:rsidRDefault="00863F7E" w:rsidP="00863F7E">
            <w:pPr>
              <w:spacing w:line="320" w:lineRule="exact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03" w:type="dxa"/>
          </w:tcPr>
          <w:p w14:paraId="35A7E39E" w14:textId="2064FB14" w:rsidR="00863F7E" w:rsidRPr="00656081" w:rsidRDefault="00863F7E" w:rsidP="00863F7E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ind w:left="357" w:hanging="357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656081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Rasio likuiditas  jangka pendek</w:t>
            </w:r>
          </w:p>
        </w:tc>
        <w:tc>
          <w:tcPr>
            <w:tcW w:w="1258" w:type="dxa"/>
          </w:tcPr>
          <w:p w14:paraId="04D40463" w14:textId="13D7A206" w:rsidR="00863F7E" w:rsidRPr="00656081" w:rsidRDefault="00863F7E" w:rsidP="00863F7E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1647" w:type="dxa"/>
          </w:tcPr>
          <w:p w14:paraId="54B8F13A" w14:textId="7A91FC52" w:rsidR="00863F7E" w:rsidRPr="00656081" w:rsidRDefault="00863F7E" w:rsidP="00863F7E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</w:tr>
      <w:tr w:rsidR="00863F7E" w:rsidRPr="00656081" w14:paraId="69DA9C14" w14:textId="77777777" w:rsidTr="00863F7E">
        <w:tc>
          <w:tcPr>
            <w:tcW w:w="2472" w:type="dxa"/>
            <w:vMerge/>
          </w:tcPr>
          <w:p w14:paraId="03A98B6C" w14:textId="77777777" w:rsidR="00863F7E" w:rsidRPr="00656081" w:rsidRDefault="00863F7E" w:rsidP="00863F7E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03" w:type="dxa"/>
          </w:tcPr>
          <w:p w14:paraId="7F8A8DCD" w14:textId="190AD6E2" w:rsidR="00863F7E" w:rsidRPr="00656081" w:rsidRDefault="00863F7E" w:rsidP="00863F7E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ind w:left="357" w:hanging="357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656081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Rasio likuiditas  jangka </w:t>
            </w:r>
            <w:r w:rsidRPr="00656081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en-GB" w:eastAsia="id-ID"/>
              </w:rPr>
              <w:t>panjang</w:t>
            </w:r>
          </w:p>
        </w:tc>
        <w:tc>
          <w:tcPr>
            <w:tcW w:w="1258" w:type="dxa"/>
          </w:tcPr>
          <w:p w14:paraId="016EF8DF" w14:textId="526F7BF9" w:rsidR="00863F7E" w:rsidRPr="00656081" w:rsidRDefault="00863F7E" w:rsidP="00863F7E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1647" w:type="dxa"/>
          </w:tcPr>
          <w:p w14:paraId="194E3F2F" w14:textId="6CC1754F" w:rsidR="00863F7E" w:rsidRPr="00656081" w:rsidRDefault="00863F7E" w:rsidP="00863F7E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</w:tr>
      <w:tr w:rsidR="00863F7E" w:rsidRPr="00656081" w14:paraId="3FE3E41A" w14:textId="77777777" w:rsidTr="00863F7E">
        <w:tc>
          <w:tcPr>
            <w:tcW w:w="9875" w:type="dxa"/>
            <w:gridSpan w:val="2"/>
          </w:tcPr>
          <w:p w14:paraId="2912C96E" w14:textId="0BF84063" w:rsidR="00863F7E" w:rsidRPr="00656081" w:rsidRDefault="00863F7E" w:rsidP="00863F7E">
            <w:pPr>
              <w:adjustRightInd w:val="0"/>
              <w:snapToGrid w:val="0"/>
              <w:spacing w:line="320" w:lineRule="exact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Kecukupan Kebijakan Pengelolaan Likuiditas</w:t>
            </w:r>
          </w:p>
        </w:tc>
        <w:tc>
          <w:tcPr>
            <w:tcW w:w="1258" w:type="dxa"/>
          </w:tcPr>
          <w:p w14:paraId="50C6455F" w14:textId="45BB367A" w:rsidR="00863F7E" w:rsidRPr="00656081" w:rsidRDefault="00863F7E" w:rsidP="00863F7E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1647" w:type="dxa"/>
          </w:tcPr>
          <w:p w14:paraId="61602121" w14:textId="080D43C2" w:rsidR="00863F7E" w:rsidRPr="00656081" w:rsidRDefault="00863F7E" w:rsidP="00863F7E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</w:tr>
      <w:tr w:rsidR="00863F7E" w:rsidRPr="00656081" w14:paraId="0023EE40" w14:textId="77777777" w:rsidTr="00863F7E">
        <w:tc>
          <w:tcPr>
            <w:tcW w:w="9875" w:type="dxa"/>
            <w:gridSpan w:val="2"/>
          </w:tcPr>
          <w:p w14:paraId="33C75B0E" w14:textId="7BC832C2" w:rsidR="00863F7E" w:rsidRPr="00656081" w:rsidRDefault="00863F7E" w:rsidP="00863F7E">
            <w:pPr>
              <w:spacing w:line="320" w:lineRule="exact"/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666B626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 xml:space="preserve"> Faktor Likuiditas</w:t>
            </w:r>
          </w:p>
        </w:tc>
        <w:tc>
          <w:tcPr>
            <w:tcW w:w="1258" w:type="dxa"/>
          </w:tcPr>
          <w:p w14:paraId="01FCF1F8" w14:textId="3A25CA80" w:rsidR="00863F7E" w:rsidRPr="00656081" w:rsidRDefault="00863F7E" w:rsidP="00863F7E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1647" w:type="dxa"/>
          </w:tcPr>
          <w:p w14:paraId="5FDB6E50" w14:textId="0F234FA5" w:rsidR="00863F7E" w:rsidRPr="00656081" w:rsidRDefault="00863F7E" w:rsidP="00863F7E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656081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</w:tr>
    </w:tbl>
    <w:p w14:paraId="4BD1FF7A" w14:textId="232C48EE" w:rsidR="00E369D9" w:rsidRPr="00656081" w:rsidRDefault="00B4695A" w:rsidP="00E369D9">
      <w:pPr>
        <w:pStyle w:val="Default"/>
        <w:snapToGrid w:val="0"/>
        <w:jc w:val="both"/>
        <w:rPr>
          <w:color w:val="000000" w:themeColor="text1"/>
        </w:rPr>
      </w:pPr>
      <w:r w:rsidRPr="00656081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42CA41" wp14:editId="273ECBB4">
                <wp:simplePos x="0" y="0"/>
                <wp:positionH relativeFrom="margin">
                  <wp:posOffset>20918</wp:posOffset>
                </wp:positionH>
                <wp:positionV relativeFrom="paragraph">
                  <wp:posOffset>151765</wp:posOffset>
                </wp:positionV>
                <wp:extent cx="8154035" cy="1404620"/>
                <wp:effectExtent l="0" t="0" r="1841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4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523FE" w14:textId="12498918" w:rsidR="00E369D9" w:rsidRPr="003E04C5" w:rsidRDefault="00863F7E" w:rsidP="00FB7D64">
                            <w:pPr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Analisa dan </w:t>
                            </w:r>
                            <w:r w:rsidR="00E369D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Kesimpulan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Faktor Likuiditas</w:t>
                            </w:r>
                          </w:p>
                          <w:p w14:paraId="7072C347" w14:textId="77777777" w:rsidR="00E369D9" w:rsidRPr="003E04C5" w:rsidRDefault="00E369D9" w:rsidP="00FB7D64">
                            <w:pPr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Berdasarkan analisis terhadap seluruh kriteria atau indikator penilaian tersebut di atas, disimpulkan bahwa:</w:t>
                            </w:r>
                          </w:p>
                          <w:p w14:paraId="7DBA6C4E" w14:textId="46DA3B32" w:rsidR="00E369D9" w:rsidRPr="003E04C5" w:rsidRDefault="00E061EB" w:rsidP="00FB7D6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426" w:hanging="426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Kemampuan Memenuhi Kewajiban Jangka Pendek, Jangka Panjang, dan Potensi Terjadinya Ketidaksesuaian antara Kewajiban Jangka Pendek dan Jangka Panjang</w:t>
                            </w:r>
                          </w:p>
                          <w:p w14:paraId="73D9F3BB" w14:textId="4DCAC83E" w:rsidR="00E369D9" w:rsidRPr="003E04C5" w:rsidRDefault="00E369D9" w:rsidP="00FB7D64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kekuatan:……</w:t>
                            </w:r>
                          </w:p>
                          <w:p w14:paraId="0B682F78" w14:textId="7770C7CA" w:rsidR="00E369D9" w:rsidRPr="003E04C5" w:rsidRDefault="00E369D9" w:rsidP="00FB7D64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kelemahan:…..</w:t>
                            </w:r>
                          </w:p>
                          <w:p w14:paraId="36F1BCAD" w14:textId="5734B649" w:rsidR="00E369D9" w:rsidRPr="003E04C5" w:rsidRDefault="00414E6B" w:rsidP="00FB7D6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426" w:hanging="426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414E6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Kecukupan Kebijakan Pengelolaan Likuiditas</w:t>
                            </w:r>
                          </w:p>
                          <w:p w14:paraId="72E00785" w14:textId="3CAD8559" w:rsidR="00E369D9" w:rsidRPr="003E04C5" w:rsidRDefault="00E369D9" w:rsidP="00FB7D64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kekuatan:……</w:t>
                            </w:r>
                          </w:p>
                          <w:p w14:paraId="178D6EE2" w14:textId="67E16FA3" w:rsidR="00E369D9" w:rsidRPr="003E04C5" w:rsidRDefault="00E369D9" w:rsidP="00FB7D64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kelemahan:…..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2CA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11.95pt;width:642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">
                <v:textbox style="mso-fit-shape-to-text:t">
                  <w:txbxContent>
                    <w:p w14:paraId="6DF523FE" w14:textId="12498918" w:rsidR="00E369D9" w:rsidRPr="003E04C5" w:rsidRDefault="00863F7E" w:rsidP="00FB7D64">
                      <w:pPr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Analisa dan </w:t>
                      </w:r>
                      <w:r w:rsidR="00E369D9"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Kesimpulan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Faktor Likuiditas</w:t>
                      </w:r>
                    </w:p>
                    <w:p w14:paraId="7072C347" w14:textId="77777777" w:rsidR="00E369D9" w:rsidRPr="003E04C5" w:rsidRDefault="00E369D9" w:rsidP="00FB7D64">
                      <w:pPr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Berdasarkan analisis terhadap seluruh kriteria atau indikator penilaian tersebut di atas, disimpulkan bahwa:</w:t>
                      </w:r>
                    </w:p>
                    <w:p w14:paraId="7DBA6C4E" w14:textId="46DA3B32" w:rsidR="00E369D9" w:rsidRPr="003E04C5" w:rsidRDefault="00E061EB" w:rsidP="00FB7D6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426" w:hanging="426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Kemampuan Memenuhi Kewajiban Jangka Pendek, Jangka Panjang, dan Potensi Terjadinya Ketidaksesuaian antara Kewajiban Jangka Pendek dan Jangka Panjang</w:t>
                      </w:r>
                    </w:p>
                    <w:p w14:paraId="73D9F3BB" w14:textId="4DCAC83E" w:rsidR="00E369D9" w:rsidRPr="003E04C5" w:rsidRDefault="00E369D9" w:rsidP="00FB7D64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kekuatan:……</w:t>
                      </w:r>
                    </w:p>
                    <w:p w14:paraId="0B682F78" w14:textId="7770C7CA" w:rsidR="00E369D9" w:rsidRPr="003E04C5" w:rsidRDefault="00E369D9" w:rsidP="00FB7D64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kelemahan:…..</w:t>
                      </w:r>
                    </w:p>
                    <w:p w14:paraId="36F1BCAD" w14:textId="5734B649" w:rsidR="00E369D9" w:rsidRPr="003E04C5" w:rsidRDefault="00414E6B" w:rsidP="00FB7D6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426" w:hanging="426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414E6B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Kecukupan Kebijakan Pengelolaan Likuiditas</w:t>
                      </w:r>
                    </w:p>
                    <w:p w14:paraId="72E00785" w14:textId="3CAD8559" w:rsidR="00E369D9" w:rsidRPr="003E04C5" w:rsidRDefault="00E369D9" w:rsidP="00FB7D64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kekuatan:……</w:t>
                      </w:r>
                    </w:p>
                    <w:p w14:paraId="178D6EE2" w14:textId="67E16FA3" w:rsidR="00E369D9" w:rsidRPr="003E04C5" w:rsidRDefault="00E369D9" w:rsidP="00FB7D64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kelemahan:…..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CCF56" w14:textId="77777777" w:rsidR="00E95C50" w:rsidRPr="00656081" w:rsidRDefault="00E95C50" w:rsidP="00EB5A8C">
      <w:pPr>
        <w:rPr>
          <w:rFonts w:ascii="Bookman Old Style" w:hAnsi="Bookman Old Style"/>
          <w:color w:val="000000" w:themeColor="text1"/>
          <w:sz w:val="24"/>
          <w:szCs w:val="24"/>
        </w:rPr>
        <w:sectPr w:rsidR="00E95C50" w:rsidRPr="00656081" w:rsidSect="00F70817">
          <w:pgSz w:w="15840" w:h="12240" w:orient="landscape"/>
          <w:pgMar w:top="1440" w:right="1440" w:bottom="1440" w:left="1440" w:header="720" w:footer="720" w:gutter="0"/>
          <w:pgNumType w:fmt="numberInDash" w:start="0"/>
          <w:cols w:space="720"/>
          <w:titlePg/>
          <w:docGrid w:linePitch="360"/>
        </w:sectPr>
      </w:pPr>
    </w:p>
    <w:p w14:paraId="2DC982F6" w14:textId="77777777" w:rsidR="00C519E8" w:rsidRPr="00656081" w:rsidRDefault="00C519E8" w:rsidP="00EB5A8C">
      <w:pPr>
        <w:pStyle w:val="Style1"/>
        <w:widowControl/>
        <w:spacing w:before="60" w:after="60" w:line="276" w:lineRule="auto"/>
        <w:ind w:left="1843" w:hanging="1843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CC4123C" w14:textId="77777777" w:rsidR="00A00694" w:rsidRPr="00656081" w:rsidRDefault="00A00694" w:rsidP="00EB5A8C">
      <w:pPr>
        <w:pStyle w:val="Style1"/>
        <w:widowControl/>
        <w:spacing w:before="60" w:after="60" w:line="276" w:lineRule="auto"/>
        <w:ind w:left="1843" w:hanging="1843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5857307E" w14:textId="77777777" w:rsidR="00EB5A8C" w:rsidRPr="00656081" w:rsidRDefault="00EB5A8C" w:rsidP="00EB5A8C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656081">
        <w:rPr>
          <w:color w:val="000000" w:themeColor="text1"/>
        </w:rPr>
        <w:t xml:space="preserve">Ditetapkan di Jakarta </w:t>
      </w:r>
    </w:p>
    <w:p w14:paraId="23EC3F05" w14:textId="77777777" w:rsidR="00EB5A8C" w:rsidRPr="00656081" w:rsidRDefault="00EB5A8C" w:rsidP="00EB5A8C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656081">
        <w:rPr>
          <w:color w:val="000000" w:themeColor="text1"/>
        </w:rPr>
        <w:t xml:space="preserve">pada tanggal      </w:t>
      </w:r>
    </w:p>
    <w:p w14:paraId="393A7636" w14:textId="77777777" w:rsidR="00EB5A8C" w:rsidRPr="00656081" w:rsidRDefault="00EB5A8C" w:rsidP="00EB5A8C">
      <w:pPr>
        <w:pStyle w:val="ListParagraph"/>
        <w:snapToGrid w:val="0"/>
        <w:ind w:left="48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656081">
        <w:rPr>
          <w:rFonts w:ascii="Bookman Old Style" w:hAnsi="Bookman Old Style"/>
          <w:color w:val="000000" w:themeColor="text1"/>
          <w:sz w:val="24"/>
          <w:szCs w:val="24"/>
        </w:rPr>
        <w:t xml:space="preserve">KEPALA EKSEKUTIF PENGAWAS LEMBAGA PEMBIAYAAN, PERUSAHAAN MODAL VENTURA, LEMBAGA KEUANGAN MIKRO DAN LEMBAGA JASA KEUANGAN LAINNYA </w:t>
      </w:r>
    </w:p>
    <w:p w14:paraId="12D5D5D4" w14:textId="77777777" w:rsidR="00EB5A8C" w:rsidRPr="00656081" w:rsidRDefault="00EB5A8C" w:rsidP="00EB5A8C">
      <w:pPr>
        <w:pStyle w:val="ListParagraph"/>
        <w:snapToGrid w:val="0"/>
        <w:ind w:left="48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656081">
        <w:rPr>
          <w:rFonts w:ascii="Bookman Old Style" w:hAnsi="Bookman Old Style"/>
          <w:color w:val="000000" w:themeColor="text1"/>
          <w:sz w:val="24"/>
          <w:szCs w:val="24"/>
        </w:rPr>
        <w:t>OTORITAS JASA KEUANGAN REPUBLIK INDONESIA</w:t>
      </w:r>
      <w:r w:rsidRPr="00656081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,  </w:t>
      </w:r>
    </w:p>
    <w:p w14:paraId="3078E22F" w14:textId="77777777" w:rsidR="00EB5A8C" w:rsidRPr="00656081" w:rsidRDefault="00EB5A8C" w:rsidP="00EB5A8C">
      <w:pPr>
        <w:pStyle w:val="ListParagraph"/>
        <w:snapToGrid w:val="0"/>
        <w:ind w:left="4820"/>
        <w:jc w:val="both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2889F972" w14:textId="77777777" w:rsidR="00EB5A8C" w:rsidRPr="00656081" w:rsidRDefault="00EB5A8C" w:rsidP="00EB5A8C">
      <w:pPr>
        <w:pStyle w:val="ListParagraph"/>
        <w:snapToGrid w:val="0"/>
        <w:ind w:left="4820"/>
        <w:jc w:val="both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5033521F" w14:textId="77777777" w:rsidR="00EB5A8C" w:rsidRPr="00656081" w:rsidRDefault="00EB5A8C" w:rsidP="00EB5A8C">
      <w:pPr>
        <w:pStyle w:val="ListParagraph"/>
        <w:snapToGrid w:val="0"/>
        <w:ind w:left="4820"/>
        <w:jc w:val="both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 w:rsidRPr="00656081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      </w:t>
      </w:r>
    </w:p>
    <w:p w14:paraId="5BE24295" w14:textId="77777777" w:rsidR="00EB5A8C" w:rsidRPr="00656081" w:rsidRDefault="00EB5A8C" w:rsidP="00EB5A8C">
      <w:pPr>
        <w:pStyle w:val="ListParagraph"/>
        <w:snapToGrid w:val="0"/>
        <w:ind w:left="4820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79FEDD45" w14:textId="11340CBB" w:rsidR="00D25360" w:rsidRPr="00656081" w:rsidRDefault="00EB5A8C" w:rsidP="00C0393F">
      <w:pPr>
        <w:pStyle w:val="ListParagraph"/>
        <w:snapToGrid w:val="0"/>
        <w:ind w:left="48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656081">
        <w:rPr>
          <w:rFonts w:ascii="Bookman Old Style" w:hAnsi="Bookman Old Style"/>
          <w:color w:val="000000" w:themeColor="text1"/>
          <w:sz w:val="24"/>
          <w:szCs w:val="24"/>
        </w:rPr>
        <w:t>AGUSMA</w:t>
      </w:r>
      <w:r w:rsidR="00C0393F" w:rsidRPr="00656081">
        <w:rPr>
          <w:rFonts w:ascii="Bookman Old Style" w:hAnsi="Bookman Old Style"/>
          <w:color w:val="000000" w:themeColor="text1"/>
          <w:sz w:val="24"/>
          <w:szCs w:val="24"/>
        </w:rPr>
        <w:t>N</w:t>
      </w:r>
    </w:p>
    <w:sectPr w:rsidR="00D25360" w:rsidRPr="00656081" w:rsidSect="00E95C50">
      <w:pgSz w:w="12240" w:h="15840"/>
      <w:pgMar w:top="1440" w:right="1440" w:bottom="1440" w:left="1440" w:header="720" w:footer="720" w:gutter="0"/>
      <w:pgNumType w:fmt="numberInDash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A868" w14:textId="77777777" w:rsidR="00575931" w:rsidRDefault="00575931" w:rsidP="00E67AD3">
      <w:pPr>
        <w:spacing w:after="0" w:line="240" w:lineRule="auto"/>
      </w:pPr>
      <w:r>
        <w:separator/>
      </w:r>
    </w:p>
  </w:endnote>
  <w:endnote w:type="continuationSeparator" w:id="0">
    <w:p w14:paraId="1B703F9F" w14:textId="77777777" w:rsidR="00575931" w:rsidRDefault="00575931" w:rsidP="00E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45EC6" w14:textId="77777777" w:rsidR="00575931" w:rsidRDefault="00575931" w:rsidP="00E67AD3">
      <w:pPr>
        <w:spacing w:after="0" w:line="240" w:lineRule="auto"/>
      </w:pPr>
      <w:r>
        <w:separator/>
      </w:r>
    </w:p>
  </w:footnote>
  <w:footnote w:type="continuationSeparator" w:id="0">
    <w:p w14:paraId="133F55F1" w14:textId="77777777" w:rsidR="00575931" w:rsidRDefault="00575931" w:rsidP="00E6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96188850"/>
      <w:docPartObj>
        <w:docPartGallery w:val="Page Numbers (Top of Page)"/>
        <w:docPartUnique/>
      </w:docPartObj>
    </w:sdtPr>
    <w:sdtContent>
      <w:p w14:paraId="08E69AEF" w14:textId="51987F13" w:rsidR="006B66E6" w:rsidRDefault="006B66E6" w:rsidP="006A05A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8A2F47" w14:textId="77777777" w:rsidR="006B66E6" w:rsidRDefault="006B6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94A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D53CE"/>
    <w:multiLevelType w:val="hybridMultilevel"/>
    <w:tmpl w:val="91B44B06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40D3"/>
    <w:multiLevelType w:val="hybridMultilevel"/>
    <w:tmpl w:val="46BCE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35E9"/>
    <w:multiLevelType w:val="hybridMultilevel"/>
    <w:tmpl w:val="98A0C1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2F1"/>
    <w:multiLevelType w:val="hybridMultilevel"/>
    <w:tmpl w:val="0E26464A"/>
    <w:lvl w:ilvl="0" w:tplc="DF1E1DE8">
      <w:start w:val="1"/>
      <w:numFmt w:val="lowerLetter"/>
      <w:lvlText w:val="%1."/>
      <w:lvlJc w:val="left"/>
      <w:pPr>
        <w:ind w:left="36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E1B81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457A8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32EDC"/>
    <w:multiLevelType w:val="hybridMultilevel"/>
    <w:tmpl w:val="E81298C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650C"/>
    <w:multiLevelType w:val="hybridMultilevel"/>
    <w:tmpl w:val="B78601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63389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6FF0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82AEA"/>
    <w:multiLevelType w:val="hybridMultilevel"/>
    <w:tmpl w:val="2C6A4F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80F"/>
    <w:multiLevelType w:val="hybridMultilevel"/>
    <w:tmpl w:val="DF6271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4F58"/>
    <w:multiLevelType w:val="hybridMultilevel"/>
    <w:tmpl w:val="EA0EB7A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1684A"/>
    <w:multiLevelType w:val="hybridMultilevel"/>
    <w:tmpl w:val="F6965BCA"/>
    <w:lvl w:ilvl="0" w:tplc="3D30BA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B70AB"/>
    <w:multiLevelType w:val="hybridMultilevel"/>
    <w:tmpl w:val="503EB83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96D6E"/>
    <w:multiLevelType w:val="hybridMultilevel"/>
    <w:tmpl w:val="3E98C8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A2606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84E34"/>
    <w:multiLevelType w:val="hybridMultilevel"/>
    <w:tmpl w:val="2B56D5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0633C"/>
    <w:multiLevelType w:val="hybridMultilevel"/>
    <w:tmpl w:val="21483BC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365E5"/>
    <w:multiLevelType w:val="hybridMultilevel"/>
    <w:tmpl w:val="BADC30A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70F82"/>
    <w:multiLevelType w:val="hybridMultilevel"/>
    <w:tmpl w:val="5254D3C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665E4"/>
    <w:multiLevelType w:val="hybridMultilevel"/>
    <w:tmpl w:val="6AF0E5BE"/>
    <w:lvl w:ilvl="0" w:tplc="EC749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2678C"/>
    <w:multiLevelType w:val="hybridMultilevel"/>
    <w:tmpl w:val="3E98C874"/>
    <w:lvl w:ilvl="0" w:tplc="2FFE8464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110F7"/>
    <w:multiLevelType w:val="hybridMultilevel"/>
    <w:tmpl w:val="28CEB4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6242"/>
    <w:multiLevelType w:val="hybridMultilevel"/>
    <w:tmpl w:val="841EDEE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06166"/>
    <w:multiLevelType w:val="hybridMultilevel"/>
    <w:tmpl w:val="1576985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07E86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323B0"/>
    <w:multiLevelType w:val="hybridMultilevel"/>
    <w:tmpl w:val="A6BE670C"/>
    <w:lvl w:ilvl="0" w:tplc="510234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A0126"/>
    <w:multiLevelType w:val="hybridMultilevel"/>
    <w:tmpl w:val="9FBEB0D6"/>
    <w:lvl w:ilvl="0" w:tplc="953A5A7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04098"/>
    <w:multiLevelType w:val="hybridMultilevel"/>
    <w:tmpl w:val="98A0C1F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A462B"/>
    <w:multiLevelType w:val="hybridMultilevel"/>
    <w:tmpl w:val="9FBEB0D6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0080B"/>
    <w:multiLevelType w:val="hybridMultilevel"/>
    <w:tmpl w:val="722A1BA4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E3B15"/>
    <w:multiLevelType w:val="hybridMultilevel"/>
    <w:tmpl w:val="CE9482CA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72C62"/>
    <w:multiLevelType w:val="hybridMultilevel"/>
    <w:tmpl w:val="BAD4DB84"/>
    <w:lvl w:ilvl="0" w:tplc="F2B6CCDC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24FA4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E036F"/>
    <w:multiLevelType w:val="hybridMultilevel"/>
    <w:tmpl w:val="AB683A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88638">
    <w:abstractNumId w:val="24"/>
  </w:num>
  <w:num w:numId="2" w16cid:durableId="1616017653">
    <w:abstractNumId w:val="9"/>
  </w:num>
  <w:num w:numId="3" w16cid:durableId="1653680632">
    <w:abstractNumId w:val="8"/>
  </w:num>
  <w:num w:numId="4" w16cid:durableId="684672036">
    <w:abstractNumId w:val="18"/>
  </w:num>
  <w:num w:numId="5" w16cid:durableId="484322261">
    <w:abstractNumId w:val="11"/>
  </w:num>
  <w:num w:numId="6" w16cid:durableId="328215613">
    <w:abstractNumId w:val="14"/>
  </w:num>
  <w:num w:numId="7" w16cid:durableId="851068570">
    <w:abstractNumId w:val="1"/>
  </w:num>
  <w:num w:numId="8" w16cid:durableId="1699043846">
    <w:abstractNumId w:val="22"/>
  </w:num>
  <w:num w:numId="9" w16cid:durableId="1124495266">
    <w:abstractNumId w:val="32"/>
  </w:num>
  <w:num w:numId="10" w16cid:durableId="123619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2373732">
    <w:abstractNumId w:val="27"/>
  </w:num>
  <w:num w:numId="12" w16cid:durableId="1370301161">
    <w:abstractNumId w:val="17"/>
  </w:num>
  <w:num w:numId="13" w16cid:durableId="1821461144">
    <w:abstractNumId w:val="10"/>
  </w:num>
  <w:num w:numId="14" w16cid:durableId="1176267620">
    <w:abstractNumId w:val="6"/>
  </w:num>
  <w:num w:numId="15" w16cid:durableId="994602732">
    <w:abstractNumId w:val="26"/>
  </w:num>
  <w:num w:numId="16" w16cid:durableId="1623879970">
    <w:abstractNumId w:val="30"/>
  </w:num>
  <w:num w:numId="17" w16cid:durableId="1296327690">
    <w:abstractNumId w:val="29"/>
  </w:num>
  <w:num w:numId="18" w16cid:durableId="393510124">
    <w:abstractNumId w:val="3"/>
  </w:num>
  <w:num w:numId="19" w16cid:durableId="852719129">
    <w:abstractNumId w:val="28"/>
  </w:num>
  <w:num w:numId="20" w16cid:durableId="24915555">
    <w:abstractNumId w:val="31"/>
  </w:num>
  <w:num w:numId="21" w16cid:durableId="1155871988">
    <w:abstractNumId w:val="2"/>
  </w:num>
  <w:num w:numId="22" w16cid:durableId="785150651">
    <w:abstractNumId w:val="34"/>
  </w:num>
  <w:num w:numId="23" w16cid:durableId="1730379073">
    <w:abstractNumId w:val="5"/>
  </w:num>
  <w:num w:numId="24" w16cid:durableId="1039822671">
    <w:abstractNumId w:val="0"/>
  </w:num>
  <w:num w:numId="25" w16cid:durableId="1148131509">
    <w:abstractNumId w:val="35"/>
  </w:num>
  <w:num w:numId="26" w16cid:durableId="567149574">
    <w:abstractNumId w:val="13"/>
  </w:num>
  <w:num w:numId="27" w16cid:durableId="1576668628">
    <w:abstractNumId w:val="25"/>
  </w:num>
  <w:num w:numId="28" w16cid:durableId="1558398193">
    <w:abstractNumId w:val="36"/>
  </w:num>
  <w:num w:numId="29" w16cid:durableId="110899977">
    <w:abstractNumId w:val="4"/>
  </w:num>
  <w:num w:numId="30" w16cid:durableId="1785417097">
    <w:abstractNumId w:val="7"/>
  </w:num>
  <w:num w:numId="31" w16cid:durableId="801195496">
    <w:abstractNumId w:val="21"/>
  </w:num>
  <w:num w:numId="32" w16cid:durableId="1200703946">
    <w:abstractNumId w:val="15"/>
  </w:num>
  <w:num w:numId="33" w16cid:durableId="95756316">
    <w:abstractNumId w:val="20"/>
  </w:num>
  <w:num w:numId="34" w16cid:durableId="342317803">
    <w:abstractNumId w:val="23"/>
  </w:num>
  <w:num w:numId="35" w16cid:durableId="1925650906">
    <w:abstractNumId w:val="16"/>
  </w:num>
  <w:num w:numId="36" w16cid:durableId="1444568790">
    <w:abstractNumId w:val="19"/>
  </w:num>
  <w:num w:numId="37" w16cid:durableId="9721781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3F"/>
    <w:rsid w:val="00026674"/>
    <w:rsid w:val="0003354C"/>
    <w:rsid w:val="00034CAC"/>
    <w:rsid w:val="00054109"/>
    <w:rsid w:val="0007637B"/>
    <w:rsid w:val="001116FF"/>
    <w:rsid w:val="001266CE"/>
    <w:rsid w:val="00127752"/>
    <w:rsid w:val="00150CFE"/>
    <w:rsid w:val="001727B4"/>
    <w:rsid w:val="0018233C"/>
    <w:rsid w:val="00187336"/>
    <w:rsid w:val="001B4D04"/>
    <w:rsid w:val="002166F4"/>
    <w:rsid w:val="00216857"/>
    <w:rsid w:val="00237D17"/>
    <w:rsid w:val="00257574"/>
    <w:rsid w:val="00286533"/>
    <w:rsid w:val="002E333D"/>
    <w:rsid w:val="003230E2"/>
    <w:rsid w:val="00334D98"/>
    <w:rsid w:val="00360E4E"/>
    <w:rsid w:val="003B3E5E"/>
    <w:rsid w:val="003B6850"/>
    <w:rsid w:val="003E04C5"/>
    <w:rsid w:val="00414E6B"/>
    <w:rsid w:val="00424B34"/>
    <w:rsid w:val="0043239C"/>
    <w:rsid w:val="004341B9"/>
    <w:rsid w:val="004416B5"/>
    <w:rsid w:val="004616FF"/>
    <w:rsid w:val="00486F6E"/>
    <w:rsid w:val="004960FB"/>
    <w:rsid w:val="004D3FDB"/>
    <w:rsid w:val="004D4343"/>
    <w:rsid w:val="004D655D"/>
    <w:rsid w:val="004E1927"/>
    <w:rsid w:val="004E2449"/>
    <w:rsid w:val="004E4BC4"/>
    <w:rsid w:val="004E5A64"/>
    <w:rsid w:val="00517EC0"/>
    <w:rsid w:val="00532527"/>
    <w:rsid w:val="00541769"/>
    <w:rsid w:val="00575931"/>
    <w:rsid w:val="005B5424"/>
    <w:rsid w:val="005B72AB"/>
    <w:rsid w:val="005E0869"/>
    <w:rsid w:val="00646BB4"/>
    <w:rsid w:val="00656081"/>
    <w:rsid w:val="006678EC"/>
    <w:rsid w:val="00675A8A"/>
    <w:rsid w:val="006A67C0"/>
    <w:rsid w:val="006B66E6"/>
    <w:rsid w:val="006C20E6"/>
    <w:rsid w:val="006F6048"/>
    <w:rsid w:val="0072021E"/>
    <w:rsid w:val="00720BCE"/>
    <w:rsid w:val="00725DB9"/>
    <w:rsid w:val="00746436"/>
    <w:rsid w:val="007464AB"/>
    <w:rsid w:val="007526F0"/>
    <w:rsid w:val="00754D47"/>
    <w:rsid w:val="00757D17"/>
    <w:rsid w:val="007A1B8B"/>
    <w:rsid w:val="007D0DB8"/>
    <w:rsid w:val="00820434"/>
    <w:rsid w:val="008569BB"/>
    <w:rsid w:val="00863F7E"/>
    <w:rsid w:val="00885620"/>
    <w:rsid w:val="00892072"/>
    <w:rsid w:val="00895C9B"/>
    <w:rsid w:val="008C1955"/>
    <w:rsid w:val="008D2E95"/>
    <w:rsid w:val="008E0D86"/>
    <w:rsid w:val="008E33F6"/>
    <w:rsid w:val="0090306C"/>
    <w:rsid w:val="009119A7"/>
    <w:rsid w:val="0091625D"/>
    <w:rsid w:val="0093111C"/>
    <w:rsid w:val="00933E63"/>
    <w:rsid w:val="009708AB"/>
    <w:rsid w:val="009736CB"/>
    <w:rsid w:val="00982AA0"/>
    <w:rsid w:val="00984A14"/>
    <w:rsid w:val="009E7D70"/>
    <w:rsid w:val="00A00694"/>
    <w:rsid w:val="00A20297"/>
    <w:rsid w:val="00A36A3F"/>
    <w:rsid w:val="00A53E0B"/>
    <w:rsid w:val="00A56A56"/>
    <w:rsid w:val="00A706FA"/>
    <w:rsid w:val="00AA4F87"/>
    <w:rsid w:val="00AE5C9A"/>
    <w:rsid w:val="00AE7677"/>
    <w:rsid w:val="00B02576"/>
    <w:rsid w:val="00B30BA3"/>
    <w:rsid w:val="00B46468"/>
    <w:rsid w:val="00B4695A"/>
    <w:rsid w:val="00B8422F"/>
    <w:rsid w:val="00B87201"/>
    <w:rsid w:val="00BC0407"/>
    <w:rsid w:val="00BC6AA5"/>
    <w:rsid w:val="00BD44E0"/>
    <w:rsid w:val="00C0393F"/>
    <w:rsid w:val="00C16914"/>
    <w:rsid w:val="00C407D2"/>
    <w:rsid w:val="00C519E8"/>
    <w:rsid w:val="00C76C9E"/>
    <w:rsid w:val="00CA0C6A"/>
    <w:rsid w:val="00CC028E"/>
    <w:rsid w:val="00CC53DD"/>
    <w:rsid w:val="00CD6DBC"/>
    <w:rsid w:val="00D25360"/>
    <w:rsid w:val="00D343B5"/>
    <w:rsid w:val="00D91FEC"/>
    <w:rsid w:val="00DD23BF"/>
    <w:rsid w:val="00DD4E0F"/>
    <w:rsid w:val="00E061EB"/>
    <w:rsid w:val="00E215E0"/>
    <w:rsid w:val="00E369D9"/>
    <w:rsid w:val="00E428C7"/>
    <w:rsid w:val="00E547E7"/>
    <w:rsid w:val="00E67AD3"/>
    <w:rsid w:val="00E95C50"/>
    <w:rsid w:val="00EB5A8C"/>
    <w:rsid w:val="00F2508F"/>
    <w:rsid w:val="00F44AC8"/>
    <w:rsid w:val="00F67FFA"/>
    <w:rsid w:val="00F70817"/>
    <w:rsid w:val="00F717A1"/>
    <w:rsid w:val="00F7329B"/>
    <w:rsid w:val="00F865DB"/>
    <w:rsid w:val="00F907E2"/>
    <w:rsid w:val="00F93B6A"/>
    <w:rsid w:val="00F95F2D"/>
    <w:rsid w:val="00FB22E2"/>
    <w:rsid w:val="00FB7D64"/>
    <w:rsid w:val="00FD285C"/>
    <w:rsid w:val="00FD6C6B"/>
    <w:rsid w:val="0666B626"/>
    <w:rsid w:val="0F08E9D3"/>
    <w:rsid w:val="10922038"/>
    <w:rsid w:val="2D6D4ED0"/>
    <w:rsid w:val="33723264"/>
    <w:rsid w:val="3E49CFF8"/>
    <w:rsid w:val="54284E82"/>
    <w:rsid w:val="57058CCF"/>
    <w:rsid w:val="59EFE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B209"/>
  <w15:chartTrackingRefBased/>
  <w15:docId w15:val="{2B056312-1C0B-4876-9690-B09EB4E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FD6C6B"/>
    <w:rPr>
      <w:rFonts w:ascii="Bookman Old Style" w:hAnsi="Bookman Old Style" w:cs="Bookman Old Style"/>
      <w:sz w:val="22"/>
      <w:szCs w:val="22"/>
    </w:rPr>
  </w:style>
  <w:style w:type="character" w:customStyle="1" w:styleId="FontStyle33">
    <w:name w:val="Font Style33"/>
    <w:uiPriority w:val="99"/>
    <w:rsid w:val="00FD6C6B"/>
    <w:rPr>
      <w:rFonts w:ascii="Bookman Old Style" w:hAnsi="Bookman Old Style" w:cs="Bookman Old Style"/>
      <w:sz w:val="22"/>
      <w:szCs w:val="22"/>
    </w:rPr>
  </w:style>
  <w:style w:type="paragraph" w:customStyle="1" w:styleId="Style15">
    <w:name w:val="Style15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36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1">
    <w:name w:val="Style21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39" w:lineRule="exact"/>
      <w:ind w:hanging="437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66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8">
    <w:name w:val="Font Style28"/>
    <w:uiPriority w:val="99"/>
    <w:rsid w:val="00FD6C6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20">
    <w:name w:val="Style20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70" w:lineRule="exact"/>
      <w:ind w:hanging="346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8">
    <w:name w:val="Font Style18"/>
    <w:uiPriority w:val="99"/>
    <w:rsid w:val="00FD6C6B"/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3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Theme="minorEastAsia" w:hAnsi="Bookman Old Style"/>
      <w:sz w:val="24"/>
      <w:szCs w:val="24"/>
    </w:rPr>
  </w:style>
  <w:style w:type="paragraph" w:customStyle="1" w:styleId="Style4">
    <w:name w:val="Style4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422" w:lineRule="exact"/>
    </w:pPr>
    <w:rPr>
      <w:rFonts w:ascii="Bookman Old Style" w:eastAsiaTheme="minorEastAsia" w:hAnsi="Bookman Old Style"/>
      <w:sz w:val="24"/>
      <w:szCs w:val="24"/>
    </w:rPr>
  </w:style>
  <w:style w:type="table" w:styleId="TableGrid">
    <w:name w:val="Table Grid"/>
    <w:basedOn w:val="TableNormal"/>
    <w:uiPriority w:val="39"/>
    <w:rsid w:val="00FD6C6B"/>
    <w:pPr>
      <w:spacing w:after="0" w:line="240" w:lineRule="auto"/>
    </w:pPr>
    <w:rPr>
      <w:kern w:val="2"/>
      <w:lang w:val="id-ID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46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ListParagraph">
    <w:name w:val="List Paragraph"/>
    <w:aliases w:val="Bab,Colorful List - Accent 11,Source,awal,List Paragraph2,Level 3,Table,List Deskripsi Aktivitas,Atan,NUMBERED PARAGRAPH,List Paragraph 1,References,ReferencesCxSpLast,lp1,List Paragraph (numbered (a)),Use Case List Paragraph,Bullets"/>
    <w:basedOn w:val="Normal"/>
    <w:link w:val="ListParagraphChar"/>
    <w:uiPriority w:val="34"/>
    <w:qFormat/>
    <w:rsid w:val="00B46468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ab Char,Colorful List - Accent 11 Char,Source Char,awal Char,List Paragraph2 Char,Level 3 Char,Table Char,List Deskripsi Aktivitas Char,Atan Char,NUMBERED PARAGRAPH Char,List Paragraph 1 Char,References Char,ReferencesCxSpLast Char"/>
    <w:link w:val="ListParagraph"/>
    <w:uiPriority w:val="34"/>
    <w:qFormat/>
    <w:locked/>
    <w:rsid w:val="00B46468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D3"/>
  </w:style>
  <w:style w:type="paragraph" w:styleId="Footer">
    <w:name w:val="footer"/>
    <w:basedOn w:val="Normal"/>
    <w:link w:val="Foot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D3"/>
  </w:style>
  <w:style w:type="paragraph" w:customStyle="1" w:styleId="Style5">
    <w:name w:val="Style5"/>
    <w:basedOn w:val="Normal"/>
    <w:uiPriority w:val="99"/>
    <w:rsid w:val="00CD6D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B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864BB4-0A8A-4817-9302-330A6FC5A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98975-7A74-42D7-A613-E99134EE287E}"/>
</file>

<file path=customXml/itemProps3.xml><?xml version="1.0" encoding="utf-8"?>
<ds:datastoreItem xmlns:ds="http://schemas.openxmlformats.org/officeDocument/2006/customXml" ds:itemID="{A480D94E-AC60-428B-A06A-03A4C1449D35}"/>
</file>

<file path=customXml/itemProps4.xml><?xml version="1.0" encoding="utf-8"?>
<ds:datastoreItem xmlns:ds="http://schemas.openxmlformats.org/officeDocument/2006/customXml" ds:itemID="{C8DE3785-4666-446C-AC27-3B16B6465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OJK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Tito</dc:creator>
  <cp:keywords/>
  <dc:description/>
  <cp:lastModifiedBy>Tri Widya Kusumawanti</cp:lastModifiedBy>
  <cp:revision>111</cp:revision>
  <dcterms:created xsi:type="dcterms:W3CDTF">2025-08-14T09:06:00Z</dcterms:created>
  <dcterms:modified xsi:type="dcterms:W3CDTF">2025-08-27T03:49:00Z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