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506B" w14:textId="77777777" w:rsidR="00A253D7" w:rsidRPr="00A65EE8" w:rsidRDefault="00200C80" w:rsidP="008D0866">
      <w:pPr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val="id-ID"/>
        </w:rPr>
      </w:pPr>
      <w:r w:rsidRPr="00A65EE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6B1F" wp14:editId="45626197">
                <wp:simplePos x="0" y="0"/>
                <wp:positionH relativeFrom="column">
                  <wp:posOffset>-70104</wp:posOffset>
                </wp:positionH>
                <wp:positionV relativeFrom="paragraph">
                  <wp:posOffset>-233806</wp:posOffset>
                </wp:positionV>
                <wp:extent cx="1962912" cy="418338"/>
                <wp:effectExtent l="95250" t="57150" r="94615" b="1155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912" cy="418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35B10" w14:textId="77777777" w:rsidR="00733A9C" w:rsidRPr="00291789" w:rsidRDefault="00733A9C" w:rsidP="003E6BDF">
                            <w:pPr>
                              <w:spacing w:after="0" w:line="240" w:lineRule="auto"/>
                              <w:rPr>
                                <w:rFonts w:ascii="Bahnschrift SemiBold SemiConden" w:eastAsia="Times New Roman" w:hAnsi="Bahnschrift SemiBold SemiConden" w:cs="Calibri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91789">
                              <w:rPr>
                                <w:rFonts w:ascii="Bahnschrift SemiBold SemiConden" w:eastAsia="Times New Roman" w:hAnsi="Bahnschrift SemiBold SemiConden" w:cs="Calibri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SAHAM SYARIAH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C46B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5pt;margin-top:-18.4pt;width:154.55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F235B10" w14:textId="77777777" w:rsidR="00733A9C" w:rsidRPr="00291789" w:rsidRDefault="00733A9C" w:rsidP="003E6BDF">
                      <w:pPr>
                        <w:spacing w:after="0" w:line="240" w:lineRule="auto"/>
                        <w:rPr>
                          <w:rFonts w:ascii="Bahnschrift SemiBold SemiConden" w:eastAsia="Times New Roman" w:hAnsi="Bahnschrift SemiBold SemiConden" w:cs="Calibri"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91789">
                        <w:rPr>
                          <w:rFonts w:ascii="Bahnschrift SemiBold SemiConden" w:eastAsia="Times New Roman" w:hAnsi="Bahnschrift SemiBold SemiConden" w:cs="Calibri"/>
                          <w:bCs/>
                          <w:color w:val="FFFFFF" w:themeColor="background1"/>
                          <w:sz w:val="40"/>
                          <w:szCs w:val="40"/>
                        </w:rPr>
                        <w:t>SAHAM SYARIAH</w:t>
                      </w:r>
                    </w:p>
                  </w:txbxContent>
                </v:textbox>
              </v:shape>
            </w:pict>
          </mc:Fallback>
        </mc:AlternateContent>
      </w:r>
    </w:p>
    <w:p w14:paraId="28F0A040" w14:textId="5EA17110" w:rsidR="00B73641" w:rsidRPr="006B25C5" w:rsidRDefault="00A84B92" w:rsidP="00B73641">
      <w:pPr>
        <w:spacing w:after="0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6B25C5">
        <w:rPr>
          <w:rFonts w:ascii="Segoe UI" w:eastAsia="Times New Roman" w:hAnsi="Segoe UI" w:cs="Segoe UI"/>
          <w:b/>
          <w:color w:val="000000"/>
          <w:sz w:val="28"/>
          <w:szCs w:val="28"/>
        </w:rPr>
        <w:t>KAPITALISASI PASAR</w:t>
      </w:r>
      <w:r w:rsidR="003E59C8" w:rsidRPr="006B25C5">
        <w:rPr>
          <w:rFonts w:ascii="Segoe UI" w:eastAsia="Times New Roman" w:hAnsi="Segoe UI" w:cs="Segoe UI"/>
          <w:b/>
          <w:color w:val="000000"/>
          <w:sz w:val="28"/>
          <w:szCs w:val="28"/>
          <w:lang w:val="id-ID"/>
        </w:rPr>
        <w:t xml:space="preserve"> </w:t>
      </w:r>
      <w:r w:rsidR="00397B2B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INDEKS SYARIAH DI </w:t>
      </w:r>
      <w:r w:rsidR="003E59C8" w:rsidRPr="006B25C5">
        <w:rPr>
          <w:rFonts w:ascii="Segoe UI" w:eastAsia="Times New Roman" w:hAnsi="Segoe UI" w:cs="Segoe UI"/>
          <w:b/>
          <w:color w:val="000000"/>
          <w:sz w:val="28"/>
          <w:szCs w:val="28"/>
          <w:lang w:val="id-ID"/>
        </w:rPr>
        <w:t>BURSA EFEK INDONESIA</w:t>
      </w:r>
    </w:p>
    <w:p w14:paraId="451C1EEB" w14:textId="49FE4097" w:rsidR="00FE608C" w:rsidRDefault="00A84B92" w:rsidP="00B73641">
      <w:pPr>
        <w:spacing w:after="0"/>
        <w:rPr>
          <w:rFonts w:ascii="Segoe UI" w:eastAsia="Times New Roman" w:hAnsi="Segoe UI" w:cs="Segoe UI"/>
          <w:b/>
          <w:i/>
          <w:iCs/>
          <w:color w:val="000000"/>
          <w:sz w:val="20"/>
          <w:szCs w:val="20"/>
        </w:rPr>
      </w:pPr>
      <w:r w:rsidRPr="006B25C5">
        <w:rPr>
          <w:rFonts w:ascii="Segoe UI" w:eastAsia="Times New Roman" w:hAnsi="Segoe UI" w:cs="Segoe UI"/>
          <w:b/>
          <w:i/>
          <w:iCs/>
          <w:color w:val="000000"/>
          <w:sz w:val="20"/>
          <w:szCs w:val="20"/>
        </w:rPr>
        <w:t xml:space="preserve">(Rp </w:t>
      </w:r>
      <w:proofErr w:type="spellStart"/>
      <w:r w:rsidRPr="006B25C5">
        <w:rPr>
          <w:rFonts w:ascii="Segoe UI" w:eastAsia="Times New Roman" w:hAnsi="Segoe UI" w:cs="Segoe UI"/>
          <w:b/>
          <w:i/>
          <w:iCs/>
          <w:color w:val="000000"/>
          <w:sz w:val="20"/>
          <w:szCs w:val="20"/>
        </w:rPr>
        <w:t>Miliar</w:t>
      </w:r>
      <w:proofErr w:type="spellEnd"/>
      <w:r w:rsidRPr="006B25C5">
        <w:rPr>
          <w:rFonts w:ascii="Segoe UI" w:eastAsia="Times New Roman" w:hAnsi="Segoe UI" w:cs="Segoe UI"/>
          <w:b/>
          <w:i/>
          <w:iCs/>
          <w:color w:val="000000"/>
          <w:sz w:val="20"/>
          <w:szCs w:val="20"/>
        </w:rPr>
        <w:t>)</w:t>
      </w:r>
      <w:r w:rsidR="00DC73B4" w:rsidRPr="006B25C5">
        <w:rPr>
          <w:rFonts w:ascii="Segoe UI" w:eastAsia="Times New Roman" w:hAnsi="Segoe UI" w:cs="Segoe UI"/>
          <w:b/>
          <w:i/>
          <w:iCs/>
          <w:color w:val="000000"/>
          <w:sz w:val="20"/>
          <w:szCs w:val="20"/>
        </w:rPr>
        <w:t xml:space="preserve"> </w:t>
      </w:r>
    </w:p>
    <w:p w14:paraId="62DAF58F" w14:textId="77777777" w:rsidR="00FC2007" w:rsidRPr="00A65EE8" w:rsidRDefault="00FC2007" w:rsidP="009916F3">
      <w:pPr>
        <w:spacing w:after="0"/>
        <w:rPr>
          <w:rFonts w:ascii="Segoe UI" w:eastAsia="Times New Roman" w:hAnsi="Segoe UI" w:cs="Segoe UI"/>
          <w:b/>
          <w:color w:val="000000"/>
          <w:sz w:val="28"/>
          <w:szCs w:val="28"/>
          <w:lang w:val="id-ID"/>
        </w:rPr>
      </w:pPr>
    </w:p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2247"/>
        <w:gridCol w:w="1621"/>
        <w:gridCol w:w="1681"/>
        <w:gridCol w:w="1317"/>
        <w:gridCol w:w="1167"/>
        <w:gridCol w:w="1317"/>
      </w:tblGrid>
      <w:tr w:rsidR="004A2237" w:rsidRPr="00A65EE8" w14:paraId="3388BA0E" w14:textId="13A06881" w:rsidTr="00065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hideMark/>
          </w:tcPr>
          <w:p w14:paraId="050B6723" w14:textId="646A0CAD" w:rsidR="00FC5F6B" w:rsidRPr="006B25C5" w:rsidRDefault="00FC5F6B" w:rsidP="00B73641">
            <w:pPr>
              <w:jc w:val="center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6B25C5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TAHUN</w:t>
            </w:r>
          </w:p>
        </w:tc>
        <w:tc>
          <w:tcPr>
            <w:tcW w:w="867" w:type="pct"/>
            <w:hideMark/>
          </w:tcPr>
          <w:p w14:paraId="21806AAE" w14:textId="54BFB20F" w:rsidR="00FC5F6B" w:rsidRPr="006B25C5" w:rsidRDefault="00FC5F6B" w:rsidP="00B73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6B25C5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JAKARTA ISLAMIC INDEX</w:t>
            </w:r>
          </w:p>
        </w:tc>
        <w:tc>
          <w:tcPr>
            <w:tcW w:w="899" w:type="pct"/>
            <w:hideMark/>
          </w:tcPr>
          <w:p w14:paraId="56895B31" w14:textId="0D47D346" w:rsidR="00FC5F6B" w:rsidRPr="006B25C5" w:rsidRDefault="00FC5F6B" w:rsidP="00B73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6B25C5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INDEKS SAHAM SYARIAH INDONESIA</w:t>
            </w:r>
          </w:p>
        </w:tc>
        <w:tc>
          <w:tcPr>
            <w:tcW w:w="704" w:type="pct"/>
          </w:tcPr>
          <w:p w14:paraId="6E7C59AA" w14:textId="43A89F4F" w:rsidR="00FC5F6B" w:rsidRPr="006B25C5" w:rsidRDefault="00FC5F6B" w:rsidP="00B73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6B25C5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JAKARTA ISLAMIC INDEX 70</w:t>
            </w:r>
          </w:p>
        </w:tc>
        <w:tc>
          <w:tcPr>
            <w:tcW w:w="624" w:type="pct"/>
          </w:tcPr>
          <w:p w14:paraId="40FE90C8" w14:textId="752B3743" w:rsidR="00FC5F6B" w:rsidRPr="006B25C5" w:rsidRDefault="00FC5F6B" w:rsidP="00B73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</w:pPr>
            <w:r w:rsidRPr="006B25C5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IDX-MES BUMN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 xml:space="preserve"> </w:t>
            </w:r>
            <w:r w:rsidRPr="006B25C5">
              <w:rPr>
                <w:rFonts w:ascii="Segoe UI" w:eastAsia="Times New Roman" w:hAnsi="Segoe UI" w:cs="Segoe UI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704" w:type="pct"/>
          </w:tcPr>
          <w:p w14:paraId="0BD5E134" w14:textId="22878443" w:rsidR="00FC5F6B" w:rsidRPr="00FC5F6B" w:rsidRDefault="00FC5F6B" w:rsidP="00B736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id-ID"/>
              </w:rPr>
              <w:t>IDX SHARIA GROWTH</w:t>
            </w:r>
          </w:p>
        </w:tc>
      </w:tr>
      <w:tr w:rsidR="004A2237" w:rsidRPr="00A65EE8" w14:paraId="44C14BDA" w14:textId="272D2E2E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1F568920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2000</w:t>
            </w:r>
          </w:p>
        </w:tc>
        <w:tc>
          <w:tcPr>
            <w:tcW w:w="867" w:type="pct"/>
            <w:noWrap/>
            <w:hideMark/>
          </w:tcPr>
          <w:p w14:paraId="55D74287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74.268,92</w:t>
            </w:r>
          </w:p>
        </w:tc>
        <w:tc>
          <w:tcPr>
            <w:tcW w:w="899" w:type="pct"/>
            <w:noWrap/>
            <w:hideMark/>
          </w:tcPr>
          <w:p w14:paraId="3E200DD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6EBF879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3E2E669E" w14:textId="47930960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0B516D96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65EE8663" w14:textId="4DE5C2EC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4687B340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2001</w:t>
            </w:r>
          </w:p>
        </w:tc>
        <w:tc>
          <w:tcPr>
            <w:tcW w:w="867" w:type="pct"/>
            <w:noWrap/>
            <w:hideMark/>
          </w:tcPr>
          <w:p w14:paraId="5EF47BE9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87.731,59</w:t>
            </w:r>
          </w:p>
        </w:tc>
        <w:tc>
          <w:tcPr>
            <w:tcW w:w="899" w:type="pct"/>
            <w:noWrap/>
            <w:hideMark/>
          </w:tcPr>
          <w:p w14:paraId="6442756E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649FEA5B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114F203B" w14:textId="6EDB95A4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0273B0C1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4E9E7A94" w14:textId="2B508780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0AA6824C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2002</w:t>
            </w:r>
          </w:p>
        </w:tc>
        <w:tc>
          <w:tcPr>
            <w:tcW w:w="867" w:type="pct"/>
            <w:noWrap/>
            <w:hideMark/>
          </w:tcPr>
          <w:p w14:paraId="30E15A87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92.070,49</w:t>
            </w:r>
          </w:p>
        </w:tc>
        <w:tc>
          <w:tcPr>
            <w:tcW w:w="899" w:type="pct"/>
            <w:noWrap/>
            <w:hideMark/>
          </w:tcPr>
          <w:p w14:paraId="505ABA5E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43AC935F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06981A50" w14:textId="7908B8C0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4B6AF37F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208B4DA9" w14:textId="610C303E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30D15C27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2003</w:t>
            </w:r>
          </w:p>
        </w:tc>
        <w:tc>
          <w:tcPr>
            <w:tcW w:w="867" w:type="pct"/>
            <w:noWrap/>
            <w:hideMark/>
          </w:tcPr>
          <w:p w14:paraId="6AC91C95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177.781,89</w:t>
            </w:r>
          </w:p>
        </w:tc>
        <w:tc>
          <w:tcPr>
            <w:tcW w:w="899" w:type="pct"/>
            <w:noWrap/>
            <w:hideMark/>
          </w:tcPr>
          <w:p w14:paraId="405A66DB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6728BA98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79E0D06F" w14:textId="5EA48779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2BA3A3F3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20BCE58D" w14:textId="3FD56A8F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1B2F0A37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2004</w:t>
            </w:r>
          </w:p>
        </w:tc>
        <w:tc>
          <w:tcPr>
            <w:tcW w:w="867" w:type="pct"/>
            <w:noWrap/>
            <w:hideMark/>
          </w:tcPr>
          <w:p w14:paraId="76A78DD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263.863,34</w:t>
            </w:r>
          </w:p>
        </w:tc>
        <w:tc>
          <w:tcPr>
            <w:tcW w:w="899" w:type="pct"/>
            <w:noWrap/>
            <w:hideMark/>
          </w:tcPr>
          <w:p w14:paraId="14F92AE1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35EEAF03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34CAE4F6" w14:textId="68EE122F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7965BC26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3863BD54" w14:textId="4EEFF397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09BF1570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2005</w:t>
            </w:r>
          </w:p>
        </w:tc>
        <w:tc>
          <w:tcPr>
            <w:tcW w:w="867" w:type="pct"/>
            <w:noWrap/>
            <w:hideMark/>
          </w:tcPr>
          <w:p w14:paraId="02A61A8B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395.649,84</w:t>
            </w:r>
          </w:p>
        </w:tc>
        <w:tc>
          <w:tcPr>
            <w:tcW w:w="899" w:type="pct"/>
            <w:noWrap/>
            <w:hideMark/>
          </w:tcPr>
          <w:p w14:paraId="39550A75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0E7EFAAF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37485DEB" w14:textId="103C7E20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6660D65F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78A75D30" w14:textId="2C0CF7A5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65630A5E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2006</w:t>
            </w:r>
          </w:p>
        </w:tc>
        <w:tc>
          <w:tcPr>
            <w:tcW w:w="867" w:type="pct"/>
            <w:noWrap/>
            <w:hideMark/>
          </w:tcPr>
          <w:p w14:paraId="2391A399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620.165,31</w:t>
            </w:r>
          </w:p>
        </w:tc>
        <w:tc>
          <w:tcPr>
            <w:tcW w:w="899" w:type="pct"/>
            <w:noWrap/>
            <w:hideMark/>
          </w:tcPr>
          <w:p w14:paraId="253DEA31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534E29D3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539411EC" w14:textId="7BBF5E6C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0885357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67999F6E" w14:textId="79608C09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47AEFCF6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2007</w:t>
            </w:r>
          </w:p>
        </w:tc>
        <w:tc>
          <w:tcPr>
            <w:tcW w:w="867" w:type="pct"/>
            <w:noWrap/>
            <w:hideMark/>
          </w:tcPr>
          <w:p w14:paraId="1F2B5365" w14:textId="2CA750DB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1.105.897,25</w:t>
            </w:r>
          </w:p>
        </w:tc>
        <w:tc>
          <w:tcPr>
            <w:tcW w:w="899" w:type="pct"/>
            <w:noWrap/>
            <w:hideMark/>
          </w:tcPr>
          <w:p w14:paraId="5C2AFDFD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785ECADE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4168BB0B" w14:textId="77965C6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07E940DD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5FC3A516" w14:textId="1A6A210D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0B8637AD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2008</w:t>
            </w:r>
          </w:p>
        </w:tc>
        <w:tc>
          <w:tcPr>
            <w:tcW w:w="867" w:type="pct"/>
            <w:noWrap/>
            <w:hideMark/>
          </w:tcPr>
          <w:p w14:paraId="37128CDD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428.525,74</w:t>
            </w:r>
          </w:p>
        </w:tc>
        <w:tc>
          <w:tcPr>
            <w:tcW w:w="899" w:type="pct"/>
            <w:noWrap/>
            <w:hideMark/>
          </w:tcPr>
          <w:p w14:paraId="5DB2C9C8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2EF3F32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463EF450" w14:textId="5E63CF55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74829D20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60E4A688" w14:textId="51D2D7AC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6FA1243E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2009</w:t>
            </w:r>
          </w:p>
        </w:tc>
        <w:tc>
          <w:tcPr>
            <w:tcW w:w="867" w:type="pct"/>
            <w:noWrap/>
            <w:hideMark/>
          </w:tcPr>
          <w:p w14:paraId="13F843E8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937.919,08</w:t>
            </w:r>
          </w:p>
        </w:tc>
        <w:tc>
          <w:tcPr>
            <w:tcW w:w="899" w:type="pct"/>
            <w:noWrap/>
            <w:hideMark/>
          </w:tcPr>
          <w:p w14:paraId="3651C59E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7A1709EC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52736B9B" w14:textId="3615C9B8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20A8D5DA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419C7012" w14:textId="0820C30C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3ED59CBA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2010</w:t>
            </w:r>
          </w:p>
        </w:tc>
        <w:tc>
          <w:tcPr>
            <w:tcW w:w="867" w:type="pct"/>
            <w:noWrap/>
            <w:hideMark/>
          </w:tcPr>
          <w:p w14:paraId="23EA65F0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1.134.632,00</w:t>
            </w:r>
          </w:p>
        </w:tc>
        <w:tc>
          <w:tcPr>
            <w:tcW w:w="899" w:type="pct"/>
            <w:noWrap/>
            <w:hideMark/>
          </w:tcPr>
          <w:p w14:paraId="72555DE9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5000968D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18315C96" w14:textId="7CE86983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6BE75556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6D106C0B" w14:textId="24C1A401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29843C01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2011</w:t>
            </w:r>
          </w:p>
        </w:tc>
        <w:tc>
          <w:tcPr>
            <w:tcW w:w="867" w:type="pct"/>
            <w:noWrap/>
            <w:hideMark/>
          </w:tcPr>
          <w:p w14:paraId="50FEC78E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1.414.983,81</w:t>
            </w:r>
          </w:p>
        </w:tc>
        <w:tc>
          <w:tcPr>
            <w:tcW w:w="899" w:type="pct"/>
            <w:noWrap/>
            <w:hideMark/>
          </w:tcPr>
          <w:p w14:paraId="593A8094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1.968.091,37</w:t>
            </w:r>
          </w:p>
        </w:tc>
        <w:tc>
          <w:tcPr>
            <w:tcW w:w="704" w:type="pct"/>
          </w:tcPr>
          <w:p w14:paraId="3463A07B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437CCEF5" w14:textId="7B24C65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33BD733C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4175B9DD" w14:textId="05FA9978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2A0DC846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2012</w:t>
            </w:r>
          </w:p>
        </w:tc>
        <w:tc>
          <w:tcPr>
            <w:tcW w:w="867" w:type="pct"/>
            <w:noWrap/>
            <w:hideMark/>
          </w:tcPr>
          <w:p w14:paraId="6DC8FD0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1.671.004,23</w:t>
            </w:r>
          </w:p>
        </w:tc>
        <w:tc>
          <w:tcPr>
            <w:tcW w:w="899" w:type="pct"/>
            <w:noWrap/>
            <w:hideMark/>
          </w:tcPr>
          <w:p w14:paraId="529F8F9E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2.451.334,37</w:t>
            </w:r>
          </w:p>
        </w:tc>
        <w:tc>
          <w:tcPr>
            <w:tcW w:w="704" w:type="pct"/>
          </w:tcPr>
          <w:p w14:paraId="4E558254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27AB6049" w14:textId="4CD9EC45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79DE4DCF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4FEF98E2" w14:textId="605BE766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5C683BF5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2013</w:t>
            </w:r>
          </w:p>
        </w:tc>
        <w:tc>
          <w:tcPr>
            <w:tcW w:w="867" w:type="pct"/>
            <w:noWrap/>
            <w:hideMark/>
          </w:tcPr>
          <w:p w14:paraId="25D11CB1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1.672.099,91</w:t>
            </w:r>
          </w:p>
        </w:tc>
        <w:tc>
          <w:tcPr>
            <w:tcW w:w="899" w:type="pct"/>
            <w:noWrap/>
            <w:hideMark/>
          </w:tcPr>
          <w:p w14:paraId="62468159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2.557.846,77</w:t>
            </w:r>
          </w:p>
        </w:tc>
        <w:tc>
          <w:tcPr>
            <w:tcW w:w="704" w:type="pct"/>
          </w:tcPr>
          <w:p w14:paraId="45DD255F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4269484A" w14:textId="5F49E5DC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40C90ECB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4C2D432C" w14:textId="7C495A4F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35C8FB1B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2014</w:t>
            </w:r>
          </w:p>
        </w:tc>
        <w:tc>
          <w:tcPr>
            <w:tcW w:w="867" w:type="pct"/>
            <w:noWrap/>
            <w:hideMark/>
          </w:tcPr>
          <w:p w14:paraId="7A560EF3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1.944.531,70</w:t>
            </w:r>
          </w:p>
        </w:tc>
        <w:tc>
          <w:tcPr>
            <w:tcW w:w="899" w:type="pct"/>
            <w:noWrap/>
            <w:hideMark/>
          </w:tcPr>
          <w:p w14:paraId="52887FCE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2.946.892,79</w:t>
            </w:r>
          </w:p>
        </w:tc>
        <w:tc>
          <w:tcPr>
            <w:tcW w:w="704" w:type="pct"/>
          </w:tcPr>
          <w:p w14:paraId="599BE1AB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1688CBAD" w14:textId="31041E1C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251A7D5D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01E51880" w14:textId="04482B96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  <w:hideMark/>
          </w:tcPr>
          <w:p w14:paraId="7F76D7F5" w14:textId="77777777" w:rsidR="00FC5F6B" w:rsidRPr="00397B2B" w:rsidRDefault="00FC5F6B" w:rsidP="00D521AF">
            <w:pPr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</w:pPr>
            <w:r w:rsidRPr="00397B2B">
              <w:rPr>
                <w:rFonts w:ascii="Candara" w:eastAsia="Times New Roman" w:hAnsi="Candara" w:cs="Segoe UI"/>
                <w:sz w:val="20"/>
                <w:szCs w:val="20"/>
                <w:lang w:val="id-ID" w:eastAsia="id-ID"/>
              </w:rPr>
              <w:t>2015</w:t>
            </w:r>
          </w:p>
        </w:tc>
        <w:tc>
          <w:tcPr>
            <w:tcW w:w="867" w:type="pct"/>
            <w:noWrap/>
            <w:hideMark/>
          </w:tcPr>
          <w:p w14:paraId="0D47BE34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1.737.290,98</w:t>
            </w:r>
          </w:p>
        </w:tc>
        <w:tc>
          <w:tcPr>
            <w:tcW w:w="899" w:type="pct"/>
            <w:noWrap/>
            <w:hideMark/>
          </w:tcPr>
          <w:p w14:paraId="14588F75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2.600.850,72</w:t>
            </w:r>
          </w:p>
        </w:tc>
        <w:tc>
          <w:tcPr>
            <w:tcW w:w="704" w:type="pct"/>
          </w:tcPr>
          <w:p w14:paraId="248448AF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59D6F16D" w14:textId="0603F550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5FBCC1F4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368D002C" w14:textId="67698AC6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4CE99F72" w14:textId="77777777" w:rsidR="00FC5F6B" w:rsidRPr="00397B2B" w:rsidRDefault="00FC5F6B" w:rsidP="00D521AF">
            <w:pPr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2016</w:t>
            </w:r>
          </w:p>
        </w:tc>
        <w:tc>
          <w:tcPr>
            <w:tcW w:w="867" w:type="pct"/>
            <w:noWrap/>
          </w:tcPr>
          <w:p w14:paraId="3996B40E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2.035.189,92</w:t>
            </w:r>
          </w:p>
        </w:tc>
        <w:tc>
          <w:tcPr>
            <w:tcW w:w="899" w:type="pct"/>
            <w:noWrap/>
          </w:tcPr>
          <w:p w14:paraId="65864D2F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3.170.056,08</w:t>
            </w:r>
          </w:p>
        </w:tc>
        <w:tc>
          <w:tcPr>
            <w:tcW w:w="704" w:type="pct"/>
          </w:tcPr>
          <w:p w14:paraId="6C4BE494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51A9EEA3" w14:textId="60E6A912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56FDC5AA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76F37936" w14:textId="6094EEA3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5A4C5BF1" w14:textId="77777777" w:rsidR="00FC5F6B" w:rsidRPr="00397B2B" w:rsidRDefault="00FC5F6B" w:rsidP="00D521AF">
            <w:pPr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2017</w:t>
            </w:r>
          </w:p>
        </w:tc>
        <w:tc>
          <w:tcPr>
            <w:tcW w:w="867" w:type="pct"/>
            <w:noWrap/>
          </w:tcPr>
          <w:p w14:paraId="3E702316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2.288.015,67</w:t>
            </w:r>
          </w:p>
        </w:tc>
        <w:tc>
          <w:tcPr>
            <w:tcW w:w="899" w:type="pct"/>
            <w:noWrap/>
          </w:tcPr>
          <w:p w14:paraId="6EFEEA77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3.704.543,09</w:t>
            </w:r>
          </w:p>
        </w:tc>
        <w:tc>
          <w:tcPr>
            <w:tcW w:w="704" w:type="pct"/>
          </w:tcPr>
          <w:p w14:paraId="4475D183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624" w:type="pct"/>
          </w:tcPr>
          <w:p w14:paraId="247C5CD0" w14:textId="0BF0FB6C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4C93C1EC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7484E01F" w14:textId="5B836B5A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757DF8A9" w14:textId="77777777" w:rsidR="00FC5F6B" w:rsidRPr="00397B2B" w:rsidRDefault="00FC5F6B" w:rsidP="00D521AF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2018</w:t>
            </w:r>
          </w:p>
        </w:tc>
        <w:tc>
          <w:tcPr>
            <w:tcW w:w="867" w:type="pct"/>
            <w:noWrap/>
          </w:tcPr>
          <w:p w14:paraId="7CB968E5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2.239.507,78</w:t>
            </w:r>
          </w:p>
        </w:tc>
        <w:tc>
          <w:tcPr>
            <w:tcW w:w="899" w:type="pct"/>
            <w:noWrap/>
          </w:tcPr>
          <w:p w14:paraId="6FFA22FB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3.666.688,31</w:t>
            </w:r>
          </w:p>
        </w:tc>
        <w:tc>
          <w:tcPr>
            <w:tcW w:w="704" w:type="pct"/>
          </w:tcPr>
          <w:p w14:paraId="6A1CF8E2" w14:textId="29D5BACD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2.715.851,74</w:t>
            </w:r>
          </w:p>
        </w:tc>
        <w:tc>
          <w:tcPr>
            <w:tcW w:w="624" w:type="pct"/>
          </w:tcPr>
          <w:p w14:paraId="1993EEAF" w14:textId="36EA1695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5BBA35C2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68B48750" w14:textId="11AD3A0E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2897064A" w14:textId="3D0BC1BA" w:rsidR="00FC5F6B" w:rsidRPr="00397B2B" w:rsidRDefault="00FC5F6B" w:rsidP="00D521AF">
            <w:pPr>
              <w:ind w:left="-148" w:firstLine="148"/>
              <w:rPr>
                <w:rFonts w:ascii="Candara" w:hAnsi="Candara" w:cs="Segoe UI"/>
                <w:sz w:val="20"/>
                <w:szCs w:val="20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 xml:space="preserve">2019    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 xml:space="preserve">          </w:t>
            </w:r>
          </w:p>
        </w:tc>
        <w:tc>
          <w:tcPr>
            <w:tcW w:w="867" w:type="pct"/>
            <w:noWrap/>
          </w:tcPr>
          <w:p w14:paraId="44D916A1" w14:textId="076C0AC4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2.318.565,69</w:t>
            </w:r>
          </w:p>
        </w:tc>
        <w:tc>
          <w:tcPr>
            <w:tcW w:w="899" w:type="pct"/>
            <w:noWrap/>
          </w:tcPr>
          <w:p w14:paraId="5745FED8" w14:textId="2D807338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3.744.816,32</w:t>
            </w:r>
          </w:p>
        </w:tc>
        <w:tc>
          <w:tcPr>
            <w:tcW w:w="704" w:type="pct"/>
          </w:tcPr>
          <w:p w14:paraId="334E94F0" w14:textId="70BBA78B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2.800.001,49</w:t>
            </w:r>
          </w:p>
        </w:tc>
        <w:tc>
          <w:tcPr>
            <w:tcW w:w="624" w:type="pct"/>
          </w:tcPr>
          <w:p w14:paraId="1D92F784" w14:textId="4D711C62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3D98F81D" w14:textId="77777777" w:rsidR="00FC5F6B" w:rsidRPr="00A65EE8" w:rsidRDefault="00FC5F6B" w:rsidP="00D521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02DC7370" w14:textId="30733FE3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4389295D" w14:textId="29F002DD" w:rsidR="00FC5F6B" w:rsidRPr="00397B2B" w:rsidRDefault="00FC5F6B" w:rsidP="00D521AF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>20</w:t>
            </w:r>
          </w:p>
        </w:tc>
        <w:tc>
          <w:tcPr>
            <w:tcW w:w="867" w:type="pct"/>
            <w:noWrap/>
          </w:tcPr>
          <w:p w14:paraId="0004BAC4" w14:textId="623CF873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058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772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65</w:t>
            </w:r>
          </w:p>
        </w:tc>
        <w:tc>
          <w:tcPr>
            <w:tcW w:w="899" w:type="pct"/>
            <w:noWrap/>
          </w:tcPr>
          <w:p w14:paraId="507DACD8" w14:textId="58143F73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344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926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704" w:type="pct"/>
          </w:tcPr>
          <w:p w14:paraId="005CCACB" w14:textId="1BD2F94B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527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421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624" w:type="pct"/>
          </w:tcPr>
          <w:p w14:paraId="4E51B8F0" w14:textId="075AB5AB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A65EE8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  <w:tc>
          <w:tcPr>
            <w:tcW w:w="704" w:type="pct"/>
          </w:tcPr>
          <w:p w14:paraId="5066A8A7" w14:textId="77777777" w:rsidR="00FC5F6B" w:rsidRPr="00A65EE8" w:rsidRDefault="00FC5F6B" w:rsidP="00D521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4A2237" w:rsidRPr="00A65EE8" w14:paraId="4D55721E" w14:textId="0D60E98F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1FE1CA56" w14:textId="1B1507FC" w:rsidR="00FC5F6B" w:rsidRPr="00397B2B" w:rsidRDefault="00FC5F6B" w:rsidP="003A462A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>21</w:t>
            </w:r>
          </w:p>
        </w:tc>
        <w:tc>
          <w:tcPr>
            <w:tcW w:w="867" w:type="pct"/>
            <w:noWrap/>
          </w:tcPr>
          <w:p w14:paraId="341C0C0D" w14:textId="773167B2" w:rsidR="00FC5F6B" w:rsidRPr="00A65EE8" w:rsidRDefault="00FC5F6B" w:rsidP="003A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015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192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899" w:type="pct"/>
            <w:noWrap/>
          </w:tcPr>
          <w:p w14:paraId="33071B27" w14:textId="3D641505" w:rsidR="00FC5F6B" w:rsidRPr="00A65EE8" w:rsidRDefault="00FC5F6B" w:rsidP="003A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983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652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80</w:t>
            </w:r>
          </w:p>
        </w:tc>
        <w:tc>
          <w:tcPr>
            <w:tcW w:w="704" w:type="pct"/>
          </w:tcPr>
          <w:p w14:paraId="32A96523" w14:textId="438741D9" w:rsidR="00FC5F6B" w:rsidRPr="00A65EE8" w:rsidRDefault="00FC5F6B" w:rsidP="003A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539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123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  <w:t>39</w:t>
            </w:r>
          </w:p>
        </w:tc>
        <w:tc>
          <w:tcPr>
            <w:tcW w:w="624" w:type="pct"/>
          </w:tcPr>
          <w:p w14:paraId="2799AB82" w14:textId="36F6044A" w:rsidR="00FC5F6B" w:rsidRPr="00A65EE8" w:rsidRDefault="00FC5F6B" w:rsidP="003A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692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.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735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,</w:t>
            </w:r>
            <w:r w:rsidRPr="00364BE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704" w:type="pct"/>
          </w:tcPr>
          <w:p w14:paraId="59ECD316" w14:textId="77777777" w:rsidR="00FC5F6B" w:rsidRPr="00364BED" w:rsidRDefault="00FC5F6B" w:rsidP="003A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</w:p>
        </w:tc>
      </w:tr>
      <w:tr w:rsidR="00B84659" w:rsidRPr="00A65EE8" w14:paraId="17301064" w14:textId="6D6ADF69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70B7F6E1" w14:textId="21071175" w:rsidR="00B84659" w:rsidRPr="00397B2B" w:rsidRDefault="00B84659" w:rsidP="00B84659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>2</w:t>
            </w:r>
            <w:r>
              <w:rPr>
                <w:rFonts w:ascii="Candara" w:hAnsi="Candara" w:cs="Segoe UI"/>
                <w:sz w:val="20"/>
                <w:szCs w:val="20"/>
              </w:rPr>
              <w:t>2</w:t>
            </w: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 xml:space="preserve">    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 xml:space="preserve">          </w:t>
            </w:r>
          </w:p>
        </w:tc>
        <w:tc>
          <w:tcPr>
            <w:tcW w:w="867" w:type="pct"/>
            <w:noWrap/>
          </w:tcPr>
          <w:p w14:paraId="5C870861" w14:textId="51994128" w:rsidR="00B84659" w:rsidRPr="00A65EE8" w:rsidRDefault="00B84659" w:rsidP="00B84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2.155.449,41</w:t>
            </w:r>
          </w:p>
        </w:tc>
        <w:tc>
          <w:tcPr>
            <w:tcW w:w="899" w:type="pct"/>
            <w:noWrap/>
          </w:tcPr>
          <w:p w14:paraId="435947C8" w14:textId="71DEB47C" w:rsidR="00B84659" w:rsidRPr="00A65EE8" w:rsidRDefault="00B84659" w:rsidP="00B84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4.786.015,74</w:t>
            </w:r>
          </w:p>
        </w:tc>
        <w:tc>
          <w:tcPr>
            <w:tcW w:w="704" w:type="pct"/>
          </w:tcPr>
          <w:p w14:paraId="532395A1" w14:textId="40F1C617" w:rsidR="00B84659" w:rsidRPr="00A65EE8" w:rsidRDefault="00B84659" w:rsidP="00B84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2.668.041,87</w:t>
            </w:r>
          </w:p>
        </w:tc>
        <w:tc>
          <w:tcPr>
            <w:tcW w:w="624" w:type="pct"/>
          </w:tcPr>
          <w:p w14:paraId="551F0B3B" w14:textId="0F3F64E3" w:rsidR="00B84659" w:rsidRPr="00A65EE8" w:rsidRDefault="00B84659" w:rsidP="00B84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647.031,25</w:t>
            </w:r>
          </w:p>
        </w:tc>
        <w:tc>
          <w:tcPr>
            <w:tcW w:w="704" w:type="pct"/>
          </w:tcPr>
          <w:p w14:paraId="3809B8FB" w14:textId="0E0E0FC4" w:rsidR="00B84659" w:rsidRPr="003A462A" w:rsidRDefault="00B84659" w:rsidP="00B84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1.121.661,17</w:t>
            </w:r>
          </w:p>
        </w:tc>
      </w:tr>
      <w:tr w:rsidR="00B84659" w:rsidRPr="00A65EE8" w14:paraId="1C56CCB7" w14:textId="77777777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65EEEA79" w14:textId="4B5AB994" w:rsidR="00B84659" w:rsidRPr="00397B2B" w:rsidRDefault="00B84659" w:rsidP="00B84659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id-ID"/>
              </w:rPr>
            </w:pP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>20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>2</w:t>
            </w:r>
            <w:r>
              <w:rPr>
                <w:rFonts w:ascii="Candara" w:hAnsi="Candara" w:cs="Segoe UI"/>
                <w:sz w:val="20"/>
                <w:szCs w:val="20"/>
              </w:rPr>
              <w:t>3</w:t>
            </w: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 xml:space="preserve">    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 xml:space="preserve">          Januari</w:t>
            </w:r>
          </w:p>
        </w:tc>
        <w:tc>
          <w:tcPr>
            <w:tcW w:w="867" w:type="pct"/>
            <w:noWrap/>
          </w:tcPr>
          <w:p w14:paraId="19A5FFC0" w14:textId="035CDC70" w:rsidR="00B84659" w:rsidRDefault="00C425CE" w:rsidP="00B8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2.116.902,03</w:t>
            </w:r>
          </w:p>
        </w:tc>
        <w:tc>
          <w:tcPr>
            <w:tcW w:w="899" w:type="pct"/>
            <w:noWrap/>
          </w:tcPr>
          <w:p w14:paraId="1051206D" w14:textId="393DAE61" w:rsidR="00B84659" w:rsidRDefault="00C425CE" w:rsidP="00B8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4.680.534,04</w:t>
            </w:r>
          </w:p>
        </w:tc>
        <w:tc>
          <w:tcPr>
            <w:tcW w:w="704" w:type="pct"/>
          </w:tcPr>
          <w:p w14:paraId="1355A781" w14:textId="03273D4B" w:rsidR="00B84659" w:rsidRDefault="00C425CE" w:rsidP="00B8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2.617.803,20</w:t>
            </w:r>
          </w:p>
        </w:tc>
        <w:tc>
          <w:tcPr>
            <w:tcW w:w="624" w:type="pct"/>
          </w:tcPr>
          <w:p w14:paraId="5807B24A" w14:textId="5A810940" w:rsidR="00B84659" w:rsidRDefault="00C425CE" w:rsidP="00B8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663.100,76</w:t>
            </w:r>
          </w:p>
        </w:tc>
        <w:tc>
          <w:tcPr>
            <w:tcW w:w="704" w:type="pct"/>
          </w:tcPr>
          <w:p w14:paraId="3A4FA417" w14:textId="7306C4E8" w:rsidR="00B84659" w:rsidRDefault="00C425CE" w:rsidP="00B8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1.124.905,60</w:t>
            </w:r>
          </w:p>
        </w:tc>
      </w:tr>
      <w:tr w:rsidR="00487586" w:rsidRPr="00A65EE8" w14:paraId="2899227B" w14:textId="77777777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3F7FE2DB" w14:textId="58EC4398" w:rsidR="00487586" w:rsidRPr="00397B2B" w:rsidRDefault="00487586" w:rsidP="00487586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id-ID"/>
              </w:rPr>
            </w:pPr>
            <w:r>
              <w:rPr>
                <w:rFonts w:ascii="Candara" w:hAnsi="Candara" w:cs="Segoe UI"/>
                <w:sz w:val="20"/>
                <w:szCs w:val="20"/>
                <w:lang w:val="en-GB"/>
              </w:rPr>
              <w:t xml:space="preserve">         </w:t>
            </w: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 xml:space="preserve">    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ndara" w:hAnsi="Candara" w:cs="Segoe UI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867" w:type="pct"/>
            <w:noWrap/>
          </w:tcPr>
          <w:p w14:paraId="282EBEF5" w14:textId="75E1B60E" w:rsidR="00487586" w:rsidRDefault="008C0474" w:rsidP="00487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 w:rsidRPr="008C0474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2,118,411.28</w:t>
            </w:r>
          </w:p>
        </w:tc>
        <w:tc>
          <w:tcPr>
            <w:tcW w:w="899" w:type="pct"/>
            <w:noWrap/>
          </w:tcPr>
          <w:p w14:paraId="246076DA" w14:textId="6E71CA9B" w:rsidR="00487586" w:rsidRDefault="008C0474" w:rsidP="00487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8C04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4,726,212.01</w:t>
            </w:r>
          </w:p>
        </w:tc>
        <w:tc>
          <w:tcPr>
            <w:tcW w:w="704" w:type="pct"/>
          </w:tcPr>
          <w:p w14:paraId="23BC455D" w14:textId="1631B7A8" w:rsidR="00487586" w:rsidRDefault="008C0474" w:rsidP="00487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 w:rsidRPr="008C0474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2,632,004.69</w:t>
            </w:r>
          </w:p>
        </w:tc>
        <w:tc>
          <w:tcPr>
            <w:tcW w:w="624" w:type="pct"/>
          </w:tcPr>
          <w:p w14:paraId="08BDD528" w14:textId="5D318962" w:rsidR="00487586" w:rsidRDefault="008C0474" w:rsidP="00487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8C04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669,906.41</w:t>
            </w:r>
          </w:p>
        </w:tc>
        <w:tc>
          <w:tcPr>
            <w:tcW w:w="704" w:type="pct"/>
          </w:tcPr>
          <w:p w14:paraId="75A7273C" w14:textId="3C248774" w:rsidR="00487586" w:rsidRDefault="008C0474" w:rsidP="00487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8C047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1,165,454.12</w:t>
            </w:r>
          </w:p>
        </w:tc>
      </w:tr>
      <w:tr w:rsidR="00566AE9" w:rsidRPr="00A65EE8" w14:paraId="68ADF10F" w14:textId="77777777" w:rsidTr="00065C5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1AE45010" w14:textId="2A629845" w:rsidR="00566AE9" w:rsidRDefault="00566AE9" w:rsidP="00566AE9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en-GB"/>
              </w:rPr>
            </w:pPr>
            <w:r>
              <w:rPr>
                <w:rFonts w:ascii="Candara" w:hAnsi="Candara" w:cs="Segoe UI"/>
                <w:sz w:val="20"/>
                <w:szCs w:val="20"/>
                <w:lang w:val="en-GB"/>
              </w:rPr>
              <w:t xml:space="preserve">         </w:t>
            </w: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 xml:space="preserve">    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 xml:space="preserve">          </w:t>
            </w:r>
            <w:r>
              <w:rPr>
                <w:rFonts w:ascii="Candara" w:hAnsi="Candara" w:cs="Segoe UI"/>
                <w:sz w:val="20"/>
                <w:szCs w:val="20"/>
              </w:rPr>
              <w:t>Maret</w:t>
            </w:r>
          </w:p>
        </w:tc>
        <w:tc>
          <w:tcPr>
            <w:tcW w:w="867" w:type="pct"/>
            <w:noWrap/>
          </w:tcPr>
          <w:p w14:paraId="43E04815" w14:textId="1680B99B" w:rsidR="00566AE9" w:rsidRPr="008C0474" w:rsidRDefault="00566AE9" w:rsidP="00566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 w:rsidRPr="00566AE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2,117,267.55</w:t>
            </w:r>
          </w:p>
        </w:tc>
        <w:tc>
          <w:tcPr>
            <w:tcW w:w="899" w:type="pct"/>
            <w:noWrap/>
          </w:tcPr>
          <w:p w14:paraId="0E3A3868" w14:textId="01C19876" w:rsidR="00566AE9" w:rsidRPr="008C0474" w:rsidRDefault="00566AE9" w:rsidP="00566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566AE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4,760,828.11</w:t>
            </w:r>
          </w:p>
        </w:tc>
        <w:tc>
          <w:tcPr>
            <w:tcW w:w="704" w:type="pct"/>
          </w:tcPr>
          <w:p w14:paraId="6A929B09" w14:textId="42A6995E" w:rsidR="00566AE9" w:rsidRPr="008C0474" w:rsidRDefault="00566AE9" w:rsidP="00566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 w:rsidRPr="00566AE9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2,620,516.97</w:t>
            </w:r>
          </w:p>
        </w:tc>
        <w:tc>
          <w:tcPr>
            <w:tcW w:w="624" w:type="pct"/>
          </w:tcPr>
          <w:p w14:paraId="15529D63" w14:textId="469A0C26" w:rsidR="00566AE9" w:rsidRPr="008C0474" w:rsidRDefault="00566AE9" w:rsidP="00566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566AE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684,454.82</w:t>
            </w:r>
          </w:p>
        </w:tc>
        <w:tc>
          <w:tcPr>
            <w:tcW w:w="704" w:type="pct"/>
          </w:tcPr>
          <w:p w14:paraId="1D6C8EC6" w14:textId="6F5FD90E" w:rsidR="00566AE9" w:rsidRPr="008C0474" w:rsidRDefault="00566AE9" w:rsidP="00566A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566AE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1,188,769.02</w:t>
            </w:r>
          </w:p>
        </w:tc>
      </w:tr>
      <w:tr w:rsidR="00DA236C" w:rsidRPr="00A65EE8" w14:paraId="373293AE" w14:textId="77777777" w:rsidTr="00065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noWrap/>
          </w:tcPr>
          <w:p w14:paraId="7A65ECE1" w14:textId="210F5143" w:rsidR="00DA236C" w:rsidRDefault="00DA236C" w:rsidP="00DA236C">
            <w:pPr>
              <w:ind w:left="-148" w:firstLine="148"/>
              <w:rPr>
                <w:rFonts w:ascii="Candara" w:hAnsi="Candara" w:cs="Segoe UI"/>
                <w:sz w:val="20"/>
                <w:szCs w:val="20"/>
                <w:lang w:val="en-GB"/>
              </w:rPr>
            </w:pPr>
            <w:r>
              <w:rPr>
                <w:rFonts w:ascii="Candara" w:hAnsi="Candara" w:cs="Segoe UI"/>
                <w:sz w:val="20"/>
                <w:szCs w:val="20"/>
                <w:lang w:val="en-GB"/>
              </w:rPr>
              <w:t xml:space="preserve">         </w:t>
            </w:r>
            <w:r w:rsidRPr="00397B2B">
              <w:rPr>
                <w:rFonts w:ascii="Candara" w:hAnsi="Candara" w:cs="Segoe UI"/>
                <w:sz w:val="20"/>
                <w:szCs w:val="20"/>
                <w:lang w:val="id-ID"/>
              </w:rPr>
              <w:t xml:space="preserve">    </w:t>
            </w:r>
            <w:r w:rsidRPr="00397B2B">
              <w:rPr>
                <w:rFonts w:ascii="Candara" w:hAnsi="Candara" w:cs="Segoe UI"/>
                <w:sz w:val="20"/>
                <w:szCs w:val="20"/>
              </w:rPr>
              <w:t xml:space="preserve">          </w:t>
            </w:r>
            <w:r>
              <w:rPr>
                <w:rFonts w:ascii="Candara" w:hAnsi="Candara" w:cs="Segoe UI"/>
                <w:sz w:val="20"/>
                <w:szCs w:val="20"/>
              </w:rPr>
              <w:t>April</w:t>
            </w:r>
          </w:p>
        </w:tc>
        <w:tc>
          <w:tcPr>
            <w:tcW w:w="867" w:type="pct"/>
            <w:noWrap/>
          </w:tcPr>
          <w:p w14:paraId="333D5C90" w14:textId="564E2C08" w:rsidR="00DA236C" w:rsidRPr="00566AE9" w:rsidRDefault="00DA236C" w:rsidP="00DA2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 w:rsidRPr="00DA236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2,146,128.96</w:t>
            </w:r>
          </w:p>
        </w:tc>
        <w:tc>
          <w:tcPr>
            <w:tcW w:w="899" w:type="pct"/>
            <w:noWrap/>
          </w:tcPr>
          <w:p w14:paraId="5414DEA5" w14:textId="1FF2CCEF" w:rsidR="00DA236C" w:rsidRPr="00566AE9" w:rsidRDefault="00DA236C" w:rsidP="00DA2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DA236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4,995,835.68</w:t>
            </w:r>
          </w:p>
        </w:tc>
        <w:tc>
          <w:tcPr>
            <w:tcW w:w="704" w:type="pct"/>
          </w:tcPr>
          <w:p w14:paraId="3FAE5415" w14:textId="5D4404A2" w:rsidR="00DA236C" w:rsidRPr="00566AE9" w:rsidRDefault="00DA236C" w:rsidP="00DA2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</w:pPr>
            <w:r w:rsidRPr="00DA236C"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GB" w:eastAsia="id-ID"/>
              </w:rPr>
              <w:t>2,655,065.54</w:t>
            </w:r>
          </w:p>
        </w:tc>
        <w:tc>
          <w:tcPr>
            <w:tcW w:w="624" w:type="pct"/>
          </w:tcPr>
          <w:p w14:paraId="1DDC71F0" w14:textId="3F042734" w:rsidR="00DA236C" w:rsidRPr="00566AE9" w:rsidRDefault="00DA236C" w:rsidP="00DA2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DA236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707,707.85</w:t>
            </w:r>
          </w:p>
        </w:tc>
        <w:tc>
          <w:tcPr>
            <w:tcW w:w="704" w:type="pct"/>
          </w:tcPr>
          <w:p w14:paraId="2D0BC288" w14:textId="1FDC1951" w:rsidR="00DA236C" w:rsidRPr="00566AE9" w:rsidRDefault="00DA236C" w:rsidP="00DA2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</w:pPr>
            <w:r w:rsidRPr="00DA236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d-ID"/>
              </w:rPr>
              <w:t>1,203,726.82</w:t>
            </w:r>
          </w:p>
        </w:tc>
      </w:tr>
    </w:tbl>
    <w:p w14:paraId="5D29B98E" w14:textId="77777777" w:rsidR="003A462A" w:rsidRPr="00151FF3" w:rsidRDefault="003A462A" w:rsidP="00151F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val="id-ID" w:eastAsia="id-ID"/>
        </w:rPr>
      </w:pPr>
    </w:p>
    <w:p w14:paraId="0831BF0A" w14:textId="77777777" w:rsidR="00253583" w:rsidRDefault="00253583" w:rsidP="008A6CC4">
      <w:pPr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</w:pPr>
    </w:p>
    <w:p w14:paraId="345947CB" w14:textId="60240DE3" w:rsidR="00253583" w:rsidRDefault="00253583" w:rsidP="00253583">
      <w:pPr>
        <w:tabs>
          <w:tab w:val="left" w:pos="8210"/>
        </w:tabs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</w:pPr>
      <w:r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  <w:tab/>
      </w:r>
    </w:p>
    <w:p w14:paraId="7CCE5DDD" w14:textId="777A92A9" w:rsidR="00065C5E" w:rsidRDefault="003A462A" w:rsidP="008A6CC4">
      <w:pPr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</w:pPr>
      <w:r w:rsidRPr="00253583">
        <w:rPr>
          <w:rFonts w:ascii="Segoe UI" w:eastAsia="Times New Roman" w:hAnsi="Segoe UI" w:cs="Segoe UI"/>
          <w:sz w:val="32"/>
          <w:szCs w:val="28"/>
          <w:lang w:val="id-ID"/>
        </w:rPr>
        <w:br w:type="page"/>
      </w:r>
      <w:r w:rsidRPr="00A65EE8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29AAA" wp14:editId="5F67921E">
                <wp:simplePos x="0" y="0"/>
                <wp:positionH relativeFrom="margin">
                  <wp:posOffset>-570186</wp:posOffset>
                </wp:positionH>
                <wp:positionV relativeFrom="paragraph">
                  <wp:posOffset>61640</wp:posOffset>
                </wp:positionV>
                <wp:extent cx="4953000" cy="920312"/>
                <wp:effectExtent l="76200" t="57150" r="57150" b="1085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20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98B1" w14:textId="77777777" w:rsidR="00291789" w:rsidRDefault="00B73641" w:rsidP="00B73641">
                            <w:pPr>
                              <w:spacing w:after="0" w:line="240" w:lineRule="auto"/>
                              <w:rPr>
                                <w:rFonts w:ascii="Bahnschrift SemiBold SemiConden" w:eastAsia="Times New Roman" w:hAnsi="Bahnschrift SemiBold SemiConden" w:cs="Calibri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91789">
                              <w:rPr>
                                <w:rFonts w:ascii="Bahnschrift SemiBold SemiConden" w:eastAsia="Times New Roman" w:hAnsi="Bahnschrift SemiBold SemiConden" w:cs="Calibri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JUMLAH SAHAM SYARIAH DALAM </w:t>
                            </w:r>
                          </w:p>
                          <w:p w14:paraId="025A2957" w14:textId="709B1781" w:rsidR="00B73641" w:rsidRPr="00291789" w:rsidRDefault="00B73641" w:rsidP="00B73641">
                            <w:pPr>
                              <w:spacing w:after="0" w:line="240" w:lineRule="auto"/>
                              <w:rPr>
                                <w:rFonts w:ascii="Bahnschrift SemiBold SemiConden" w:eastAsia="Times New Roman" w:hAnsi="Bahnschrift SemiBold SemiConden" w:cs="Calibri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91789">
                              <w:rPr>
                                <w:rFonts w:ascii="Bahnschrift SemiBold SemiConden" w:eastAsia="Times New Roman" w:hAnsi="Bahnschrift SemiBold SemiConden" w:cs="Calibri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DAFTAR EFEK SYARIAH (DES)</w:t>
                            </w:r>
                          </w:p>
                          <w:p w14:paraId="17E85923" w14:textId="202C3344" w:rsidR="00B73641" w:rsidRPr="00611B8E" w:rsidRDefault="00E60D33" w:rsidP="00291789">
                            <w:pPr>
                              <w:spacing w:after="0" w:line="240" w:lineRule="auto"/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  <w:lang w:val="id-ID"/>
                              </w:rPr>
                            </w:pPr>
                            <w:r w:rsidRPr="00611B8E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  <w:lang w:val="id-ID"/>
                              </w:rPr>
                              <w:t>P</w:t>
                            </w:r>
                            <w:r w:rsidR="00B73641" w:rsidRPr="00611B8E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  <w:lang w:val="id-ID"/>
                              </w:rPr>
                              <w:t>er</w:t>
                            </w:r>
                            <w:r w:rsidR="008A0A0A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C6774C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April</w:t>
                            </w:r>
                            <w:r w:rsidR="009916F3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D22CA0" w:rsidRPr="00611B8E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202</w:t>
                            </w:r>
                            <w:r w:rsidR="00065C5E">
                              <w:rPr>
                                <w:rFonts w:ascii="Candara" w:eastAsia="Times New Roman" w:hAnsi="Candara" w:cs="Calibri"/>
                                <w:bCs/>
                                <w:color w:val="FFFFFF" w:themeColor="background1"/>
                                <w:sz w:val="24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29A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4.9pt;margin-top:4.85pt;width:390pt;height:72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8E198B1" w14:textId="77777777" w:rsidR="00291789" w:rsidRDefault="00B73641" w:rsidP="00B73641">
                      <w:pPr>
                        <w:spacing w:after="0" w:line="240" w:lineRule="auto"/>
                        <w:rPr>
                          <w:rFonts w:ascii="Bahnschrift SemiBold SemiConden" w:eastAsia="Times New Roman" w:hAnsi="Bahnschrift SemiBold SemiConden" w:cs="Calibri"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91789">
                        <w:rPr>
                          <w:rFonts w:ascii="Bahnschrift SemiBold SemiConden" w:eastAsia="Times New Roman" w:hAnsi="Bahnschrift SemiBold SemiConden" w:cs="Calibri"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JUMLAH SAHAM SYARIAH DALAM </w:t>
                      </w:r>
                    </w:p>
                    <w:p w14:paraId="025A2957" w14:textId="709B1781" w:rsidR="00B73641" w:rsidRPr="00291789" w:rsidRDefault="00B73641" w:rsidP="00B73641">
                      <w:pPr>
                        <w:spacing w:after="0" w:line="240" w:lineRule="auto"/>
                        <w:rPr>
                          <w:rFonts w:ascii="Bahnschrift SemiBold SemiConden" w:eastAsia="Times New Roman" w:hAnsi="Bahnschrift SemiBold SemiConden" w:cs="Calibri"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91789">
                        <w:rPr>
                          <w:rFonts w:ascii="Bahnschrift SemiBold SemiConden" w:eastAsia="Times New Roman" w:hAnsi="Bahnschrift SemiBold SemiConden" w:cs="Calibri"/>
                          <w:bCs/>
                          <w:color w:val="FFFFFF" w:themeColor="background1"/>
                          <w:sz w:val="40"/>
                          <w:szCs w:val="40"/>
                        </w:rPr>
                        <w:t>DAFTAR EFEK SYARIAH (DES)</w:t>
                      </w:r>
                    </w:p>
                    <w:p w14:paraId="17E85923" w14:textId="202C3344" w:rsidR="00B73641" w:rsidRPr="00611B8E" w:rsidRDefault="00E60D33" w:rsidP="00291789">
                      <w:pPr>
                        <w:spacing w:after="0" w:line="240" w:lineRule="auto"/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  <w:lang w:val="id-ID"/>
                        </w:rPr>
                      </w:pPr>
                      <w:r w:rsidRPr="00611B8E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  <w:lang w:val="id-ID"/>
                        </w:rPr>
                        <w:t>P</w:t>
                      </w:r>
                      <w:r w:rsidR="00B73641" w:rsidRPr="00611B8E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  <w:lang w:val="id-ID"/>
                        </w:rPr>
                        <w:t>er</w:t>
                      </w:r>
                      <w:r w:rsidR="008A0A0A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</w:t>
                      </w:r>
                      <w:r w:rsidR="00C6774C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</w:rPr>
                        <w:t>April</w:t>
                      </w:r>
                      <w:r w:rsidR="009916F3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</w:rPr>
                        <w:t xml:space="preserve"> </w:t>
                      </w:r>
                      <w:r w:rsidR="00D22CA0" w:rsidRPr="00611B8E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</w:rPr>
                        <w:t>202</w:t>
                      </w:r>
                      <w:r w:rsidR="00065C5E">
                        <w:rPr>
                          <w:rFonts w:ascii="Candara" w:eastAsia="Times New Roman" w:hAnsi="Candara" w:cs="Calibri"/>
                          <w:bCs/>
                          <w:color w:val="FFFFFF" w:themeColor="background1"/>
                          <w:sz w:val="24"/>
                          <w:szCs w:val="2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A0" w:rsidRPr="00A65EE8"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  <w:br/>
      </w:r>
      <w:r w:rsidR="00D22CA0" w:rsidRPr="00A65EE8"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  <w:br/>
      </w:r>
    </w:p>
    <w:p w14:paraId="55282A36" w14:textId="77777777" w:rsidR="00F32B0C" w:rsidRPr="00F32B0C" w:rsidRDefault="00F32B0C" w:rsidP="00F32B0C">
      <w:pPr>
        <w:spacing w:after="0"/>
        <w:ind w:left="-851"/>
        <w:rPr>
          <w:rFonts w:ascii="Segoe UI" w:eastAsia="Times New Roman" w:hAnsi="Segoe UI" w:cs="Segoe UI"/>
          <w:b/>
          <w:color w:val="000000"/>
          <w:sz w:val="22"/>
          <w:szCs w:val="20"/>
          <w:lang w:val="en-GB"/>
        </w:rPr>
      </w:pPr>
    </w:p>
    <w:p w14:paraId="16022724" w14:textId="6765A899" w:rsidR="00566AE9" w:rsidRDefault="00F32B0C" w:rsidP="00F32B0C">
      <w:pPr>
        <w:ind w:left="-851"/>
        <w:rPr>
          <w:rFonts w:ascii="Segoe UI" w:eastAsia="Times New Roman" w:hAnsi="Segoe UI" w:cs="Segoe UI"/>
          <w:b/>
          <w:color w:val="000000"/>
          <w:sz w:val="32"/>
          <w:szCs w:val="28"/>
          <w:lang w:val="id-ID"/>
        </w:rPr>
      </w:pPr>
      <w:r w:rsidRPr="00A65EE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B0CB5" wp14:editId="087056C8">
                <wp:simplePos x="0" y="0"/>
                <wp:positionH relativeFrom="margin">
                  <wp:posOffset>-520262</wp:posOffset>
                </wp:positionH>
                <wp:positionV relativeFrom="paragraph">
                  <wp:posOffset>5756603</wp:posOffset>
                </wp:positionV>
                <wp:extent cx="7030391" cy="1119352"/>
                <wp:effectExtent l="0" t="0" r="1841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391" cy="1119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55D4E" w14:textId="209EDE1D" w:rsidR="00236FA4" w:rsidRDefault="005C1D1E" w:rsidP="00F50D6C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>DES periode I</w:t>
                            </w:r>
                            <w:r w:rsidR="007B6C1B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="005012D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6AF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 xml:space="preserve">tahun </w:t>
                            </w:r>
                            <w:r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>20</w:t>
                            </w:r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2</w:t>
                            </w:r>
                            <w:r w:rsidR="005012D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403DC6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>ditetapkan melalui Surat Keputusan Dewan Komisioner OJK Nomor</w:t>
                            </w:r>
                            <w:r w:rsid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br/>
                            </w:r>
                            <w:r w:rsidR="00F04D31" w:rsidRP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Kep-81/D.04/2022 </w:t>
                            </w:r>
                            <w:proofErr w:type="spellStart"/>
                            <w:r w:rsidR="00F04D31" w:rsidRP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 w:rsidR="00F04D31" w:rsidRP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Daftar </w:t>
                            </w:r>
                            <w:proofErr w:type="spellStart"/>
                            <w:r w:rsidR="00F04D31" w:rsidRP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Efek</w:t>
                            </w:r>
                            <w:proofErr w:type="spellEnd"/>
                            <w:r w:rsidR="00F04D31" w:rsidRP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Syariah </w:t>
                            </w:r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pada </w:t>
                            </w:r>
                            <w:proofErr w:type="spellStart"/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tanggal</w:t>
                            </w:r>
                            <w:proofErr w:type="spellEnd"/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23 </w:t>
                            </w:r>
                            <w:r w:rsidR="001B16E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November </w:t>
                            </w:r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202</w:t>
                            </w:r>
                            <w:r w:rsidR="005012D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2</w:t>
                            </w:r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efektif</w:t>
                            </w:r>
                            <w:proofErr w:type="spellEnd"/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br/>
                            </w:r>
                            <w:r w:rsidR="00EF3DCB" w:rsidRPr="006B25C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per 1 </w:t>
                            </w:r>
                            <w:proofErr w:type="spellStart"/>
                            <w:r w:rsid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Desember</w:t>
                            </w:r>
                            <w:proofErr w:type="spellEnd"/>
                            <w:r w:rsid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12D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2022</w:t>
                            </w:r>
                            <w:r w:rsidR="009F243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</w:t>
                            </w:r>
                            <w:r w:rsidR="00F04D3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DES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Periode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kedua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2022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terdiri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542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saham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berdasarkan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Kep-81/D.04/2022</w:t>
                            </w:r>
                            <w:r w:rsid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dan </w:t>
                            </w:r>
                            <w:r w:rsidR="00BF5D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36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saham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Insidentil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efektif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 xml:space="preserve">terhitung sejak setelah tanggal penetapan DES periode </w:t>
                            </w:r>
                            <w:proofErr w:type="spellStart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kedua</w:t>
                            </w:r>
                            <w:proofErr w:type="spellEnd"/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 xml:space="preserve"> tahun 202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2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 xml:space="preserve"> hingga akhir bulan </w:t>
                            </w:r>
                            <w:r w:rsidR="00BF5D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April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  <w:t>202</w:t>
                            </w:r>
                            <w:r w:rsidR="00F50D6C" w:rsidRPr="00F50D6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11D732A" w14:textId="77777777" w:rsidR="00F50D6C" w:rsidRDefault="00F50D6C" w:rsidP="00406617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60C4747" w14:textId="77777777" w:rsidR="00F50D6C" w:rsidRDefault="00F50D6C" w:rsidP="00406617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113C02D" w14:textId="77777777" w:rsidR="00F04D31" w:rsidRDefault="00F04D31" w:rsidP="00406617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2DE8ED98" w14:textId="205C6577" w:rsidR="00F04D31" w:rsidRDefault="00F04D31" w:rsidP="00406617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3AD50F0" w14:textId="77777777" w:rsidR="00F04D31" w:rsidRPr="006B25C5" w:rsidRDefault="00F04D31" w:rsidP="00406617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0CB5" id="Text Box 2" o:spid="_x0000_s1028" type="#_x0000_t202" style="position:absolute;left:0;text-align:left;margin-left:-40.95pt;margin-top:453.3pt;width:553.55pt;height:8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" fillcolor="white [3201]" strokecolor="#f79646 [3209]" strokeweight="2pt">
                <v:textbox>
                  <w:txbxContent>
                    <w:p w14:paraId="57055D4E" w14:textId="209EDE1D" w:rsidR="00236FA4" w:rsidRDefault="005C1D1E" w:rsidP="00F50D6C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6B25C5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>DES periode I</w:t>
                      </w:r>
                      <w:r w:rsidR="007B6C1B">
                        <w:rPr>
                          <w:rFonts w:ascii="Segoe UI" w:hAnsi="Segoe UI" w:cs="Segoe UI"/>
                          <w:sz w:val="20"/>
                          <w:szCs w:val="20"/>
                          <w:lang w:val="en-GB"/>
                        </w:rPr>
                        <w:t>I</w:t>
                      </w:r>
                      <w:r w:rsidR="005012D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E576AF" w:rsidRPr="006B25C5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 xml:space="preserve">tahun </w:t>
                      </w:r>
                      <w:r w:rsidRPr="006B25C5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>20</w:t>
                      </w:r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2</w:t>
                      </w:r>
                      <w:r w:rsidR="005012D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2 </w:t>
                      </w:r>
                      <w:r w:rsidR="00403DC6" w:rsidRPr="006B25C5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>ditetapkan melalui Surat Keputusan Dewan Komisioner OJK Nomor</w:t>
                      </w:r>
                      <w:r w:rsidR="006B25C5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br/>
                      </w:r>
                      <w:r w:rsidR="00F04D31" w:rsidRP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Kep-81/D.04/2022 </w:t>
                      </w:r>
                      <w:proofErr w:type="spellStart"/>
                      <w:r w:rsidR="00F04D31" w:rsidRP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 w:rsidR="00F04D31" w:rsidRP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Daftar </w:t>
                      </w:r>
                      <w:proofErr w:type="spellStart"/>
                      <w:r w:rsidR="00F04D31" w:rsidRP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Efek</w:t>
                      </w:r>
                      <w:proofErr w:type="spellEnd"/>
                      <w:r w:rsidR="00F04D31" w:rsidRP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Syariah </w:t>
                      </w:r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pada </w:t>
                      </w:r>
                      <w:proofErr w:type="spellStart"/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tanggal</w:t>
                      </w:r>
                      <w:proofErr w:type="spellEnd"/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23 </w:t>
                      </w:r>
                      <w:r w:rsidR="001B16E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November </w:t>
                      </w:r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202</w:t>
                      </w:r>
                      <w:r w:rsidR="005012D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2</w:t>
                      </w:r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efektif</w:t>
                      </w:r>
                      <w:proofErr w:type="spellEnd"/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br/>
                      </w:r>
                      <w:r w:rsidR="00EF3DCB" w:rsidRPr="006B25C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per 1 </w:t>
                      </w:r>
                      <w:proofErr w:type="spellStart"/>
                      <w:r w:rsid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Desember</w:t>
                      </w:r>
                      <w:proofErr w:type="spellEnd"/>
                      <w:r w:rsid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5012D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2022</w:t>
                      </w:r>
                      <w:r w:rsidR="009F243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  <w:r w:rsidR="00F04D3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DES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Periode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kedua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2022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terdiri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542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saham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berdasarkan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Kep-81/D.04/2022</w:t>
                      </w:r>
                      <w:r w:rsid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dan </w:t>
                      </w:r>
                      <w:r w:rsidR="00BF5D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36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saham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DES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Insidentil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efektif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 xml:space="preserve">terhitung sejak setelah tanggal penetapan DES periode </w:t>
                      </w:r>
                      <w:proofErr w:type="spellStart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kedua</w:t>
                      </w:r>
                      <w:proofErr w:type="spellEnd"/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 xml:space="preserve"> tahun 202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2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 xml:space="preserve"> hingga akhir bulan </w:t>
                      </w:r>
                      <w:r w:rsidR="00BF5D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April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  <w:t>202</w:t>
                      </w:r>
                      <w:r w:rsidR="00F50D6C" w:rsidRPr="00F50D6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3</w:t>
                      </w:r>
                    </w:p>
                    <w:p w14:paraId="311D732A" w14:textId="77777777" w:rsidR="00F50D6C" w:rsidRDefault="00F50D6C" w:rsidP="00406617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60C4747" w14:textId="77777777" w:rsidR="00F50D6C" w:rsidRDefault="00F50D6C" w:rsidP="00406617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6113C02D" w14:textId="77777777" w:rsidR="00F04D31" w:rsidRDefault="00F04D31" w:rsidP="00406617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2DE8ED98" w14:textId="205C6577" w:rsidR="00F04D31" w:rsidRDefault="00F04D31" w:rsidP="00406617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13AD50F0" w14:textId="77777777" w:rsidR="00F04D31" w:rsidRPr="006B25C5" w:rsidRDefault="00F04D31" w:rsidP="00406617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DBC">
        <w:rPr>
          <w:noProof/>
        </w:rPr>
        <w:drawing>
          <wp:inline distT="0" distB="0" distL="0" distR="0" wp14:anchorId="1E9ED92E" wp14:editId="65CD2D8D">
            <wp:extent cx="7047187" cy="5644056"/>
            <wp:effectExtent l="0" t="0" r="1905" b="13970"/>
            <wp:docPr id="20046052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0C517B" w14:textId="48A119C0" w:rsidR="008319C2" w:rsidRPr="00A65EE8" w:rsidRDefault="008319C2" w:rsidP="00566AE9">
      <w:pPr>
        <w:spacing w:after="120" w:line="240" w:lineRule="auto"/>
        <w:rPr>
          <w:rFonts w:ascii="Segoe UI" w:hAnsi="Segoe UI" w:cs="Segoe UI"/>
          <w:noProof/>
          <w:lang w:val="id-ID" w:eastAsia="id-ID"/>
        </w:rPr>
      </w:pPr>
    </w:p>
    <w:sectPr w:rsidR="008319C2" w:rsidRPr="00A65EE8" w:rsidSect="00BA63C9">
      <w:footerReference w:type="default" r:id="rId9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71F4" w14:textId="77777777" w:rsidR="00355508" w:rsidRDefault="00355508" w:rsidP="0094028C">
      <w:pPr>
        <w:spacing w:after="0" w:line="240" w:lineRule="auto"/>
      </w:pPr>
      <w:r>
        <w:separator/>
      </w:r>
    </w:p>
  </w:endnote>
  <w:endnote w:type="continuationSeparator" w:id="0">
    <w:p w14:paraId="0DC468CB" w14:textId="77777777" w:rsidR="00355508" w:rsidRDefault="00355508" w:rsidP="0094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733A9C" w14:paraId="33D08703" w14:textId="77777777">
      <w:tc>
        <w:tcPr>
          <w:tcW w:w="918" w:type="dxa"/>
        </w:tcPr>
        <w:p w14:paraId="3EE33282" w14:textId="727203A2" w:rsidR="00733A9C" w:rsidRPr="00882774" w:rsidRDefault="00733A9C">
          <w:pPr>
            <w:pStyle w:val="Footer"/>
            <w:jc w:val="right"/>
            <w:rPr>
              <w:rFonts w:ascii="Comic Sans MS" w:hAnsi="Comic Sans MS"/>
              <w:b/>
              <w:color w:val="4F81BD" w:themeColor="accent1"/>
              <w:sz w:val="32"/>
              <w:szCs w:val="32"/>
            </w:rPr>
          </w:pPr>
          <w:r w:rsidRPr="00882774">
            <w:rPr>
              <w:rFonts w:ascii="Comic Sans MS" w:hAnsi="Comic Sans MS"/>
              <w:color w:val="F79646" w:themeColor="accent6"/>
              <w:sz w:val="22"/>
              <w:szCs w:val="22"/>
            </w:rPr>
            <w:fldChar w:fldCharType="begin"/>
          </w:r>
          <w:r w:rsidRPr="00882774">
            <w:rPr>
              <w:rFonts w:ascii="Comic Sans MS" w:hAnsi="Comic Sans MS"/>
              <w:color w:val="F79646" w:themeColor="accent6"/>
            </w:rPr>
            <w:instrText xml:space="preserve"> PAGE   \* MERGEFORMAT </w:instrText>
          </w:r>
          <w:r w:rsidRPr="00882774">
            <w:rPr>
              <w:rFonts w:ascii="Comic Sans MS" w:hAnsi="Comic Sans MS"/>
              <w:color w:val="F79646" w:themeColor="accent6"/>
              <w:sz w:val="22"/>
              <w:szCs w:val="22"/>
            </w:rPr>
            <w:fldChar w:fldCharType="separate"/>
          </w:r>
          <w:r w:rsidR="0081737E" w:rsidRPr="00882774">
            <w:rPr>
              <w:rFonts w:ascii="Comic Sans MS" w:hAnsi="Comic Sans MS"/>
              <w:b/>
              <w:noProof/>
              <w:color w:val="F79646" w:themeColor="accent6"/>
              <w:sz w:val="32"/>
              <w:szCs w:val="32"/>
            </w:rPr>
            <w:t>2</w:t>
          </w:r>
          <w:r w:rsidRPr="00882774">
            <w:rPr>
              <w:rFonts w:ascii="Comic Sans MS" w:hAnsi="Comic Sans MS"/>
              <w:b/>
              <w:noProof/>
              <w:color w:val="F79646" w:themeColor="accent6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D156CB6" w14:textId="77777777" w:rsidR="00733A9C" w:rsidRDefault="00733A9C" w:rsidP="0094028C">
          <w:pPr>
            <w:pStyle w:val="Footer"/>
            <w:pBdr>
              <w:top w:val="single" w:sz="4" w:space="1" w:color="D9D9D9" w:themeColor="background1" w:themeShade="D9"/>
            </w:pBdr>
            <w:rPr>
              <w:b/>
            </w:rPr>
          </w:pPr>
          <w:r>
            <w:rPr>
              <w:b/>
            </w:rPr>
            <w:t xml:space="preserve"> </w:t>
          </w:r>
          <w:r>
            <w:rPr>
              <w:color w:val="7F7F7F" w:themeColor="background1" w:themeShade="7F"/>
              <w:spacing w:val="60"/>
            </w:rPr>
            <w:t>STATISTIK PASAR MODAL SYARIAH</w:t>
          </w:r>
        </w:p>
        <w:p w14:paraId="29F84089" w14:textId="0C42DD69" w:rsidR="00733A9C" w:rsidRPr="00213DD9" w:rsidRDefault="00733A9C" w:rsidP="00B62F65">
          <w:pPr>
            <w:pStyle w:val="Footer"/>
            <w:rPr>
              <w:i/>
              <w:color w:val="808080" w:themeColor="background1" w:themeShade="80"/>
            </w:rPr>
          </w:pPr>
          <w:r w:rsidRPr="00213DD9">
            <w:rPr>
              <w:color w:val="808080" w:themeColor="background1" w:themeShade="80"/>
            </w:rPr>
            <w:t xml:space="preserve"> </w:t>
          </w:r>
          <w:r w:rsidRPr="00213DD9">
            <w:rPr>
              <w:i/>
              <w:color w:val="808080" w:themeColor="background1" w:themeShade="80"/>
            </w:rPr>
            <w:t xml:space="preserve">Direktorat </w:t>
          </w:r>
          <w:proofErr w:type="spellStart"/>
          <w:r w:rsidR="00C425CE">
            <w:rPr>
              <w:i/>
              <w:color w:val="808080" w:themeColor="background1" w:themeShade="80"/>
            </w:rPr>
            <w:t>Analisis</w:t>
          </w:r>
          <w:proofErr w:type="spellEnd"/>
          <w:r w:rsidR="00C425CE">
            <w:rPr>
              <w:i/>
              <w:color w:val="808080" w:themeColor="background1" w:themeShade="80"/>
            </w:rPr>
            <w:t xml:space="preserve"> Informasi Pasar Modal</w:t>
          </w:r>
          <w:r w:rsidRPr="00213DD9">
            <w:rPr>
              <w:i/>
              <w:color w:val="808080" w:themeColor="background1" w:themeShade="80"/>
            </w:rPr>
            <w:t xml:space="preserve"> – Otoritas Jasa Keuangan</w:t>
          </w:r>
        </w:p>
      </w:tc>
    </w:tr>
  </w:tbl>
  <w:p w14:paraId="61D83D41" w14:textId="77777777" w:rsidR="00733A9C" w:rsidRDefault="00733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8E99" w14:textId="77777777" w:rsidR="00355508" w:rsidRDefault="00355508" w:rsidP="0094028C">
      <w:pPr>
        <w:spacing w:after="0" w:line="240" w:lineRule="auto"/>
      </w:pPr>
      <w:r>
        <w:separator/>
      </w:r>
    </w:p>
  </w:footnote>
  <w:footnote w:type="continuationSeparator" w:id="0">
    <w:p w14:paraId="01F2C7D7" w14:textId="77777777" w:rsidR="00355508" w:rsidRDefault="00355508" w:rsidP="0094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7B4"/>
    <w:multiLevelType w:val="hybridMultilevel"/>
    <w:tmpl w:val="BC34A1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82"/>
    <w:rsid w:val="00000AE4"/>
    <w:rsid w:val="00002E3B"/>
    <w:rsid w:val="000063A2"/>
    <w:rsid w:val="00007E25"/>
    <w:rsid w:val="00014530"/>
    <w:rsid w:val="0001462D"/>
    <w:rsid w:val="00015504"/>
    <w:rsid w:val="00016987"/>
    <w:rsid w:val="00023A5B"/>
    <w:rsid w:val="00025519"/>
    <w:rsid w:val="00027555"/>
    <w:rsid w:val="00027D0E"/>
    <w:rsid w:val="000319BE"/>
    <w:rsid w:val="00035AB7"/>
    <w:rsid w:val="00036E2C"/>
    <w:rsid w:val="000410A1"/>
    <w:rsid w:val="00041F2F"/>
    <w:rsid w:val="000429AE"/>
    <w:rsid w:val="000468CC"/>
    <w:rsid w:val="00046EF3"/>
    <w:rsid w:val="00047203"/>
    <w:rsid w:val="00047416"/>
    <w:rsid w:val="00052896"/>
    <w:rsid w:val="00061C3E"/>
    <w:rsid w:val="00061C6B"/>
    <w:rsid w:val="000637A7"/>
    <w:rsid w:val="00063B77"/>
    <w:rsid w:val="00065C5E"/>
    <w:rsid w:val="00072BCD"/>
    <w:rsid w:val="00072C53"/>
    <w:rsid w:val="00074DD9"/>
    <w:rsid w:val="00074F2E"/>
    <w:rsid w:val="000757A7"/>
    <w:rsid w:val="00075A1F"/>
    <w:rsid w:val="000816A6"/>
    <w:rsid w:val="00081BD3"/>
    <w:rsid w:val="00084A5A"/>
    <w:rsid w:val="00087C23"/>
    <w:rsid w:val="00091F78"/>
    <w:rsid w:val="00097320"/>
    <w:rsid w:val="0009764B"/>
    <w:rsid w:val="000A2360"/>
    <w:rsid w:val="000A2D57"/>
    <w:rsid w:val="000A67CF"/>
    <w:rsid w:val="000A6A40"/>
    <w:rsid w:val="000A6EEB"/>
    <w:rsid w:val="000B138D"/>
    <w:rsid w:val="000B3E4D"/>
    <w:rsid w:val="000B4AE8"/>
    <w:rsid w:val="000B5EAE"/>
    <w:rsid w:val="000B7347"/>
    <w:rsid w:val="000C5D97"/>
    <w:rsid w:val="000D1DB7"/>
    <w:rsid w:val="000D70CD"/>
    <w:rsid w:val="000D7A53"/>
    <w:rsid w:val="000E69B7"/>
    <w:rsid w:val="0010077A"/>
    <w:rsid w:val="00101961"/>
    <w:rsid w:val="00101C96"/>
    <w:rsid w:val="0010696D"/>
    <w:rsid w:val="0011028D"/>
    <w:rsid w:val="00114EE0"/>
    <w:rsid w:val="00116CC0"/>
    <w:rsid w:val="00117862"/>
    <w:rsid w:val="00120EAE"/>
    <w:rsid w:val="00122A4B"/>
    <w:rsid w:val="00126FBC"/>
    <w:rsid w:val="001301C2"/>
    <w:rsid w:val="001301EB"/>
    <w:rsid w:val="00130551"/>
    <w:rsid w:val="00131562"/>
    <w:rsid w:val="00131EF7"/>
    <w:rsid w:val="001328B6"/>
    <w:rsid w:val="00141DB1"/>
    <w:rsid w:val="00145E52"/>
    <w:rsid w:val="00151FF3"/>
    <w:rsid w:val="001550FF"/>
    <w:rsid w:val="001712DA"/>
    <w:rsid w:val="00171AAB"/>
    <w:rsid w:val="001731DA"/>
    <w:rsid w:val="001735BA"/>
    <w:rsid w:val="00175877"/>
    <w:rsid w:val="00176577"/>
    <w:rsid w:val="00176911"/>
    <w:rsid w:val="00177477"/>
    <w:rsid w:val="00180BFC"/>
    <w:rsid w:val="001838AC"/>
    <w:rsid w:val="00183AF6"/>
    <w:rsid w:val="0018601A"/>
    <w:rsid w:val="00187C83"/>
    <w:rsid w:val="00190FE8"/>
    <w:rsid w:val="00192622"/>
    <w:rsid w:val="00192782"/>
    <w:rsid w:val="00193823"/>
    <w:rsid w:val="00197A33"/>
    <w:rsid w:val="001A1383"/>
    <w:rsid w:val="001A334F"/>
    <w:rsid w:val="001A49FC"/>
    <w:rsid w:val="001A4C8D"/>
    <w:rsid w:val="001A57C4"/>
    <w:rsid w:val="001A7CF4"/>
    <w:rsid w:val="001B16EF"/>
    <w:rsid w:val="001B3B11"/>
    <w:rsid w:val="001B4070"/>
    <w:rsid w:val="001B7677"/>
    <w:rsid w:val="001B7D3D"/>
    <w:rsid w:val="001B7EDA"/>
    <w:rsid w:val="001C0EB5"/>
    <w:rsid w:val="001C10BC"/>
    <w:rsid w:val="001C616D"/>
    <w:rsid w:val="001C62D6"/>
    <w:rsid w:val="001D1102"/>
    <w:rsid w:val="001D35F1"/>
    <w:rsid w:val="001D368C"/>
    <w:rsid w:val="001D3D82"/>
    <w:rsid w:val="001D561A"/>
    <w:rsid w:val="001D5908"/>
    <w:rsid w:val="001E0ED1"/>
    <w:rsid w:val="001E1DA4"/>
    <w:rsid w:val="001E6FAD"/>
    <w:rsid w:val="001F0C17"/>
    <w:rsid w:val="001F4F2A"/>
    <w:rsid w:val="001F574B"/>
    <w:rsid w:val="001F7F3D"/>
    <w:rsid w:val="00200C80"/>
    <w:rsid w:val="00203B29"/>
    <w:rsid w:val="00207E9E"/>
    <w:rsid w:val="002134FB"/>
    <w:rsid w:val="002135D5"/>
    <w:rsid w:val="00213DD9"/>
    <w:rsid w:val="0021613B"/>
    <w:rsid w:val="002208B9"/>
    <w:rsid w:val="00233BC3"/>
    <w:rsid w:val="00234786"/>
    <w:rsid w:val="00234E9F"/>
    <w:rsid w:val="00235B51"/>
    <w:rsid w:val="00235E9C"/>
    <w:rsid w:val="00236153"/>
    <w:rsid w:val="00236FA4"/>
    <w:rsid w:val="00241A03"/>
    <w:rsid w:val="0024252A"/>
    <w:rsid w:val="002435CB"/>
    <w:rsid w:val="002442D6"/>
    <w:rsid w:val="002506C2"/>
    <w:rsid w:val="00253583"/>
    <w:rsid w:val="00253FD3"/>
    <w:rsid w:val="0025418F"/>
    <w:rsid w:val="0025566F"/>
    <w:rsid w:val="0026525E"/>
    <w:rsid w:val="00265B25"/>
    <w:rsid w:val="00266F21"/>
    <w:rsid w:val="00271099"/>
    <w:rsid w:val="00272B34"/>
    <w:rsid w:val="00281466"/>
    <w:rsid w:val="002819B4"/>
    <w:rsid w:val="0028364C"/>
    <w:rsid w:val="00286C04"/>
    <w:rsid w:val="00286E75"/>
    <w:rsid w:val="00291789"/>
    <w:rsid w:val="00291AD4"/>
    <w:rsid w:val="00294178"/>
    <w:rsid w:val="00295F05"/>
    <w:rsid w:val="00296040"/>
    <w:rsid w:val="002961FD"/>
    <w:rsid w:val="00296460"/>
    <w:rsid w:val="00296803"/>
    <w:rsid w:val="002A0EA9"/>
    <w:rsid w:val="002A12F6"/>
    <w:rsid w:val="002A6977"/>
    <w:rsid w:val="002A76E0"/>
    <w:rsid w:val="002B036B"/>
    <w:rsid w:val="002B3090"/>
    <w:rsid w:val="002B5817"/>
    <w:rsid w:val="002B68BC"/>
    <w:rsid w:val="002C2B36"/>
    <w:rsid w:val="002C36D3"/>
    <w:rsid w:val="002C52F5"/>
    <w:rsid w:val="002C7831"/>
    <w:rsid w:val="002D3AB1"/>
    <w:rsid w:val="002E1E7C"/>
    <w:rsid w:val="002E538E"/>
    <w:rsid w:val="002E5EB7"/>
    <w:rsid w:val="002E6D62"/>
    <w:rsid w:val="002F3685"/>
    <w:rsid w:val="002F5072"/>
    <w:rsid w:val="00301E80"/>
    <w:rsid w:val="003024D5"/>
    <w:rsid w:val="00302BAE"/>
    <w:rsid w:val="00303E9C"/>
    <w:rsid w:val="00304149"/>
    <w:rsid w:val="00306791"/>
    <w:rsid w:val="0031007B"/>
    <w:rsid w:val="003106EF"/>
    <w:rsid w:val="00310838"/>
    <w:rsid w:val="00311939"/>
    <w:rsid w:val="003143A6"/>
    <w:rsid w:val="00315284"/>
    <w:rsid w:val="003159C4"/>
    <w:rsid w:val="00317FBD"/>
    <w:rsid w:val="00320CCE"/>
    <w:rsid w:val="003224C0"/>
    <w:rsid w:val="00322BA5"/>
    <w:rsid w:val="0032672B"/>
    <w:rsid w:val="0033096F"/>
    <w:rsid w:val="003343C3"/>
    <w:rsid w:val="003373F5"/>
    <w:rsid w:val="003412A2"/>
    <w:rsid w:val="0034168F"/>
    <w:rsid w:val="003468F2"/>
    <w:rsid w:val="00347D92"/>
    <w:rsid w:val="00350A27"/>
    <w:rsid w:val="0035307E"/>
    <w:rsid w:val="00355508"/>
    <w:rsid w:val="00356D67"/>
    <w:rsid w:val="00364BED"/>
    <w:rsid w:val="0036505F"/>
    <w:rsid w:val="00365117"/>
    <w:rsid w:val="00367D62"/>
    <w:rsid w:val="00373351"/>
    <w:rsid w:val="0037469C"/>
    <w:rsid w:val="0037740B"/>
    <w:rsid w:val="00382A29"/>
    <w:rsid w:val="00382C84"/>
    <w:rsid w:val="003878FB"/>
    <w:rsid w:val="00392845"/>
    <w:rsid w:val="00393BF3"/>
    <w:rsid w:val="00393C32"/>
    <w:rsid w:val="003956F8"/>
    <w:rsid w:val="003959BD"/>
    <w:rsid w:val="00397B2B"/>
    <w:rsid w:val="003A1AA1"/>
    <w:rsid w:val="003A462A"/>
    <w:rsid w:val="003B1894"/>
    <w:rsid w:val="003B317B"/>
    <w:rsid w:val="003B3C9E"/>
    <w:rsid w:val="003B532F"/>
    <w:rsid w:val="003C0795"/>
    <w:rsid w:val="003C4CB3"/>
    <w:rsid w:val="003D064A"/>
    <w:rsid w:val="003D299D"/>
    <w:rsid w:val="003D3B34"/>
    <w:rsid w:val="003E0C10"/>
    <w:rsid w:val="003E1A38"/>
    <w:rsid w:val="003E1AB9"/>
    <w:rsid w:val="003E5714"/>
    <w:rsid w:val="003E59C8"/>
    <w:rsid w:val="003E6BDF"/>
    <w:rsid w:val="003F0A9A"/>
    <w:rsid w:val="003F6317"/>
    <w:rsid w:val="003F7413"/>
    <w:rsid w:val="003F7883"/>
    <w:rsid w:val="0040245F"/>
    <w:rsid w:val="00402BC5"/>
    <w:rsid w:val="00402E26"/>
    <w:rsid w:val="00403DC6"/>
    <w:rsid w:val="00405909"/>
    <w:rsid w:val="00406617"/>
    <w:rsid w:val="00410C7D"/>
    <w:rsid w:val="004110EB"/>
    <w:rsid w:val="00411374"/>
    <w:rsid w:val="0041359D"/>
    <w:rsid w:val="004141D2"/>
    <w:rsid w:val="004206E4"/>
    <w:rsid w:val="004262D1"/>
    <w:rsid w:val="004270B1"/>
    <w:rsid w:val="0043132F"/>
    <w:rsid w:val="004315FD"/>
    <w:rsid w:val="00432176"/>
    <w:rsid w:val="00433652"/>
    <w:rsid w:val="00434AEE"/>
    <w:rsid w:val="00435A87"/>
    <w:rsid w:val="00441AE0"/>
    <w:rsid w:val="0045034F"/>
    <w:rsid w:val="00453BD9"/>
    <w:rsid w:val="00455FD7"/>
    <w:rsid w:val="004561B4"/>
    <w:rsid w:val="00457B95"/>
    <w:rsid w:val="00460DC8"/>
    <w:rsid w:val="004614E8"/>
    <w:rsid w:val="00461AF1"/>
    <w:rsid w:val="004634EC"/>
    <w:rsid w:val="00465147"/>
    <w:rsid w:val="004651EF"/>
    <w:rsid w:val="0046766E"/>
    <w:rsid w:val="0047212E"/>
    <w:rsid w:val="00474594"/>
    <w:rsid w:val="00474C01"/>
    <w:rsid w:val="004765B9"/>
    <w:rsid w:val="0048559B"/>
    <w:rsid w:val="0048594D"/>
    <w:rsid w:val="00487586"/>
    <w:rsid w:val="00487ED0"/>
    <w:rsid w:val="00491083"/>
    <w:rsid w:val="004936A5"/>
    <w:rsid w:val="0049723B"/>
    <w:rsid w:val="004A0317"/>
    <w:rsid w:val="004A1F69"/>
    <w:rsid w:val="004A2237"/>
    <w:rsid w:val="004A3597"/>
    <w:rsid w:val="004A5B74"/>
    <w:rsid w:val="004B21AF"/>
    <w:rsid w:val="004B21B5"/>
    <w:rsid w:val="004B32EC"/>
    <w:rsid w:val="004B729F"/>
    <w:rsid w:val="004C1878"/>
    <w:rsid w:val="004C58B8"/>
    <w:rsid w:val="004C5FC9"/>
    <w:rsid w:val="004C6B80"/>
    <w:rsid w:val="004D00A4"/>
    <w:rsid w:val="004D0A29"/>
    <w:rsid w:val="004D70EA"/>
    <w:rsid w:val="004E232C"/>
    <w:rsid w:val="004E36B3"/>
    <w:rsid w:val="004E40B5"/>
    <w:rsid w:val="004E5059"/>
    <w:rsid w:val="004E61DD"/>
    <w:rsid w:val="004E71E1"/>
    <w:rsid w:val="004F1CF8"/>
    <w:rsid w:val="004F43BA"/>
    <w:rsid w:val="004F6C30"/>
    <w:rsid w:val="005000BE"/>
    <w:rsid w:val="005012A7"/>
    <w:rsid w:val="005012D6"/>
    <w:rsid w:val="0050637A"/>
    <w:rsid w:val="00511F23"/>
    <w:rsid w:val="0051555A"/>
    <w:rsid w:val="00524E88"/>
    <w:rsid w:val="00525F16"/>
    <w:rsid w:val="005267BB"/>
    <w:rsid w:val="00526C63"/>
    <w:rsid w:val="005273FB"/>
    <w:rsid w:val="005305C7"/>
    <w:rsid w:val="00531433"/>
    <w:rsid w:val="0053180B"/>
    <w:rsid w:val="005441ED"/>
    <w:rsid w:val="00546F1D"/>
    <w:rsid w:val="005540DF"/>
    <w:rsid w:val="00566678"/>
    <w:rsid w:val="00566AE9"/>
    <w:rsid w:val="0057498F"/>
    <w:rsid w:val="00577616"/>
    <w:rsid w:val="00583A2A"/>
    <w:rsid w:val="005A0354"/>
    <w:rsid w:val="005A7732"/>
    <w:rsid w:val="005B045F"/>
    <w:rsid w:val="005C0E2A"/>
    <w:rsid w:val="005C1D1E"/>
    <w:rsid w:val="005C1FDE"/>
    <w:rsid w:val="005C474E"/>
    <w:rsid w:val="005D49A3"/>
    <w:rsid w:val="005D58E5"/>
    <w:rsid w:val="005D5B16"/>
    <w:rsid w:val="005D5E01"/>
    <w:rsid w:val="005D62F0"/>
    <w:rsid w:val="005E204F"/>
    <w:rsid w:val="005E3C71"/>
    <w:rsid w:val="005E5B28"/>
    <w:rsid w:val="005E7328"/>
    <w:rsid w:val="005F0C8F"/>
    <w:rsid w:val="005F2095"/>
    <w:rsid w:val="005F367F"/>
    <w:rsid w:val="0060377F"/>
    <w:rsid w:val="00607AE9"/>
    <w:rsid w:val="00611449"/>
    <w:rsid w:val="006116F0"/>
    <w:rsid w:val="00611B8E"/>
    <w:rsid w:val="006129EB"/>
    <w:rsid w:val="00615D3E"/>
    <w:rsid w:val="006224FA"/>
    <w:rsid w:val="00623CC2"/>
    <w:rsid w:val="00625A99"/>
    <w:rsid w:val="00626726"/>
    <w:rsid w:val="0063041D"/>
    <w:rsid w:val="006342AE"/>
    <w:rsid w:val="00635747"/>
    <w:rsid w:val="00635E1B"/>
    <w:rsid w:val="0063642F"/>
    <w:rsid w:val="00636725"/>
    <w:rsid w:val="00637A57"/>
    <w:rsid w:val="00637E24"/>
    <w:rsid w:val="00640397"/>
    <w:rsid w:val="00640EE6"/>
    <w:rsid w:val="00642DE3"/>
    <w:rsid w:val="0064322F"/>
    <w:rsid w:val="00645164"/>
    <w:rsid w:val="00645B6B"/>
    <w:rsid w:val="006479D7"/>
    <w:rsid w:val="00652861"/>
    <w:rsid w:val="006531E5"/>
    <w:rsid w:val="006548B7"/>
    <w:rsid w:val="00655601"/>
    <w:rsid w:val="00656D5A"/>
    <w:rsid w:val="00662375"/>
    <w:rsid w:val="00662D83"/>
    <w:rsid w:val="00665A54"/>
    <w:rsid w:val="00670039"/>
    <w:rsid w:val="00671FC7"/>
    <w:rsid w:val="00673379"/>
    <w:rsid w:val="006748D4"/>
    <w:rsid w:val="006759B7"/>
    <w:rsid w:val="00676F22"/>
    <w:rsid w:val="006813D6"/>
    <w:rsid w:val="00681F5A"/>
    <w:rsid w:val="00682E8E"/>
    <w:rsid w:val="00683C1E"/>
    <w:rsid w:val="00684575"/>
    <w:rsid w:val="006858E4"/>
    <w:rsid w:val="00685B4A"/>
    <w:rsid w:val="00687F21"/>
    <w:rsid w:val="0069154B"/>
    <w:rsid w:val="00695E5C"/>
    <w:rsid w:val="006A0C15"/>
    <w:rsid w:val="006A253A"/>
    <w:rsid w:val="006A2BCC"/>
    <w:rsid w:val="006A5065"/>
    <w:rsid w:val="006A55AF"/>
    <w:rsid w:val="006A72CA"/>
    <w:rsid w:val="006A7EED"/>
    <w:rsid w:val="006B21FF"/>
    <w:rsid w:val="006B25C5"/>
    <w:rsid w:val="006B3871"/>
    <w:rsid w:val="006D0D8D"/>
    <w:rsid w:val="006D2039"/>
    <w:rsid w:val="006E4527"/>
    <w:rsid w:val="00702CC0"/>
    <w:rsid w:val="00706A0C"/>
    <w:rsid w:val="00706DAC"/>
    <w:rsid w:val="00707252"/>
    <w:rsid w:val="00713878"/>
    <w:rsid w:val="00724CB5"/>
    <w:rsid w:val="00725E3A"/>
    <w:rsid w:val="007312CD"/>
    <w:rsid w:val="00732A8B"/>
    <w:rsid w:val="00733A9C"/>
    <w:rsid w:val="00733D84"/>
    <w:rsid w:val="00734A54"/>
    <w:rsid w:val="00734CF1"/>
    <w:rsid w:val="007365DF"/>
    <w:rsid w:val="00743144"/>
    <w:rsid w:val="00743786"/>
    <w:rsid w:val="0074474D"/>
    <w:rsid w:val="00744C04"/>
    <w:rsid w:val="00746D16"/>
    <w:rsid w:val="00752E62"/>
    <w:rsid w:val="00757957"/>
    <w:rsid w:val="0076273A"/>
    <w:rsid w:val="00772FEA"/>
    <w:rsid w:val="00773B6A"/>
    <w:rsid w:val="00775E01"/>
    <w:rsid w:val="00780AAD"/>
    <w:rsid w:val="00782B26"/>
    <w:rsid w:val="00786C17"/>
    <w:rsid w:val="00787ACD"/>
    <w:rsid w:val="007908BE"/>
    <w:rsid w:val="00790A40"/>
    <w:rsid w:val="00796561"/>
    <w:rsid w:val="007A3485"/>
    <w:rsid w:val="007A39BC"/>
    <w:rsid w:val="007A3A24"/>
    <w:rsid w:val="007A3FFD"/>
    <w:rsid w:val="007A4E56"/>
    <w:rsid w:val="007A797B"/>
    <w:rsid w:val="007B2AA4"/>
    <w:rsid w:val="007B2D78"/>
    <w:rsid w:val="007B54BD"/>
    <w:rsid w:val="007B6C1B"/>
    <w:rsid w:val="007B755D"/>
    <w:rsid w:val="007C575A"/>
    <w:rsid w:val="007D5D69"/>
    <w:rsid w:val="007E799B"/>
    <w:rsid w:val="007F021B"/>
    <w:rsid w:val="007F63D4"/>
    <w:rsid w:val="007F694F"/>
    <w:rsid w:val="008023DD"/>
    <w:rsid w:val="00802C06"/>
    <w:rsid w:val="008043AE"/>
    <w:rsid w:val="00804D57"/>
    <w:rsid w:val="008078BD"/>
    <w:rsid w:val="00812E8D"/>
    <w:rsid w:val="008136C5"/>
    <w:rsid w:val="00814FE9"/>
    <w:rsid w:val="00816B3B"/>
    <w:rsid w:val="0081719A"/>
    <w:rsid w:val="0081737E"/>
    <w:rsid w:val="008223AD"/>
    <w:rsid w:val="008226D1"/>
    <w:rsid w:val="0082335F"/>
    <w:rsid w:val="008243C1"/>
    <w:rsid w:val="0082564D"/>
    <w:rsid w:val="00825968"/>
    <w:rsid w:val="00825F3C"/>
    <w:rsid w:val="008319C2"/>
    <w:rsid w:val="00832FD6"/>
    <w:rsid w:val="008363B2"/>
    <w:rsid w:val="008368C5"/>
    <w:rsid w:val="008368F7"/>
    <w:rsid w:val="008409DD"/>
    <w:rsid w:val="00842CCA"/>
    <w:rsid w:val="00843555"/>
    <w:rsid w:val="008447FF"/>
    <w:rsid w:val="008471DA"/>
    <w:rsid w:val="008531BD"/>
    <w:rsid w:val="00855AA8"/>
    <w:rsid w:val="00861A5E"/>
    <w:rsid w:val="008643C6"/>
    <w:rsid w:val="0086787B"/>
    <w:rsid w:val="0086796F"/>
    <w:rsid w:val="008726DB"/>
    <w:rsid w:val="0087450D"/>
    <w:rsid w:val="0087531F"/>
    <w:rsid w:val="00876447"/>
    <w:rsid w:val="0088020F"/>
    <w:rsid w:val="00881C71"/>
    <w:rsid w:val="0088218E"/>
    <w:rsid w:val="008824B2"/>
    <w:rsid w:val="00882774"/>
    <w:rsid w:val="008838F0"/>
    <w:rsid w:val="00883C85"/>
    <w:rsid w:val="008849DD"/>
    <w:rsid w:val="008858A4"/>
    <w:rsid w:val="0089475E"/>
    <w:rsid w:val="00895BA9"/>
    <w:rsid w:val="008A0A0A"/>
    <w:rsid w:val="008A0FFC"/>
    <w:rsid w:val="008A13C1"/>
    <w:rsid w:val="008A24C9"/>
    <w:rsid w:val="008A464C"/>
    <w:rsid w:val="008A46C8"/>
    <w:rsid w:val="008A6127"/>
    <w:rsid w:val="008A6338"/>
    <w:rsid w:val="008A6CC4"/>
    <w:rsid w:val="008B3187"/>
    <w:rsid w:val="008B32BB"/>
    <w:rsid w:val="008B3CD9"/>
    <w:rsid w:val="008C0474"/>
    <w:rsid w:val="008D0866"/>
    <w:rsid w:val="008D194F"/>
    <w:rsid w:val="008D1F3D"/>
    <w:rsid w:val="008D2BFE"/>
    <w:rsid w:val="008D2C63"/>
    <w:rsid w:val="008E0345"/>
    <w:rsid w:val="008E3289"/>
    <w:rsid w:val="008F013D"/>
    <w:rsid w:val="008F0B48"/>
    <w:rsid w:val="008F0B93"/>
    <w:rsid w:val="008F0F6E"/>
    <w:rsid w:val="008F1509"/>
    <w:rsid w:val="008F1ED7"/>
    <w:rsid w:val="008F273A"/>
    <w:rsid w:val="008F3195"/>
    <w:rsid w:val="00900F23"/>
    <w:rsid w:val="0090234E"/>
    <w:rsid w:val="00904FBB"/>
    <w:rsid w:val="00910072"/>
    <w:rsid w:val="0091092C"/>
    <w:rsid w:val="00914B2B"/>
    <w:rsid w:val="00920E19"/>
    <w:rsid w:val="00921F8E"/>
    <w:rsid w:val="00922108"/>
    <w:rsid w:val="00924204"/>
    <w:rsid w:val="00925D5C"/>
    <w:rsid w:val="00933D0C"/>
    <w:rsid w:val="00937ADE"/>
    <w:rsid w:val="00937D82"/>
    <w:rsid w:val="0094028C"/>
    <w:rsid w:val="00941C83"/>
    <w:rsid w:val="00942231"/>
    <w:rsid w:val="00942DF1"/>
    <w:rsid w:val="009446D2"/>
    <w:rsid w:val="00946889"/>
    <w:rsid w:val="00952844"/>
    <w:rsid w:val="0095298C"/>
    <w:rsid w:val="009535AD"/>
    <w:rsid w:val="0095429F"/>
    <w:rsid w:val="0095545E"/>
    <w:rsid w:val="00957943"/>
    <w:rsid w:val="009600AD"/>
    <w:rsid w:val="009629DD"/>
    <w:rsid w:val="009641B6"/>
    <w:rsid w:val="00964614"/>
    <w:rsid w:val="00965F3D"/>
    <w:rsid w:val="009664E7"/>
    <w:rsid w:val="00966D3A"/>
    <w:rsid w:val="00975F5D"/>
    <w:rsid w:val="00976026"/>
    <w:rsid w:val="00980CB5"/>
    <w:rsid w:val="00982259"/>
    <w:rsid w:val="009916F3"/>
    <w:rsid w:val="00993A73"/>
    <w:rsid w:val="009A3E5D"/>
    <w:rsid w:val="009B4EBD"/>
    <w:rsid w:val="009B5C4B"/>
    <w:rsid w:val="009C0C3F"/>
    <w:rsid w:val="009C1E7C"/>
    <w:rsid w:val="009C4A53"/>
    <w:rsid w:val="009D0B44"/>
    <w:rsid w:val="009D4F44"/>
    <w:rsid w:val="009D62A4"/>
    <w:rsid w:val="009D6CA0"/>
    <w:rsid w:val="009D7926"/>
    <w:rsid w:val="009E0925"/>
    <w:rsid w:val="009E0B46"/>
    <w:rsid w:val="009E1CDE"/>
    <w:rsid w:val="009E34D0"/>
    <w:rsid w:val="009E503A"/>
    <w:rsid w:val="009F1C91"/>
    <w:rsid w:val="009F2377"/>
    <w:rsid w:val="009F2430"/>
    <w:rsid w:val="009F2AB1"/>
    <w:rsid w:val="009F40E4"/>
    <w:rsid w:val="009F4182"/>
    <w:rsid w:val="009F7285"/>
    <w:rsid w:val="00A00AC0"/>
    <w:rsid w:val="00A01DD5"/>
    <w:rsid w:val="00A02376"/>
    <w:rsid w:val="00A03CA5"/>
    <w:rsid w:val="00A049E3"/>
    <w:rsid w:val="00A04CD4"/>
    <w:rsid w:val="00A04D19"/>
    <w:rsid w:val="00A14089"/>
    <w:rsid w:val="00A156A3"/>
    <w:rsid w:val="00A253D7"/>
    <w:rsid w:val="00A308CF"/>
    <w:rsid w:val="00A30DFE"/>
    <w:rsid w:val="00A310BB"/>
    <w:rsid w:val="00A315C1"/>
    <w:rsid w:val="00A33F96"/>
    <w:rsid w:val="00A3509C"/>
    <w:rsid w:val="00A35E6C"/>
    <w:rsid w:val="00A362FC"/>
    <w:rsid w:val="00A36450"/>
    <w:rsid w:val="00A3746B"/>
    <w:rsid w:val="00A403F8"/>
    <w:rsid w:val="00A43760"/>
    <w:rsid w:val="00A45D0D"/>
    <w:rsid w:val="00A56821"/>
    <w:rsid w:val="00A60F60"/>
    <w:rsid w:val="00A631D5"/>
    <w:rsid w:val="00A6387A"/>
    <w:rsid w:val="00A6539C"/>
    <w:rsid w:val="00A65EE8"/>
    <w:rsid w:val="00A665F5"/>
    <w:rsid w:val="00A66773"/>
    <w:rsid w:val="00A74EA9"/>
    <w:rsid w:val="00A83327"/>
    <w:rsid w:val="00A835AD"/>
    <w:rsid w:val="00A84B92"/>
    <w:rsid w:val="00A84F70"/>
    <w:rsid w:val="00A85DA0"/>
    <w:rsid w:val="00A869AE"/>
    <w:rsid w:val="00A910AD"/>
    <w:rsid w:val="00A9326F"/>
    <w:rsid w:val="00AA1618"/>
    <w:rsid w:val="00AA3A68"/>
    <w:rsid w:val="00AA4348"/>
    <w:rsid w:val="00AA492D"/>
    <w:rsid w:val="00AA6424"/>
    <w:rsid w:val="00AB1345"/>
    <w:rsid w:val="00AB570F"/>
    <w:rsid w:val="00AB7EE4"/>
    <w:rsid w:val="00AC353E"/>
    <w:rsid w:val="00AC3D37"/>
    <w:rsid w:val="00AC5775"/>
    <w:rsid w:val="00AC601E"/>
    <w:rsid w:val="00AC7767"/>
    <w:rsid w:val="00AD0705"/>
    <w:rsid w:val="00AD34F0"/>
    <w:rsid w:val="00AD38A7"/>
    <w:rsid w:val="00AE2078"/>
    <w:rsid w:val="00AE74B9"/>
    <w:rsid w:val="00AF035F"/>
    <w:rsid w:val="00AF12A0"/>
    <w:rsid w:val="00AF1493"/>
    <w:rsid w:val="00AF6DB5"/>
    <w:rsid w:val="00AF7029"/>
    <w:rsid w:val="00B029CE"/>
    <w:rsid w:val="00B03696"/>
    <w:rsid w:val="00B042FD"/>
    <w:rsid w:val="00B13B0E"/>
    <w:rsid w:val="00B15E64"/>
    <w:rsid w:val="00B209FE"/>
    <w:rsid w:val="00B216A8"/>
    <w:rsid w:val="00B225FA"/>
    <w:rsid w:val="00B22D2F"/>
    <w:rsid w:val="00B22F52"/>
    <w:rsid w:val="00B26BF1"/>
    <w:rsid w:val="00B3068E"/>
    <w:rsid w:val="00B34750"/>
    <w:rsid w:val="00B34C49"/>
    <w:rsid w:val="00B368CF"/>
    <w:rsid w:val="00B43151"/>
    <w:rsid w:val="00B54C9A"/>
    <w:rsid w:val="00B55E09"/>
    <w:rsid w:val="00B57023"/>
    <w:rsid w:val="00B60F77"/>
    <w:rsid w:val="00B622EA"/>
    <w:rsid w:val="00B62F65"/>
    <w:rsid w:val="00B6376C"/>
    <w:rsid w:val="00B67807"/>
    <w:rsid w:val="00B71A99"/>
    <w:rsid w:val="00B71EE4"/>
    <w:rsid w:val="00B72395"/>
    <w:rsid w:val="00B72DFC"/>
    <w:rsid w:val="00B73641"/>
    <w:rsid w:val="00B73AD5"/>
    <w:rsid w:val="00B75A01"/>
    <w:rsid w:val="00B8005B"/>
    <w:rsid w:val="00B805F1"/>
    <w:rsid w:val="00B8172A"/>
    <w:rsid w:val="00B83375"/>
    <w:rsid w:val="00B84659"/>
    <w:rsid w:val="00B85F89"/>
    <w:rsid w:val="00B869EC"/>
    <w:rsid w:val="00B93B82"/>
    <w:rsid w:val="00BA132C"/>
    <w:rsid w:val="00BA1C87"/>
    <w:rsid w:val="00BA1E9B"/>
    <w:rsid w:val="00BA2B64"/>
    <w:rsid w:val="00BA2DB7"/>
    <w:rsid w:val="00BA557F"/>
    <w:rsid w:val="00BA5B19"/>
    <w:rsid w:val="00BA63C9"/>
    <w:rsid w:val="00BB0205"/>
    <w:rsid w:val="00BB11E2"/>
    <w:rsid w:val="00BB3456"/>
    <w:rsid w:val="00BB5333"/>
    <w:rsid w:val="00BC0620"/>
    <w:rsid w:val="00BC1349"/>
    <w:rsid w:val="00BC23C9"/>
    <w:rsid w:val="00BC760E"/>
    <w:rsid w:val="00BC7F65"/>
    <w:rsid w:val="00BD033C"/>
    <w:rsid w:val="00BD1783"/>
    <w:rsid w:val="00BD4466"/>
    <w:rsid w:val="00BE4753"/>
    <w:rsid w:val="00BE7581"/>
    <w:rsid w:val="00BF0325"/>
    <w:rsid w:val="00BF0621"/>
    <w:rsid w:val="00BF0964"/>
    <w:rsid w:val="00BF4ED8"/>
    <w:rsid w:val="00BF5DBC"/>
    <w:rsid w:val="00BF78EC"/>
    <w:rsid w:val="00BF7F5D"/>
    <w:rsid w:val="00C02678"/>
    <w:rsid w:val="00C0347A"/>
    <w:rsid w:val="00C0674D"/>
    <w:rsid w:val="00C1087B"/>
    <w:rsid w:val="00C11EDF"/>
    <w:rsid w:val="00C2532B"/>
    <w:rsid w:val="00C301C6"/>
    <w:rsid w:val="00C30AEA"/>
    <w:rsid w:val="00C31263"/>
    <w:rsid w:val="00C3143C"/>
    <w:rsid w:val="00C340C8"/>
    <w:rsid w:val="00C3417D"/>
    <w:rsid w:val="00C3558B"/>
    <w:rsid w:val="00C425CE"/>
    <w:rsid w:val="00C43014"/>
    <w:rsid w:val="00C46ECF"/>
    <w:rsid w:val="00C47F70"/>
    <w:rsid w:val="00C63252"/>
    <w:rsid w:val="00C64E97"/>
    <w:rsid w:val="00C65146"/>
    <w:rsid w:val="00C6774C"/>
    <w:rsid w:val="00C67971"/>
    <w:rsid w:val="00C71495"/>
    <w:rsid w:val="00C722D8"/>
    <w:rsid w:val="00C729BF"/>
    <w:rsid w:val="00C74658"/>
    <w:rsid w:val="00C76748"/>
    <w:rsid w:val="00C81FF7"/>
    <w:rsid w:val="00C82AC5"/>
    <w:rsid w:val="00C834C9"/>
    <w:rsid w:val="00C85FD0"/>
    <w:rsid w:val="00C954B6"/>
    <w:rsid w:val="00CA338E"/>
    <w:rsid w:val="00CA4EEC"/>
    <w:rsid w:val="00CA75AC"/>
    <w:rsid w:val="00CB24A5"/>
    <w:rsid w:val="00CC048E"/>
    <w:rsid w:val="00CC274D"/>
    <w:rsid w:val="00CC3738"/>
    <w:rsid w:val="00CC58D9"/>
    <w:rsid w:val="00CC6DCD"/>
    <w:rsid w:val="00CD039D"/>
    <w:rsid w:val="00CD0710"/>
    <w:rsid w:val="00CD1F92"/>
    <w:rsid w:val="00CD313D"/>
    <w:rsid w:val="00CD4880"/>
    <w:rsid w:val="00CD6692"/>
    <w:rsid w:val="00CE1458"/>
    <w:rsid w:val="00CE14C1"/>
    <w:rsid w:val="00CE5A47"/>
    <w:rsid w:val="00CE66AA"/>
    <w:rsid w:val="00D071E9"/>
    <w:rsid w:val="00D1179A"/>
    <w:rsid w:val="00D14371"/>
    <w:rsid w:val="00D15502"/>
    <w:rsid w:val="00D17179"/>
    <w:rsid w:val="00D20F5B"/>
    <w:rsid w:val="00D2252E"/>
    <w:rsid w:val="00D22CA0"/>
    <w:rsid w:val="00D23332"/>
    <w:rsid w:val="00D25919"/>
    <w:rsid w:val="00D27B29"/>
    <w:rsid w:val="00D27DEB"/>
    <w:rsid w:val="00D32F32"/>
    <w:rsid w:val="00D33420"/>
    <w:rsid w:val="00D34E29"/>
    <w:rsid w:val="00D35F63"/>
    <w:rsid w:val="00D370DF"/>
    <w:rsid w:val="00D40EC1"/>
    <w:rsid w:val="00D426C7"/>
    <w:rsid w:val="00D43115"/>
    <w:rsid w:val="00D44419"/>
    <w:rsid w:val="00D45C3C"/>
    <w:rsid w:val="00D51940"/>
    <w:rsid w:val="00D519E0"/>
    <w:rsid w:val="00D521AF"/>
    <w:rsid w:val="00D57FF3"/>
    <w:rsid w:val="00D61599"/>
    <w:rsid w:val="00D623A0"/>
    <w:rsid w:val="00D65528"/>
    <w:rsid w:val="00D70D30"/>
    <w:rsid w:val="00D71175"/>
    <w:rsid w:val="00D767C2"/>
    <w:rsid w:val="00D76C0D"/>
    <w:rsid w:val="00D76DFA"/>
    <w:rsid w:val="00D80D9B"/>
    <w:rsid w:val="00D91C9A"/>
    <w:rsid w:val="00D92A1F"/>
    <w:rsid w:val="00D932F1"/>
    <w:rsid w:val="00D93398"/>
    <w:rsid w:val="00D9576C"/>
    <w:rsid w:val="00D95CD9"/>
    <w:rsid w:val="00D97124"/>
    <w:rsid w:val="00DA0024"/>
    <w:rsid w:val="00DA236C"/>
    <w:rsid w:val="00DA397C"/>
    <w:rsid w:val="00DA4CE5"/>
    <w:rsid w:val="00DA559C"/>
    <w:rsid w:val="00DB0662"/>
    <w:rsid w:val="00DB0717"/>
    <w:rsid w:val="00DB0AFC"/>
    <w:rsid w:val="00DB1EF1"/>
    <w:rsid w:val="00DC00C1"/>
    <w:rsid w:val="00DC08A7"/>
    <w:rsid w:val="00DC1BB5"/>
    <w:rsid w:val="00DC73B4"/>
    <w:rsid w:val="00DD02EC"/>
    <w:rsid w:val="00DD18CA"/>
    <w:rsid w:val="00DD70D1"/>
    <w:rsid w:val="00DE020D"/>
    <w:rsid w:val="00DE328C"/>
    <w:rsid w:val="00DE3733"/>
    <w:rsid w:val="00DF202B"/>
    <w:rsid w:val="00DF36D5"/>
    <w:rsid w:val="00DF3AD1"/>
    <w:rsid w:val="00DF4CD9"/>
    <w:rsid w:val="00E00994"/>
    <w:rsid w:val="00E013F2"/>
    <w:rsid w:val="00E06910"/>
    <w:rsid w:val="00E11E2F"/>
    <w:rsid w:val="00E13BB0"/>
    <w:rsid w:val="00E14DAD"/>
    <w:rsid w:val="00E225F9"/>
    <w:rsid w:val="00E22C58"/>
    <w:rsid w:val="00E2641F"/>
    <w:rsid w:val="00E31D64"/>
    <w:rsid w:val="00E35574"/>
    <w:rsid w:val="00E356F5"/>
    <w:rsid w:val="00E40B8A"/>
    <w:rsid w:val="00E428C3"/>
    <w:rsid w:val="00E4597D"/>
    <w:rsid w:val="00E539AE"/>
    <w:rsid w:val="00E54177"/>
    <w:rsid w:val="00E554C1"/>
    <w:rsid w:val="00E56A54"/>
    <w:rsid w:val="00E576AF"/>
    <w:rsid w:val="00E60779"/>
    <w:rsid w:val="00E60D33"/>
    <w:rsid w:val="00E61107"/>
    <w:rsid w:val="00E61646"/>
    <w:rsid w:val="00E63213"/>
    <w:rsid w:val="00E66185"/>
    <w:rsid w:val="00E70CA8"/>
    <w:rsid w:val="00E71B52"/>
    <w:rsid w:val="00E74082"/>
    <w:rsid w:val="00E7445D"/>
    <w:rsid w:val="00E7587F"/>
    <w:rsid w:val="00E8307D"/>
    <w:rsid w:val="00E83949"/>
    <w:rsid w:val="00E863CA"/>
    <w:rsid w:val="00E8668E"/>
    <w:rsid w:val="00E9037A"/>
    <w:rsid w:val="00E92B77"/>
    <w:rsid w:val="00E94768"/>
    <w:rsid w:val="00E959CF"/>
    <w:rsid w:val="00E966BB"/>
    <w:rsid w:val="00E96FAA"/>
    <w:rsid w:val="00EA00D9"/>
    <w:rsid w:val="00EA5E12"/>
    <w:rsid w:val="00EA6B56"/>
    <w:rsid w:val="00EB0F72"/>
    <w:rsid w:val="00EB26EB"/>
    <w:rsid w:val="00EB7A19"/>
    <w:rsid w:val="00EC395F"/>
    <w:rsid w:val="00ED786F"/>
    <w:rsid w:val="00EE0E90"/>
    <w:rsid w:val="00EE2668"/>
    <w:rsid w:val="00EF359E"/>
    <w:rsid w:val="00EF39F4"/>
    <w:rsid w:val="00EF3DCB"/>
    <w:rsid w:val="00F006B0"/>
    <w:rsid w:val="00F017CA"/>
    <w:rsid w:val="00F01F76"/>
    <w:rsid w:val="00F02703"/>
    <w:rsid w:val="00F0270E"/>
    <w:rsid w:val="00F04BAE"/>
    <w:rsid w:val="00F04D31"/>
    <w:rsid w:val="00F056D7"/>
    <w:rsid w:val="00F05768"/>
    <w:rsid w:val="00F06AF4"/>
    <w:rsid w:val="00F13473"/>
    <w:rsid w:val="00F13E27"/>
    <w:rsid w:val="00F15A78"/>
    <w:rsid w:val="00F166BF"/>
    <w:rsid w:val="00F3014E"/>
    <w:rsid w:val="00F31EAC"/>
    <w:rsid w:val="00F32B0C"/>
    <w:rsid w:val="00F36907"/>
    <w:rsid w:val="00F36948"/>
    <w:rsid w:val="00F436DF"/>
    <w:rsid w:val="00F4492F"/>
    <w:rsid w:val="00F50266"/>
    <w:rsid w:val="00F50D6C"/>
    <w:rsid w:val="00F52979"/>
    <w:rsid w:val="00F544F1"/>
    <w:rsid w:val="00F5735B"/>
    <w:rsid w:val="00F5794F"/>
    <w:rsid w:val="00F61F24"/>
    <w:rsid w:val="00F642DF"/>
    <w:rsid w:val="00F64AF5"/>
    <w:rsid w:val="00F650FA"/>
    <w:rsid w:val="00F773A3"/>
    <w:rsid w:val="00F80FAD"/>
    <w:rsid w:val="00F85669"/>
    <w:rsid w:val="00F91194"/>
    <w:rsid w:val="00F9154B"/>
    <w:rsid w:val="00F94796"/>
    <w:rsid w:val="00F953E8"/>
    <w:rsid w:val="00FA0E73"/>
    <w:rsid w:val="00FA15D0"/>
    <w:rsid w:val="00FA1BB4"/>
    <w:rsid w:val="00FA4CCE"/>
    <w:rsid w:val="00FB1031"/>
    <w:rsid w:val="00FB268C"/>
    <w:rsid w:val="00FB3C1D"/>
    <w:rsid w:val="00FB3E95"/>
    <w:rsid w:val="00FB78A4"/>
    <w:rsid w:val="00FC1BF6"/>
    <w:rsid w:val="00FC2007"/>
    <w:rsid w:val="00FC5F6B"/>
    <w:rsid w:val="00FD25A2"/>
    <w:rsid w:val="00FD3234"/>
    <w:rsid w:val="00FE2CBE"/>
    <w:rsid w:val="00FE4165"/>
    <w:rsid w:val="00FE568F"/>
    <w:rsid w:val="00FE608C"/>
    <w:rsid w:val="00FE670F"/>
    <w:rsid w:val="00FF0AB9"/>
    <w:rsid w:val="00FF1672"/>
    <w:rsid w:val="00FF2F7B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D1C05"/>
  <w15:docId w15:val="{76591360-A6CD-4781-9A47-5DFDDB8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F1"/>
  </w:style>
  <w:style w:type="paragraph" w:styleId="Heading1">
    <w:name w:val="heading 1"/>
    <w:basedOn w:val="Normal"/>
    <w:next w:val="Normal"/>
    <w:link w:val="Heading1Char"/>
    <w:uiPriority w:val="9"/>
    <w:qFormat/>
    <w:rsid w:val="00B26BF1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BF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BF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82"/>
    <w:rPr>
      <w:rFonts w:ascii="Tahoma" w:eastAsia="Calibri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393B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E266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E26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EE266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0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0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75A1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6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6692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B26BF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ListParagraph">
    <w:name w:val="List Paragraph"/>
    <w:basedOn w:val="Normal"/>
    <w:uiPriority w:val="34"/>
    <w:qFormat/>
    <w:rsid w:val="00403DC6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061C3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5">
    <w:name w:val="Medium Shading 1 Accent 5"/>
    <w:basedOn w:val="TableNormal"/>
    <w:uiPriority w:val="63"/>
    <w:rsid w:val="00061C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712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1712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31528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3152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31528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3152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8319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DarkList-Accent5">
    <w:name w:val="Dark List Accent 5"/>
    <w:basedOn w:val="TableNormal"/>
    <w:uiPriority w:val="70"/>
    <w:rsid w:val="008319C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PlainTable21">
    <w:name w:val="Plain Table 21"/>
    <w:basedOn w:val="TableNormal"/>
    <w:uiPriority w:val="42"/>
    <w:rsid w:val="00B736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B736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F5297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6">
    <w:name w:val="Grid Table 2 Accent 6"/>
    <w:basedOn w:val="TableNormal"/>
    <w:uiPriority w:val="47"/>
    <w:rsid w:val="00F5297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cPr>
      <w:shd w:val="clear" w:color="auto" w:fill="FABF8F" w:themeFill="accent6" w:themeFillTint="99"/>
    </w:tc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F15A7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2B30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2B30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2B30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4066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D22C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B26BF1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BF1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BF1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BF1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BF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BF1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BF1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BF1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6B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6B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26BF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BF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BF1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26BF1"/>
    <w:rPr>
      <w:b/>
      <w:bCs/>
    </w:rPr>
  </w:style>
  <w:style w:type="character" w:styleId="Emphasis">
    <w:name w:val="Emphasis"/>
    <w:basedOn w:val="DefaultParagraphFont"/>
    <w:uiPriority w:val="20"/>
    <w:qFormat/>
    <w:rsid w:val="00B26BF1"/>
    <w:rPr>
      <w:i/>
      <w:iCs/>
      <w:color w:val="000000" w:themeColor="text1"/>
    </w:rPr>
  </w:style>
  <w:style w:type="paragraph" w:styleId="NoSpacing">
    <w:name w:val="No Spacing"/>
    <w:uiPriority w:val="1"/>
    <w:qFormat/>
    <w:rsid w:val="00B26B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6BF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6B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BF1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BF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6B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26BF1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B26B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6BF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26B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BF1"/>
    <w:pPr>
      <w:outlineLvl w:val="9"/>
    </w:pPr>
  </w:style>
  <w:style w:type="table" w:styleId="GridTable2-Accent5">
    <w:name w:val="Grid Table 2 Accent 5"/>
    <w:basedOn w:val="TableNormal"/>
    <w:uiPriority w:val="47"/>
    <w:rsid w:val="00A65EE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6B25C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6B25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367D6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4E40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JK\AHARI\CK\2.%20Work\2023\DAIM\PERMINTAAN%20DATA%20DAIM\SATKER-UKER%20OJK\DBMS\Data%20Perkembangan%20PM%20Syariah\PM%20Syariah%2020230428\Data%20Perkembangan%20Pasar%20Modal%20Syariah%20202304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en-US" sz="1800" b="0" i="0" baseline="0">
                <a:effectLst/>
                <a:latin typeface="+mj-lt"/>
              </a:rPr>
              <a:t>P</a:t>
            </a:r>
            <a:r>
              <a:rPr lang="id-ID" sz="1800" b="0" i="0" baseline="0">
                <a:effectLst/>
                <a:latin typeface="+mj-lt"/>
              </a:rPr>
              <a:t>erkembangan Saham Syariah</a:t>
            </a:r>
            <a:endParaRPr lang="id-ID" sz="1800" b="0">
              <a:effectLst/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1408572922983451E-2"/>
          <c:y val="8.7149952973974432E-3"/>
          <c:w val="0.93557458200865651"/>
          <c:h val="0.883692674240308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'perkemb. saham syariah (s.15)'!$B$2</c:f>
              <c:strCache>
                <c:ptCount val="1"/>
                <c:pt idx="0">
                  <c:v>Periode 1</c:v>
                </c:pt>
              </c:strCache>
            </c:strRef>
          </c:tx>
          <c:spPr>
            <a:noFill/>
            <a:ln w="25400">
              <a:solidFill>
                <a:srgbClr val="00B050"/>
              </a:solidFill>
            </a:ln>
            <a:effectLst/>
            <a:sp3d/>
          </c:spPr>
          <c:invertIfNegative val="0"/>
          <c:dPt>
            <c:idx val="4"/>
            <c:invertIfNegative val="0"/>
            <c:bubble3D val="0"/>
            <c:spPr>
              <a:noFill/>
              <a:ln w="25400">
                <a:solidFill>
                  <a:srgbClr val="00B050"/>
                </a:solidFill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BDF-44F0-AECF-C62A16326D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'perkemb. saham syariah (s.15)'!$A$14:$A$18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  <c:extLst/>
            </c:numRef>
          </c:cat>
          <c:val>
            <c:numRef>
              <c:f>'perkemb. saham syariah (s.15)'!$B$14:$B$18</c:f>
              <c:numCache>
                <c:formatCode>General</c:formatCode>
                <c:ptCount val="5"/>
                <c:pt idx="0">
                  <c:v>381</c:v>
                </c:pt>
                <c:pt idx="1">
                  <c:v>408</c:v>
                </c:pt>
                <c:pt idx="2">
                  <c:v>457</c:v>
                </c:pt>
                <c:pt idx="3">
                  <c:v>443</c:v>
                </c:pt>
                <c:pt idx="4">
                  <c:v>504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BDF-44F0-AECF-C62A16326D16}"/>
            </c:ext>
          </c:extLst>
        </c:ser>
        <c:ser>
          <c:idx val="1"/>
          <c:order val="1"/>
          <c:tx>
            <c:strRef>
              <c:f>'perkemb. saham syariah (s.15)'!$C$2</c:f>
              <c:strCache>
                <c:ptCount val="1"/>
                <c:pt idx="0">
                  <c:v>Periode 2</c:v>
                </c:pt>
              </c:strCache>
            </c:strRef>
          </c:tx>
          <c:spPr>
            <a:noFill/>
            <a:ln w="25400">
              <a:solidFill>
                <a:schemeClr val="tx1"/>
              </a:solidFill>
            </a:ln>
            <a:effectLst/>
            <a:sp3d/>
          </c:spPr>
          <c:invertIfNegative val="0"/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BDF-44F0-AECF-C62A16326D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'perkemb. saham syariah (s.15)'!$A$14:$A$18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  <c:extLst/>
            </c:numRef>
          </c:cat>
          <c:val>
            <c:numRef>
              <c:f>'perkemb. saham syariah (s.15)'!$C$14:$C$18</c:f>
              <c:numCache>
                <c:formatCode>General</c:formatCode>
                <c:ptCount val="5"/>
                <c:pt idx="0">
                  <c:v>407</c:v>
                </c:pt>
                <c:pt idx="1">
                  <c:v>435</c:v>
                </c:pt>
                <c:pt idx="2">
                  <c:v>436</c:v>
                </c:pt>
                <c:pt idx="3">
                  <c:v>484</c:v>
                </c:pt>
                <c:pt idx="4">
                  <c:v>578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CBDF-44F0-AECF-C62A16326D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0"/>
        <c:overlap val="-30"/>
        <c:axId val="237591552"/>
        <c:axId val="237597440"/>
      </c:barChart>
      <c:catAx>
        <c:axId val="23759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en-US"/>
          </a:p>
        </c:txPr>
        <c:crossAx val="237597440"/>
        <c:crosses val="autoZero"/>
        <c:auto val="1"/>
        <c:lblAlgn val="ctr"/>
        <c:lblOffset val="100"/>
        <c:noMultiLvlLbl val="0"/>
      </c:catAx>
      <c:valAx>
        <c:axId val="23759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bg1"/>
                </a:solidFill>
                <a:latin typeface="Candara" panose="020E0502030303020204" pitchFamily="34" charset="0"/>
                <a:ea typeface="+mn-ea"/>
                <a:cs typeface="+mn-cs"/>
              </a:defRPr>
            </a:pPr>
            <a:endParaRPr lang="en-US"/>
          </a:p>
        </c:txPr>
        <c:crossAx val="237591552"/>
        <c:crosses val="autoZero"/>
        <c:crossBetween val="between"/>
      </c:valAx>
      <c:spPr>
        <a:solidFill>
          <a:srgbClr val="FFFFFF"/>
        </a:solidFill>
        <a:ln>
          <a:noFill/>
        </a:ln>
        <a:effectLst/>
        <a:sp3d/>
      </c:spPr>
    </c:plotArea>
    <c:legend>
      <c:legendPos val="b"/>
      <c:layout>
        <c:manualLayout>
          <c:xMode val="edge"/>
          <c:yMode val="edge"/>
          <c:x val="0.30053809720578989"/>
          <c:y val="0.93795793435391916"/>
          <c:w val="0.3989237061858929"/>
          <c:h val="6.2042065646080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A574F2C10E44FA88ABC7D7A76AF66" ma:contentTypeVersion="1" ma:contentTypeDescription="Create a new document." ma:contentTypeScope="" ma:versionID="ab6d70c1d2690745976e88d0fae366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8C9DBA-2C3F-4493-AA7F-4F81F66D2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3B91F-FBD0-47FA-B995-AF310410780F}"/>
</file>

<file path=customXml/itemProps3.xml><?xml version="1.0" encoding="utf-8"?>
<ds:datastoreItem xmlns:ds="http://schemas.openxmlformats.org/officeDocument/2006/customXml" ds:itemID="{4B532EDF-D176-4F4A-8CB9-E82BCB11F015}"/>
</file>

<file path=customXml/itemProps4.xml><?xml version="1.0" encoding="utf-8"?>
<ds:datastoreItem xmlns:ds="http://schemas.openxmlformats.org/officeDocument/2006/customXml" ds:itemID="{A0E28328-A0D1-46C3-9398-5B381B644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Arief Hari Wibowo</cp:lastModifiedBy>
  <cp:revision>7</cp:revision>
  <cp:lastPrinted>2023-05-23T04:54:00Z</cp:lastPrinted>
  <dcterms:created xsi:type="dcterms:W3CDTF">2023-05-23T04:54:00Z</dcterms:created>
  <dcterms:modified xsi:type="dcterms:W3CDTF">2023-05-23T04:58:00Z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0x010100A31A574F2C10E44FA88ABC7D7A76AF66</vt:lpwstr>
  </property>
</Properties>
</file>