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2D6B5" w14:textId="77777777" w:rsidR="00E02D1C" w:rsidRDefault="00E02D1C" w:rsidP="00E02D1C">
      <w:pPr>
        <w:spacing w:before="120" w:after="120"/>
        <w:ind w:right="-22" w:hanging="360"/>
        <w:jc w:val="right"/>
        <w:rPr>
          <w:rFonts w:ascii="Bookman Old Style" w:hAnsi="Bookman Old Style"/>
          <w:b/>
          <w:color w:val="000000" w:themeColor="text1"/>
        </w:rPr>
      </w:pPr>
    </w:p>
    <w:p w14:paraId="3EA3AF20" w14:textId="0F443918" w:rsidR="00E02D1C" w:rsidRPr="0000196B" w:rsidRDefault="00E02D1C" w:rsidP="00E02D1C">
      <w:pPr>
        <w:spacing w:before="120" w:after="120"/>
        <w:ind w:right="-22" w:hanging="360"/>
        <w:jc w:val="right"/>
        <w:rPr>
          <w:rFonts w:ascii="Bookman Old Style" w:hAnsi="Bookman Old Style" w:cs="BookmanOldStyle"/>
          <w:bCs/>
          <w:sz w:val="18"/>
          <w:szCs w:val="18"/>
          <w:lang w:val="en-US"/>
        </w:rPr>
      </w:pPr>
      <w:r>
        <w:rPr>
          <w:rFonts w:ascii="Bookman Old Style" w:hAnsi="Bookman Old Style"/>
          <w:b/>
          <w:color w:val="000000" w:themeColor="text1"/>
        </w:rPr>
        <w:t xml:space="preserve"> </w:t>
      </w:r>
      <w:r>
        <w:rPr>
          <w:rFonts w:ascii="Bookman Old Style" w:hAnsi="Bookman Old Style"/>
          <w:b/>
          <w:color w:val="000000" w:themeColor="text1"/>
        </w:rPr>
        <w:tab/>
      </w:r>
      <w:r>
        <w:rPr>
          <w:rFonts w:ascii="Bookman Old Style" w:hAnsi="Bookman Old Style"/>
          <w:b/>
          <w:color w:val="000000" w:themeColor="text1"/>
        </w:rPr>
        <w:tab/>
      </w:r>
      <w:r w:rsidRPr="00252215">
        <w:rPr>
          <w:rFonts w:ascii="Times New Roman" w:hAnsi="Times New Roman"/>
          <w:sz w:val="18"/>
          <w:szCs w:val="18"/>
          <w:lang w:val="en-US"/>
        </w:rPr>
        <w:t>​</w:t>
      </w:r>
      <w:r w:rsidRPr="008E7A8D">
        <w:t xml:space="preserve"> </w:t>
      </w:r>
      <w:r w:rsidRPr="00F214B1">
        <w:rPr>
          <w:rFonts w:ascii="Bookman Old Style" w:hAnsi="Bookman Old Style" w:cs="BookmanOldStyle"/>
          <w:bCs/>
          <w:sz w:val="18"/>
          <w:szCs w:val="18"/>
          <w:lang w:val="en-US"/>
        </w:rPr>
        <w:t xml:space="preserve">SP </w:t>
      </w:r>
      <w:r>
        <w:rPr>
          <w:rFonts w:ascii="Bookman Old Style" w:hAnsi="Bookman Old Style" w:cs="BookmanOldStyle"/>
          <w:bCs/>
          <w:sz w:val="18"/>
          <w:szCs w:val="18"/>
          <w:lang w:val="en-US"/>
        </w:rPr>
        <w:t>89</w:t>
      </w:r>
      <w:r w:rsidRPr="00F214B1">
        <w:rPr>
          <w:rFonts w:ascii="Bookman Old Style" w:hAnsi="Bookman Old Style" w:cs="BookmanOldStyle"/>
          <w:bCs/>
          <w:sz w:val="18"/>
          <w:szCs w:val="18"/>
          <w:lang w:val="en-US"/>
        </w:rPr>
        <w:t>/</w:t>
      </w:r>
      <w:r>
        <w:rPr>
          <w:rFonts w:ascii="Bookman Old Style" w:hAnsi="Bookman Old Style" w:cs="BookmanOldStyle"/>
          <w:bCs/>
          <w:sz w:val="18"/>
          <w:szCs w:val="18"/>
          <w:lang w:val="en-US"/>
        </w:rPr>
        <w:t>DKPU</w:t>
      </w:r>
      <w:r w:rsidRPr="00F214B1">
        <w:rPr>
          <w:rFonts w:ascii="Bookman Old Style" w:hAnsi="Bookman Old Style" w:cs="BookmanOldStyle"/>
          <w:bCs/>
          <w:sz w:val="18"/>
          <w:szCs w:val="18"/>
          <w:lang w:val="en-US"/>
        </w:rPr>
        <w:t>/OJK/</w:t>
      </w:r>
      <w:r>
        <w:rPr>
          <w:rFonts w:ascii="Bookman Old Style" w:hAnsi="Bookman Old Style" w:cs="BookmanOldStyle"/>
          <w:bCs/>
          <w:sz w:val="18"/>
          <w:szCs w:val="18"/>
          <w:lang w:val="en-US"/>
        </w:rPr>
        <w:t>V</w:t>
      </w:r>
      <w:r w:rsidRPr="00F214B1">
        <w:rPr>
          <w:rFonts w:ascii="Bookman Old Style" w:hAnsi="Bookman Old Style" w:cs="BookmanOldStyle"/>
          <w:bCs/>
          <w:sz w:val="18"/>
          <w:szCs w:val="18"/>
          <w:lang w:val="en-US"/>
        </w:rPr>
        <w:t>/202</w:t>
      </w:r>
      <w:r>
        <w:rPr>
          <w:rFonts w:ascii="Bookman Old Style" w:hAnsi="Bookman Old Style" w:cs="BookmanOldStyle"/>
          <w:bCs/>
          <w:sz w:val="18"/>
          <w:szCs w:val="18"/>
          <w:lang w:val="en-US"/>
        </w:rPr>
        <w:t>6</w:t>
      </w:r>
    </w:p>
    <w:p w14:paraId="28824282" w14:textId="77777777" w:rsidR="00E02D1C" w:rsidRDefault="00E02D1C" w:rsidP="00E02D1C">
      <w:pPr>
        <w:spacing w:before="120" w:after="120"/>
        <w:rPr>
          <w:rFonts w:ascii="Bookman Old Style" w:hAnsi="Bookman Old Style"/>
          <w:b/>
          <w:color w:val="000000" w:themeColor="text1"/>
        </w:rPr>
      </w:pPr>
    </w:p>
    <w:p w14:paraId="283E2D93" w14:textId="77777777" w:rsidR="00E02D1C" w:rsidRPr="00012A27" w:rsidRDefault="00E02D1C" w:rsidP="00E02D1C">
      <w:pPr>
        <w:spacing w:before="120" w:after="120"/>
        <w:jc w:val="center"/>
        <w:rPr>
          <w:rFonts w:ascii="Bookman Old Style" w:hAnsi="Bookman Old Style"/>
          <w:b/>
          <w:bCs/>
          <w:lang w:val="en-GB"/>
        </w:rPr>
      </w:pPr>
      <w:r w:rsidRPr="00012A27">
        <w:rPr>
          <w:rFonts w:ascii="Bookman Old Style" w:hAnsi="Bookman Old Style"/>
          <w:b/>
          <w:bCs/>
          <w:lang w:val="en-GB"/>
        </w:rPr>
        <w:t>PRESS RELEASE</w:t>
      </w:r>
    </w:p>
    <w:p w14:paraId="7D6DC564" w14:textId="77777777" w:rsidR="00E02D1C" w:rsidRPr="008250F7" w:rsidRDefault="00E02D1C" w:rsidP="00E02D1C">
      <w:pPr>
        <w:snapToGrid w:val="0"/>
        <w:spacing w:before="120" w:after="0" w:line="288" w:lineRule="auto"/>
        <w:jc w:val="center"/>
        <w:rPr>
          <w:rFonts w:ascii="Bookman Old Style" w:hAnsi="Bookman Old Style"/>
          <w:color w:val="000000"/>
        </w:rPr>
      </w:pPr>
      <w:r w:rsidRPr="008250F7">
        <w:rPr>
          <w:rFonts w:ascii="Bookman Old Style" w:hAnsi="Bookman Old Style"/>
          <w:b/>
          <w:bCs/>
          <w:color w:val="000000"/>
        </w:rPr>
        <w:t xml:space="preserve">APRIL 2026 </w:t>
      </w:r>
      <w:r w:rsidRPr="0070357A">
        <w:rPr>
          <w:rFonts w:ascii="Bookman Old Style" w:hAnsi="Bookman Old Style"/>
          <w:b/>
          <w:bCs/>
          <w:color w:val="000000"/>
        </w:rPr>
        <w:t xml:space="preserve">THE BOARD OF COMMISSIONERS </w:t>
      </w:r>
      <w:r>
        <w:rPr>
          <w:rFonts w:ascii="Bookman Old Style" w:hAnsi="Bookman Old Style"/>
          <w:b/>
          <w:bCs/>
          <w:color w:val="000000"/>
        </w:rPr>
        <w:t xml:space="preserve">MONTHLY </w:t>
      </w:r>
      <w:r w:rsidRPr="008250F7">
        <w:rPr>
          <w:rFonts w:ascii="Bookman Old Style" w:hAnsi="Bookman Old Style"/>
          <w:b/>
          <w:bCs/>
          <w:color w:val="000000"/>
        </w:rPr>
        <w:t>MEETING</w:t>
      </w:r>
    </w:p>
    <w:p w14:paraId="34DC4919" w14:textId="773A763A" w:rsidR="00E02D1C" w:rsidRPr="00BF6F14" w:rsidRDefault="00E02D1C" w:rsidP="00E02D1C">
      <w:pPr>
        <w:spacing w:before="120" w:after="120"/>
        <w:jc w:val="center"/>
        <w:rPr>
          <w:rFonts w:ascii="Bookman Old Style" w:hAnsi="Bookman Old Style"/>
          <w:b/>
          <w:bCs/>
          <w:color w:val="000000" w:themeColor="text1"/>
          <w:lang w:val="en-GB"/>
        </w:rPr>
      </w:pPr>
      <w:r w:rsidRPr="008250F7">
        <w:rPr>
          <w:rFonts w:ascii="Bookman Old Style" w:hAnsi="Bookman Old Style"/>
          <w:b/>
          <w:bCs/>
          <w:color w:val="000000"/>
        </w:rPr>
        <w:t>FINANCIAL SERVICES SECTOR PERFORMANCE REMAINS RESILIENT AMID PERSISTENT GLOBAL UNCERTAINTIES</w:t>
      </w:r>
    </w:p>
    <w:p w14:paraId="01ED0473" w14:textId="77777777" w:rsidR="00E02D1C" w:rsidRDefault="00E02D1C" w:rsidP="00E02D1C">
      <w:pPr>
        <w:spacing w:before="120" w:after="120"/>
        <w:rPr>
          <w:rFonts w:ascii="Bookman Old Style" w:hAnsi="Bookman Old Style"/>
          <w:color w:val="000000" w:themeColor="text1"/>
          <w:lang w:val="en-GB"/>
        </w:rPr>
      </w:pPr>
      <w:r w:rsidRPr="003E34A0">
        <w:rPr>
          <w:rFonts w:ascii="Bookman Old Style" w:hAnsi="Bookman Old Style"/>
          <w:b/>
          <w:bCs/>
          <w:noProof/>
        </w:rPr>
        <mc:AlternateContent>
          <mc:Choice Requires="wps">
            <w:drawing>
              <wp:anchor distT="0" distB="0" distL="114300" distR="114300" simplePos="0" relativeHeight="251659264" behindDoc="0" locked="0" layoutInCell="1" allowOverlap="1" wp14:anchorId="2A122448" wp14:editId="1506971B">
                <wp:simplePos x="0" y="0"/>
                <wp:positionH relativeFrom="column">
                  <wp:posOffset>-37466</wp:posOffset>
                </wp:positionH>
                <wp:positionV relativeFrom="paragraph">
                  <wp:posOffset>212090</wp:posOffset>
                </wp:positionV>
                <wp:extent cx="6061075" cy="0"/>
                <wp:effectExtent l="0" t="0" r="9525" b="12700"/>
                <wp:wrapNone/>
                <wp:docPr id="1257308821" name="Straight Connector 1"/>
                <wp:cNvGraphicFramePr/>
                <a:graphic xmlns:a="http://schemas.openxmlformats.org/drawingml/2006/main">
                  <a:graphicData uri="http://schemas.microsoft.com/office/word/2010/wordprocessingShape">
                    <wps:wsp>
                      <wps:cNvCnPr/>
                      <wps:spPr>
                        <a:xfrm>
                          <a:off x="0" y="0"/>
                          <a:ext cx="606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D2CFF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16.7pt" to="474.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WumgEAAIgDAAAOAAAAZHJzL2Uyb0RvYy54bWysU8tu2zAQvAfoPxC815IM1A0EyznEaC9F&#10;ErTJBzDU0iJCcgmSteS/75K25SIpiqLIheJjZnZnd7W+maxhewhRo+t4s6g5Ayex127X8afHLx+v&#10;OYtJuF4YdNDxA0R+s/lwtR59C0sc0PQQGIm42I6+40NKvq2qKAewIi7Qg6NHhcGKRMewq/ogRlK3&#10;plrW9aoaMfQ+oIQY6XZ7fOSboq8UyHSvVITETMcpt1TWUNbnvFabtWh3QfhBy1Ma4j+ysEI7CjpL&#10;bUUS7GfQb6SslgEjqrSQaCtUSksoHshNU79y82MQHooXKk70c5ni+8nKu/2tewhUhtHHNvqHkF1M&#10;Ktj8pfzYVIp1mIsFU2KSLlf1qqk/f+JMnt+qC9GHmL4CWpY3HTfaZR+iFftvMVEwgp4hdLiELrt0&#10;MJDBxn0HxXRPwZrCLlMBtyawvaB+9i9N7h9pFWSmKG3MTKr/TjphMw3KpPwrcUaXiOjSTLTaYfhT&#10;1DSdU1VH/Nn10Wu2/Yz9oTSilIPaXZydRjPP0+/nQr/8QJtfAAAA//8DAFBLAwQUAAYACAAAACEA&#10;3lKez90AAAAIAQAADwAAAGRycy9kb3ducmV2LnhtbEyPwU7DMBBE70j8g7VI3FqHtkRtiFNVlRDi&#10;gmgKdzfeOgF7HdlOGv4eIw5wnJ3RzNtyO1nDRvShcyTgbp4BQ2qc6kgLeDs+ztbAQpSkpHGEAr4w&#10;wLa6viplodyFDjjWUbNUQqGQAtoY+4Lz0LRoZZi7Hil5Z+etjEl6zZWXl1RuDV9kWc6t7CgttLLH&#10;fYvNZz1YAebZj+96r3dheDrk9cfrefFyHIW4vZl2D8AiTvEvDD/4CR2qxHRyA6nAjIDZ/SYlBSyX&#10;K2DJ36zWObDT74FXJf//QPUNAAD//wMAUEsBAi0AFAAGAAgAAAAhALaDOJL+AAAA4QEAABMAAAAA&#10;AAAAAAAAAAAAAAAAAFtDb250ZW50X1R5cGVzXS54bWxQSwECLQAUAAYACAAAACEAOP0h/9YAAACU&#10;AQAACwAAAAAAAAAAAAAAAAAvAQAAX3JlbHMvLnJlbHNQSwECLQAUAAYACAAAACEAzq9lrpoBAACI&#10;AwAADgAAAAAAAAAAAAAAAAAuAgAAZHJzL2Uyb0RvYy54bWxQSwECLQAUAAYACAAAACEA3lKez90A&#10;AAAIAQAADwAAAAAAAAAAAAAAAAD0AwAAZHJzL2Rvd25yZXYueG1sUEsFBgAAAAAEAAQA8wAAAP4E&#10;AAAAAA==&#10;" strokecolor="black [3200]" strokeweight=".5pt">
                <v:stroke joinstyle="miter"/>
              </v:line>
            </w:pict>
          </mc:Fallback>
        </mc:AlternateContent>
      </w:r>
    </w:p>
    <w:p w14:paraId="7CD06460" w14:textId="77777777" w:rsidR="00E02D1C" w:rsidRDefault="00E02D1C" w:rsidP="00E02D1C">
      <w:pPr>
        <w:spacing w:before="120" w:after="0"/>
        <w:jc w:val="both"/>
        <w:rPr>
          <w:rFonts w:ascii="Bookman Old Style" w:hAnsi="Bookman Old Style"/>
          <w:color w:val="000000" w:themeColor="text1"/>
          <w:lang w:val="en-GB"/>
        </w:rPr>
      </w:pPr>
    </w:p>
    <w:p w14:paraId="04062283"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Jakarta, 5 May 2026. The Board of Commissioners of the Financial Services Authority (OJK) held its Monthly Meeting on 30 April 2026 and assessed that the Financial Services Sector (FSS) maintained its stability amid ongoing global economic dynamics.</w:t>
      </w:r>
    </w:p>
    <w:p w14:paraId="7A66A792"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Global economic performance remained affected by geopolitical uncertainty, despite the 8 April 2026 ceasefire between Iran, the United States, and Israel. The Strait of Hormuz stayed closed due to the ongoing blockade by both parties, resulting in prolonged global energy disruptions</w:t>
      </w:r>
      <w:r>
        <w:rPr>
          <w:rFonts w:ascii="Bookman Old Style" w:hAnsi="Bookman Old Style"/>
          <w:color w:val="000000"/>
        </w:rPr>
        <w:t xml:space="preserve">, </w:t>
      </w:r>
      <w:r w:rsidRPr="008250F7">
        <w:rPr>
          <w:rFonts w:ascii="Bookman Old Style" w:hAnsi="Bookman Old Style"/>
          <w:color w:val="000000"/>
        </w:rPr>
        <w:t>keeping oil prices volatile and high.</w:t>
      </w:r>
    </w:p>
    <w:p w14:paraId="4F377DC8"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In its April 2026 World Economic Outlook, titled </w:t>
      </w:r>
      <w:r w:rsidRPr="008250F7">
        <w:rPr>
          <w:rFonts w:ascii="Bookman Old Style" w:hAnsi="Bookman Old Style"/>
          <w:i/>
          <w:iCs/>
          <w:color w:val="000000"/>
        </w:rPr>
        <w:t>“Global Economy in the Shadow of War,”</w:t>
      </w:r>
      <w:r w:rsidRPr="008250F7">
        <w:rPr>
          <w:rFonts w:ascii="Bookman Old Style" w:hAnsi="Bookman Old Style"/>
          <w:color w:val="000000"/>
        </w:rPr>
        <w:t> the IMF lowered its global growth projection to 3.1 percent for 2026 and warned of rising stagflation risks. Geopolitical fragmentation, debt pressures, and supply chain disruptions threaten future growth. Intensifying global inflationary pressures have raised expectations of tighter monetary policy in several advanced economies.</w:t>
      </w:r>
    </w:p>
    <w:p w14:paraId="1EE1314F"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 xml:space="preserve">The United States economy showed signs of weakening, with Q1-2026 growth projected to decline. Inflationary pressures increased again, mainly from higher goods and energy prices. Consumer sentiment deteriorated, although the labour market remained relatively resilient. Amid these conditions, the Federal Reserve decided to maintain its policy rate at the </w:t>
      </w:r>
      <w:r>
        <w:rPr>
          <w:rFonts w:ascii="Bookman Old Style" w:hAnsi="Bookman Old Style"/>
          <w:color w:val="000000"/>
        </w:rPr>
        <w:t>Federal Open Market Committee (</w:t>
      </w:r>
      <w:r w:rsidRPr="008250F7">
        <w:rPr>
          <w:rFonts w:ascii="Bookman Old Style" w:hAnsi="Bookman Old Style"/>
          <w:color w:val="000000"/>
        </w:rPr>
        <w:t>FOMC</w:t>
      </w:r>
      <w:r>
        <w:rPr>
          <w:rFonts w:ascii="Bookman Old Style" w:hAnsi="Bookman Old Style"/>
          <w:color w:val="000000"/>
        </w:rPr>
        <w:t>)</w:t>
      </w:r>
      <w:r w:rsidRPr="008250F7">
        <w:rPr>
          <w:rFonts w:ascii="Bookman Old Style" w:hAnsi="Bookman Old Style"/>
          <w:color w:val="000000"/>
        </w:rPr>
        <w:t xml:space="preserve"> meeting in late April 2026.</w:t>
      </w:r>
    </w:p>
    <w:p w14:paraId="402D5A66"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China’s economy achieved Q1-2026 growth that matched its 5.0 percent target, driven by exports and the manufacturing sector. Nevertheless, growth momentum moderated. Export growth in March 2026 slowed significantly, while domestic demand has yet to recover strongly.</w:t>
      </w:r>
    </w:p>
    <w:p w14:paraId="26F1C576"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Domestically, the economy grew 5.61 percent, supported by household consumption and higher government spending. On the demand side, the Consumer Confidence Index stayed optimistic, though it moderated. Retail sales growth rose to 2.4 percent year-on-year, but motor vehicle sales contracted annually. Externally, March 2026 foreign exchange reserves reached USD148.2 billion, while the trade balance posted a USD1.2 billion surplus.</w:t>
      </w:r>
    </w:p>
    <w:p w14:paraId="24310182" w14:textId="77777777" w:rsidR="00E02D1C" w:rsidRDefault="00E02D1C" w:rsidP="00E02D1C">
      <w:pPr>
        <w:rPr>
          <w:rFonts w:ascii="Bookman Old Style" w:hAnsi="Bookman Old Style"/>
          <w:b/>
          <w:bCs/>
          <w:color w:val="000000"/>
        </w:rPr>
      </w:pPr>
      <w:r>
        <w:rPr>
          <w:rFonts w:ascii="Bookman Old Style" w:hAnsi="Bookman Old Style"/>
          <w:b/>
          <w:bCs/>
          <w:color w:val="000000"/>
        </w:rPr>
        <w:br w:type="page"/>
      </w:r>
    </w:p>
    <w:p w14:paraId="07139034"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b/>
          <w:bCs/>
          <w:color w:val="000000"/>
        </w:rPr>
        <w:lastRenderedPageBreak/>
        <w:t>Capital Market, Financial Derivatives, and Carbon Exchange (PMDK) Developments</w:t>
      </w:r>
    </w:p>
    <w:p w14:paraId="148FC24E"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The domestic equity market in April 2026 saw dynamic movements amid global uncertainty and ongoing financial market volatility. The Indonesia Composite Index (IHSG) closed at 6,956.80, a decline of 1.30 percent month-to-month or 19.55 percent year-to-date. Nevertheless, domestic capital market resilience and liquidity remained manageable.</w:t>
      </w:r>
    </w:p>
    <w:p w14:paraId="6A1DF2A4"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 xml:space="preserve">From the liquidity side, investors kept the average bid-ask spread in the domestic equity market low at 1.33 times (March 2026: 1.55 times). During the reporting period, the equity market averaged a daily transaction value of </w:t>
      </w:r>
      <w:r>
        <w:rPr>
          <w:rFonts w:ascii="Bookman Old Style" w:hAnsi="Bookman Old Style"/>
          <w:color w:val="000000"/>
        </w:rPr>
        <w:t>IDR</w:t>
      </w:r>
      <w:r w:rsidRPr="008250F7">
        <w:rPr>
          <w:rFonts w:ascii="Bookman Old Style" w:hAnsi="Bookman Old Style"/>
          <w:color w:val="000000"/>
        </w:rPr>
        <w:t xml:space="preserve">18.51 trillion, moderating from March 2026’s </w:t>
      </w:r>
      <w:r>
        <w:rPr>
          <w:rFonts w:ascii="Bookman Old Style" w:hAnsi="Bookman Old Style"/>
          <w:color w:val="000000"/>
        </w:rPr>
        <w:t>IDR</w:t>
      </w:r>
      <w:r w:rsidRPr="008250F7">
        <w:rPr>
          <w:rFonts w:ascii="Bookman Old Style" w:hAnsi="Bookman Old Style"/>
          <w:color w:val="000000"/>
        </w:rPr>
        <w:t xml:space="preserve">20.66 trillion as investors adopted a wait-and-see stance. In April 2026, foreign investors sold a net </w:t>
      </w:r>
      <w:r>
        <w:rPr>
          <w:rFonts w:ascii="Bookman Old Style" w:hAnsi="Bookman Old Style"/>
          <w:color w:val="000000"/>
        </w:rPr>
        <w:t>IDR</w:t>
      </w:r>
      <w:r w:rsidRPr="008250F7">
        <w:rPr>
          <w:rFonts w:ascii="Bookman Old Style" w:hAnsi="Bookman Old Style"/>
          <w:color w:val="000000"/>
        </w:rPr>
        <w:t xml:space="preserve">17.02 trillion in equities (March 2026: net sell of </w:t>
      </w:r>
      <w:r>
        <w:rPr>
          <w:rFonts w:ascii="Bookman Old Style" w:hAnsi="Bookman Old Style"/>
          <w:color w:val="000000"/>
        </w:rPr>
        <w:t>IDR</w:t>
      </w:r>
      <w:r w:rsidRPr="008250F7">
        <w:rPr>
          <w:rFonts w:ascii="Bookman Old Style" w:hAnsi="Bookman Old Style"/>
          <w:color w:val="000000"/>
        </w:rPr>
        <w:t>23.34 trillion).</w:t>
      </w:r>
    </w:p>
    <w:p w14:paraId="19F26249"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 xml:space="preserve">In the bond market, the Indonesia Composite Bond Index (ICBI) ended April 2026 at 436.38, gaining 0.74 percent mtm but slipping 1.01 percent ytd. On average, Government Securities (SBN) yields declined by 3.90 bps mtm, though they increased by 50.61 bps ytd as shifting risk perceptions drove volatility amid global uncertainty. Foreign investors bought a net </w:t>
      </w:r>
      <w:r>
        <w:rPr>
          <w:rFonts w:ascii="Bookman Old Style" w:hAnsi="Bookman Old Style"/>
          <w:color w:val="000000"/>
        </w:rPr>
        <w:t>IDR</w:t>
      </w:r>
      <w:r w:rsidRPr="008250F7">
        <w:rPr>
          <w:rFonts w:ascii="Bookman Old Style" w:hAnsi="Bookman Old Style"/>
          <w:color w:val="000000"/>
        </w:rPr>
        <w:t xml:space="preserve">8.80 trillion in the SBN market on an mtd basis (ytd: net selling of </w:t>
      </w:r>
      <w:r>
        <w:rPr>
          <w:rFonts w:ascii="Bookman Old Style" w:hAnsi="Bookman Old Style"/>
          <w:color w:val="000000"/>
        </w:rPr>
        <w:t>IDR</w:t>
      </w:r>
      <w:r w:rsidRPr="008250F7">
        <w:rPr>
          <w:rFonts w:ascii="Bookman Old Style" w:hAnsi="Bookman Old Style"/>
          <w:color w:val="000000"/>
        </w:rPr>
        <w:t xml:space="preserve">16.29 trillion), and recorded net buying of </w:t>
      </w:r>
      <w:r>
        <w:rPr>
          <w:rFonts w:ascii="Bookman Old Style" w:hAnsi="Bookman Old Style"/>
          <w:color w:val="000000"/>
        </w:rPr>
        <w:t>IDR</w:t>
      </w:r>
      <w:r w:rsidRPr="008250F7">
        <w:rPr>
          <w:rFonts w:ascii="Bookman Old Style" w:hAnsi="Bookman Old Style"/>
          <w:color w:val="000000"/>
        </w:rPr>
        <w:t xml:space="preserve">0.04 trillion in corporate bonds in April 2026 (ytd: net buying of </w:t>
      </w:r>
      <w:r>
        <w:rPr>
          <w:rFonts w:ascii="Bookman Old Style" w:hAnsi="Bookman Old Style"/>
          <w:color w:val="000000"/>
        </w:rPr>
        <w:t>IDR</w:t>
      </w:r>
      <w:r w:rsidRPr="008250F7">
        <w:rPr>
          <w:rFonts w:ascii="Bookman Old Style" w:hAnsi="Bookman Old Style"/>
          <w:color w:val="000000"/>
        </w:rPr>
        <w:t>0.01 trillion).</w:t>
      </w:r>
    </w:p>
    <w:p w14:paraId="02B142CB"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 xml:space="preserve">The investment management industry performed well this month. Assets Under Management (AUM) reached </w:t>
      </w:r>
      <w:r>
        <w:rPr>
          <w:rFonts w:ascii="Bookman Old Style" w:hAnsi="Bookman Old Style"/>
          <w:color w:val="000000"/>
        </w:rPr>
        <w:t>IDR</w:t>
      </w:r>
      <w:r w:rsidRPr="008250F7">
        <w:rPr>
          <w:rFonts w:ascii="Bookman Old Style" w:hAnsi="Bookman Old Style"/>
          <w:color w:val="000000"/>
        </w:rPr>
        <w:t xml:space="preserve">1,072.64 trillion as of 29 April 2026, up 1.53 percent mtd and 2.87 percent ytd. Mutual Fund Net Asset Value (NAV) rose to </w:t>
      </w:r>
      <w:r>
        <w:rPr>
          <w:rFonts w:ascii="Bookman Old Style" w:hAnsi="Bookman Old Style"/>
          <w:color w:val="000000"/>
        </w:rPr>
        <w:t>IDR</w:t>
      </w:r>
      <w:r w:rsidRPr="008250F7">
        <w:rPr>
          <w:rFonts w:ascii="Bookman Old Style" w:hAnsi="Bookman Old Style"/>
          <w:color w:val="000000"/>
        </w:rPr>
        <w:t xml:space="preserve">711.89 trillion, up 2.32 percent mtd and 5.41 percent ytd. Continued investor subscriptions sustained Mutual Fund industry resilience, with net subscriptions of </w:t>
      </w:r>
      <w:r>
        <w:rPr>
          <w:rFonts w:ascii="Bookman Old Style" w:hAnsi="Bookman Old Style"/>
          <w:color w:val="000000"/>
        </w:rPr>
        <w:t>IDR</w:t>
      </w:r>
      <w:r w:rsidRPr="008250F7">
        <w:rPr>
          <w:rFonts w:ascii="Bookman Old Style" w:hAnsi="Bookman Old Style"/>
          <w:color w:val="000000"/>
        </w:rPr>
        <w:t xml:space="preserve">8.11 trillion mtd and </w:t>
      </w:r>
      <w:r>
        <w:rPr>
          <w:rFonts w:ascii="Bookman Old Style" w:hAnsi="Bookman Old Style"/>
          <w:color w:val="000000"/>
        </w:rPr>
        <w:t>IDR</w:t>
      </w:r>
      <w:r w:rsidRPr="008250F7">
        <w:rPr>
          <w:rFonts w:ascii="Bookman Old Style" w:hAnsi="Bookman Old Style"/>
          <w:color w:val="000000"/>
        </w:rPr>
        <w:t>37.24 trillion ytd.</w:t>
      </w:r>
    </w:p>
    <w:p w14:paraId="655C2908"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 xml:space="preserve">The number of domestic capital market investors grew, with 1.74 million new investors in April 2026. The total </w:t>
      </w:r>
      <w:r>
        <w:rPr>
          <w:rFonts w:ascii="Bookman Old Style" w:hAnsi="Bookman Old Style"/>
          <w:color w:val="000000"/>
        </w:rPr>
        <w:t xml:space="preserve">number of investors </w:t>
      </w:r>
      <w:r w:rsidRPr="008250F7">
        <w:rPr>
          <w:rFonts w:ascii="Bookman Old Style" w:hAnsi="Bookman Old Style"/>
          <w:color w:val="000000"/>
        </w:rPr>
        <w:t>rose 30.06 percent ytd to 26.49 million.</w:t>
      </w:r>
    </w:p>
    <w:p w14:paraId="1B9EF619"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 xml:space="preserve">The domestic capital market remained a key source of long-term corporate financing. By April 2026 (ytd), capital market fundraising was </w:t>
      </w:r>
      <w:r>
        <w:rPr>
          <w:rFonts w:ascii="Bookman Old Style" w:hAnsi="Bookman Old Style"/>
          <w:color w:val="000000"/>
        </w:rPr>
        <w:t>IDR</w:t>
      </w:r>
      <w:r w:rsidRPr="008250F7">
        <w:rPr>
          <w:rFonts w:ascii="Bookman Old Style" w:hAnsi="Bookman Old Style"/>
          <w:color w:val="000000"/>
        </w:rPr>
        <w:t xml:space="preserve">56.35 trillion, with </w:t>
      </w:r>
      <w:r>
        <w:rPr>
          <w:rFonts w:ascii="Bookman Old Style" w:hAnsi="Bookman Old Style"/>
          <w:color w:val="000000"/>
        </w:rPr>
        <w:t>one</w:t>
      </w:r>
      <w:r w:rsidRPr="008250F7">
        <w:rPr>
          <w:rFonts w:ascii="Bookman Old Style" w:hAnsi="Bookman Old Style"/>
          <w:color w:val="000000"/>
        </w:rPr>
        <w:t xml:space="preserve"> IPO, </w:t>
      </w:r>
      <w:r>
        <w:rPr>
          <w:rFonts w:ascii="Bookman Old Style" w:hAnsi="Bookman Old Style"/>
          <w:color w:val="000000"/>
        </w:rPr>
        <w:t>one</w:t>
      </w:r>
      <w:r w:rsidRPr="008250F7">
        <w:rPr>
          <w:rFonts w:ascii="Bookman Old Style" w:hAnsi="Bookman Old Style"/>
          <w:color w:val="000000"/>
        </w:rPr>
        <w:t xml:space="preserve"> Rights Issue, </w:t>
      </w:r>
      <w:r>
        <w:rPr>
          <w:rFonts w:ascii="Bookman Old Style" w:hAnsi="Bookman Old Style"/>
          <w:color w:val="000000"/>
        </w:rPr>
        <w:t>six</w:t>
      </w:r>
      <w:r w:rsidRPr="008250F7">
        <w:rPr>
          <w:rFonts w:ascii="Bookman Old Style" w:hAnsi="Bookman Old Style"/>
          <w:color w:val="000000"/>
        </w:rPr>
        <w:t xml:space="preserve"> Public Debt or Sukuk Offerings (EBUS), and 44 Shelf Registration EBUS issuances. The pipeline held 71 public offerings, valued at </w:t>
      </w:r>
      <w:r>
        <w:rPr>
          <w:rFonts w:ascii="Bookman Old Style" w:hAnsi="Bookman Old Style"/>
          <w:color w:val="000000"/>
        </w:rPr>
        <w:t>IDR</w:t>
      </w:r>
      <w:r w:rsidRPr="008250F7">
        <w:rPr>
          <w:rFonts w:ascii="Bookman Old Style" w:hAnsi="Bookman Old Style"/>
          <w:color w:val="000000"/>
        </w:rPr>
        <w:t>49.84 trillion.</w:t>
      </w:r>
    </w:p>
    <w:p w14:paraId="3C53CD90"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 xml:space="preserve">Fundraising through Securities Crowdfunding (SCF) recorded 24 new securities issuances and </w:t>
      </w:r>
      <w:r>
        <w:rPr>
          <w:rFonts w:ascii="Bookman Old Style" w:hAnsi="Bookman Old Style"/>
          <w:color w:val="000000"/>
        </w:rPr>
        <w:t>seven</w:t>
      </w:r>
      <w:r w:rsidRPr="008250F7">
        <w:rPr>
          <w:rFonts w:ascii="Bookman Old Style" w:hAnsi="Bookman Old Style"/>
          <w:color w:val="000000"/>
        </w:rPr>
        <w:t xml:space="preserve"> new issuers in April 2026. Total funds raised amounted to </w:t>
      </w:r>
      <w:r>
        <w:rPr>
          <w:rFonts w:ascii="Bookman Old Style" w:hAnsi="Bookman Old Style"/>
          <w:color w:val="000000"/>
        </w:rPr>
        <w:t>IDR</w:t>
      </w:r>
      <w:r w:rsidRPr="008250F7">
        <w:rPr>
          <w:rFonts w:ascii="Bookman Old Style" w:hAnsi="Bookman Old Style"/>
          <w:color w:val="000000"/>
        </w:rPr>
        <w:t xml:space="preserve">36.18 billion. As a result, cumulative funds raised through SCF reached </w:t>
      </w:r>
      <w:r>
        <w:rPr>
          <w:rFonts w:ascii="Bookman Old Style" w:hAnsi="Bookman Old Style"/>
          <w:color w:val="000000"/>
        </w:rPr>
        <w:t>IDR</w:t>
      </w:r>
      <w:r w:rsidRPr="008250F7">
        <w:rPr>
          <w:rFonts w:ascii="Bookman Old Style" w:hAnsi="Bookman Old Style"/>
          <w:color w:val="000000"/>
        </w:rPr>
        <w:t>1.93 trillion.</w:t>
      </w:r>
    </w:p>
    <w:p w14:paraId="7601D4CB"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 xml:space="preserve">From 10 January 2025 to 30 April 2026, OJK gave principal approval to 113 financial derivatives parties. In April 2026, transactions reached 33,884 lots (mtm), totalling 143,217 lots. At the Carbon Exchange, since its 26 September 2023 launch, 155 users registered. Total transactions reached 1.98 million tCO2e and </w:t>
      </w:r>
      <w:r>
        <w:rPr>
          <w:rFonts w:ascii="Bookman Old Style" w:hAnsi="Bookman Old Style"/>
          <w:color w:val="000000"/>
        </w:rPr>
        <w:t>IDR</w:t>
      </w:r>
      <w:r w:rsidRPr="008250F7">
        <w:rPr>
          <w:rFonts w:ascii="Bookman Old Style" w:hAnsi="Bookman Old Style"/>
          <w:color w:val="000000"/>
        </w:rPr>
        <w:t>93.75 billion in value.</w:t>
      </w:r>
    </w:p>
    <w:p w14:paraId="3F4D5486" w14:textId="77777777" w:rsidR="00E02D1C" w:rsidRPr="008250F7" w:rsidRDefault="00E02D1C" w:rsidP="00E02D1C">
      <w:pPr>
        <w:snapToGrid w:val="0"/>
        <w:spacing w:before="120" w:after="0"/>
        <w:jc w:val="both"/>
        <w:rPr>
          <w:rFonts w:ascii="Bookman Old Style" w:hAnsi="Bookman Old Style"/>
          <w:color w:val="000000"/>
        </w:rPr>
      </w:pPr>
      <w:r w:rsidRPr="008250F7">
        <w:rPr>
          <w:rFonts w:ascii="Bookman Old Style" w:hAnsi="Bookman Old Style"/>
          <w:color w:val="000000"/>
        </w:rPr>
        <w:t>OJK carried out the following enforcement actions and consumer protection measures in the PMDK sector:</w:t>
      </w:r>
    </w:p>
    <w:p w14:paraId="14B07E5C" w14:textId="77777777" w:rsidR="00E02D1C" w:rsidRPr="008250F7" w:rsidRDefault="00E02D1C" w:rsidP="00E02D1C">
      <w:pPr>
        <w:numPr>
          <w:ilvl w:val="0"/>
          <w:numId w:val="1"/>
        </w:numPr>
        <w:tabs>
          <w:tab w:val="clear" w:pos="720"/>
          <w:tab w:val="num" w:pos="0"/>
        </w:tabs>
        <w:snapToGrid w:val="0"/>
        <w:spacing w:before="120" w:after="0"/>
        <w:ind w:left="426" w:hanging="426"/>
        <w:jc w:val="both"/>
        <w:rPr>
          <w:rFonts w:ascii="Bookman Old Style" w:hAnsi="Bookman Old Style"/>
          <w:color w:val="000000"/>
        </w:rPr>
      </w:pPr>
      <w:r w:rsidRPr="008250F7">
        <w:rPr>
          <w:rFonts w:ascii="Bookman Old Style" w:hAnsi="Bookman Old Style"/>
          <w:color w:val="000000"/>
        </w:rPr>
        <w:t xml:space="preserve">In 2026, OJK issued Administrative Sanctions following case examinations in the PMDK sector. OJK imposed Administrative Fines totalling </w:t>
      </w:r>
      <w:r>
        <w:rPr>
          <w:rFonts w:ascii="Bookman Old Style" w:hAnsi="Bookman Old Style"/>
          <w:color w:val="000000"/>
        </w:rPr>
        <w:t>IDR</w:t>
      </w:r>
      <w:r w:rsidRPr="008250F7">
        <w:rPr>
          <w:rFonts w:ascii="Bookman Old Style" w:hAnsi="Bookman Old Style"/>
          <w:color w:val="000000"/>
        </w:rPr>
        <w:t xml:space="preserve">85.04 billion on 97 parties, revoked </w:t>
      </w:r>
      <w:r>
        <w:rPr>
          <w:rFonts w:ascii="Bookman Old Style" w:hAnsi="Bookman Old Style"/>
          <w:color w:val="000000"/>
        </w:rPr>
        <w:t>one</w:t>
      </w:r>
      <w:r w:rsidRPr="008250F7">
        <w:rPr>
          <w:rFonts w:ascii="Bookman Old Style" w:hAnsi="Bookman Old Style"/>
          <w:color w:val="000000"/>
        </w:rPr>
        <w:t xml:space="preserve"> license, cancelled </w:t>
      </w:r>
      <w:r>
        <w:rPr>
          <w:rFonts w:ascii="Bookman Old Style" w:hAnsi="Bookman Old Style"/>
          <w:color w:val="000000"/>
        </w:rPr>
        <w:t>one</w:t>
      </w:r>
      <w:r w:rsidRPr="008250F7">
        <w:rPr>
          <w:rFonts w:ascii="Bookman Old Style" w:hAnsi="Bookman Old Style"/>
          <w:color w:val="000000"/>
        </w:rPr>
        <w:t xml:space="preserve"> registered license (STTD), suspended </w:t>
      </w:r>
      <w:r>
        <w:rPr>
          <w:rFonts w:ascii="Bookman Old Style" w:hAnsi="Bookman Old Style"/>
          <w:color w:val="000000"/>
        </w:rPr>
        <w:t>six</w:t>
      </w:r>
      <w:r w:rsidRPr="008250F7">
        <w:rPr>
          <w:rFonts w:ascii="Bookman Old Style" w:hAnsi="Bookman Old Style"/>
          <w:color w:val="000000"/>
        </w:rPr>
        <w:t xml:space="preserve"> licenses, issued </w:t>
      </w:r>
      <w:r>
        <w:rPr>
          <w:rFonts w:ascii="Bookman Old Style" w:hAnsi="Bookman Old Style"/>
          <w:color w:val="000000"/>
        </w:rPr>
        <w:t>seven</w:t>
      </w:r>
      <w:r w:rsidRPr="008250F7">
        <w:rPr>
          <w:rFonts w:ascii="Bookman Old Style" w:hAnsi="Bookman Old Style"/>
          <w:color w:val="000000"/>
        </w:rPr>
        <w:t xml:space="preserve"> written warnings, and gave </w:t>
      </w:r>
      <w:r>
        <w:rPr>
          <w:rFonts w:ascii="Bookman Old Style" w:hAnsi="Bookman Old Style"/>
          <w:color w:val="000000"/>
        </w:rPr>
        <w:t>nine</w:t>
      </w:r>
      <w:r w:rsidRPr="008250F7">
        <w:rPr>
          <w:rFonts w:ascii="Bookman Old Style" w:hAnsi="Bookman Old Style"/>
          <w:color w:val="000000"/>
        </w:rPr>
        <w:t xml:space="preserve"> written orders. OJK also fined 180 parties a total of </w:t>
      </w:r>
      <w:r>
        <w:rPr>
          <w:rFonts w:ascii="Bookman Old Style" w:hAnsi="Bookman Old Style"/>
          <w:color w:val="000000"/>
        </w:rPr>
        <w:t>IDR</w:t>
      </w:r>
      <w:r w:rsidRPr="008250F7">
        <w:rPr>
          <w:rFonts w:ascii="Bookman Old Style" w:hAnsi="Bookman Old Style"/>
          <w:color w:val="000000"/>
        </w:rPr>
        <w:t xml:space="preserve">47.84 billion for late reporting violations and issued 57 </w:t>
      </w:r>
      <w:r w:rsidRPr="008250F7">
        <w:rPr>
          <w:rFonts w:ascii="Bookman Old Style" w:hAnsi="Bookman Old Style"/>
          <w:color w:val="000000"/>
        </w:rPr>
        <w:lastRenderedPageBreak/>
        <w:t>written warnings. Additionally, OJK issued 62 written warnings for non-case violations unrelated to reporting delays.</w:t>
      </w:r>
    </w:p>
    <w:p w14:paraId="51EC558E" w14:textId="77777777" w:rsidR="00E02D1C" w:rsidRDefault="00E02D1C" w:rsidP="00E02D1C">
      <w:pPr>
        <w:numPr>
          <w:ilvl w:val="0"/>
          <w:numId w:val="1"/>
        </w:numPr>
        <w:tabs>
          <w:tab w:val="clear" w:pos="720"/>
          <w:tab w:val="num" w:pos="0"/>
        </w:tabs>
        <w:snapToGrid w:val="0"/>
        <w:spacing w:before="120" w:after="0"/>
        <w:ind w:left="426" w:hanging="426"/>
        <w:jc w:val="both"/>
        <w:rPr>
          <w:rFonts w:ascii="Bookman Old Style" w:hAnsi="Bookman Old Style"/>
          <w:color w:val="000000"/>
        </w:rPr>
      </w:pPr>
      <w:r w:rsidRPr="008250F7">
        <w:rPr>
          <w:rFonts w:ascii="Bookman Old Style" w:hAnsi="Bookman Old Style"/>
          <w:color w:val="000000"/>
        </w:rPr>
        <w:t xml:space="preserve">During April 2026, OJK imposed Administrative Fines totalling </w:t>
      </w:r>
      <w:r>
        <w:rPr>
          <w:rFonts w:ascii="Bookman Old Style" w:hAnsi="Bookman Old Style"/>
          <w:color w:val="000000"/>
        </w:rPr>
        <w:t>IDR</w:t>
      </w:r>
      <w:r w:rsidRPr="008250F7">
        <w:rPr>
          <w:rFonts w:ascii="Bookman Old Style" w:hAnsi="Bookman Old Style"/>
          <w:color w:val="000000"/>
        </w:rPr>
        <w:t xml:space="preserve">22.26 billion for violations of laws and regulations in the PMDK sector. These fines affected </w:t>
      </w:r>
      <w:r>
        <w:rPr>
          <w:rFonts w:ascii="Bookman Old Style" w:hAnsi="Bookman Old Style"/>
          <w:color w:val="000000"/>
        </w:rPr>
        <w:t>one</w:t>
      </w:r>
      <w:r w:rsidRPr="008250F7">
        <w:rPr>
          <w:rFonts w:ascii="Bookman Old Style" w:hAnsi="Bookman Old Style"/>
          <w:color w:val="000000"/>
        </w:rPr>
        <w:t xml:space="preserve"> controlling shareholder of an issuer and/or public company, 12 directors of issuers and/or public companies, </w:t>
      </w:r>
      <w:r>
        <w:rPr>
          <w:rFonts w:ascii="Bookman Old Style" w:hAnsi="Bookman Old Style"/>
          <w:color w:val="000000"/>
        </w:rPr>
        <w:t>two</w:t>
      </w:r>
      <w:r w:rsidRPr="008250F7">
        <w:rPr>
          <w:rFonts w:ascii="Bookman Old Style" w:hAnsi="Bookman Old Style"/>
          <w:color w:val="000000"/>
        </w:rPr>
        <w:t xml:space="preserve"> commissioners of issuers and/or public companies, </w:t>
      </w:r>
      <w:r>
        <w:rPr>
          <w:rFonts w:ascii="Bookman Old Style" w:hAnsi="Bookman Old Style"/>
          <w:color w:val="000000"/>
        </w:rPr>
        <w:t>three</w:t>
      </w:r>
      <w:r w:rsidRPr="008250F7">
        <w:rPr>
          <w:rFonts w:ascii="Bookman Old Style" w:hAnsi="Bookman Old Style"/>
          <w:color w:val="000000"/>
        </w:rPr>
        <w:t xml:space="preserve"> issuers, </w:t>
      </w:r>
      <w:r>
        <w:rPr>
          <w:rFonts w:ascii="Bookman Old Style" w:hAnsi="Bookman Old Style"/>
          <w:color w:val="000000"/>
        </w:rPr>
        <w:t>three</w:t>
      </w:r>
      <w:r w:rsidRPr="008250F7">
        <w:rPr>
          <w:rFonts w:ascii="Bookman Old Style" w:hAnsi="Bookman Old Style"/>
          <w:color w:val="000000"/>
        </w:rPr>
        <w:t xml:space="preserve"> securities companies, </w:t>
      </w:r>
      <w:r>
        <w:rPr>
          <w:rFonts w:ascii="Bookman Old Style" w:hAnsi="Bookman Old Style"/>
          <w:color w:val="000000"/>
        </w:rPr>
        <w:t>four</w:t>
      </w:r>
      <w:r w:rsidRPr="008250F7">
        <w:rPr>
          <w:rFonts w:ascii="Bookman Old Style" w:hAnsi="Bookman Old Style"/>
          <w:color w:val="000000"/>
        </w:rPr>
        <w:t xml:space="preserve"> public accountants, and </w:t>
      </w:r>
      <w:r>
        <w:rPr>
          <w:rFonts w:ascii="Bookman Old Style" w:hAnsi="Bookman Old Style"/>
          <w:color w:val="000000"/>
        </w:rPr>
        <w:t>two</w:t>
      </w:r>
      <w:r w:rsidRPr="008250F7">
        <w:rPr>
          <w:rFonts w:ascii="Bookman Old Style" w:hAnsi="Bookman Old Style"/>
          <w:color w:val="000000"/>
        </w:rPr>
        <w:t xml:space="preserve"> other parties. In addition, the OJK imposed </w:t>
      </w:r>
      <w:r>
        <w:rPr>
          <w:rFonts w:ascii="Bookman Old Style" w:hAnsi="Bookman Old Style"/>
          <w:color w:val="000000"/>
        </w:rPr>
        <w:t>two</w:t>
      </w:r>
      <w:r w:rsidRPr="008250F7">
        <w:rPr>
          <w:rFonts w:ascii="Bookman Old Style" w:hAnsi="Bookman Old Style"/>
          <w:color w:val="000000"/>
        </w:rPr>
        <w:t xml:space="preserve"> administrative sanctions, including a license suspension, and issued </w:t>
      </w:r>
      <w:r>
        <w:rPr>
          <w:rFonts w:ascii="Bookman Old Style" w:hAnsi="Bookman Old Style"/>
          <w:color w:val="000000"/>
        </w:rPr>
        <w:t>one</w:t>
      </w:r>
      <w:r w:rsidRPr="008250F7">
        <w:rPr>
          <w:rFonts w:ascii="Bookman Old Style" w:hAnsi="Bookman Old Style"/>
          <w:color w:val="000000"/>
        </w:rPr>
        <w:t xml:space="preserve"> written order.</w:t>
      </w:r>
    </w:p>
    <w:p w14:paraId="729B0306" w14:textId="77777777" w:rsidR="00E02D1C" w:rsidRPr="008250F7" w:rsidRDefault="00000000" w:rsidP="00E02D1C">
      <w:pPr>
        <w:tabs>
          <w:tab w:val="num" w:pos="0"/>
        </w:tabs>
        <w:snapToGrid w:val="0"/>
        <w:spacing w:before="120" w:after="0"/>
        <w:jc w:val="both"/>
        <w:rPr>
          <w:rFonts w:ascii="Bookman Old Style" w:hAnsi="Bookman Old Style"/>
          <w:color w:val="000000"/>
        </w:rPr>
      </w:pPr>
      <w:r>
        <w:rPr>
          <w:rFonts w:ascii="Bookman Old Style" w:hAnsi="Bookman Old Style"/>
          <w:noProof/>
        </w:rPr>
        <w:pict w14:anchorId="6F13E4AB">
          <v:rect id="_x0000_i1025" alt="" style="width:468pt;height:.05pt;mso-width-percent:0;mso-height-percent:0;mso-width-percent:0;mso-height-percent:0" o:hralign="center" o:hrstd="t" o:hr="t" fillcolor="#a0a0a0" stroked="f"/>
        </w:pict>
      </w:r>
    </w:p>
    <w:p w14:paraId="3FCFE03C" w14:textId="77777777" w:rsidR="00E02D1C" w:rsidRPr="00053BEA" w:rsidRDefault="00E02D1C" w:rsidP="00E02D1C">
      <w:pPr>
        <w:snapToGrid w:val="0"/>
        <w:spacing w:before="120" w:after="0"/>
        <w:jc w:val="both"/>
        <w:outlineLvl w:val="1"/>
        <w:rPr>
          <w:rFonts w:ascii="Bookman Old Style" w:hAnsi="Bookman Old Style"/>
          <w:b/>
          <w:bCs/>
          <w:color w:val="000000"/>
        </w:rPr>
      </w:pPr>
      <w:r w:rsidRPr="00053BEA">
        <w:rPr>
          <w:rFonts w:ascii="Bookman Old Style" w:hAnsi="Bookman Old Style"/>
          <w:b/>
          <w:bCs/>
          <w:color w:val="000000"/>
        </w:rPr>
        <w:t>Banking Sector Developments (PBKN)</w:t>
      </w:r>
    </w:p>
    <w:p w14:paraId="24DA3CBC"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Banking intermediation performance continued to grow positively, as indicated by credit growth of 9.49 percent yoy to </w:t>
      </w:r>
      <w:r>
        <w:rPr>
          <w:rFonts w:ascii="Bookman Old Style" w:hAnsi="Bookman Old Style"/>
          <w:color w:val="000000"/>
        </w:rPr>
        <w:t>IDR</w:t>
      </w:r>
      <w:r w:rsidRPr="00053BEA">
        <w:rPr>
          <w:rFonts w:ascii="Bookman Old Style" w:hAnsi="Bookman Old Style"/>
          <w:color w:val="000000"/>
        </w:rPr>
        <w:t>8,659 trillion in March 2026 (February 2026: 9.37 percent yoy). This reflects solid lending expansion with a well-maintained risk profile.</w:t>
      </w:r>
    </w:p>
    <w:p w14:paraId="6358B117"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By type of use, Investment Loans recorded the highest growth at 20.85 percent, followed by Consumer Loans at 5.88 percent, and Working Capital Loans at 4.38 percent. By debtor category, corporate loans recorded the highest growth at 14.88 percent yoy, while MSME loans showed improvement, returning to positive growth of 0.12 percent yoy (February 2026: contracted by 0.56 percent yoy). By ownership category, state-owned banks (BUMN banks) recorded the highest credit growth at 13.66 percent yoy.</w:t>
      </w:r>
    </w:p>
    <w:p w14:paraId="5C8EB36B"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The share of banking-sector buy now, pay later (BNPL) loans remained limited at 0.33 percent of total credit. As of March 2026, outstanding BNPL loans reported in the Financial Information Service System (SLIK) grew by 24.20 percent yoy (February 2026: 26.41 percent yoy) to </w:t>
      </w:r>
      <w:r>
        <w:rPr>
          <w:rFonts w:ascii="Bookman Old Style" w:hAnsi="Bookman Old Style"/>
          <w:color w:val="000000"/>
        </w:rPr>
        <w:t>IDR</w:t>
      </w:r>
      <w:r w:rsidRPr="00053BEA">
        <w:rPr>
          <w:rFonts w:ascii="Bookman Old Style" w:hAnsi="Bookman Old Style"/>
          <w:color w:val="000000"/>
        </w:rPr>
        <w:t>28.3 trillion, with the number of accounts reaching 30.81 million (February 2026: 30.55 million).</w:t>
      </w:r>
    </w:p>
    <w:p w14:paraId="6985F792"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Third-Party Funds (DPK) grew by 13.55 percent yoy to </w:t>
      </w:r>
      <w:r>
        <w:rPr>
          <w:rFonts w:ascii="Bookman Old Style" w:hAnsi="Bookman Old Style"/>
          <w:color w:val="000000"/>
        </w:rPr>
        <w:t>IDR</w:t>
      </w:r>
      <w:r w:rsidRPr="00053BEA">
        <w:rPr>
          <w:rFonts w:ascii="Bookman Old Style" w:hAnsi="Bookman Old Style"/>
          <w:color w:val="000000"/>
        </w:rPr>
        <w:t>10,231 trillion in March 2026, mainly driven by a 21.37 percent yoy rise in demand deposits. Time deposits rose 11.57 percent and savings 8.36 percent yoy, illustrating robust deposit growth.</w:t>
      </w:r>
    </w:p>
    <w:p w14:paraId="537784DD"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Banking industry liquidity in March 2026 remained adequate, with the Liquid Assets to Non-Core Deposit (AL/NCD) ratio and Liquid Assets to Third-Party Funds (AL/DPK) ratio recorded at 122.55 percent (February 2026: 121.29 percent) and 27.85 percent (February 2026: 27.4 percent), respectively, well above the regulatory thresholds of 50 percent and 10 percent. Meanwhile, the Liquidity Coverage Ratio (LCR) stood at 193.64 percent and the Net Stable Funding Ratio (NSFR) at 128.84 percent.</w:t>
      </w:r>
    </w:p>
    <w:p w14:paraId="2B30F08C"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Asset quality also remained well maintained, with gross NPL ratio recorded at 2.14 percent (February 2026: 2.17 percent) and net NPL ratio stable at 0.83 percent (February 2026: 0.83 percent). Loan at Risk (LaR) stood at 8.94 percent (February 2026: 9.24 percent). Overall banking profitability, as reflected in Return on Assets (ROA), stood at 2.47 percent (February 2026: 2.37 percent).</w:t>
      </w:r>
    </w:p>
    <w:p w14:paraId="0F88F1AB"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After accounting for dividend distributions, the Capital Adequacy Ratio (CAR) was recorded at 25.09 percent (February 2026: 25.83 percent). This demonstrates that the banking sector remains well-capitalized and has substantial buffers in place, ensuring robust risk mitigation.</w:t>
      </w:r>
    </w:p>
    <w:p w14:paraId="13ABF98D"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lastRenderedPageBreak/>
        <w:t>In enforcing supervisory provisions in the banking sector, OJK revoked the business license of PT BPR Sungai Rumbai on 7 April 2026, located at Jalan Lintas Sumatera Sungai Rumbai, Sungai Rumbai District, Dharmasraya Regency, West Sumatra Province.</w:t>
      </w:r>
    </w:p>
    <w:p w14:paraId="47915430"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BNI completed a full reimbursement of </w:t>
      </w:r>
      <w:r>
        <w:rPr>
          <w:rFonts w:ascii="Bookman Old Style" w:hAnsi="Bookman Old Style"/>
          <w:color w:val="000000"/>
        </w:rPr>
        <w:t>IDR</w:t>
      </w:r>
      <w:r w:rsidRPr="00053BEA">
        <w:rPr>
          <w:rFonts w:ascii="Bookman Old Style" w:hAnsi="Bookman Old Style"/>
          <w:color w:val="000000"/>
        </w:rPr>
        <w:t>28.25 billion to CU Paroki Aek Nabara on 22 April 2026, settling the case involving BNI KCP Aek Nabara customers. OJK will monitor the process to ensure transparency, fairness, and compliance with regulations, and requires BNI to conduct a thorough internal investigation covering compliance, internal controls, and governance. In relation to efforts to eradicate online gambling activities that have broad impacts on the economy and financial sector, OJK has instructed banks to block approximately 33,252 accounts (previously approximately 32,556 accounts) based on data submitted by the Ministry of Communication and Digital Affairs of the Republic of Indonesia. OJK has also followed up by requesting banks to conduct further investigations, including closing accounts linked to matching National Identity Numbers (NIK) and conducting Enhanced Due Diligence (EDD).</w:t>
      </w:r>
    </w:p>
    <w:p w14:paraId="2D579798" w14:textId="77777777" w:rsidR="00E02D1C" w:rsidRPr="00053BEA" w:rsidRDefault="00000000" w:rsidP="00E02D1C">
      <w:pPr>
        <w:snapToGrid w:val="0"/>
        <w:spacing w:before="120" w:after="0"/>
        <w:jc w:val="both"/>
        <w:rPr>
          <w:rFonts w:ascii="Bookman Old Style" w:hAnsi="Bookman Old Style"/>
        </w:rPr>
      </w:pPr>
      <w:r>
        <w:rPr>
          <w:rFonts w:ascii="Bookman Old Style" w:hAnsi="Bookman Old Style"/>
          <w:noProof/>
        </w:rPr>
        <w:pict w14:anchorId="693875F8">
          <v:rect id="_x0000_i1026" alt="" style="width:468pt;height:.05pt;mso-width-percent:0;mso-height-percent:0;mso-width-percent:0;mso-height-percent:0" o:hralign="center" o:hrstd="t" o:hr="t" fillcolor="#a0a0a0" stroked="f"/>
        </w:pict>
      </w:r>
    </w:p>
    <w:p w14:paraId="145F7A1D" w14:textId="77777777" w:rsidR="00E02D1C" w:rsidRPr="00053BEA" w:rsidRDefault="00E02D1C" w:rsidP="00E02D1C">
      <w:pPr>
        <w:snapToGrid w:val="0"/>
        <w:spacing w:before="120" w:after="0"/>
        <w:jc w:val="both"/>
        <w:outlineLvl w:val="1"/>
        <w:rPr>
          <w:rFonts w:ascii="Bookman Old Style" w:hAnsi="Bookman Old Style"/>
          <w:b/>
          <w:bCs/>
          <w:color w:val="000000"/>
        </w:rPr>
      </w:pPr>
      <w:r w:rsidRPr="00053BEA">
        <w:rPr>
          <w:rFonts w:ascii="Bookman Old Style" w:hAnsi="Bookman Old Style"/>
          <w:b/>
          <w:bCs/>
          <w:color w:val="000000"/>
        </w:rPr>
        <w:t>Insurance, Guarantee, and Pension Fund Sector Developments (PPDP)</w:t>
      </w:r>
    </w:p>
    <w:p w14:paraId="2DDC607C"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In the PPDP sector, total insurance industry assets in March 2026 reached </w:t>
      </w:r>
      <w:r>
        <w:rPr>
          <w:rFonts w:ascii="Bookman Old Style" w:hAnsi="Bookman Old Style"/>
          <w:color w:val="000000"/>
        </w:rPr>
        <w:t>IDR</w:t>
      </w:r>
      <w:r w:rsidRPr="00053BEA">
        <w:rPr>
          <w:rFonts w:ascii="Bookman Old Style" w:hAnsi="Bookman Old Style"/>
          <w:color w:val="000000"/>
        </w:rPr>
        <w:t xml:space="preserve">1,195.75 trillion, increasing by 4.38 percent yoy from </w:t>
      </w:r>
      <w:r>
        <w:rPr>
          <w:rFonts w:ascii="Bookman Old Style" w:hAnsi="Bookman Old Style"/>
          <w:color w:val="000000"/>
        </w:rPr>
        <w:t>IDR</w:t>
      </w:r>
      <w:r w:rsidRPr="00053BEA">
        <w:rPr>
          <w:rFonts w:ascii="Bookman Old Style" w:hAnsi="Bookman Old Style"/>
          <w:color w:val="000000"/>
        </w:rPr>
        <w:t>1,145.63 trillion in the corresponding period of the previous year.</w:t>
      </w:r>
    </w:p>
    <w:p w14:paraId="7A6E467E"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In the commercial insurance segment, total assets reached </w:t>
      </w:r>
      <w:r>
        <w:rPr>
          <w:rFonts w:ascii="Bookman Old Style" w:hAnsi="Bookman Old Style"/>
          <w:color w:val="000000"/>
        </w:rPr>
        <w:t>IDR</w:t>
      </w:r>
      <w:r w:rsidRPr="00053BEA">
        <w:rPr>
          <w:rFonts w:ascii="Bookman Old Style" w:hAnsi="Bookman Old Style"/>
          <w:color w:val="000000"/>
        </w:rPr>
        <w:t xml:space="preserve">977.53 trillion, growing by 5.64 percent yoy. Accumulated premium income in March 2026 amounted to </w:t>
      </w:r>
      <w:r>
        <w:rPr>
          <w:rFonts w:ascii="Bookman Old Style" w:hAnsi="Bookman Old Style"/>
          <w:color w:val="000000"/>
        </w:rPr>
        <w:t>IDR</w:t>
      </w:r>
      <w:r w:rsidRPr="00053BEA">
        <w:rPr>
          <w:rFonts w:ascii="Bookman Old Style" w:hAnsi="Bookman Old Style"/>
          <w:color w:val="000000"/>
        </w:rPr>
        <w:t xml:space="preserve">88.36 trillion, growing by 0.74 percent yoy, consisting of life insurance premiums, which declined by 0.14 percent yoy to </w:t>
      </w:r>
      <w:r>
        <w:rPr>
          <w:rFonts w:ascii="Bookman Old Style" w:hAnsi="Bookman Old Style"/>
          <w:color w:val="000000"/>
        </w:rPr>
        <w:t>IDR</w:t>
      </w:r>
      <w:r w:rsidRPr="00053BEA">
        <w:rPr>
          <w:rFonts w:ascii="Bookman Old Style" w:hAnsi="Bookman Old Style"/>
          <w:color w:val="000000"/>
        </w:rPr>
        <w:t xml:space="preserve">47.12 trillion, and general insurance and reinsurance premiums, which increased by 1.77 percent yoy to </w:t>
      </w:r>
      <w:r>
        <w:rPr>
          <w:rFonts w:ascii="Bookman Old Style" w:hAnsi="Bookman Old Style"/>
          <w:color w:val="000000"/>
        </w:rPr>
        <w:t>IDR</w:t>
      </w:r>
      <w:r w:rsidRPr="00053BEA">
        <w:rPr>
          <w:rFonts w:ascii="Bookman Old Style" w:hAnsi="Bookman Old Style"/>
          <w:color w:val="000000"/>
        </w:rPr>
        <w:t>41.24 trillion.</w:t>
      </w:r>
    </w:p>
    <w:p w14:paraId="73933A9E"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The life insurance industry, as well as the general insurance and reinsurance industry, recorded aggregate Risk Based Capital (RBC) ratios of 474.26 percent and 316.32 percent, respectively, well above the regulatory threshold of 120 percent.</w:t>
      </w:r>
    </w:p>
    <w:p w14:paraId="723CC07F"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For non-commercial insurance, consisting of BPJS Kesehatan (institution and national health insurance program), BPJS Ketenagakerjaan (institution, work accident insurance, death insurance, and job loss insurance programs), as well as insurance programs for civil servants, military, and police personnel related to work accident and death insurance, total assets stood at </w:t>
      </w:r>
      <w:r>
        <w:rPr>
          <w:rFonts w:ascii="Bookman Old Style" w:hAnsi="Bookman Old Style"/>
          <w:color w:val="000000"/>
        </w:rPr>
        <w:t>IDR</w:t>
      </w:r>
      <w:r w:rsidRPr="00053BEA">
        <w:rPr>
          <w:rFonts w:ascii="Bookman Old Style" w:hAnsi="Bookman Old Style"/>
          <w:color w:val="000000"/>
        </w:rPr>
        <w:t>218.23 trillion, contracting by 0.92 percent yoy.</w:t>
      </w:r>
    </w:p>
    <w:p w14:paraId="1FB1C724"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In the pension fund industry, total pension fund assets as of March 2026 grew by 10.49 percent yoy to </w:t>
      </w:r>
      <w:r>
        <w:rPr>
          <w:rFonts w:ascii="Bookman Old Style" w:hAnsi="Bookman Old Style"/>
          <w:color w:val="000000"/>
        </w:rPr>
        <w:t>IDR</w:t>
      </w:r>
      <w:r w:rsidRPr="00053BEA">
        <w:rPr>
          <w:rFonts w:ascii="Bookman Old Style" w:hAnsi="Bookman Old Style"/>
          <w:color w:val="000000"/>
        </w:rPr>
        <w:t xml:space="preserve">1,684.89 trillion. Voluntary pension programs recorded asset growth of 6.71 percent yoy to </w:t>
      </w:r>
      <w:r>
        <w:rPr>
          <w:rFonts w:ascii="Bookman Old Style" w:hAnsi="Bookman Old Style"/>
          <w:color w:val="000000"/>
        </w:rPr>
        <w:t>IDR</w:t>
      </w:r>
      <w:r w:rsidRPr="00053BEA">
        <w:rPr>
          <w:rFonts w:ascii="Bookman Old Style" w:hAnsi="Bookman Old Style"/>
          <w:color w:val="000000"/>
        </w:rPr>
        <w:t>408.82 trillion.</w:t>
      </w:r>
    </w:p>
    <w:p w14:paraId="0231856D"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Meanwhile, mandatory pension programs, comprising old-age security and pension security programs of BPJS Ketenagakerjaan, as well as old-age savings and accumulated pension contributions for civil servants, military, and police personnel, recorded total assets of </w:t>
      </w:r>
      <w:r>
        <w:rPr>
          <w:rFonts w:ascii="Bookman Old Style" w:hAnsi="Bookman Old Style"/>
          <w:color w:val="000000"/>
        </w:rPr>
        <w:t>IDR</w:t>
      </w:r>
      <w:r w:rsidRPr="00053BEA">
        <w:rPr>
          <w:rFonts w:ascii="Bookman Old Style" w:hAnsi="Bookman Old Style"/>
          <w:color w:val="000000"/>
        </w:rPr>
        <w:t>1,276.07 trillion, up 11.76 percent yoy.</w:t>
      </w:r>
    </w:p>
    <w:p w14:paraId="40D855CE"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In the guarantee industry, total assets in March 2026 grew by 0.77 percent yoy to </w:t>
      </w:r>
      <w:r>
        <w:rPr>
          <w:rFonts w:ascii="Bookman Old Style" w:hAnsi="Bookman Old Style"/>
          <w:color w:val="000000"/>
        </w:rPr>
        <w:t>IDR</w:t>
      </w:r>
      <w:r w:rsidRPr="00053BEA">
        <w:rPr>
          <w:rFonts w:ascii="Bookman Old Style" w:hAnsi="Bookman Old Style"/>
          <w:color w:val="000000"/>
        </w:rPr>
        <w:t>47.48 trillion.</w:t>
      </w:r>
    </w:p>
    <w:p w14:paraId="466083F3"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In enforcing regulations and consumer protection in the PPDP sector, OJK undertook the following measures:</w:t>
      </w:r>
    </w:p>
    <w:p w14:paraId="7FB2D006" w14:textId="77777777" w:rsidR="00E02D1C" w:rsidRPr="002225FF" w:rsidRDefault="00E02D1C" w:rsidP="00E02D1C">
      <w:pPr>
        <w:numPr>
          <w:ilvl w:val="0"/>
          <w:numId w:val="2"/>
        </w:numPr>
        <w:tabs>
          <w:tab w:val="clear" w:pos="720"/>
          <w:tab w:val="num" w:pos="0"/>
        </w:tabs>
        <w:snapToGrid w:val="0"/>
        <w:spacing w:before="120" w:after="0"/>
        <w:ind w:left="426" w:hanging="426"/>
        <w:jc w:val="both"/>
        <w:rPr>
          <w:rFonts w:ascii="Bookman Old Style" w:hAnsi="Bookman Old Style"/>
        </w:rPr>
      </w:pPr>
      <w:r w:rsidRPr="002225FF">
        <w:rPr>
          <w:rFonts w:ascii="Bookman Old Style" w:hAnsi="Bookman Old Style"/>
        </w:rPr>
        <w:lastRenderedPageBreak/>
        <w:t>Strengthen the capital of insurance and reinsurance companies in line with Phase I of capital strengthening in 2026, in which 116 out of 144 insurance and reinsurance companies (80.56 percent) met the minimum capital requirement by March 2026.</w:t>
      </w:r>
    </w:p>
    <w:p w14:paraId="09E372B7" w14:textId="77777777" w:rsidR="00E02D1C" w:rsidRPr="00053BEA" w:rsidRDefault="00E02D1C" w:rsidP="00E02D1C">
      <w:pPr>
        <w:numPr>
          <w:ilvl w:val="0"/>
          <w:numId w:val="2"/>
        </w:numPr>
        <w:tabs>
          <w:tab w:val="clear" w:pos="720"/>
          <w:tab w:val="num" w:pos="0"/>
        </w:tabs>
        <w:snapToGrid w:val="0"/>
        <w:spacing w:before="120" w:after="0"/>
        <w:ind w:left="426" w:hanging="426"/>
        <w:jc w:val="both"/>
        <w:rPr>
          <w:rFonts w:ascii="Bookman Old Style" w:hAnsi="Bookman Old Style"/>
          <w:color w:val="000000"/>
        </w:rPr>
      </w:pPr>
      <w:r>
        <w:rPr>
          <w:rFonts w:ascii="Bookman Old Style" w:hAnsi="Bookman Old Style"/>
          <w:color w:val="000000"/>
        </w:rPr>
        <w:t>E</w:t>
      </w:r>
      <w:r w:rsidRPr="00053BEA">
        <w:rPr>
          <w:rFonts w:ascii="Bookman Old Style" w:hAnsi="Bookman Old Style"/>
          <w:color w:val="000000"/>
        </w:rPr>
        <w:t xml:space="preserve">ncourage the resolution of issues at financial services institutions through special supervision, which, as of 27 April 2026, was conducted for </w:t>
      </w:r>
      <w:r>
        <w:rPr>
          <w:rFonts w:ascii="Bookman Old Style" w:hAnsi="Bookman Old Style"/>
          <w:color w:val="000000"/>
        </w:rPr>
        <w:t>eight</w:t>
      </w:r>
      <w:r w:rsidRPr="00053BEA">
        <w:rPr>
          <w:rFonts w:ascii="Bookman Old Style" w:hAnsi="Bookman Old Style"/>
          <w:color w:val="000000"/>
        </w:rPr>
        <w:t xml:space="preserve"> insurance and reinsurance companies and </w:t>
      </w:r>
      <w:r>
        <w:rPr>
          <w:rFonts w:ascii="Bookman Old Style" w:hAnsi="Bookman Old Style"/>
          <w:color w:val="000000"/>
        </w:rPr>
        <w:t>eight</w:t>
      </w:r>
      <w:r w:rsidRPr="00053BEA">
        <w:rPr>
          <w:rFonts w:ascii="Bookman Old Style" w:hAnsi="Bookman Old Style"/>
          <w:color w:val="000000"/>
        </w:rPr>
        <w:t xml:space="preserve"> pension funds. The increase from the previous period reflects OJK’s continued commitment to enforcing regulations and protecting policyholders and participants.</w:t>
      </w:r>
    </w:p>
    <w:p w14:paraId="75B485C2" w14:textId="77777777" w:rsidR="00E02D1C" w:rsidRDefault="00E02D1C" w:rsidP="00E02D1C">
      <w:pPr>
        <w:numPr>
          <w:ilvl w:val="0"/>
          <w:numId w:val="2"/>
        </w:numPr>
        <w:tabs>
          <w:tab w:val="clear" w:pos="720"/>
          <w:tab w:val="num" w:pos="0"/>
        </w:tabs>
        <w:snapToGrid w:val="0"/>
        <w:spacing w:before="120" w:after="0"/>
        <w:ind w:left="426" w:hanging="426"/>
        <w:jc w:val="both"/>
        <w:rPr>
          <w:rFonts w:ascii="Bookman Old Style" w:hAnsi="Bookman Old Style"/>
          <w:color w:val="000000"/>
        </w:rPr>
      </w:pPr>
      <w:r>
        <w:rPr>
          <w:rFonts w:ascii="Bookman Old Style" w:hAnsi="Bookman Old Style"/>
          <w:color w:val="000000"/>
        </w:rPr>
        <w:t>C</w:t>
      </w:r>
      <w:r w:rsidRPr="00053BEA">
        <w:rPr>
          <w:rFonts w:ascii="Bookman Old Style" w:hAnsi="Bookman Old Style"/>
          <w:color w:val="000000"/>
        </w:rPr>
        <w:t xml:space="preserve">onduct special examinations and law enforcement actions against </w:t>
      </w:r>
      <w:r>
        <w:rPr>
          <w:rFonts w:ascii="Bookman Old Style" w:hAnsi="Bookman Old Style"/>
          <w:color w:val="000000"/>
        </w:rPr>
        <w:t>six</w:t>
      </w:r>
      <w:r w:rsidRPr="00053BEA">
        <w:rPr>
          <w:rFonts w:ascii="Bookman Old Style" w:hAnsi="Bookman Old Style"/>
          <w:color w:val="000000"/>
        </w:rPr>
        <w:t xml:space="preserve"> entities suspected of operating insurance and reinsurance brokerage businesses without licenses. In addition, 15 additional entities were identified as potentially conducting similar activities and remain under investigation regarding alleged criminal violations. Further identification of unlicensed brokerage practices was also conducted by tracing the sources of business for insurance companies. OJK has intensified supervision of insurance companies cooperating with unlicensed brokers. As a preventive measure, OJK also plans to issue QR Codes for licensed insurance and reinsurance brokers as a reference for insurance companies and the public in using brokerage services legally.</w:t>
      </w:r>
    </w:p>
    <w:p w14:paraId="297C54EB" w14:textId="77777777" w:rsidR="00E02D1C" w:rsidRDefault="00E02D1C" w:rsidP="00E02D1C">
      <w:pPr>
        <w:tabs>
          <w:tab w:val="num" w:pos="0"/>
        </w:tabs>
        <w:snapToGrid w:val="0"/>
        <w:spacing w:before="120" w:after="0"/>
        <w:jc w:val="both"/>
        <w:rPr>
          <w:rFonts w:ascii="Bookman Old Style" w:hAnsi="Bookman Old Style"/>
          <w:color w:val="000000"/>
        </w:rPr>
      </w:pPr>
    </w:p>
    <w:p w14:paraId="21D29583" w14:textId="77777777" w:rsidR="00E02D1C" w:rsidRPr="00053BEA" w:rsidRDefault="00E02D1C" w:rsidP="00E02D1C">
      <w:pPr>
        <w:tabs>
          <w:tab w:val="num" w:pos="0"/>
        </w:tabs>
        <w:snapToGrid w:val="0"/>
        <w:spacing w:before="120" w:after="0"/>
        <w:jc w:val="both"/>
        <w:rPr>
          <w:rFonts w:ascii="Bookman Old Style" w:hAnsi="Bookman Old Style"/>
          <w:color w:val="000000"/>
        </w:rPr>
      </w:pPr>
    </w:p>
    <w:p w14:paraId="26BE89C6" w14:textId="77777777" w:rsidR="00E02D1C" w:rsidRPr="00053BEA" w:rsidRDefault="00E02D1C" w:rsidP="00E02D1C">
      <w:pPr>
        <w:snapToGrid w:val="0"/>
        <w:spacing w:before="120" w:after="0"/>
        <w:jc w:val="both"/>
        <w:outlineLvl w:val="1"/>
        <w:rPr>
          <w:rFonts w:ascii="Bookman Old Style" w:hAnsi="Bookman Old Style"/>
          <w:b/>
          <w:bCs/>
          <w:color w:val="000000"/>
        </w:rPr>
      </w:pPr>
      <w:r w:rsidRPr="00053BEA">
        <w:rPr>
          <w:rFonts w:ascii="Bookman Old Style" w:hAnsi="Bookman Old Style"/>
          <w:b/>
          <w:bCs/>
          <w:color w:val="000000"/>
        </w:rPr>
        <w:t>Developments in the Financing Companies, Venture Capital Companies, Microfinance Institutions, and Other Financial Services Institutions Sector (PVML)</w:t>
      </w:r>
    </w:p>
    <w:p w14:paraId="76B839D5"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In the PVML sector, financing receivables of financing companies grew by 0.61 percent yoy in March 2026 (February 2026: 1.01 percent yoy) to </w:t>
      </w:r>
      <w:r>
        <w:rPr>
          <w:rFonts w:ascii="Bookman Old Style" w:hAnsi="Bookman Old Style"/>
          <w:color w:val="000000"/>
        </w:rPr>
        <w:t>IDR</w:t>
      </w:r>
      <w:r w:rsidRPr="00053BEA">
        <w:rPr>
          <w:rFonts w:ascii="Bookman Old Style" w:hAnsi="Bookman Old Style"/>
          <w:color w:val="000000"/>
        </w:rPr>
        <w:t>514.09 trillion, supported by working capital financing, which grew by 6.15 percent yoy.</w:t>
      </w:r>
    </w:p>
    <w:p w14:paraId="148F9678"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The risk profile of financing companies remained well maintained, with gross Non-Performing Financing (NPF) ratio recorded at 2.83 percent (February 2026: 2.78 percent) and net NPF ratio at 0.8 percent (February 2026: 0.81 percent). The gearing ratio stood at 2.17 times (February 2026: 2.13 times), well below the </w:t>
      </w:r>
      <w:r>
        <w:rPr>
          <w:rFonts w:ascii="Bookman Old Style" w:hAnsi="Bookman Old Style"/>
          <w:color w:val="000000"/>
        </w:rPr>
        <w:t>ten</w:t>
      </w:r>
      <w:r w:rsidRPr="00053BEA">
        <w:rPr>
          <w:rFonts w:ascii="Bookman Old Style" w:hAnsi="Bookman Old Style"/>
          <w:color w:val="000000"/>
        </w:rPr>
        <w:t xml:space="preserve"> time maximum threshold.</w:t>
      </w:r>
    </w:p>
    <w:p w14:paraId="638C3742"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Based on SLIK data, Buy Now Pay Later (BNPL) financing by financing companies grew by 55.85 percent yoy (February 2026: 53.53 percent yoy) to </w:t>
      </w:r>
      <w:r>
        <w:rPr>
          <w:rFonts w:ascii="Bookman Old Style" w:hAnsi="Bookman Old Style"/>
          <w:color w:val="000000"/>
        </w:rPr>
        <w:t>IDR</w:t>
      </w:r>
      <w:r w:rsidRPr="00053BEA">
        <w:rPr>
          <w:rFonts w:ascii="Bookman Old Style" w:hAnsi="Bookman Old Style"/>
          <w:color w:val="000000"/>
        </w:rPr>
        <w:t>12.81 trillion, with a gross NPF ratio recorded at 2.51 percent (February 2026: 2.79 percent).</w:t>
      </w:r>
    </w:p>
    <w:p w14:paraId="1530CBA0"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Venture capital financing in March 2026 contracted by 0.95 percent yoy (February 2026: grew by 0.78 percent yoy), with financing value recorded at </w:t>
      </w:r>
      <w:r>
        <w:rPr>
          <w:rFonts w:ascii="Bookman Old Style" w:hAnsi="Bookman Old Style"/>
          <w:color w:val="000000"/>
        </w:rPr>
        <w:t>IDR</w:t>
      </w:r>
      <w:r w:rsidRPr="00053BEA">
        <w:rPr>
          <w:rFonts w:ascii="Bookman Old Style" w:hAnsi="Bookman Old Style"/>
          <w:color w:val="000000"/>
        </w:rPr>
        <w:t>16.57 trillion.</w:t>
      </w:r>
    </w:p>
    <w:p w14:paraId="0C007B24"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In the peer-to-peer lending (Pindar) industry, outstanding financing in March 2026 grew by 26.25 percent yoy (February 2026: 25.75 percent yoy), reaching </w:t>
      </w:r>
      <w:r>
        <w:rPr>
          <w:rFonts w:ascii="Bookman Old Style" w:hAnsi="Bookman Old Style"/>
          <w:color w:val="000000"/>
        </w:rPr>
        <w:t>IDR</w:t>
      </w:r>
      <w:r w:rsidRPr="00053BEA">
        <w:rPr>
          <w:rFonts w:ascii="Bookman Old Style" w:hAnsi="Bookman Old Style"/>
          <w:color w:val="000000"/>
        </w:rPr>
        <w:t>101.03 trillion. Aggregate credit risk level (TWP90) remained at 4.52 percent (February 2026: 4.54 percent).</w:t>
      </w:r>
    </w:p>
    <w:p w14:paraId="0980C888"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In the pawnshop industry, financing disbursement in March 2026 grew by 60.27 percent yoy (February 2026: 61.78 percent yoy) to </w:t>
      </w:r>
      <w:r>
        <w:rPr>
          <w:rFonts w:ascii="Bookman Old Style" w:hAnsi="Bookman Old Style"/>
          <w:color w:val="000000"/>
        </w:rPr>
        <w:t>IDR</w:t>
      </w:r>
      <w:r w:rsidRPr="00053BEA">
        <w:rPr>
          <w:rFonts w:ascii="Bookman Old Style" w:hAnsi="Bookman Old Style"/>
          <w:color w:val="000000"/>
        </w:rPr>
        <w:t xml:space="preserve">153.49 trillion, with the largest portion channelled through pawn products amounting to </w:t>
      </w:r>
      <w:r>
        <w:rPr>
          <w:rFonts w:ascii="Bookman Old Style" w:hAnsi="Bookman Old Style"/>
          <w:color w:val="000000"/>
        </w:rPr>
        <w:t>IDR</w:t>
      </w:r>
      <w:r w:rsidRPr="00053BEA">
        <w:rPr>
          <w:rFonts w:ascii="Bookman Old Style" w:hAnsi="Bookman Old Style"/>
          <w:color w:val="000000"/>
        </w:rPr>
        <w:t>127.90 trillion or 83.33 percent of total industry financing disbursement.</w:t>
      </w:r>
    </w:p>
    <w:p w14:paraId="2C99C294"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In enforcing regulations and consumer protection in the PVML sector, OJK undertook the following measures:</w:t>
      </w:r>
    </w:p>
    <w:p w14:paraId="21CA71F2" w14:textId="77777777" w:rsidR="00E02D1C" w:rsidRPr="00053BEA" w:rsidRDefault="00E02D1C" w:rsidP="00E02D1C">
      <w:pPr>
        <w:numPr>
          <w:ilvl w:val="0"/>
          <w:numId w:val="3"/>
        </w:numPr>
        <w:tabs>
          <w:tab w:val="clear" w:pos="720"/>
          <w:tab w:val="num" w:pos="0"/>
        </w:tabs>
        <w:snapToGrid w:val="0"/>
        <w:spacing w:before="120" w:after="0"/>
        <w:ind w:left="426" w:hanging="426"/>
        <w:jc w:val="both"/>
        <w:rPr>
          <w:rFonts w:ascii="Bookman Old Style" w:hAnsi="Bookman Old Style"/>
          <w:color w:val="000000"/>
        </w:rPr>
      </w:pPr>
      <w:r w:rsidRPr="00053BEA">
        <w:rPr>
          <w:rFonts w:ascii="Bookman Old Style" w:hAnsi="Bookman Old Style"/>
          <w:color w:val="000000"/>
        </w:rPr>
        <w:lastRenderedPageBreak/>
        <w:t xml:space="preserve">Currently, </w:t>
      </w:r>
      <w:r>
        <w:rPr>
          <w:rFonts w:ascii="Bookman Old Style" w:hAnsi="Bookman Old Style"/>
          <w:color w:val="000000"/>
        </w:rPr>
        <w:t>eight</w:t>
      </w:r>
      <w:r w:rsidRPr="00053BEA">
        <w:rPr>
          <w:rFonts w:ascii="Bookman Old Style" w:hAnsi="Bookman Old Style"/>
          <w:color w:val="000000"/>
        </w:rPr>
        <w:t xml:space="preserve"> out of 144 financing companies have not yet met the minimum core capital requirement of </w:t>
      </w:r>
      <w:r>
        <w:rPr>
          <w:rFonts w:ascii="Bookman Old Style" w:hAnsi="Bookman Old Style"/>
          <w:color w:val="000000"/>
        </w:rPr>
        <w:t>IDR</w:t>
      </w:r>
      <w:r w:rsidRPr="00053BEA">
        <w:rPr>
          <w:rFonts w:ascii="Bookman Old Style" w:hAnsi="Bookman Old Style"/>
          <w:color w:val="000000"/>
        </w:rPr>
        <w:t xml:space="preserve">100 billion, while 11 out of 94 Pindar operators have not yet met the minimum equity requirement of </w:t>
      </w:r>
      <w:r>
        <w:rPr>
          <w:rFonts w:ascii="Bookman Old Style" w:hAnsi="Bookman Old Style"/>
          <w:color w:val="000000"/>
        </w:rPr>
        <w:t>IDR</w:t>
      </w:r>
      <w:r w:rsidRPr="00053BEA">
        <w:rPr>
          <w:rFonts w:ascii="Bookman Old Style" w:hAnsi="Bookman Old Style"/>
          <w:color w:val="000000"/>
        </w:rPr>
        <w:t>12.5 billion. All such financing companies and Pindar operators have submitted action plans to OJK outlining measures to meet the minimum capital requirements, including capital injections by existing shareholders, seeking strategic investors, and/or pursuing mergers.</w:t>
      </w:r>
    </w:p>
    <w:p w14:paraId="6E822402" w14:textId="77777777" w:rsidR="00E02D1C" w:rsidRPr="00053BEA" w:rsidRDefault="00E02D1C" w:rsidP="00E02D1C">
      <w:pPr>
        <w:numPr>
          <w:ilvl w:val="0"/>
          <w:numId w:val="3"/>
        </w:numPr>
        <w:tabs>
          <w:tab w:val="clear" w:pos="720"/>
          <w:tab w:val="num" w:pos="0"/>
        </w:tabs>
        <w:snapToGrid w:val="0"/>
        <w:spacing w:before="120" w:after="0"/>
        <w:ind w:left="426" w:hanging="426"/>
        <w:jc w:val="both"/>
        <w:rPr>
          <w:rFonts w:ascii="Bookman Old Style" w:hAnsi="Bookman Old Style"/>
          <w:color w:val="000000"/>
        </w:rPr>
      </w:pPr>
      <w:r w:rsidRPr="00053BEA">
        <w:rPr>
          <w:rFonts w:ascii="Bookman Old Style" w:hAnsi="Bookman Old Style"/>
          <w:color w:val="000000"/>
        </w:rPr>
        <w:t xml:space="preserve">In promoting compliance and integrity in the PVML sector, during April 2026, OJK imposed administrative sanctions on 66 financing companies, 11 venture capital companies, 15 Pindar operators, </w:t>
      </w:r>
      <w:r>
        <w:rPr>
          <w:rFonts w:ascii="Bookman Old Style" w:hAnsi="Bookman Old Style"/>
          <w:color w:val="000000"/>
        </w:rPr>
        <w:t>ten</w:t>
      </w:r>
      <w:r w:rsidRPr="00053BEA">
        <w:rPr>
          <w:rFonts w:ascii="Bookman Old Style" w:hAnsi="Bookman Old Style"/>
          <w:color w:val="000000"/>
        </w:rPr>
        <w:t xml:space="preserve"> pawnshop companies, </w:t>
      </w:r>
      <w:r>
        <w:rPr>
          <w:rFonts w:ascii="Bookman Old Style" w:hAnsi="Bookman Old Style"/>
          <w:color w:val="000000"/>
        </w:rPr>
        <w:t>two</w:t>
      </w:r>
      <w:r w:rsidRPr="00053BEA">
        <w:rPr>
          <w:rFonts w:ascii="Bookman Old Style" w:hAnsi="Bookman Old Style"/>
          <w:color w:val="000000"/>
        </w:rPr>
        <w:t xml:space="preserve"> microfinance institutions, and </w:t>
      </w:r>
      <w:r>
        <w:rPr>
          <w:rFonts w:ascii="Bookman Old Style" w:hAnsi="Bookman Old Style"/>
          <w:color w:val="000000"/>
        </w:rPr>
        <w:t>one</w:t>
      </w:r>
      <w:r w:rsidRPr="00053BEA">
        <w:rPr>
          <w:rFonts w:ascii="Bookman Old Style" w:hAnsi="Bookman Old Style"/>
          <w:color w:val="000000"/>
        </w:rPr>
        <w:t xml:space="preserve"> special financial institution for violations of prevailing OJK regulations and/or supervisory findings and examination follow-ups. Administrative sanctions consisted of 56 monetary fines and 190 written warnings. OJK expects these enforcement measures and sanctions to encourage PVML industry players to strengthen governance, prudential practices, and compliance with prevailing regulations, thereby improving overall performance and contribution to the economy.</w:t>
      </w:r>
    </w:p>
    <w:p w14:paraId="11AC4B6D" w14:textId="77777777" w:rsidR="00E02D1C" w:rsidRDefault="00E02D1C" w:rsidP="00E02D1C">
      <w:pPr>
        <w:numPr>
          <w:ilvl w:val="0"/>
          <w:numId w:val="3"/>
        </w:numPr>
        <w:tabs>
          <w:tab w:val="clear" w:pos="720"/>
          <w:tab w:val="num" w:pos="0"/>
        </w:tabs>
        <w:snapToGrid w:val="0"/>
        <w:spacing w:before="120" w:after="0"/>
        <w:ind w:left="426" w:hanging="426"/>
        <w:jc w:val="both"/>
        <w:rPr>
          <w:rFonts w:ascii="Bookman Old Style" w:hAnsi="Bookman Old Style"/>
          <w:color w:val="000000"/>
        </w:rPr>
      </w:pPr>
      <w:r w:rsidRPr="00053BEA">
        <w:rPr>
          <w:rFonts w:ascii="Bookman Old Style" w:hAnsi="Bookman Old Style"/>
          <w:color w:val="000000"/>
        </w:rPr>
        <w:t>On 2 April 2026, OJK imposed an administrative sanction in the form of registration suspension on Public Accountant Danang Rahmat Surono in relation to the audit of the 2024 Audited Annual Financial Statements of PT Dana Syariah Indonesia, due to failure to adequately apply 12 Auditing Standards, thereby violating Article 21 paragraph (1) letter c of OJK Regulation Number 9 of 2023.</w:t>
      </w:r>
    </w:p>
    <w:p w14:paraId="19D66141" w14:textId="77777777" w:rsidR="00E02D1C" w:rsidRDefault="00E02D1C" w:rsidP="00E02D1C">
      <w:pPr>
        <w:snapToGrid w:val="0"/>
        <w:spacing w:before="120" w:after="0"/>
        <w:ind w:left="426"/>
        <w:jc w:val="both"/>
        <w:rPr>
          <w:rFonts w:ascii="Bookman Old Style" w:hAnsi="Bookman Old Style"/>
          <w:color w:val="000000"/>
        </w:rPr>
      </w:pPr>
      <w:r w:rsidRPr="00F61ADC">
        <w:rPr>
          <w:rFonts w:ascii="Bookman Old Style" w:hAnsi="Bookman Old Style"/>
          <w:color w:val="000000"/>
        </w:rPr>
        <w:t>OJK continues to support the law enforcement process involving Dana Syariah Indonesia (DSI), including through coordination with law enforcement authorities and relevant stakeholders to handle the case, as well as efforts related to asset tracing and the return of lenders’ funds in accordance with prevailing regulations. In addition, the Witness and Victim Protection Agency (LPSK) opened registration for prospective applicants related to the DSI case from 2 April to 1 May 2026, and the deadline has been extended to 15 May 2026.</w:t>
      </w:r>
    </w:p>
    <w:p w14:paraId="505DA71F" w14:textId="77777777" w:rsidR="00E02D1C" w:rsidRDefault="00E02D1C" w:rsidP="00E02D1C">
      <w:pPr>
        <w:pStyle w:val="ListParagraph"/>
        <w:numPr>
          <w:ilvl w:val="0"/>
          <w:numId w:val="3"/>
        </w:numPr>
        <w:tabs>
          <w:tab w:val="clear" w:pos="720"/>
          <w:tab w:val="num" w:pos="0"/>
        </w:tabs>
        <w:snapToGrid w:val="0"/>
        <w:spacing w:before="120" w:after="0"/>
        <w:ind w:left="426" w:hanging="426"/>
        <w:jc w:val="both"/>
        <w:rPr>
          <w:rFonts w:ascii="Bookman Old Style" w:hAnsi="Bookman Old Style"/>
          <w:color w:val="000000"/>
        </w:rPr>
      </w:pPr>
      <w:r w:rsidRPr="00F61ADC">
        <w:rPr>
          <w:rFonts w:ascii="Bookman Old Style" w:hAnsi="Bookman Old Style"/>
          <w:color w:val="000000"/>
        </w:rPr>
        <w:t>In relation to alleged violations of debt collection practices by certain debt collectors in Semarang, the OJK has summoned the Pindar operator, PT Indosaku Digital Teknologi (Indosaku), and the Indonesian Joint Funding Fintech Association (AFPI). During the meeting, OJK:</w:t>
      </w:r>
    </w:p>
    <w:p w14:paraId="33E1260E" w14:textId="77777777" w:rsidR="00E02D1C" w:rsidRDefault="00E02D1C" w:rsidP="00E02D1C">
      <w:pPr>
        <w:pStyle w:val="ListParagraph"/>
        <w:numPr>
          <w:ilvl w:val="1"/>
          <w:numId w:val="3"/>
        </w:numPr>
        <w:snapToGrid w:val="0"/>
        <w:spacing w:before="120" w:after="0"/>
        <w:ind w:left="851"/>
        <w:jc w:val="both"/>
        <w:rPr>
          <w:rFonts w:ascii="Bookman Old Style" w:hAnsi="Bookman Old Style"/>
          <w:color w:val="000000"/>
        </w:rPr>
      </w:pPr>
      <w:r>
        <w:rPr>
          <w:rFonts w:ascii="Bookman Old Style" w:hAnsi="Bookman Old Style"/>
          <w:color w:val="000000"/>
        </w:rPr>
        <w:t>S</w:t>
      </w:r>
      <w:r w:rsidRPr="00F61ADC">
        <w:rPr>
          <w:rFonts w:ascii="Bookman Old Style" w:hAnsi="Bookman Old Style"/>
          <w:color w:val="000000"/>
        </w:rPr>
        <w:t>tated that it is currently conducting a special examination of Indosaku and will impose sanctions should violations be proven;</w:t>
      </w:r>
    </w:p>
    <w:p w14:paraId="5F7DC019" w14:textId="77777777" w:rsidR="00E02D1C" w:rsidRDefault="00E02D1C" w:rsidP="00E02D1C">
      <w:pPr>
        <w:pStyle w:val="ListParagraph"/>
        <w:numPr>
          <w:ilvl w:val="1"/>
          <w:numId w:val="3"/>
        </w:numPr>
        <w:snapToGrid w:val="0"/>
        <w:spacing w:before="120" w:after="0"/>
        <w:ind w:left="851"/>
        <w:jc w:val="both"/>
        <w:rPr>
          <w:rFonts w:ascii="Bookman Old Style" w:hAnsi="Bookman Old Style"/>
          <w:color w:val="000000"/>
        </w:rPr>
      </w:pPr>
      <w:r>
        <w:rPr>
          <w:rFonts w:ascii="Bookman Old Style" w:hAnsi="Bookman Old Style"/>
          <w:color w:val="000000"/>
        </w:rPr>
        <w:t>R</w:t>
      </w:r>
      <w:r w:rsidRPr="00F61ADC">
        <w:rPr>
          <w:rFonts w:ascii="Bookman Old Style" w:hAnsi="Bookman Old Style"/>
          <w:color w:val="000000"/>
        </w:rPr>
        <w:t>equested AFPI and its Ethics Committee to conduct further investigation and impose blacklist sanctions on the third-party debt collection service provider involved. Following up on this matter, AFPI revoked the registration and terminated PT TIN (third-party debt collection service provider) as an Associate Member of AFPI, effective 30 April 2026;</w:t>
      </w:r>
    </w:p>
    <w:p w14:paraId="763F7730" w14:textId="77777777" w:rsidR="00E02D1C" w:rsidRPr="00F61ADC" w:rsidRDefault="00E02D1C" w:rsidP="00E02D1C">
      <w:pPr>
        <w:pStyle w:val="ListParagraph"/>
        <w:numPr>
          <w:ilvl w:val="1"/>
          <w:numId w:val="3"/>
        </w:numPr>
        <w:snapToGrid w:val="0"/>
        <w:spacing w:before="120" w:after="0"/>
        <w:ind w:left="851"/>
        <w:jc w:val="both"/>
        <w:rPr>
          <w:rFonts w:ascii="Bookman Old Style" w:hAnsi="Bookman Old Style"/>
          <w:color w:val="000000"/>
        </w:rPr>
      </w:pPr>
      <w:r>
        <w:rPr>
          <w:rFonts w:ascii="Bookman Old Style" w:hAnsi="Bookman Old Style"/>
          <w:color w:val="000000"/>
        </w:rPr>
        <w:t>R</w:t>
      </w:r>
      <w:r w:rsidRPr="00F61ADC">
        <w:rPr>
          <w:rFonts w:ascii="Bookman Old Style" w:hAnsi="Bookman Old Style"/>
          <w:color w:val="000000"/>
        </w:rPr>
        <w:t>equested Indosaku to conduct a comprehensive evaluation of its debt collection processes, including evaluation of cooperation with third-party debt collection companies, to ensure that all collection activities are carried out professionally, ethically, and in compliance with prevailing laws and regulations.</w:t>
      </w:r>
    </w:p>
    <w:p w14:paraId="7BCC7328" w14:textId="77777777" w:rsidR="00E02D1C" w:rsidRDefault="00E02D1C" w:rsidP="00E02D1C">
      <w:pPr>
        <w:rPr>
          <w:rFonts w:ascii="Bookman Old Style" w:hAnsi="Bookman Old Style"/>
          <w:b/>
          <w:bCs/>
          <w:color w:val="000000"/>
        </w:rPr>
      </w:pPr>
      <w:r>
        <w:rPr>
          <w:rFonts w:ascii="Bookman Old Style" w:hAnsi="Bookman Old Style"/>
          <w:b/>
          <w:bCs/>
          <w:color w:val="000000"/>
        </w:rPr>
        <w:br w:type="page"/>
      </w:r>
    </w:p>
    <w:p w14:paraId="6D6AB625" w14:textId="77777777" w:rsidR="00E02D1C" w:rsidRPr="00053BEA" w:rsidRDefault="00E02D1C" w:rsidP="00E02D1C">
      <w:pPr>
        <w:snapToGrid w:val="0"/>
        <w:spacing w:before="120" w:after="0"/>
        <w:jc w:val="both"/>
        <w:outlineLvl w:val="1"/>
        <w:rPr>
          <w:rFonts w:ascii="Bookman Old Style" w:hAnsi="Bookman Old Style"/>
          <w:b/>
          <w:bCs/>
          <w:color w:val="000000"/>
        </w:rPr>
      </w:pPr>
      <w:r w:rsidRPr="00053BEA">
        <w:rPr>
          <w:rFonts w:ascii="Bookman Old Style" w:hAnsi="Bookman Old Style"/>
          <w:b/>
          <w:bCs/>
          <w:color w:val="000000"/>
        </w:rPr>
        <w:lastRenderedPageBreak/>
        <w:t>Developments in the Financial Sector Technology Innovation (ITSK), Digital Financial Assets, and Crypto Assets Sector (IAKD)</w:t>
      </w:r>
    </w:p>
    <w:p w14:paraId="31DAA9F2" w14:textId="77777777" w:rsidR="00E02D1C" w:rsidRPr="00053BEA" w:rsidRDefault="00E02D1C" w:rsidP="00E02D1C">
      <w:pPr>
        <w:numPr>
          <w:ilvl w:val="0"/>
          <w:numId w:val="4"/>
        </w:numPr>
        <w:tabs>
          <w:tab w:val="clear" w:pos="720"/>
          <w:tab w:val="num" w:pos="0"/>
        </w:tabs>
        <w:snapToGrid w:val="0"/>
        <w:spacing w:before="120" w:after="0"/>
        <w:ind w:left="426" w:hanging="426"/>
        <w:jc w:val="both"/>
        <w:rPr>
          <w:rFonts w:ascii="Bookman Old Style" w:hAnsi="Bookman Old Style"/>
          <w:color w:val="000000"/>
        </w:rPr>
      </w:pPr>
      <w:r w:rsidRPr="00053BEA">
        <w:rPr>
          <w:rFonts w:ascii="Bookman Old Style" w:hAnsi="Bookman Old Style"/>
          <w:b/>
          <w:bCs/>
          <w:color w:val="000000"/>
        </w:rPr>
        <w:t>Implementation of the Regulatory Sandbox</w:t>
      </w:r>
    </w:p>
    <w:p w14:paraId="2CB6702C" w14:textId="77777777" w:rsidR="00E02D1C" w:rsidRDefault="00E02D1C" w:rsidP="00E02D1C">
      <w:pPr>
        <w:pStyle w:val="ListParagraph"/>
        <w:numPr>
          <w:ilvl w:val="1"/>
          <w:numId w:val="50"/>
        </w:numPr>
        <w:snapToGrid w:val="0"/>
        <w:spacing w:before="120" w:after="0"/>
        <w:ind w:left="851"/>
        <w:jc w:val="both"/>
        <w:rPr>
          <w:rFonts w:ascii="Bookman Old Style" w:hAnsi="Bookman Old Style"/>
          <w:color w:val="000000"/>
        </w:rPr>
      </w:pPr>
      <w:r w:rsidRPr="00F61ADC">
        <w:rPr>
          <w:rFonts w:ascii="Bookman Old Style" w:hAnsi="Bookman Old Style"/>
          <w:color w:val="000000"/>
        </w:rPr>
        <w:t>Since the issuance of OJK Regulation (POJK) Number 3 of 2024 concerning the Implementation of ITSK, up to 23 April 2026, OJK has received 323 consultation requests from prospective sandbox participants.</w:t>
      </w:r>
    </w:p>
    <w:p w14:paraId="6DFA17DB" w14:textId="77777777" w:rsidR="00E02D1C" w:rsidRDefault="00E02D1C" w:rsidP="00E02D1C">
      <w:pPr>
        <w:pStyle w:val="ListParagraph"/>
        <w:numPr>
          <w:ilvl w:val="1"/>
          <w:numId w:val="50"/>
        </w:numPr>
        <w:snapToGrid w:val="0"/>
        <w:spacing w:before="120" w:after="0"/>
        <w:ind w:left="851"/>
        <w:jc w:val="both"/>
        <w:rPr>
          <w:rFonts w:ascii="Bookman Old Style" w:hAnsi="Bookman Old Style"/>
          <w:color w:val="000000"/>
        </w:rPr>
      </w:pPr>
      <w:r w:rsidRPr="00F61ADC">
        <w:rPr>
          <w:rFonts w:ascii="Bookman Old Style" w:hAnsi="Bookman Old Style"/>
          <w:color w:val="000000"/>
        </w:rPr>
        <w:t xml:space="preserve">OJK has received 31 applications to participate in the regulatory sandbox. Currently, </w:t>
      </w:r>
      <w:r>
        <w:rPr>
          <w:rFonts w:ascii="Bookman Old Style" w:hAnsi="Bookman Old Style"/>
          <w:color w:val="000000"/>
        </w:rPr>
        <w:t>five</w:t>
      </w:r>
      <w:r w:rsidRPr="00F61ADC">
        <w:rPr>
          <w:rFonts w:ascii="Bookman Old Style" w:hAnsi="Bookman Old Style"/>
          <w:color w:val="000000"/>
        </w:rPr>
        <w:t xml:space="preserve"> sandbox participants are undergoing testing: </w:t>
      </w:r>
      <w:r>
        <w:rPr>
          <w:rFonts w:ascii="Bookman Old Style" w:hAnsi="Bookman Old Style"/>
          <w:color w:val="000000"/>
        </w:rPr>
        <w:t>four</w:t>
      </w:r>
      <w:r w:rsidRPr="00F61ADC">
        <w:rPr>
          <w:rFonts w:ascii="Bookman Old Style" w:hAnsi="Bookman Old Style"/>
          <w:color w:val="000000"/>
        </w:rPr>
        <w:t xml:space="preserve"> operators with Digital Financial Assets and Crypto Assets (AKD-AK) business models and </w:t>
      </w:r>
      <w:r>
        <w:rPr>
          <w:rFonts w:ascii="Bookman Old Style" w:hAnsi="Bookman Old Style"/>
          <w:color w:val="000000"/>
        </w:rPr>
        <w:t>one</w:t>
      </w:r>
      <w:r w:rsidRPr="00F61ADC">
        <w:rPr>
          <w:rFonts w:ascii="Bookman Old Style" w:hAnsi="Bookman Old Style"/>
          <w:color w:val="000000"/>
        </w:rPr>
        <w:t xml:space="preserve"> market support provider. In addition, </w:t>
      </w:r>
      <w:r>
        <w:rPr>
          <w:rFonts w:ascii="Bookman Old Style" w:hAnsi="Bookman Old Style"/>
          <w:color w:val="000000"/>
        </w:rPr>
        <w:t>four</w:t>
      </w:r>
      <w:r w:rsidRPr="00F61ADC">
        <w:rPr>
          <w:rFonts w:ascii="Bookman Old Style" w:hAnsi="Bookman Old Style"/>
          <w:color w:val="000000"/>
        </w:rPr>
        <w:t xml:space="preserve"> sandbox participants have completed the testing phase and were declared to have “Passed” with business models involving gold tokenization, securities tokenization under the Fund Management Contract (KPD) scheme, and tokenization of property ownership benefits.</w:t>
      </w:r>
    </w:p>
    <w:p w14:paraId="2E721E87" w14:textId="77777777" w:rsidR="00E02D1C" w:rsidRDefault="00E02D1C" w:rsidP="00E02D1C">
      <w:pPr>
        <w:pStyle w:val="ListParagraph"/>
        <w:snapToGrid w:val="0"/>
        <w:spacing w:before="120" w:after="0"/>
        <w:ind w:left="851"/>
        <w:jc w:val="both"/>
        <w:rPr>
          <w:rFonts w:ascii="Bookman Old Style" w:hAnsi="Bookman Old Style"/>
          <w:color w:val="000000"/>
        </w:rPr>
      </w:pPr>
      <w:r w:rsidRPr="004324D0">
        <w:rPr>
          <w:rFonts w:ascii="Bookman Old Style" w:hAnsi="Bookman Old Style"/>
          <w:color w:val="000000"/>
        </w:rPr>
        <w:t>Pursuant to POJK Number 3 of 2024 concerning the Implementation of Financial Sector Technology Innovation, ITSK operators with business models similar to those of the four sandbox participants that have passed the testing process are eligible to register directly with OJK without undergoing further sandbox development testing.</w:t>
      </w:r>
    </w:p>
    <w:p w14:paraId="6B09DF28" w14:textId="77777777" w:rsidR="00E02D1C" w:rsidRPr="00053BEA" w:rsidRDefault="00E02D1C" w:rsidP="00E02D1C">
      <w:pPr>
        <w:pStyle w:val="ListParagraph"/>
        <w:numPr>
          <w:ilvl w:val="1"/>
          <w:numId w:val="50"/>
        </w:numPr>
        <w:snapToGrid w:val="0"/>
        <w:spacing w:before="120" w:after="0"/>
        <w:ind w:left="851"/>
        <w:jc w:val="both"/>
        <w:rPr>
          <w:rFonts w:ascii="Bookman Old Style" w:hAnsi="Bookman Old Style"/>
          <w:color w:val="000000"/>
        </w:rPr>
      </w:pPr>
      <w:r w:rsidRPr="00053BEA">
        <w:rPr>
          <w:rFonts w:ascii="Bookman Old Style" w:hAnsi="Bookman Old Style"/>
          <w:color w:val="000000"/>
        </w:rPr>
        <w:t xml:space="preserve">OJK is also currently evaluating </w:t>
      </w:r>
      <w:r>
        <w:rPr>
          <w:rFonts w:ascii="Bookman Old Style" w:hAnsi="Bookman Old Style"/>
          <w:color w:val="000000"/>
        </w:rPr>
        <w:t>six</w:t>
      </w:r>
      <w:r w:rsidRPr="00053BEA">
        <w:rPr>
          <w:rFonts w:ascii="Bookman Old Style" w:hAnsi="Bookman Old Style"/>
          <w:color w:val="000000"/>
        </w:rPr>
        <w:t xml:space="preserve"> additional applications for sandbox participation, consisting of </w:t>
      </w:r>
      <w:r>
        <w:rPr>
          <w:rFonts w:ascii="Bookman Old Style" w:hAnsi="Bookman Old Style"/>
          <w:color w:val="000000"/>
        </w:rPr>
        <w:t>four</w:t>
      </w:r>
      <w:r w:rsidRPr="00053BEA">
        <w:rPr>
          <w:rFonts w:ascii="Bookman Old Style" w:hAnsi="Bookman Old Style"/>
          <w:color w:val="000000"/>
        </w:rPr>
        <w:t xml:space="preserve"> AKD-AK business models and </w:t>
      </w:r>
      <w:r>
        <w:rPr>
          <w:rFonts w:ascii="Bookman Old Style" w:hAnsi="Bookman Old Style"/>
          <w:color w:val="000000"/>
        </w:rPr>
        <w:t>two</w:t>
      </w:r>
      <w:r w:rsidRPr="00053BEA">
        <w:rPr>
          <w:rFonts w:ascii="Bookman Old Style" w:hAnsi="Bookman Old Style"/>
          <w:color w:val="000000"/>
        </w:rPr>
        <w:t xml:space="preserve"> market support business models.</w:t>
      </w:r>
    </w:p>
    <w:p w14:paraId="74C2F19F" w14:textId="77777777" w:rsidR="00E02D1C" w:rsidRPr="00053BEA" w:rsidRDefault="00E02D1C" w:rsidP="00E02D1C">
      <w:pPr>
        <w:numPr>
          <w:ilvl w:val="0"/>
          <w:numId w:val="5"/>
        </w:numPr>
        <w:tabs>
          <w:tab w:val="clear" w:pos="720"/>
          <w:tab w:val="num" w:pos="0"/>
        </w:tabs>
        <w:snapToGrid w:val="0"/>
        <w:spacing w:before="120" w:after="0"/>
        <w:ind w:left="426" w:hanging="426"/>
        <w:jc w:val="both"/>
        <w:rPr>
          <w:rFonts w:ascii="Bookman Old Style" w:hAnsi="Bookman Old Style"/>
          <w:color w:val="000000"/>
        </w:rPr>
      </w:pPr>
      <w:r w:rsidRPr="00053BEA">
        <w:rPr>
          <w:rFonts w:ascii="Bookman Old Style" w:hAnsi="Bookman Old Style"/>
          <w:b/>
          <w:bCs/>
          <w:color w:val="000000"/>
        </w:rPr>
        <w:t>Licensing of ITSK Operators</w:t>
      </w:r>
    </w:p>
    <w:p w14:paraId="75BC56C5" w14:textId="77777777" w:rsidR="00E02D1C" w:rsidRDefault="00E02D1C" w:rsidP="00E02D1C">
      <w:pPr>
        <w:pStyle w:val="ListParagraph"/>
        <w:numPr>
          <w:ilvl w:val="0"/>
          <w:numId w:val="51"/>
        </w:numPr>
        <w:snapToGrid w:val="0"/>
        <w:spacing w:before="120" w:after="0"/>
        <w:ind w:left="851"/>
        <w:jc w:val="both"/>
        <w:rPr>
          <w:rFonts w:ascii="Bookman Old Style" w:hAnsi="Bookman Old Style"/>
          <w:color w:val="000000"/>
        </w:rPr>
      </w:pPr>
      <w:r w:rsidRPr="00D86445">
        <w:rPr>
          <w:rFonts w:ascii="Bookman Old Style" w:hAnsi="Bookman Old Style"/>
          <w:color w:val="000000"/>
        </w:rPr>
        <w:t xml:space="preserve">As of April 2026, there were 25 officially registered and licensed ITSK operators under OJK supervision, consisting of </w:t>
      </w:r>
      <w:r>
        <w:rPr>
          <w:rFonts w:ascii="Bookman Old Style" w:hAnsi="Bookman Old Style"/>
          <w:color w:val="000000"/>
        </w:rPr>
        <w:t>eight</w:t>
      </w:r>
      <w:r w:rsidRPr="00D86445">
        <w:rPr>
          <w:rFonts w:ascii="Bookman Old Style" w:hAnsi="Bookman Old Style"/>
          <w:color w:val="000000"/>
        </w:rPr>
        <w:t xml:space="preserve"> Alternative Credit Rating Providers (PKA) and 17 Financial Services Aggregation Providers (PAJK).</w:t>
      </w:r>
    </w:p>
    <w:p w14:paraId="5559C711" w14:textId="77777777" w:rsidR="00E02D1C" w:rsidRPr="00D86445" w:rsidRDefault="00E02D1C" w:rsidP="00E02D1C">
      <w:pPr>
        <w:pStyle w:val="ListParagraph"/>
        <w:numPr>
          <w:ilvl w:val="0"/>
          <w:numId w:val="51"/>
        </w:numPr>
        <w:snapToGrid w:val="0"/>
        <w:spacing w:before="120" w:after="0"/>
        <w:ind w:left="851"/>
        <w:jc w:val="both"/>
        <w:rPr>
          <w:rFonts w:ascii="Bookman Old Style" w:hAnsi="Bookman Old Style"/>
          <w:color w:val="000000"/>
        </w:rPr>
      </w:pPr>
      <w:r w:rsidRPr="00D86445">
        <w:rPr>
          <w:rFonts w:ascii="Bookman Old Style" w:hAnsi="Bookman Old Style"/>
          <w:color w:val="000000"/>
        </w:rPr>
        <w:t>As of April 2026, there were 38 ITSK operator license applications under OJK evaluation, consisting of 11 PKA applications (</w:t>
      </w:r>
      <w:r>
        <w:rPr>
          <w:rFonts w:ascii="Bookman Old Style" w:hAnsi="Bookman Old Style"/>
          <w:color w:val="000000"/>
        </w:rPr>
        <w:t>eight</w:t>
      </w:r>
      <w:r w:rsidRPr="00D86445">
        <w:rPr>
          <w:rFonts w:ascii="Bookman Old Style" w:hAnsi="Bookman Old Style"/>
          <w:color w:val="000000"/>
        </w:rPr>
        <w:t xml:space="preserve"> registered PKAs and </w:t>
      </w:r>
      <w:r>
        <w:rPr>
          <w:rFonts w:ascii="Bookman Old Style" w:hAnsi="Bookman Old Style"/>
          <w:color w:val="000000"/>
        </w:rPr>
        <w:t>three</w:t>
      </w:r>
      <w:r w:rsidRPr="00D86445">
        <w:rPr>
          <w:rFonts w:ascii="Bookman Old Style" w:hAnsi="Bookman Old Style"/>
          <w:color w:val="000000"/>
        </w:rPr>
        <w:t xml:space="preserve"> new PKAs) and 27 PAJK applications (17 registered PAJKs and </w:t>
      </w:r>
      <w:r>
        <w:rPr>
          <w:rFonts w:ascii="Bookman Old Style" w:hAnsi="Bookman Old Style"/>
          <w:color w:val="000000"/>
        </w:rPr>
        <w:t>ten</w:t>
      </w:r>
      <w:r w:rsidRPr="00D86445">
        <w:rPr>
          <w:rFonts w:ascii="Bookman Old Style" w:hAnsi="Bookman Old Style"/>
          <w:color w:val="000000"/>
        </w:rPr>
        <w:t xml:space="preserve"> new PAJKs).</w:t>
      </w:r>
    </w:p>
    <w:p w14:paraId="7036A89F" w14:textId="77777777" w:rsidR="00E02D1C" w:rsidRDefault="00E02D1C" w:rsidP="00E02D1C">
      <w:pPr>
        <w:numPr>
          <w:ilvl w:val="0"/>
          <w:numId w:val="6"/>
        </w:numPr>
        <w:tabs>
          <w:tab w:val="clear" w:pos="720"/>
        </w:tabs>
        <w:snapToGrid w:val="0"/>
        <w:spacing w:before="120" w:after="0"/>
        <w:ind w:left="426" w:hanging="426"/>
        <w:jc w:val="both"/>
        <w:rPr>
          <w:rFonts w:ascii="Bookman Old Style" w:hAnsi="Bookman Old Style"/>
          <w:color w:val="000000"/>
        </w:rPr>
      </w:pPr>
      <w:r w:rsidRPr="00053BEA">
        <w:rPr>
          <w:rFonts w:ascii="Bookman Old Style" w:hAnsi="Bookman Old Style"/>
          <w:color w:val="000000"/>
        </w:rPr>
        <w:t>Based on reports as of March 2026, ITSK operators registered/licensed by OJK had established 1,300 partnerships with Financial Services Institutions (LJKs) across various sectors, including banking, financing companies, insurance, securities companies, peer-to-peer lending, microfinance institutions, and pawnshops, as well as with information technology service providers and data providers.</w:t>
      </w:r>
    </w:p>
    <w:p w14:paraId="7BEFC69B" w14:textId="77777777" w:rsidR="00E02D1C" w:rsidRDefault="00E02D1C" w:rsidP="00E02D1C">
      <w:pPr>
        <w:numPr>
          <w:ilvl w:val="0"/>
          <w:numId w:val="6"/>
        </w:numPr>
        <w:tabs>
          <w:tab w:val="clear" w:pos="720"/>
        </w:tabs>
        <w:snapToGrid w:val="0"/>
        <w:spacing w:before="120" w:after="0"/>
        <w:ind w:left="426" w:hanging="426"/>
        <w:jc w:val="both"/>
        <w:rPr>
          <w:rFonts w:ascii="Bookman Old Style" w:hAnsi="Bookman Old Style"/>
          <w:color w:val="000000"/>
        </w:rPr>
      </w:pPr>
      <w:r w:rsidRPr="00D86445">
        <w:rPr>
          <w:rFonts w:ascii="Bookman Old Style" w:hAnsi="Bookman Old Style"/>
          <w:color w:val="000000"/>
        </w:rPr>
        <w:t xml:space="preserve">In March 2026, PAJK-type ITSK operators processed partner-approved transactions totalling </w:t>
      </w:r>
      <w:r>
        <w:rPr>
          <w:rFonts w:ascii="Bookman Old Style" w:hAnsi="Bookman Old Style"/>
          <w:color w:val="000000"/>
        </w:rPr>
        <w:t>IDR</w:t>
      </w:r>
      <w:r w:rsidRPr="00D86445">
        <w:rPr>
          <w:rFonts w:ascii="Bookman Old Style" w:hAnsi="Bookman Old Style"/>
          <w:color w:val="000000"/>
        </w:rPr>
        <w:t>2.11 trillion, with the number of PAJK users reaching 17.17 million nationwide. In addition, the number of credit score data inquiries (total inquiries/hits) received by PKA-type ITSK operators during March 2026 reached 25.91 million.</w:t>
      </w:r>
    </w:p>
    <w:p w14:paraId="38A32969" w14:textId="77777777" w:rsidR="00E02D1C" w:rsidRDefault="00E02D1C" w:rsidP="00E02D1C">
      <w:pPr>
        <w:snapToGrid w:val="0"/>
        <w:spacing w:before="120" w:after="0"/>
        <w:ind w:left="426"/>
        <w:jc w:val="both"/>
        <w:rPr>
          <w:rFonts w:ascii="Bookman Old Style" w:hAnsi="Bookman Old Style"/>
          <w:color w:val="000000"/>
        </w:rPr>
      </w:pPr>
      <w:r w:rsidRPr="00D86445">
        <w:rPr>
          <w:rFonts w:ascii="Bookman Old Style" w:hAnsi="Bookman Old Style"/>
          <w:color w:val="000000"/>
        </w:rPr>
        <w:t>These developments demonstrate that the services provided by ITSK operators, both PAJK and PKA, have significantly improved accessibility, inclusion, and the quality of utilization of financial products and services.</w:t>
      </w:r>
    </w:p>
    <w:p w14:paraId="667879C8" w14:textId="77777777" w:rsidR="00E02D1C" w:rsidRDefault="00E02D1C" w:rsidP="00E02D1C">
      <w:pPr>
        <w:pStyle w:val="ListParagraph"/>
        <w:numPr>
          <w:ilvl w:val="0"/>
          <w:numId w:val="52"/>
        </w:numPr>
        <w:snapToGrid w:val="0"/>
        <w:spacing w:before="120" w:after="0"/>
        <w:ind w:left="426"/>
        <w:jc w:val="both"/>
        <w:rPr>
          <w:rFonts w:ascii="Bookman Old Style" w:hAnsi="Bookman Old Style"/>
          <w:color w:val="000000"/>
        </w:rPr>
      </w:pPr>
      <w:r w:rsidRPr="00D86445">
        <w:rPr>
          <w:rFonts w:ascii="Bookman Old Style" w:hAnsi="Bookman Old Style"/>
          <w:color w:val="000000"/>
        </w:rPr>
        <w:t>In relation to developments in digital financial assets, including crypto assets (AKD-AK) in Indonesia, as of March 2026, there were 1,464 crypto assets and 77 AKD derivatives available for trading.</w:t>
      </w:r>
    </w:p>
    <w:p w14:paraId="36E4E94A" w14:textId="77777777" w:rsidR="00E02D1C" w:rsidRPr="00D86445" w:rsidRDefault="00E02D1C" w:rsidP="00E02D1C">
      <w:pPr>
        <w:pStyle w:val="ListParagraph"/>
        <w:snapToGrid w:val="0"/>
        <w:spacing w:before="120" w:after="0"/>
        <w:ind w:left="426"/>
        <w:jc w:val="both"/>
        <w:rPr>
          <w:rFonts w:ascii="Bookman Old Style" w:hAnsi="Bookman Old Style"/>
          <w:color w:val="000000"/>
        </w:rPr>
      </w:pPr>
      <w:r w:rsidRPr="00D86445">
        <w:rPr>
          <w:rFonts w:ascii="Bookman Old Style" w:hAnsi="Bookman Old Style"/>
          <w:color w:val="000000"/>
        </w:rPr>
        <w:t xml:space="preserve">OJK has approved 31 licenses in the crypto trading ecosystem: </w:t>
      </w:r>
    </w:p>
    <w:p w14:paraId="06D68A7D" w14:textId="77777777" w:rsidR="00E02D1C" w:rsidRDefault="00E02D1C" w:rsidP="00E02D1C">
      <w:pPr>
        <w:numPr>
          <w:ilvl w:val="0"/>
          <w:numId w:val="7"/>
        </w:numPr>
        <w:tabs>
          <w:tab w:val="clear" w:pos="720"/>
          <w:tab w:val="num" w:pos="993"/>
        </w:tabs>
        <w:snapToGrid w:val="0"/>
        <w:spacing w:before="120" w:after="0"/>
        <w:ind w:left="851"/>
        <w:jc w:val="both"/>
        <w:rPr>
          <w:rFonts w:ascii="Bookman Old Style" w:hAnsi="Bookman Old Style"/>
          <w:color w:val="000000"/>
        </w:rPr>
      </w:pPr>
      <w:r>
        <w:rPr>
          <w:rFonts w:ascii="Bookman Old Style" w:hAnsi="Bookman Old Style"/>
          <w:color w:val="000000"/>
        </w:rPr>
        <w:t>Two exchanges,</w:t>
      </w:r>
    </w:p>
    <w:p w14:paraId="6F8B7F46" w14:textId="77777777" w:rsidR="00E02D1C" w:rsidRPr="00053BEA" w:rsidRDefault="00E02D1C" w:rsidP="00E02D1C">
      <w:pPr>
        <w:numPr>
          <w:ilvl w:val="0"/>
          <w:numId w:val="7"/>
        </w:numPr>
        <w:tabs>
          <w:tab w:val="clear" w:pos="720"/>
          <w:tab w:val="num" w:pos="993"/>
        </w:tabs>
        <w:snapToGrid w:val="0"/>
        <w:spacing w:before="120" w:after="0"/>
        <w:ind w:left="851"/>
        <w:jc w:val="both"/>
        <w:rPr>
          <w:rFonts w:ascii="Bookman Old Style" w:hAnsi="Bookman Old Style"/>
          <w:color w:val="000000"/>
        </w:rPr>
      </w:pPr>
      <w:r>
        <w:rPr>
          <w:rFonts w:ascii="Bookman Old Style" w:hAnsi="Bookman Old Style"/>
          <w:color w:val="000000"/>
        </w:rPr>
        <w:lastRenderedPageBreak/>
        <w:t>Two</w:t>
      </w:r>
      <w:r w:rsidRPr="00053BEA">
        <w:rPr>
          <w:rFonts w:ascii="Bookman Old Style" w:hAnsi="Bookman Old Style"/>
          <w:color w:val="000000"/>
        </w:rPr>
        <w:t xml:space="preserve"> clearing and settlement institutions,</w:t>
      </w:r>
    </w:p>
    <w:p w14:paraId="559EA487" w14:textId="77777777" w:rsidR="00E02D1C" w:rsidRPr="00053BEA" w:rsidRDefault="00E02D1C" w:rsidP="00E02D1C">
      <w:pPr>
        <w:numPr>
          <w:ilvl w:val="0"/>
          <w:numId w:val="7"/>
        </w:numPr>
        <w:tabs>
          <w:tab w:val="clear" w:pos="720"/>
          <w:tab w:val="num" w:pos="993"/>
        </w:tabs>
        <w:snapToGrid w:val="0"/>
        <w:spacing w:before="120" w:after="0"/>
        <w:ind w:left="851"/>
        <w:jc w:val="both"/>
        <w:rPr>
          <w:rFonts w:ascii="Bookman Old Style" w:hAnsi="Bookman Old Style"/>
          <w:color w:val="000000"/>
        </w:rPr>
      </w:pPr>
      <w:r>
        <w:rPr>
          <w:rFonts w:ascii="Bookman Old Style" w:hAnsi="Bookman Old Style"/>
          <w:color w:val="000000"/>
        </w:rPr>
        <w:t>Two</w:t>
      </w:r>
      <w:r w:rsidRPr="00053BEA">
        <w:rPr>
          <w:rFonts w:ascii="Bookman Old Style" w:hAnsi="Bookman Old Style"/>
          <w:color w:val="000000"/>
        </w:rPr>
        <w:t xml:space="preserve"> custodians, and</w:t>
      </w:r>
    </w:p>
    <w:p w14:paraId="421AB1E0" w14:textId="77777777" w:rsidR="00E02D1C" w:rsidRPr="00053BEA" w:rsidRDefault="00E02D1C" w:rsidP="00E02D1C">
      <w:pPr>
        <w:numPr>
          <w:ilvl w:val="0"/>
          <w:numId w:val="7"/>
        </w:numPr>
        <w:tabs>
          <w:tab w:val="clear" w:pos="720"/>
          <w:tab w:val="num" w:pos="993"/>
        </w:tabs>
        <w:snapToGrid w:val="0"/>
        <w:spacing w:before="120" w:after="0"/>
        <w:ind w:left="851"/>
        <w:jc w:val="both"/>
        <w:rPr>
          <w:rFonts w:ascii="Bookman Old Style" w:hAnsi="Bookman Old Style"/>
          <w:color w:val="000000"/>
        </w:rPr>
      </w:pPr>
      <w:r w:rsidRPr="00053BEA">
        <w:rPr>
          <w:rFonts w:ascii="Bookman Old Style" w:hAnsi="Bookman Old Style"/>
          <w:color w:val="000000"/>
        </w:rPr>
        <w:t xml:space="preserve">25 </w:t>
      </w:r>
      <w:r w:rsidRPr="00D86445">
        <w:rPr>
          <w:rFonts w:ascii="Bookman Old Style" w:hAnsi="Bookman Old Style"/>
          <w:color w:val="000000"/>
        </w:rPr>
        <w:t xml:space="preserve">Digital Financial Asset Traders </w:t>
      </w:r>
      <w:r>
        <w:rPr>
          <w:rFonts w:ascii="Bookman Old Style" w:hAnsi="Bookman Old Style"/>
          <w:color w:val="000000"/>
        </w:rPr>
        <w:t>(</w:t>
      </w:r>
      <w:r w:rsidRPr="00053BEA">
        <w:rPr>
          <w:rFonts w:ascii="Bookman Old Style" w:hAnsi="Bookman Old Style"/>
          <w:color w:val="000000"/>
        </w:rPr>
        <w:t>PAKD</w:t>
      </w:r>
      <w:r>
        <w:rPr>
          <w:rFonts w:ascii="Bookman Old Style" w:hAnsi="Bookman Old Style"/>
          <w:color w:val="000000"/>
        </w:rPr>
        <w:t>)</w:t>
      </w:r>
      <w:r w:rsidRPr="00053BEA">
        <w:rPr>
          <w:rFonts w:ascii="Bookman Old Style" w:hAnsi="Bookman Old Style"/>
          <w:color w:val="000000"/>
        </w:rPr>
        <w:t>.</w:t>
      </w:r>
    </w:p>
    <w:p w14:paraId="1526A842" w14:textId="77777777" w:rsidR="00E02D1C" w:rsidRPr="00053BEA" w:rsidRDefault="00E02D1C" w:rsidP="00E02D1C">
      <w:pPr>
        <w:snapToGrid w:val="0"/>
        <w:spacing w:before="120" w:after="0"/>
        <w:ind w:left="426"/>
        <w:jc w:val="both"/>
        <w:rPr>
          <w:rFonts w:ascii="Bookman Old Style" w:hAnsi="Bookman Old Style"/>
          <w:color w:val="000000"/>
        </w:rPr>
      </w:pPr>
      <w:r w:rsidRPr="00053BEA">
        <w:rPr>
          <w:rFonts w:ascii="Bookman Old Style" w:hAnsi="Bookman Old Style"/>
          <w:color w:val="000000"/>
        </w:rPr>
        <w:t xml:space="preserve">In addition, OJK has approved </w:t>
      </w:r>
      <w:r>
        <w:rPr>
          <w:rFonts w:ascii="Bookman Old Style" w:hAnsi="Bookman Old Style"/>
          <w:color w:val="000000"/>
        </w:rPr>
        <w:t>seven</w:t>
      </w:r>
      <w:r w:rsidRPr="00053BEA">
        <w:rPr>
          <w:rFonts w:ascii="Bookman Old Style" w:hAnsi="Bookman Old Style"/>
          <w:color w:val="000000"/>
        </w:rPr>
        <w:t xml:space="preserve"> supporting institutions, all of which are Payment Service Providers (PJP).</w:t>
      </w:r>
    </w:p>
    <w:p w14:paraId="0711A334" w14:textId="77777777" w:rsidR="00E02D1C" w:rsidRPr="00053BEA" w:rsidRDefault="00E02D1C" w:rsidP="00E02D1C">
      <w:pPr>
        <w:snapToGrid w:val="0"/>
        <w:spacing w:before="120" w:after="0"/>
        <w:ind w:left="426"/>
        <w:jc w:val="both"/>
        <w:rPr>
          <w:rFonts w:ascii="Bookman Old Style" w:hAnsi="Bookman Old Style"/>
          <w:color w:val="000000"/>
        </w:rPr>
      </w:pPr>
      <w:r w:rsidRPr="00053BEA">
        <w:rPr>
          <w:rFonts w:ascii="Bookman Old Style" w:hAnsi="Bookman Old Style"/>
          <w:color w:val="000000"/>
        </w:rPr>
        <w:t>Pursuant to Article 87 of POJK Number 23 of 2025 concerning Amendments to POJK Number 27 of 2024 regarding the Trading of Digital Financial Assets, including Crypto Assets, segregated accounts may only be opened at commercial banks licensed by OJK.</w:t>
      </w:r>
    </w:p>
    <w:p w14:paraId="4AAEB059" w14:textId="77777777" w:rsidR="00E02D1C" w:rsidRPr="00053BEA" w:rsidRDefault="00E02D1C" w:rsidP="00E02D1C">
      <w:pPr>
        <w:snapToGrid w:val="0"/>
        <w:spacing w:before="120" w:after="0"/>
        <w:ind w:left="426"/>
        <w:jc w:val="both"/>
        <w:rPr>
          <w:rFonts w:ascii="Bookman Old Style" w:hAnsi="Bookman Old Style"/>
          <w:color w:val="000000"/>
        </w:rPr>
      </w:pPr>
      <w:r w:rsidRPr="00053BEA">
        <w:rPr>
          <w:rFonts w:ascii="Bookman Old Style" w:hAnsi="Bookman Old Style"/>
          <w:color w:val="000000"/>
        </w:rPr>
        <w:t>Accordingly, the terminology referring to OJK approval as a Consumer Fund Depository Bank (BPDK) is no longer applicable.</w:t>
      </w:r>
    </w:p>
    <w:p w14:paraId="2AB0117D" w14:textId="77777777" w:rsidR="00E02D1C" w:rsidRPr="00053BEA" w:rsidRDefault="00E02D1C" w:rsidP="00E02D1C">
      <w:pPr>
        <w:snapToGrid w:val="0"/>
        <w:spacing w:before="120" w:after="0"/>
        <w:ind w:left="426"/>
        <w:jc w:val="both"/>
        <w:rPr>
          <w:rFonts w:ascii="Bookman Old Style" w:hAnsi="Bookman Old Style"/>
          <w:color w:val="000000"/>
        </w:rPr>
      </w:pPr>
      <w:r w:rsidRPr="00053BEA">
        <w:rPr>
          <w:rFonts w:ascii="Bookman Old Style" w:hAnsi="Bookman Old Style"/>
          <w:color w:val="000000"/>
        </w:rPr>
        <w:t>OJK is currently evaluating license applications and/or approvals from prospective crypto asset trading operators consisting of:</w:t>
      </w:r>
    </w:p>
    <w:p w14:paraId="3F9BA301" w14:textId="77777777" w:rsidR="00E02D1C" w:rsidRPr="00053BEA" w:rsidRDefault="00E02D1C" w:rsidP="00E02D1C">
      <w:pPr>
        <w:numPr>
          <w:ilvl w:val="0"/>
          <w:numId w:val="8"/>
        </w:numPr>
        <w:tabs>
          <w:tab w:val="clear" w:pos="720"/>
          <w:tab w:val="num" w:pos="1134"/>
        </w:tabs>
        <w:snapToGrid w:val="0"/>
        <w:spacing w:before="120" w:after="0"/>
        <w:ind w:left="851"/>
        <w:jc w:val="both"/>
        <w:rPr>
          <w:rFonts w:ascii="Bookman Old Style" w:hAnsi="Bookman Old Style"/>
          <w:color w:val="000000"/>
        </w:rPr>
      </w:pPr>
      <w:r>
        <w:rPr>
          <w:rFonts w:ascii="Bookman Old Style" w:hAnsi="Bookman Old Style"/>
          <w:color w:val="000000"/>
        </w:rPr>
        <w:t>One</w:t>
      </w:r>
      <w:r w:rsidRPr="00053BEA">
        <w:rPr>
          <w:rFonts w:ascii="Bookman Old Style" w:hAnsi="Bookman Old Style"/>
          <w:color w:val="000000"/>
        </w:rPr>
        <w:t xml:space="preserve"> exchange,</w:t>
      </w:r>
    </w:p>
    <w:p w14:paraId="50C938DA" w14:textId="77777777" w:rsidR="00E02D1C" w:rsidRPr="00053BEA" w:rsidRDefault="00E02D1C" w:rsidP="00E02D1C">
      <w:pPr>
        <w:numPr>
          <w:ilvl w:val="0"/>
          <w:numId w:val="8"/>
        </w:numPr>
        <w:tabs>
          <w:tab w:val="clear" w:pos="720"/>
          <w:tab w:val="num" w:pos="1134"/>
        </w:tabs>
        <w:snapToGrid w:val="0"/>
        <w:spacing w:before="120" w:after="0"/>
        <w:ind w:left="851"/>
        <w:jc w:val="both"/>
        <w:rPr>
          <w:rFonts w:ascii="Bookman Old Style" w:hAnsi="Bookman Old Style"/>
          <w:color w:val="000000"/>
        </w:rPr>
      </w:pPr>
      <w:r>
        <w:rPr>
          <w:rFonts w:ascii="Bookman Old Style" w:hAnsi="Bookman Old Style"/>
          <w:color w:val="000000"/>
        </w:rPr>
        <w:t>One</w:t>
      </w:r>
      <w:r w:rsidRPr="00053BEA">
        <w:rPr>
          <w:rFonts w:ascii="Bookman Old Style" w:hAnsi="Bookman Old Style"/>
          <w:color w:val="000000"/>
        </w:rPr>
        <w:t xml:space="preserve"> clearing institution,</w:t>
      </w:r>
    </w:p>
    <w:p w14:paraId="5296D4B7" w14:textId="77777777" w:rsidR="00E02D1C" w:rsidRPr="00053BEA" w:rsidRDefault="00E02D1C" w:rsidP="00E02D1C">
      <w:pPr>
        <w:numPr>
          <w:ilvl w:val="0"/>
          <w:numId w:val="8"/>
        </w:numPr>
        <w:tabs>
          <w:tab w:val="clear" w:pos="720"/>
          <w:tab w:val="num" w:pos="1134"/>
        </w:tabs>
        <w:snapToGrid w:val="0"/>
        <w:spacing w:before="120" w:after="0"/>
        <w:ind w:left="851"/>
        <w:jc w:val="both"/>
        <w:rPr>
          <w:rFonts w:ascii="Bookman Old Style" w:hAnsi="Bookman Old Style"/>
          <w:color w:val="000000"/>
        </w:rPr>
      </w:pPr>
      <w:r>
        <w:rPr>
          <w:rFonts w:ascii="Bookman Old Style" w:hAnsi="Bookman Old Style"/>
          <w:color w:val="000000"/>
        </w:rPr>
        <w:t>One</w:t>
      </w:r>
      <w:r w:rsidRPr="00053BEA">
        <w:rPr>
          <w:rFonts w:ascii="Bookman Old Style" w:hAnsi="Bookman Old Style"/>
          <w:color w:val="000000"/>
        </w:rPr>
        <w:t xml:space="preserve"> custodian, and</w:t>
      </w:r>
    </w:p>
    <w:p w14:paraId="7F6B624B" w14:textId="77777777" w:rsidR="00E02D1C" w:rsidRPr="00053BEA" w:rsidRDefault="00E02D1C" w:rsidP="00E02D1C">
      <w:pPr>
        <w:numPr>
          <w:ilvl w:val="0"/>
          <w:numId w:val="8"/>
        </w:numPr>
        <w:tabs>
          <w:tab w:val="clear" w:pos="720"/>
          <w:tab w:val="num" w:pos="1134"/>
        </w:tabs>
        <w:snapToGrid w:val="0"/>
        <w:spacing w:before="120" w:after="0"/>
        <w:ind w:left="851"/>
        <w:jc w:val="both"/>
        <w:rPr>
          <w:rFonts w:ascii="Bookman Old Style" w:hAnsi="Bookman Old Style"/>
          <w:color w:val="000000"/>
        </w:rPr>
      </w:pPr>
      <w:r>
        <w:rPr>
          <w:rFonts w:ascii="Bookman Old Style" w:hAnsi="Bookman Old Style"/>
          <w:color w:val="000000"/>
        </w:rPr>
        <w:t>Four</w:t>
      </w:r>
      <w:r w:rsidRPr="00053BEA">
        <w:rPr>
          <w:rFonts w:ascii="Bookman Old Style" w:hAnsi="Bookman Old Style"/>
          <w:color w:val="000000"/>
        </w:rPr>
        <w:t xml:space="preserve"> prospective digital financial asset traders (CPAKD).</w:t>
      </w:r>
    </w:p>
    <w:p w14:paraId="55A6D413" w14:textId="77777777" w:rsidR="00E02D1C" w:rsidRPr="00D86445" w:rsidRDefault="00E02D1C" w:rsidP="00E02D1C">
      <w:pPr>
        <w:numPr>
          <w:ilvl w:val="0"/>
          <w:numId w:val="9"/>
        </w:numPr>
        <w:tabs>
          <w:tab w:val="clear" w:pos="720"/>
        </w:tabs>
        <w:snapToGrid w:val="0"/>
        <w:spacing w:before="120" w:after="0"/>
        <w:ind w:left="426" w:hanging="426"/>
        <w:jc w:val="both"/>
        <w:rPr>
          <w:rFonts w:ascii="Bookman Old Style" w:hAnsi="Bookman Old Style"/>
          <w:color w:val="000000"/>
        </w:rPr>
      </w:pPr>
      <w:r w:rsidRPr="00053BEA">
        <w:rPr>
          <w:rFonts w:ascii="Bookman Old Style" w:hAnsi="Bookman Old Style"/>
          <w:color w:val="000000"/>
        </w:rPr>
        <w:t>The number of consumer accounts held by digital financial asset traders continued to increase, reaching 21.37 million accounts as of March 2026, or growing by 1.43 percent mtm (February 2026: 21.07 million accounts).</w:t>
      </w:r>
      <w:r>
        <w:rPr>
          <w:rFonts w:ascii="Bookman Old Style" w:hAnsi="Bookman Old Style"/>
          <w:color w:val="000000"/>
        </w:rPr>
        <w:t xml:space="preserve"> </w:t>
      </w:r>
      <w:r w:rsidRPr="00D86445">
        <w:rPr>
          <w:rFonts w:ascii="Bookman Old Style" w:hAnsi="Bookman Old Style"/>
          <w:color w:val="000000"/>
        </w:rPr>
        <w:t xml:space="preserve">The value of crypto asset transactions in March 2026 amounted to </w:t>
      </w:r>
      <w:r>
        <w:rPr>
          <w:rFonts w:ascii="Bookman Old Style" w:hAnsi="Bookman Old Style"/>
          <w:color w:val="000000"/>
        </w:rPr>
        <w:t>IDR</w:t>
      </w:r>
      <w:r w:rsidRPr="00D86445">
        <w:rPr>
          <w:rFonts w:ascii="Bookman Old Style" w:hAnsi="Bookman Old Style"/>
          <w:color w:val="000000"/>
        </w:rPr>
        <w:t>22.24 trillion, down 8.51 percent mtm from February 2026 (</w:t>
      </w:r>
      <w:r>
        <w:rPr>
          <w:rFonts w:ascii="Bookman Old Style" w:hAnsi="Bookman Old Style"/>
          <w:color w:val="000000"/>
        </w:rPr>
        <w:t>IDR</w:t>
      </w:r>
      <w:r w:rsidRPr="00D86445">
        <w:rPr>
          <w:rFonts w:ascii="Bookman Old Style" w:hAnsi="Bookman Old Style"/>
          <w:color w:val="000000"/>
        </w:rPr>
        <w:t>24.31 trillion).</w:t>
      </w:r>
    </w:p>
    <w:p w14:paraId="7C22CE6A" w14:textId="77777777" w:rsidR="00E02D1C" w:rsidRPr="00053BEA" w:rsidRDefault="00E02D1C" w:rsidP="00E02D1C">
      <w:pPr>
        <w:snapToGrid w:val="0"/>
        <w:spacing w:before="120" w:after="0"/>
        <w:ind w:left="426"/>
        <w:jc w:val="both"/>
        <w:rPr>
          <w:rFonts w:ascii="Bookman Old Style" w:hAnsi="Bookman Old Style"/>
          <w:color w:val="000000"/>
        </w:rPr>
      </w:pPr>
      <w:r w:rsidRPr="00053BEA">
        <w:rPr>
          <w:rFonts w:ascii="Bookman Old Style" w:hAnsi="Bookman Old Style"/>
          <w:color w:val="000000"/>
        </w:rPr>
        <w:t xml:space="preserve">Meanwhile, the value of AKD derivative transactions in March 2026 reached </w:t>
      </w:r>
      <w:r>
        <w:rPr>
          <w:rFonts w:ascii="Bookman Old Style" w:hAnsi="Bookman Old Style"/>
          <w:color w:val="000000"/>
        </w:rPr>
        <w:t>IDR</w:t>
      </w:r>
      <w:r w:rsidRPr="00053BEA">
        <w:rPr>
          <w:rFonts w:ascii="Bookman Old Style" w:hAnsi="Bookman Old Style"/>
          <w:color w:val="000000"/>
        </w:rPr>
        <w:t>5.80 trillion, up 14.26 percent from February 2026 (</w:t>
      </w:r>
      <w:r>
        <w:rPr>
          <w:rFonts w:ascii="Bookman Old Style" w:hAnsi="Bookman Old Style"/>
          <w:color w:val="000000"/>
        </w:rPr>
        <w:t>IDR</w:t>
      </w:r>
      <w:r w:rsidRPr="00053BEA">
        <w:rPr>
          <w:rFonts w:ascii="Bookman Old Style" w:hAnsi="Bookman Old Style"/>
          <w:color w:val="000000"/>
        </w:rPr>
        <w:t>5.07 trillion).</w:t>
      </w:r>
      <w:r>
        <w:rPr>
          <w:rFonts w:ascii="Bookman Old Style" w:hAnsi="Bookman Old Style"/>
          <w:color w:val="000000"/>
        </w:rPr>
        <w:t xml:space="preserve"> </w:t>
      </w:r>
      <w:r w:rsidRPr="00053BEA">
        <w:rPr>
          <w:rFonts w:ascii="Bookman Old Style" w:hAnsi="Bookman Old Style"/>
          <w:color w:val="000000"/>
        </w:rPr>
        <w:t>Despite fluctuations in transaction values, consumer confidence in Indonesia’s digital financial asset ecosystem, including crypto assets, remained well maintained.</w:t>
      </w:r>
    </w:p>
    <w:p w14:paraId="5E55BFD4"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 xml:space="preserve">In enforcing regulations and consumer protection in the IAKD sector, the OJK imposed administrative sanctions on </w:t>
      </w:r>
      <w:r>
        <w:rPr>
          <w:rFonts w:ascii="Bookman Old Style" w:hAnsi="Bookman Old Style"/>
          <w:color w:val="000000"/>
        </w:rPr>
        <w:t>two</w:t>
      </w:r>
      <w:r w:rsidRPr="00053BEA">
        <w:rPr>
          <w:rFonts w:ascii="Bookman Old Style" w:hAnsi="Bookman Old Style"/>
          <w:color w:val="000000"/>
        </w:rPr>
        <w:t xml:space="preserve"> AKD-AK operators in April 2026 for violations of prevailing OJK regulations. The sanctions consisted of:</w:t>
      </w:r>
    </w:p>
    <w:p w14:paraId="1AAD03A8" w14:textId="77777777" w:rsidR="00E02D1C" w:rsidRPr="00053BEA" w:rsidRDefault="00E02D1C" w:rsidP="00E02D1C">
      <w:pPr>
        <w:numPr>
          <w:ilvl w:val="0"/>
          <w:numId w:val="10"/>
        </w:numPr>
        <w:tabs>
          <w:tab w:val="clear" w:pos="720"/>
          <w:tab w:val="num" w:pos="360"/>
        </w:tabs>
        <w:snapToGrid w:val="0"/>
        <w:spacing w:before="120" w:after="0"/>
        <w:ind w:left="426"/>
        <w:jc w:val="both"/>
        <w:rPr>
          <w:rFonts w:ascii="Bookman Old Style" w:hAnsi="Bookman Old Style"/>
          <w:color w:val="000000"/>
        </w:rPr>
      </w:pPr>
      <w:r>
        <w:rPr>
          <w:rFonts w:ascii="Bookman Old Style" w:hAnsi="Bookman Old Style"/>
          <w:color w:val="000000"/>
        </w:rPr>
        <w:t>One</w:t>
      </w:r>
      <w:r w:rsidRPr="00053BEA">
        <w:rPr>
          <w:rFonts w:ascii="Bookman Old Style" w:hAnsi="Bookman Old Style"/>
          <w:color w:val="000000"/>
        </w:rPr>
        <w:t xml:space="preserve"> written warning sanction; and</w:t>
      </w:r>
    </w:p>
    <w:p w14:paraId="7A71FD20" w14:textId="77777777" w:rsidR="00E02D1C" w:rsidRPr="00053BEA" w:rsidRDefault="00E02D1C" w:rsidP="00E02D1C">
      <w:pPr>
        <w:numPr>
          <w:ilvl w:val="0"/>
          <w:numId w:val="10"/>
        </w:numPr>
        <w:tabs>
          <w:tab w:val="clear" w:pos="720"/>
          <w:tab w:val="num" w:pos="360"/>
        </w:tabs>
        <w:snapToGrid w:val="0"/>
        <w:spacing w:before="120" w:after="0"/>
        <w:ind w:left="426"/>
        <w:jc w:val="both"/>
        <w:rPr>
          <w:rFonts w:ascii="Bookman Old Style" w:hAnsi="Bookman Old Style"/>
          <w:color w:val="000000"/>
        </w:rPr>
      </w:pPr>
      <w:r>
        <w:rPr>
          <w:rFonts w:ascii="Bookman Old Style" w:hAnsi="Bookman Old Style"/>
          <w:color w:val="000000"/>
        </w:rPr>
        <w:t>One</w:t>
      </w:r>
      <w:r w:rsidRPr="00053BEA">
        <w:rPr>
          <w:rFonts w:ascii="Bookman Old Style" w:hAnsi="Bookman Old Style"/>
          <w:color w:val="000000"/>
        </w:rPr>
        <w:t xml:space="preserve"> temporary suspension of part of the business activities.</w:t>
      </w:r>
    </w:p>
    <w:p w14:paraId="02089E34"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These enforcement measures and sanctions are intended to encourage IAKD industry players to strengthen good governance practices, adhere to prudential principles, and comply with prevailing regulations, thereby improving performance and contributing more effectively to the financial sector.</w:t>
      </w:r>
    </w:p>
    <w:p w14:paraId="1FA9E1D2" w14:textId="77777777" w:rsidR="00E02D1C" w:rsidRPr="00053BEA" w:rsidRDefault="00E02D1C" w:rsidP="00E02D1C">
      <w:pPr>
        <w:snapToGrid w:val="0"/>
        <w:spacing w:before="120" w:after="0"/>
        <w:jc w:val="both"/>
        <w:outlineLvl w:val="1"/>
        <w:rPr>
          <w:rFonts w:ascii="Bookman Old Style" w:hAnsi="Bookman Old Style"/>
          <w:b/>
          <w:bCs/>
          <w:color w:val="000000"/>
        </w:rPr>
      </w:pPr>
      <w:r w:rsidRPr="00053BEA">
        <w:rPr>
          <w:rFonts w:ascii="Bookman Old Style" w:hAnsi="Bookman Old Style"/>
          <w:b/>
          <w:bCs/>
          <w:color w:val="000000"/>
        </w:rPr>
        <w:t>Developments in Market Conduct Supervision, Financial Literacy, and Consumer Protection (PEPK)</w:t>
      </w:r>
    </w:p>
    <w:p w14:paraId="53490038"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From 1 January to 24 April 2026, OJK held 1,252 financial literacy activities, reaching 7,298,572 participants.</w:t>
      </w:r>
    </w:p>
    <w:p w14:paraId="329A4766"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lastRenderedPageBreak/>
        <w:t>The Sikapi Uangmu digital platform, which serves as a dedicated communication channel for public financial education content through its minisite and application, published 131 pieces of educational content, reaching a total of 1,126,916 viewers.</w:t>
      </w:r>
    </w:p>
    <w:p w14:paraId="63B1F2D6"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In addition, there were 6,373 users of the Financial Education Learning Management System (LMSKU), with total module accesses reaching 5,613 and 3,844 module completion certificates issued.</w:t>
      </w:r>
    </w:p>
    <w:p w14:paraId="3CBDF354"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Furthermore, since its launch in April 2025 through 24 April 2026, the OJK Financial Literacy Ambassador Program, known as OJK PEDULI (Penggerak Duta Literasi Keuangan Indonesia), has recorded 20,675 financial literacy ambassadors originating from the Financial Services Institution segment, the Priority Segment, and the University Student Segment.</w:t>
      </w:r>
    </w:p>
    <w:p w14:paraId="5E2CB375" w14:textId="77777777" w:rsidR="00E02D1C" w:rsidRPr="00053BEA" w:rsidRDefault="00E02D1C" w:rsidP="00E02D1C">
      <w:pPr>
        <w:snapToGrid w:val="0"/>
        <w:spacing w:before="120" w:after="0"/>
        <w:jc w:val="both"/>
        <w:rPr>
          <w:rFonts w:ascii="Bookman Old Style" w:hAnsi="Bookman Old Style"/>
          <w:color w:val="000000"/>
        </w:rPr>
      </w:pPr>
      <w:r w:rsidRPr="00053BEA">
        <w:rPr>
          <w:rFonts w:ascii="Bookman Old Style" w:hAnsi="Bookman Old Style"/>
          <w:color w:val="000000"/>
        </w:rPr>
        <w:t>In efforts to improve financial literacy, OJK initiated several programs and activities, including:</w:t>
      </w:r>
    </w:p>
    <w:p w14:paraId="73ED7674" w14:textId="77777777" w:rsidR="00E02D1C" w:rsidRDefault="00E02D1C" w:rsidP="00E02D1C">
      <w:pPr>
        <w:numPr>
          <w:ilvl w:val="0"/>
          <w:numId w:val="11"/>
        </w:numPr>
        <w:tabs>
          <w:tab w:val="clear" w:pos="720"/>
          <w:tab w:val="num" w:pos="0"/>
        </w:tabs>
        <w:snapToGrid w:val="0"/>
        <w:spacing w:before="120" w:after="0"/>
        <w:ind w:left="426" w:hanging="426"/>
        <w:jc w:val="both"/>
        <w:rPr>
          <w:rFonts w:ascii="Bookman Old Style" w:hAnsi="Bookman Old Style"/>
          <w:color w:val="000000"/>
        </w:rPr>
      </w:pPr>
      <w:r w:rsidRPr="00053BEA">
        <w:rPr>
          <w:rFonts w:ascii="Bookman Old Style" w:hAnsi="Bookman Old Style"/>
          <w:b/>
          <w:bCs/>
          <w:color w:val="000000"/>
        </w:rPr>
        <w:t>Implementation of GENCARKAN</w:t>
      </w:r>
      <w:r w:rsidRPr="0070357A">
        <w:rPr>
          <w:rFonts w:ascii="Bookman Old Style" w:hAnsi="Bookman Old Style"/>
          <w:color w:val="000000"/>
        </w:rPr>
        <w:t>. F</w:t>
      </w:r>
      <w:r w:rsidRPr="00053BEA">
        <w:rPr>
          <w:rFonts w:ascii="Bookman Old Style" w:hAnsi="Bookman Old Style"/>
          <w:color w:val="000000"/>
        </w:rPr>
        <w:t>rom 1 January to 24 April 2026, a total of 12,157 programs were conducted, reaching 53.7 million participants across Indonesia. These activities consisted of:</w:t>
      </w:r>
      <w:r w:rsidRPr="0070357A">
        <w:rPr>
          <w:rFonts w:ascii="Bookman Old Style" w:hAnsi="Bookman Old Style"/>
          <w:color w:val="000000"/>
        </w:rPr>
        <w:t xml:space="preserve"> </w:t>
      </w:r>
      <w:r w:rsidRPr="00053BEA">
        <w:rPr>
          <w:rFonts w:ascii="Bookman Old Style" w:hAnsi="Bookman Old Style"/>
          <w:color w:val="000000"/>
        </w:rPr>
        <w:t>7,472 direct financial education activities; and</w:t>
      </w:r>
      <w:r w:rsidRPr="0070357A">
        <w:rPr>
          <w:rFonts w:ascii="Bookman Old Style" w:hAnsi="Bookman Old Style"/>
          <w:color w:val="000000"/>
        </w:rPr>
        <w:t xml:space="preserve"> </w:t>
      </w:r>
      <w:r w:rsidRPr="00053BEA">
        <w:rPr>
          <w:rFonts w:ascii="Bookman Old Style" w:hAnsi="Bookman Old Style"/>
          <w:color w:val="000000"/>
        </w:rPr>
        <w:t>4,685 digital financial education contents</w:t>
      </w:r>
      <w:r w:rsidRPr="0070357A">
        <w:rPr>
          <w:rFonts w:ascii="Bookman Old Style" w:hAnsi="Bookman Old Style"/>
          <w:color w:val="000000"/>
        </w:rPr>
        <w:t xml:space="preserve">. </w:t>
      </w:r>
      <w:r w:rsidRPr="00053BEA">
        <w:rPr>
          <w:rFonts w:ascii="Bookman Old Style" w:hAnsi="Bookman Old Style"/>
          <w:color w:val="000000"/>
        </w:rPr>
        <w:t>GENCARKAN covered 343 of 514 Indonesian regions, or 67.73% of the total.</w:t>
      </w:r>
    </w:p>
    <w:p w14:paraId="77E63001" w14:textId="77777777" w:rsidR="00E02D1C" w:rsidRDefault="00E02D1C" w:rsidP="00E02D1C">
      <w:pPr>
        <w:numPr>
          <w:ilvl w:val="0"/>
          <w:numId w:val="11"/>
        </w:numPr>
        <w:tabs>
          <w:tab w:val="clear" w:pos="720"/>
          <w:tab w:val="num" w:pos="0"/>
        </w:tabs>
        <w:snapToGrid w:val="0"/>
        <w:spacing w:before="120" w:after="0"/>
        <w:ind w:left="426" w:hanging="426"/>
        <w:jc w:val="both"/>
        <w:rPr>
          <w:rFonts w:ascii="Bookman Old Style" w:hAnsi="Bookman Old Style"/>
          <w:color w:val="000000"/>
        </w:rPr>
      </w:pPr>
      <w:r w:rsidRPr="00D86445">
        <w:rPr>
          <w:rFonts w:ascii="Bookman Old Style" w:hAnsi="Bookman Old Style"/>
          <w:b/>
          <w:bCs/>
          <w:color w:val="000000"/>
        </w:rPr>
        <w:t>Integrated Capital Market Outreach and Education (SEPMT) 2026</w:t>
      </w:r>
      <w:r w:rsidRPr="00D86445">
        <w:rPr>
          <w:rFonts w:ascii="Bookman Old Style" w:hAnsi="Bookman Old Style"/>
          <w:color w:val="000000"/>
        </w:rPr>
        <w:t>. OJK, in collaboration with Self-Regulatory Organizations (SROs), conducted SEPMT 2026 in Serang, Banten, on 8–10 April 2026, targeting various community segments, including civil servants (ASN), women's communities, and university students. Through financial education initiatives, the public, including students, is expected to gain a better understanding and broader access to investing in the capital market, which is now more accessible online and affordable.</w:t>
      </w:r>
    </w:p>
    <w:p w14:paraId="54CC9DE8" w14:textId="77777777" w:rsidR="00E02D1C" w:rsidRDefault="00E02D1C" w:rsidP="00E02D1C">
      <w:pPr>
        <w:numPr>
          <w:ilvl w:val="0"/>
          <w:numId w:val="11"/>
        </w:numPr>
        <w:tabs>
          <w:tab w:val="clear" w:pos="720"/>
          <w:tab w:val="num" w:pos="0"/>
        </w:tabs>
        <w:snapToGrid w:val="0"/>
        <w:spacing w:before="120" w:after="0"/>
        <w:ind w:left="426" w:hanging="426"/>
        <w:jc w:val="both"/>
        <w:rPr>
          <w:rFonts w:ascii="Bookman Old Style" w:hAnsi="Bookman Old Style"/>
          <w:color w:val="000000"/>
        </w:rPr>
      </w:pPr>
      <w:r w:rsidRPr="00D86445">
        <w:rPr>
          <w:rFonts w:ascii="Bookman Old Style" w:hAnsi="Bookman Old Style"/>
          <w:b/>
          <w:bCs/>
          <w:color w:val="000000"/>
        </w:rPr>
        <w:t>International Webinar on Financial Literacy</w:t>
      </w:r>
      <w:r w:rsidRPr="00D86445">
        <w:rPr>
          <w:rFonts w:ascii="Bookman Old Style" w:hAnsi="Bookman Old Style"/>
          <w:color w:val="000000"/>
        </w:rPr>
        <w:t xml:space="preserve">. As part of the Global Money Week (GMW) 2026 series, OJK held an international webinar titled: </w:t>
      </w:r>
      <w:r w:rsidRPr="00D86445">
        <w:rPr>
          <w:rFonts w:ascii="Bookman Old Style" w:hAnsi="Bookman Old Style"/>
          <w:i/>
          <w:iCs/>
          <w:color w:val="000000"/>
        </w:rPr>
        <w:t>“From Early Education to Financial Health: Integrating Financial Literacy into Formal Education Systems”</w:t>
      </w:r>
      <w:r w:rsidRPr="00D86445">
        <w:rPr>
          <w:rFonts w:ascii="Bookman Old Style" w:hAnsi="Bookman Old Style"/>
          <w:color w:val="000000"/>
        </w:rPr>
        <w:t> on 17 April 2026. The event featured remarks from the Chair of the OECD International Network on Financial Education (OECD/INFE), as well as international speakers from OECD/INFE, the Bank of Spain, and the Malaysian Ministry of Education.</w:t>
      </w:r>
    </w:p>
    <w:p w14:paraId="48D2BDC0" w14:textId="77777777" w:rsidR="00E02D1C" w:rsidRDefault="00E02D1C" w:rsidP="00E02D1C">
      <w:pPr>
        <w:numPr>
          <w:ilvl w:val="0"/>
          <w:numId w:val="11"/>
        </w:numPr>
        <w:tabs>
          <w:tab w:val="clear" w:pos="720"/>
          <w:tab w:val="num" w:pos="0"/>
        </w:tabs>
        <w:snapToGrid w:val="0"/>
        <w:spacing w:before="120" w:after="0"/>
        <w:ind w:left="426" w:hanging="426"/>
        <w:jc w:val="both"/>
        <w:rPr>
          <w:rFonts w:ascii="Bookman Old Style" w:hAnsi="Bookman Old Style"/>
          <w:color w:val="000000"/>
        </w:rPr>
      </w:pPr>
      <w:r w:rsidRPr="00D86445">
        <w:rPr>
          <w:rFonts w:ascii="Bookman Old Style" w:hAnsi="Bookman Old Style"/>
          <w:b/>
          <w:bCs/>
          <w:color w:val="000000"/>
        </w:rPr>
        <w:t>Indonesia Leading Financial Literacy Series (Like-It) 2026</w:t>
      </w:r>
      <w:r w:rsidRPr="00D86445">
        <w:rPr>
          <w:rFonts w:ascii="Bookman Old Style" w:hAnsi="Bookman Old Style"/>
          <w:color w:val="000000"/>
        </w:rPr>
        <w:t>. OJK, together with the Ministry of Finance, Bank Indonesia, and the Indonesia Deposit Insurance Corporation (LPS), organized the first series of Like-It 2026 at Graha Sriwijaya University, Palembang, on 16 April 2026, under the theme:</w:t>
      </w:r>
      <w:r w:rsidRPr="00D86445">
        <w:rPr>
          <w:rFonts w:ascii="Bookman Old Style" w:hAnsi="Bookman Old Style"/>
          <w:i/>
          <w:iCs/>
          <w:color w:val="000000"/>
        </w:rPr>
        <w:t>“From Literacy to Investment: Building the Future Starting Today”</w:t>
      </w:r>
      <w:r>
        <w:rPr>
          <w:rFonts w:ascii="Bookman Old Style" w:hAnsi="Bookman Old Style"/>
          <w:i/>
          <w:iCs/>
          <w:color w:val="000000"/>
        </w:rPr>
        <w:t>.</w:t>
      </w:r>
    </w:p>
    <w:p w14:paraId="57C63AE0" w14:textId="77777777" w:rsidR="00E02D1C" w:rsidRDefault="00E02D1C" w:rsidP="00E02D1C">
      <w:pPr>
        <w:numPr>
          <w:ilvl w:val="0"/>
          <w:numId w:val="11"/>
        </w:numPr>
        <w:tabs>
          <w:tab w:val="clear" w:pos="720"/>
          <w:tab w:val="num" w:pos="0"/>
        </w:tabs>
        <w:snapToGrid w:val="0"/>
        <w:spacing w:before="120" w:after="0"/>
        <w:ind w:left="426" w:hanging="426"/>
        <w:jc w:val="both"/>
        <w:rPr>
          <w:rFonts w:ascii="Bookman Old Style" w:hAnsi="Bookman Old Style"/>
          <w:color w:val="000000"/>
        </w:rPr>
      </w:pPr>
      <w:r w:rsidRPr="00D86445">
        <w:rPr>
          <w:rFonts w:ascii="Bookman Old Style" w:hAnsi="Bookman Old Style"/>
          <w:b/>
          <w:bCs/>
          <w:color w:val="000000"/>
        </w:rPr>
        <w:t>Kartini Day Financial Literacy Webinar</w:t>
      </w:r>
      <w:r w:rsidRPr="00D86445">
        <w:rPr>
          <w:rFonts w:ascii="Bookman Old Style" w:hAnsi="Bookman Old Style"/>
          <w:color w:val="000000"/>
        </w:rPr>
        <w:t>. To commemorate Kartini Day 2026, OJK organized a financial literacy webinar on 21 April 2026, themed:</w:t>
      </w:r>
      <w:r w:rsidRPr="00D86445">
        <w:rPr>
          <w:rFonts w:ascii="Bookman Old Style" w:hAnsi="Bookman Old Style"/>
          <w:i/>
          <w:iCs/>
          <w:color w:val="000000"/>
        </w:rPr>
        <w:t>“Financially Smart Women, Confident in Shaping the Future”</w:t>
      </w:r>
      <w:r>
        <w:rPr>
          <w:rFonts w:ascii="Bookman Old Style" w:hAnsi="Bookman Old Style"/>
          <w:i/>
          <w:iCs/>
          <w:color w:val="000000"/>
        </w:rPr>
        <w:t>.</w:t>
      </w:r>
    </w:p>
    <w:p w14:paraId="6ACD9231" w14:textId="77777777" w:rsidR="00E02D1C" w:rsidRDefault="00E02D1C" w:rsidP="00E02D1C">
      <w:pPr>
        <w:numPr>
          <w:ilvl w:val="0"/>
          <w:numId w:val="11"/>
        </w:numPr>
        <w:tabs>
          <w:tab w:val="clear" w:pos="720"/>
          <w:tab w:val="num" w:pos="0"/>
        </w:tabs>
        <w:snapToGrid w:val="0"/>
        <w:spacing w:before="120" w:after="0"/>
        <w:ind w:left="426" w:hanging="426"/>
        <w:jc w:val="both"/>
        <w:rPr>
          <w:rFonts w:ascii="Bookman Old Style" w:hAnsi="Bookman Old Style"/>
          <w:color w:val="000000"/>
        </w:rPr>
      </w:pPr>
      <w:r w:rsidRPr="00D86445">
        <w:rPr>
          <w:rFonts w:ascii="Bookman Old Style" w:hAnsi="Bookman Old Style"/>
          <w:b/>
          <w:bCs/>
          <w:color w:val="000000"/>
        </w:rPr>
        <w:t>Kick-Off of the Training of Facilitator (TOF) for the Desa Berdaya Program in West Nusa Tenggara (NTB)</w:t>
      </w:r>
      <w:r w:rsidRPr="00D86445">
        <w:rPr>
          <w:rFonts w:ascii="Bookman Old Style" w:hAnsi="Bookman Old Style"/>
          <w:color w:val="000000"/>
        </w:rPr>
        <w:t xml:space="preserve">. The program was organized by OJK together with the NTB Provincial Government, FKIJK, ILO, financial services institutions, and strategic partners. The event included village facilitators, financial literacy and financing access talk shows, and field visits to identify potential facilitators and off-takers among business actors supported by financial services institutions. Going forward, </w:t>
      </w:r>
      <w:r w:rsidRPr="00D86445">
        <w:rPr>
          <w:rFonts w:ascii="Bookman Old Style" w:hAnsi="Bookman Old Style"/>
          <w:color w:val="000000"/>
        </w:rPr>
        <w:lastRenderedPageBreak/>
        <w:t>the Desa Berdaya Program is expected to be further strengthened through cross-sector synergies, broader access to financial services, strengthening savings culture, business development support, and data integration to deliver broader and more sustainable impacts on improving the quality of life of rural communities in NTB Province.</w:t>
      </w:r>
    </w:p>
    <w:p w14:paraId="6B6E5470" w14:textId="77777777" w:rsidR="00E02D1C" w:rsidRPr="00D86445" w:rsidRDefault="00E02D1C" w:rsidP="00E02D1C">
      <w:pPr>
        <w:numPr>
          <w:ilvl w:val="0"/>
          <w:numId w:val="11"/>
        </w:numPr>
        <w:tabs>
          <w:tab w:val="clear" w:pos="720"/>
          <w:tab w:val="num" w:pos="0"/>
        </w:tabs>
        <w:snapToGrid w:val="0"/>
        <w:spacing w:before="120" w:after="0"/>
        <w:ind w:left="426" w:hanging="426"/>
        <w:jc w:val="both"/>
        <w:rPr>
          <w:rFonts w:ascii="Bookman Old Style" w:hAnsi="Bookman Old Style"/>
          <w:color w:val="000000"/>
        </w:rPr>
      </w:pPr>
      <w:r w:rsidRPr="00D86445">
        <w:rPr>
          <w:rFonts w:ascii="Bookman Old Style" w:hAnsi="Bookman Old Style"/>
          <w:b/>
          <w:bCs/>
          <w:color w:val="000000"/>
        </w:rPr>
        <w:t>Dissemination of Accessible Banking Services for Persons with Disabilities</w:t>
      </w:r>
      <w:r w:rsidRPr="00D86445">
        <w:rPr>
          <w:rFonts w:ascii="Bookman Old Style" w:hAnsi="Bookman Old Style"/>
          <w:color w:val="000000"/>
        </w:rPr>
        <w:t>. The OJK Office of South Sumatra Province, in collaboration with Bank Pembangunan Daerah Sumatera Selatan dan Bangka Belitung (BPD Sumsel Babel), organized dissemination activities on accessible banking services for persons with disabilities at the accessible branch office of BPD Sumsel Babel Head Office (Jakabaring Branch) on 22 April 2026. The activity also featured customers with disabilities sharing their experiences accessing banking services and showcasing disability-friendly services available at the branch. The initiative is expected to enhance access to inclusive financial services for customers with disabilities.</w:t>
      </w:r>
    </w:p>
    <w:p w14:paraId="02AA4999" w14:textId="77777777" w:rsidR="00E02D1C" w:rsidRPr="0070357A" w:rsidRDefault="00E02D1C" w:rsidP="00E02D1C">
      <w:pPr>
        <w:snapToGrid w:val="0"/>
        <w:spacing w:before="120" w:after="0"/>
        <w:jc w:val="both"/>
        <w:rPr>
          <w:rFonts w:ascii="Bookman Old Style" w:hAnsi="Bookman Old Style"/>
          <w:color w:val="000000"/>
        </w:rPr>
      </w:pPr>
      <w:r w:rsidRPr="00A30FDB">
        <w:rPr>
          <w:rFonts w:ascii="Bookman Old Style" w:hAnsi="Bookman Old Style"/>
          <w:color w:val="000000"/>
        </w:rPr>
        <w:t xml:space="preserve">Furthermore, to strengthen coordination with the Regional Financial Access Acceleration Teams (TPAKD), several activities were held, including: </w:t>
      </w:r>
    </w:p>
    <w:p w14:paraId="59D61E44" w14:textId="77777777" w:rsidR="00E02D1C" w:rsidRPr="0070357A" w:rsidRDefault="00E02D1C" w:rsidP="00E02D1C">
      <w:pPr>
        <w:pStyle w:val="ListParagraph"/>
        <w:numPr>
          <w:ilvl w:val="0"/>
          <w:numId w:val="31"/>
        </w:numPr>
        <w:snapToGrid w:val="0"/>
        <w:spacing w:before="120" w:after="0"/>
        <w:ind w:left="426"/>
        <w:contextualSpacing w:val="0"/>
        <w:jc w:val="both"/>
        <w:rPr>
          <w:rFonts w:ascii="Bookman Old Style" w:hAnsi="Bookman Old Style"/>
          <w:color w:val="000000"/>
        </w:rPr>
      </w:pPr>
      <w:r w:rsidRPr="0070357A">
        <w:rPr>
          <w:rFonts w:ascii="Bookman Old Style" w:hAnsi="Bookman Old Style"/>
          <w:color w:val="000000"/>
        </w:rPr>
        <w:t>An In-House Training titled "Accelerating</w:t>
      </w:r>
      <w:r w:rsidRPr="0070357A">
        <w:rPr>
          <w:rFonts w:ascii="Bookman Old Style" w:hAnsi="Bookman Old Style"/>
          <w:i/>
          <w:iCs/>
          <w:color w:val="000000"/>
        </w:rPr>
        <w:t> the Contribution of the Financial Services Sector to Regional Economies through Strengthening and Aligning TPAKD Programs"</w:t>
      </w:r>
      <w:r w:rsidRPr="0070357A">
        <w:rPr>
          <w:rFonts w:ascii="Bookman Old Style" w:hAnsi="Bookman Old Style"/>
          <w:color w:val="000000"/>
        </w:rPr>
        <w:t> for representatives from all regional OJK offices, held on 20–22 April 2026 at the OJK South Sumatra Office. This activity is expected to serve as a catalyst in strengthening the role of regional OJK personnel as drivers of TPAKD programs. It aims to improve alignment in the implementation of the TPAKD program and enhance the quality of coordination, performance, and reporting of TPAKD in a sustainable way.</w:t>
      </w:r>
    </w:p>
    <w:p w14:paraId="0653EC94" w14:textId="77777777" w:rsidR="00E02D1C" w:rsidRPr="0070357A" w:rsidRDefault="00E02D1C" w:rsidP="00E02D1C">
      <w:pPr>
        <w:pStyle w:val="ListParagraph"/>
        <w:numPr>
          <w:ilvl w:val="0"/>
          <w:numId w:val="31"/>
        </w:numPr>
        <w:snapToGrid w:val="0"/>
        <w:spacing w:before="120" w:after="0"/>
        <w:ind w:left="426"/>
        <w:contextualSpacing w:val="0"/>
        <w:jc w:val="both"/>
        <w:rPr>
          <w:rFonts w:ascii="Bookman Old Style" w:hAnsi="Bookman Old Style"/>
          <w:color w:val="000000"/>
        </w:rPr>
      </w:pPr>
      <w:r w:rsidRPr="0070357A">
        <w:rPr>
          <w:rFonts w:ascii="Bookman Old Style" w:hAnsi="Bookman Old Style"/>
          <w:color w:val="000000"/>
        </w:rPr>
        <w:t>The Regional Coordination Meeting (Rakorda) of TPAKD throughout South Sumatra Province, organized by OJK together with regional governments in South Sumatra on 21 April 2026 at the OJK Office of South Sumatra Province in Palembang. The launch of the </w:t>
      </w:r>
      <w:r w:rsidRPr="0070357A">
        <w:rPr>
          <w:rFonts w:ascii="Bookman Old Style" w:hAnsi="Bookman Old Style"/>
          <w:i/>
          <w:iCs/>
          <w:color w:val="000000"/>
        </w:rPr>
        <w:t>Sultan Muda Xpora 2026</w:t>
      </w:r>
      <w:r w:rsidRPr="0070357A">
        <w:rPr>
          <w:rFonts w:ascii="Bookman Old Style" w:hAnsi="Bookman Old Style"/>
          <w:color w:val="000000"/>
        </w:rPr>
        <w:t xml:space="preserve"> program featured the event, which also stands as one of the South Sumatra Provincial TPAKD's flagship programs. The Governor of South Sumatra officially opened the event and committed to creating 100,000 young export-oriented entrepreneurs in South Sumatra over the next five years through training and incubation programs. In the initial phase, coconut products will be exported to China, Taiwan, and France. The exports include 46 tons of coconut shell charcoal, 25 tons of coconut chips, 500 kilograms of black pepper, and 21 tons of processed cracker products. The total export value reaches </w:t>
      </w:r>
      <w:r>
        <w:rPr>
          <w:rFonts w:ascii="Bookman Old Style" w:hAnsi="Bookman Old Style"/>
          <w:color w:val="000000"/>
        </w:rPr>
        <w:t>IDR</w:t>
      </w:r>
      <w:r w:rsidRPr="0070357A">
        <w:rPr>
          <w:rFonts w:ascii="Bookman Old Style" w:hAnsi="Bookman Old Style"/>
          <w:color w:val="000000"/>
        </w:rPr>
        <w:t>1.6 billion.</w:t>
      </w:r>
    </w:p>
    <w:p w14:paraId="5CA79406" w14:textId="77777777" w:rsidR="00E02D1C" w:rsidRPr="0070357A" w:rsidRDefault="00E02D1C" w:rsidP="00E02D1C">
      <w:pPr>
        <w:pStyle w:val="ListParagraph"/>
        <w:numPr>
          <w:ilvl w:val="0"/>
          <w:numId w:val="31"/>
        </w:numPr>
        <w:snapToGrid w:val="0"/>
        <w:spacing w:before="120" w:after="0"/>
        <w:ind w:left="426"/>
        <w:contextualSpacing w:val="0"/>
        <w:jc w:val="both"/>
        <w:rPr>
          <w:rFonts w:ascii="Bookman Old Style" w:hAnsi="Bookman Old Style"/>
          <w:color w:val="000000"/>
        </w:rPr>
      </w:pPr>
      <w:r w:rsidRPr="0070357A">
        <w:rPr>
          <w:rFonts w:ascii="Bookman Old Style" w:hAnsi="Bookman Old Style"/>
          <w:color w:val="000000"/>
        </w:rPr>
        <w:t>The Regional Coordination Meeting (Rakorda) of TPAKD for the North Kalimantan Region, organized by OJK together with the Regional Government of North Kalimantan on 23 April 2026 at the Office of the Governor of North Kalimantan in Bulungan Regency. The North Kalimantan Regional Government promotes broader financial access to improve public welfare through TPAKD. They emphasize that financial inclusion forms a key foundation for regional economic development.</w:t>
      </w:r>
    </w:p>
    <w:p w14:paraId="23E6951B" w14:textId="77777777" w:rsidR="00E02D1C" w:rsidRPr="0070357A" w:rsidRDefault="00E02D1C" w:rsidP="00E02D1C">
      <w:pPr>
        <w:pStyle w:val="ListParagraph"/>
        <w:numPr>
          <w:ilvl w:val="0"/>
          <w:numId w:val="31"/>
        </w:numPr>
        <w:snapToGrid w:val="0"/>
        <w:spacing w:before="120" w:after="0"/>
        <w:ind w:left="426"/>
        <w:contextualSpacing w:val="0"/>
        <w:jc w:val="both"/>
        <w:rPr>
          <w:rFonts w:ascii="Bookman Old Style" w:hAnsi="Bookman Old Style"/>
          <w:color w:val="000000"/>
        </w:rPr>
      </w:pPr>
      <w:r w:rsidRPr="0070357A">
        <w:rPr>
          <w:rFonts w:ascii="Bookman Old Style" w:hAnsi="Bookman Old Style"/>
          <w:color w:val="000000"/>
        </w:rPr>
        <w:t xml:space="preserve">OJK, together with the Ministry of Home Affairs, organized the 2026 TPAKD Member Certification and Capacity Building Program in Jakarta. 95 TPAKD representatives from across Indonesia attended the certification program, held on 27–29 April 2026. To enrich practical insights, participants visited Jakarta Creative Hub. They observed how the Jakarta Provincial TPAKD collaborates to build an ecosystem that supports the growth of the creative industry, particularly in access to financing and market </w:t>
      </w:r>
      <w:r w:rsidRPr="0070357A">
        <w:rPr>
          <w:rFonts w:ascii="Bookman Old Style" w:hAnsi="Bookman Old Style"/>
          <w:color w:val="000000"/>
        </w:rPr>
        <w:lastRenderedPageBreak/>
        <w:t>expansion. Participants also visited the Indonesian Stock Exchange to study the capital market as a financing source for regional businesses and as an investment instrument. The program concluded on 30 April 2026 with the 2026 TPAKD Capacity Building Program. The event was also attended virtually by Regional Secretaries from regencies and municipal governments throughout Indonesia. More than 4,300 viewers watched through the YouTube channel of the Directorate General of Regional Financial Development.</w:t>
      </w:r>
    </w:p>
    <w:p w14:paraId="5FF2E800" w14:textId="77777777" w:rsidR="00E02D1C" w:rsidRPr="00A30FDB" w:rsidRDefault="00E02D1C" w:rsidP="00E02D1C">
      <w:pPr>
        <w:snapToGrid w:val="0"/>
        <w:spacing w:before="120" w:after="0"/>
        <w:jc w:val="both"/>
        <w:rPr>
          <w:rFonts w:ascii="Bookman Old Style" w:hAnsi="Bookman Old Style"/>
          <w:color w:val="000000"/>
        </w:rPr>
      </w:pPr>
      <w:r w:rsidRPr="00A30FDB">
        <w:rPr>
          <w:rFonts w:ascii="Bookman Old Style" w:hAnsi="Bookman Old Style"/>
          <w:color w:val="000000"/>
        </w:rPr>
        <w:t>In ensuring compliance of Financial Services Business Actors (PUJK) with prevailing regulations and enhancing consumer protection, OJK actively enforced market conduct supervision and consumer protection regulations, including:</w:t>
      </w:r>
    </w:p>
    <w:p w14:paraId="04BB34E0" w14:textId="7C2A2F3D" w:rsidR="00E02D1C" w:rsidRDefault="00E02D1C" w:rsidP="00E02D1C">
      <w:pPr>
        <w:numPr>
          <w:ilvl w:val="0"/>
          <w:numId w:val="12"/>
        </w:numPr>
        <w:tabs>
          <w:tab w:val="clear" w:pos="720"/>
          <w:tab w:val="num" w:pos="66"/>
        </w:tabs>
        <w:snapToGrid w:val="0"/>
        <w:spacing w:before="120" w:after="0"/>
        <w:ind w:left="426"/>
        <w:jc w:val="both"/>
        <w:rPr>
          <w:rFonts w:ascii="Bookman Old Style" w:hAnsi="Bookman Old Style"/>
          <w:color w:val="000000"/>
        </w:rPr>
      </w:pPr>
      <w:r w:rsidRPr="00A30FDB">
        <w:rPr>
          <w:rFonts w:ascii="Bookman Old Style" w:hAnsi="Bookman Old Style"/>
          <w:color w:val="000000"/>
        </w:rPr>
        <w:t>In enforcing Market Conduct regulations, OJK imposed Administrative Sanctions based on the results of direct and indirect supervision.</w:t>
      </w:r>
      <w:r w:rsidRPr="0070357A">
        <w:rPr>
          <w:rFonts w:ascii="Bookman Old Style" w:hAnsi="Bookman Old Style"/>
          <w:color w:val="000000"/>
        </w:rPr>
        <w:t xml:space="preserve"> </w:t>
      </w:r>
      <w:r w:rsidRPr="00A30FDB">
        <w:rPr>
          <w:rFonts w:ascii="Bookman Old Style" w:hAnsi="Bookman Old Style"/>
          <w:color w:val="000000"/>
        </w:rPr>
        <w:t>From 1 January 2026 through 30 April 2026, OJK imposed:</w:t>
      </w:r>
      <w:r w:rsidRPr="0070357A">
        <w:rPr>
          <w:rFonts w:ascii="Bookman Old Style" w:hAnsi="Bookman Old Style"/>
          <w:color w:val="000000"/>
        </w:rPr>
        <w:t xml:space="preserve"> </w:t>
      </w:r>
      <w:r w:rsidRPr="00A30FDB">
        <w:rPr>
          <w:rFonts w:ascii="Bookman Old Style" w:hAnsi="Bookman Old Style"/>
          <w:color w:val="000000"/>
        </w:rPr>
        <w:t>17 Administrative Sanctions in the form of Written Warnings; and</w:t>
      </w:r>
      <w:r w:rsidRPr="0070357A">
        <w:rPr>
          <w:rFonts w:ascii="Bookman Old Style" w:hAnsi="Bookman Old Style"/>
          <w:color w:val="000000"/>
        </w:rPr>
        <w:t xml:space="preserve"> </w:t>
      </w:r>
      <w:r w:rsidRPr="00A30FDB">
        <w:rPr>
          <w:rFonts w:ascii="Bookman Old Style" w:hAnsi="Bookman Old Style"/>
          <w:color w:val="000000"/>
        </w:rPr>
        <w:t xml:space="preserve">11 Administrative Sanctions in the form of fines totalling </w:t>
      </w:r>
      <w:r>
        <w:rPr>
          <w:rFonts w:ascii="Bookman Old Style" w:hAnsi="Bookman Old Style"/>
          <w:color w:val="000000"/>
        </w:rPr>
        <w:t>IDR</w:t>
      </w:r>
      <w:r w:rsidRPr="00A30FDB">
        <w:rPr>
          <w:rFonts w:ascii="Bookman Old Style" w:hAnsi="Bookman Old Style"/>
          <w:color w:val="000000"/>
        </w:rPr>
        <w:t>274 million,</w:t>
      </w:r>
      <w:r w:rsidRPr="0070357A">
        <w:rPr>
          <w:rFonts w:ascii="Bookman Old Style" w:hAnsi="Bookman Old Style"/>
          <w:color w:val="000000"/>
        </w:rPr>
        <w:t xml:space="preserve"> </w:t>
      </w:r>
      <w:r w:rsidRPr="00A30FDB">
        <w:rPr>
          <w:rFonts w:ascii="Bookman Old Style" w:hAnsi="Bookman Old Style"/>
          <w:color w:val="000000"/>
        </w:rPr>
        <w:t>for violations of consumer protection provisions related to information disclosure in advertisements.</w:t>
      </w:r>
      <w:r w:rsidRPr="0070357A">
        <w:rPr>
          <w:rFonts w:ascii="Bookman Old Style" w:hAnsi="Bookman Old Style"/>
          <w:color w:val="000000"/>
        </w:rPr>
        <w:t xml:space="preserve"> </w:t>
      </w:r>
      <w:r w:rsidRPr="00A30FDB">
        <w:rPr>
          <w:rFonts w:ascii="Bookman Old Style" w:hAnsi="Bookman Old Style"/>
          <w:color w:val="000000"/>
        </w:rPr>
        <w:t>To prevent similar violations, OJK issued orders requiring corrective actions. These included adjusting or ceasing non</w:t>
      </w:r>
      <w:r w:rsidR="008C28C5">
        <w:rPr>
          <w:rFonts w:ascii="Bookman Old Style" w:hAnsi="Bookman Old Style"/>
          <w:color w:val="000000"/>
        </w:rPr>
        <w:t>-</w:t>
      </w:r>
      <w:r w:rsidRPr="00A30FDB">
        <w:rPr>
          <w:rFonts w:ascii="Bookman Old Style" w:hAnsi="Bookman Old Style"/>
          <w:color w:val="000000"/>
        </w:rPr>
        <w:t>compliant advertisements. These steps, part of supervisory follow-up and guidance, aim to ensure PUJK consistently complies with consumer and public protection provisions.</w:t>
      </w:r>
    </w:p>
    <w:p w14:paraId="1CE825EE" w14:textId="77777777" w:rsidR="00E02D1C" w:rsidRPr="00D86445" w:rsidRDefault="00E02D1C" w:rsidP="00E02D1C">
      <w:pPr>
        <w:numPr>
          <w:ilvl w:val="0"/>
          <w:numId w:val="12"/>
        </w:numPr>
        <w:tabs>
          <w:tab w:val="clear" w:pos="720"/>
          <w:tab w:val="num" w:pos="66"/>
        </w:tabs>
        <w:snapToGrid w:val="0"/>
        <w:spacing w:before="120" w:after="0"/>
        <w:ind w:left="426"/>
        <w:jc w:val="both"/>
        <w:rPr>
          <w:rFonts w:ascii="Bookman Old Style" w:hAnsi="Bookman Old Style"/>
          <w:color w:val="000000"/>
        </w:rPr>
      </w:pPr>
      <w:r w:rsidRPr="00D86445">
        <w:rPr>
          <w:rFonts w:ascii="Bookman Old Style" w:hAnsi="Bookman Old Style"/>
          <w:color w:val="000000"/>
        </w:rPr>
        <w:t>In enforcing consumer protection provisions, OJK imposed the following orders and/or administrative sanctions:</w:t>
      </w:r>
    </w:p>
    <w:p w14:paraId="1103E9EA" w14:textId="77777777" w:rsidR="00E02D1C" w:rsidRPr="0070357A" w:rsidRDefault="00E02D1C" w:rsidP="00E02D1C">
      <w:pPr>
        <w:numPr>
          <w:ilvl w:val="1"/>
          <w:numId w:val="12"/>
        </w:numPr>
        <w:snapToGrid w:val="0"/>
        <w:spacing w:before="120" w:after="0"/>
        <w:ind w:left="851"/>
        <w:jc w:val="both"/>
        <w:rPr>
          <w:rFonts w:ascii="Bookman Old Style" w:hAnsi="Bookman Old Style"/>
          <w:color w:val="000000"/>
        </w:rPr>
      </w:pPr>
      <w:r w:rsidRPr="00A30FDB">
        <w:rPr>
          <w:rFonts w:ascii="Bookman Old Style" w:hAnsi="Bookman Old Style"/>
          <w:color w:val="000000"/>
        </w:rPr>
        <w:t>During the period from 1 January 2026 to 30 April 2026, OJK issued:</w:t>
      </w:r>
      <w:r w:rsidRPr="0070357A">
        <w:rPr>
          <w:rFonts w:ascii="Bookman Old Style" w:hAnsi="Bookman Old Style"/>
          <w:color w:val="000000"/>
        </w:rPr>
        <w:t xml:space="preserve"> </w:t>
      </w:r>
      <w:r w:rsidRPr="00A30FDB">
        <w:rPr>
          <w:rFonts w:ascii="Bookman Old Style" w:hAnsi="Bookman Old Style"/>
          <w:color w:val="000000"/>
        </w:rPr>
        <w:t>33 written warnings to 31 PUJK,</w:t>
      </w:r>
      <w:r w:rsidRPr="0070357A">
        <w:rPr>
          <w:rFonts w:ascii="Bookman Old Style" w:hAnsi="Bookman Old Style"/>
          <w:color w:val="000000"/>
        </w:rPr>
        <w:t xml:space="preserve"> </w:t>
      </w:r>
      <w:r>
        <w:rPr>
          <w:rFonts w:ascii="Bookman Old Style" w:hAnsi="Bookman Old Style"/>
          <w:color w:val="000000"/>
        </w:rPr>
        <w:t>three</w:t>
      </w:r>
      <w:r w:rsidRPr="00A30FDB">
        <w:rPr>
          <w:rFonts w:ascii="Bookman Old Style" w:hAnsi="Bookman Old Style"/>
          <w:color w:val="000000"/>
        </w:rPr>
        <w:t xml:space="preserve"> written instructions to </w:t>
      </w:r>
      <w:r>
        <w:rPr>
          <w:rFonts w:ascii="Bookman Old Style" w:hAnsi="Bookman Old Style"/>
          <w:color w:val="000000"/>
        </w:rPr>
        <w:t>three</w:t>
      </w:r>
      <w:r w:rsidRPr="00A30FDB">
        <w:rPr>
          <w:rFonts w:ascii="Bookman Old Style" w:hAnsi="Bookman Old Style"/>
          <w:color w:val="000000"/>
        </w:rPr>
        <w:t xml:space="preserve"> PUJK, and</w:t>
      </w:r>
      <w:r w:rsidRPr="0070357A">
        <w:rPr>
          <w:rFonts w:ascii="Bookman Old Style" w:hAnsi="Bookman Old Style"/>
          <w:color w:val="000000"/>
        </w:rPr>
        <w:t xml:space="preserve"> </w:t>
      </w:r>
      <w:r w:rsidRPr="00A30FDB">
        <w:rPr>
          <w:rFonts w:ascii="Bookman Old Style" w:hAnsi="Bookman Old Style"/>
          <w:color w:val="000000"/>
        </w:rPr>
        <w:t>15 monetary sanctions imposed on 13 PUJK.</w:t>
      </w:r>
    </w:p>
    <w:p w14:paraId="5E31704D" w14:textId="77777777" w:rsidR="00E02D1C" w:rsidRPr="00A30FDB" w:rsidRDefault="00E02D1C" w:rsidP="00E02D1C">
      <w:pPr>
        <w:numPr>
          <w:ilvl w:val="1"/>
          <w:numId w:val="12"/>
        </w:numPr>
        <w:snapToGrid w:val="0"/>
        <w:spacing w:before="120" w:after="0"/>
        <w:ind w:left="851"/>
        <w:jc w:val="both"/>
        <w:rPr>
          <w:rFonts w:ascii="Bookman Old Style" w:hAnsi="Bookman Old Style"/>
          <w:color w:val="000000"/>
        </w:rPr>
      </w:pPr>
      <w:r w:rsidRPr="00A30FDB">
        <w:rPr>
          <w:rFonts w:ascii="Bookman Old Style" w:hAnsi="Bookman Old Style"/>
          <w:color w:val="000000"/>
        </w:rPr>
        <w:t xml:space="preserve">In addition, 93 PUJK provided compensation for consumer losses totalling </w:t>
      </w:r>
      <w:r>
        <w:rPr>
          <w:rFonts w:ascii="Bookman Old Style" w:hAnsi="Bookman Old Style"/>
          <w:color w:val="000000"/>
        </w:rPr>
        <w:t>IDR</w:t>
      </w:r>
      <w:r w:rsidRPr="00A30FDB">
        <w:rPr>
          <w:rFonts w:ascii="Bookman Old Style" w:hAnsi="Bookman Old Style"/>
          <w:color w:val="000000"/>
        </w:rPr>
        <w:t>22.89 billion during the period from 1 January 2026 to 19 April 2026.</w:t>
      </w:r>
    </w:p>
    <w:p w14:paraId="29AE1FF4" w14:textId="77777777" w:rsidR="00E02D1C" w:rsidRPr="00A30FDB" w:rsidRDefault="00E02D1C" w:rsidP="00E02D1C">
      <w:pPr>
        <w:snapToGrid w:val="0"/>
        <w:spacing w:before="120" w:after="0"/>
        <w:jc w:val="both"/>
        <w:rPr>
          <w:rFonts w:ascii="Bookman Old Style" w:hAnsi="Bookman Old Style"/>
          <w:color w:val="000000"/>
        </w:rPr>
      </w:pPr>
      <w:r w:rsidRPr="00A30FDB">
        <w:rPr>
          <w:rFonts w:ascii="Bookman Old Style" w:hAnsi="Bookman Old Style"/>
          <w:color w:val="000000"/>
        </w:rPr>
        <w:t>From the consumer services aspect, from 1 January 2026 through 13 April 2026, OJK received 177,244 service requests through the Consumer Protection Portal Application (APPK). These included 25,392 complaints.</w:t>
      </w:r>
      <w:r w:rsidRPr="0070357A">
        <w:rPr>
          <w:rFonts w:ascii="Bookman Old Style" w:hAnsi="Bookman Old Style"/>
          <w:color w:val="000000"/>
        </w:rPr>
        <w:t xml:space="preserve"> </w:t>
      </w:r>
      <w:r w:rsidRPr="00A30FDB">
        <w:rPr>
          <w:rFonts w:ascii="Bookman Old Style" w:hAnsi="Bookman Old Style"/>
          <w:color w:val="000000"/>
        </w:rPr>
        <w:t>Of the total complaints received:</w:t>
      </w:r>
    </w:p>
    <w:p w14:paraId="180C8F49" w14:textId="77777777" w:rsidR="00E02D1C" w:rsidRPr="00A30FDB" w:rsidRDefault="00E02D1C" w:rsidP="00E02D1C">
      <w:pPr>
        <w:numPr>
          <w:ilvl w:val="0"/>
          <w:numId w:val="13"/>
        </w:numPr>
        <w:tabs>
          <w:tab w:val="clear" w:pos="720"/>
          <w:tab w:val="num" w:pos="66"/>
        </w:tabs>
        <w:snapToGrid w:val="0"/>
        <w:spacing w:before="120" w:after="0"/>
        <w:ind w:left="426"/>
        <w:jc w:val="both"/>
        <w:rPr>
          <w:rFonts w:ascii="Bookman Old Style" w:hAnsi="Bookman Old Style"/>
          <w:color w:val="000000"/>
        </w:rPr>
      </w:pPr>
      <w:r w:rsidRPr="00A30FDB">
        <w:rPr>
          <w:rFonts w:ascii="Bookman Old Style" w:hAnsi="Bookman Old Style"/>
          <w:color w:val="000000"/>
        </w:rPr>
        <w:t>8,529 complaints originated from the banking sector.</w:t>
      </w:r>
    </w:p>
    <w:p w14:paraId="34E1AD7A" w14:textId="77777777" w:rsidR="00E02D1C" w:rsidRPr="00A30FDB" w:rsidRDefault="00E02D1C" w:rsidP="00E02D1C">
      <w:pPr>
        <w:numPr>
          <w:ilvl w:val="0"/>
          <w:numId w:val="13"/>
        </w:numPr>
        <w:tabs>
          <w:tab w:val="clear" w:pos="720"/>
          <w:tab w:val="num" w:pos="66"/>
        </w:tabs>
        <w:snapToGrid w:val="0"/>
        <w:spacing w:before="120" w:after="0"/>
        <w:ind w:left="426"/>
        <w:jc w:val="both"/>
        <w:rPr>
          <w:rFonts w:ascii="Bookman Old Style" w:hAnsi="Bookman Old Style"/>
          <w:color w:val="000000"/>
        </w:rPr>
      </w:pPr>
      <w:r w:rsidRPr="00A30FDB">
        <w:rPr>
          <w:rFonts w:ascii="Bookman Old Style" w:hAnsi="Bookman Old Style"/>
          <w:color w:val="000000"/>
        </w:rPr>
        <w:t>10,768 complaints from the financial technology industry;</w:t>
      </w:r>
    </w:p>
    <w:p w14:paraId="50C8DF83" w14:textId="77777777" w:rsidR="00E02D1C" w:rsidRPr="00A30FDB" w:rsidRDefault="00E02D1C" w:rsidP="00E02D1C">
      <w:pPr>
        <w:numPr>
          <w:ilvl w:val="0"/>
          <w:numId w:val="13"/>
        </w:numPr>
        <w:tabs>
          <w:tab w:val="clear" w:pos="720"/>
          <w:tab w:val="num" w:pos="66"/>
        </w:tabs>
        <w:snapToGrid w:val="0"/>
        <w:spacing w:before="120" w:after="0"/>
        <w:ind w:left="426"/>
        <w:jc w:val="both"/>
        <w:rPr>
          <w:rFonts w:ascii="Bookman Old Style" w:hAnsi="Bookman Old Style"/>
          <w:color w:val="000000"/>
        </w:rPr>
      </w:pPr>
      <w:r w:rsidRPr="00A30FDB">
        <w:rPr>
          <w:rFonts w:ascii="Bookman Old Style" w:hAnsi="Bookman Old Style"/>
          <w:color w:val="000000"/>
        </w:rPr>
        <w:t>5,185 complaints from financing companies;</w:t>
      </w:r>
    </w:p>
    <w:p w14:paraId="4533754A" w14:textId="77777777" w:rsidR="00E02D1C" w:rsidRPr="00A30FDB" w:rsidRDefault="00E02D1C" w:rsidP="00E02D1C">
      <w:pPr>
        <w:numPr>
          <w:ilvl w:val="0"/>
          <w:numId w:val="13"/>
        </w:numPr>
        <w:tabs>
          <w:tab w:val="clear" w:pos="720"/>
          <w:tab w:val="num" w:pos="66"/>
        </w:tabs>
        <w:snapToGrid w:val="0"/>
        <w:spacing w:before="120" w:after="0"/>
        <w:ind w:left="426"/>
        <w:jc w:val="both"/>
        <w:rPr>
          <w:rFonts w:ascii="Bookman Old Style" w:hAnsi="Bookman Old Style"/>
          <w:color w:val="000000"/>
        </w:rPr>
      </w:pPr>
      <w:r w:rsidRPr="00A30FDB">
        <w:rPr>
          <w:rFonts w:ascii="Bookman Old Style" w:hAnsi="Bookman Old Style"/>
          <w:color w:val="000000"/>
        </w:rPr>
        <w:t>555 complaints from insurance companies; and</w:t>
      </w:r>
    </w:p>
    <w:p w14:paraId="62276369" w14:textId="77777777" w:rsidR="00E02D1C" w:rsidRPr="00A30FDB" w:rsidRDefault="00E02D1C" w:rsidP="00E02D1C">
      <w:pPr>
        <w:numPr>
          <w:ilvl w:val="0"/>
          <w:numId w:val="13"/>
        </w:numPr>
        <w:tabs>
          <w:tab w:val="clear" w:pos="720"/>
          <w:tab w:val="num" w:pos="66"/>
        </w:tabs>
        <w:snapToGrid w:val="0"/>
        <w:spacing w:before="120" w:after="0"/>
        <w:ind w:left="426"/>
        <w:jc w:val="both"/>
        <w:rPr>
          <w:rFonts w:ascii="Bookman Old Style" w:hAnsi="Bookman Old Style"/>
          <w:color w:val="000000"/>
        </w:rPr>
      </w:pPr>
      <w:r w:rsidRPr="00A30FDB">
        <w:rPr>
          <w:rFonts w:ascii="Bookman Old Style" w:hAnsi="Bookman Old Style"/>
          <w:color w:val="000000"/>
        </w:rPr>
        <w:t>The remainder related to the capital market sector and other non-bank financial industries.</w:t>
      </w:r>
    </w:p>
    <w:p w14:paraId="1C1D9095" w14:textId="77777777" w:rsidR="00E02D1C" w:rsidRPr="00A30FDB" w:rsidRDefault="00E02D1C" w:rsidP="00E02D1C">
      <w:pPr>
        <w:snapToGrid w:val="0"/>
        <w:spacing w:before="120" w:after="0"/>
        <w:jc w:val="both"/>
        <w:rPr>
          <w:rFonts w:ascii="Bookman Old Style" w:hAnsi="Bookman Old Style"/>
          <w:color w:val="000000"/>
        </w:rPr>
      </w:pPr>
      <w:r w:rsidRPr="00A30FDB">
        <w:rPr>
          <w:rFonts w:ascii="Bookman Old Style" w:hAnsi="Bookman Old Style"/>
          <w:color w:val="000000"/>
        </w:rPr>
        <w:t>Furthermore, in efforts to eradicate illegal financial activities and address fraud, from 1 January 2026 through 29 April 2026, OJK undertook the following measures:</w:t>
      </w:r>
    </w:p>
    <w:p w14:paraId="35406B03" w14:textId="77777777" w:rsidR="00E02D1C" w:rsidRPr="0070357A" w:rsidRDefault="00E02D1C" w:rsidP="00E02D1C">
      <w:pPr>
        <w:pStyle w:val="ListParagraph"/>
        <w:numPr>
          <w:ilvl w:val="0"/>
          <w:numId w:val="14"/>
        </w:numPr>
        <w:snapToGrid w:val="0"/>
        <w:spacing w:before="120" w:after="0"/>
        <w:ind w:left="426"/>
        <w:contextualSpacing w:val="0"/>
        <w:jc w:val="both"/>
        <w:rPr>
          <w:rFonts w:ascii="Bookman Old Style" w:hAnsi="Bookman Old Style"/>
          <w:color w:val="000000"/>
        </w:rPr>
      </w:pPr>
      <w:r w:rsidRPr="0070357A">
        <w:rPr>
          <w:rFonts w:ascii="Bookman Old Style" w:hAnsi="Bookman Old Style"/>
          <w:color w:val="000000"/>
        </w:rPr>
        <w:t>OJK received 14,232 complaints related to illegal entities, consisting of: 11,753 complaints related to illegal online lending; 2,379 complaints related to illegal investments; and 100 complaints related to illegal pawnshop activities.</w:t>
      </w:r>
    </w:p>
    <w:p w14:paraId="0356257D" w14:textId="77777777" w:rsidR="00E02D1C" w:rsidRDefault="00E02D1C" w:rsidP="00E02D1C">
      <w:pPr>
        <w:pStyle w:val="ListParagraph"/>
        <w:numPr>
          <w:ilvl w:val="0"/>
          <w:numId w:val="14"/>
        </w:numPr>
        <w:snapToGrid w:val="0"/>
        <w:spacing w:before="120" w:after="0"/>
        <w:ind w:left="426"/>
        <w:contextualSpacing w:val="0"/>
        <w:jc w:val="both"/>
        <w:rPr>
          <w:rFonts w:ascii="Bookman Old Style" w:hAnsi="Bookman Old Style"/>
          <w:color w:val="000000"/>
        </w:rPr>
      </w:pPr>
      <w:r w:rsidRPr="0070357A">
        <w:rPr>
          <w:rFonts w:ascii="Bookman Old Style" w:hAnsi="Bookman Old Style"/>
          <w:color w:val="000000"/>
        </w:rPr>
        <w:t xml:space="preserve">The Task Force for the Eradication of Illegal Financial Activities (Satgas PASTI) identified and shut down 951 illegal online lending entities and </w:t>
      </w:r>
      <w:r>
        <w:rPr>
          <w:rFonts w:ascii="Bookman Old Style" w:hAnsi="Bookman Old Style"/>
          <w:color w:val="000000"/>
        </w:rPr>
        <w:t>three</w:t>
      </w:r>
      <w:r w:rsidRPr="0070357A">
        <w:rPr>
          <w:rFonts w:ascii="Bookman Old Style" w:hAnsi="Bookman Old Style"/>
          <w:color w:val="000000"/>
        </w:rPr>
        <w:t xml:space="preserve"> illegal investment offers across various websites and applications that had the potential to </w:t>
      </w:r>
      <w:r w:rsidRPr="0070357A">
        <w:rPr>
          <w:rFonts w:ascii="Bookman Old Style" w:hAnsi="Bookman Old Style"/>
          <w:color w:val="000000"/>
        </w:rPr>
        <w:lastRenderedPageBreak/>
        <w:t>harm the public. The cumulative number of illegal entities handled by Satgas PASTI is as follows:</w:t>
      </w:r>
    </w:p>
    <w:tbl>
      <w:tblPr>
        <w:tblW w:w="935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701"/>
        <w:gridCol w:w="709"/>
        <w:gridCol w:w="709"/>
        <w:gridCol w:w="709"/>
        <w:gridCol w:w="708"/>
        <w:gridCol w:w="709"/>
        <w:gridCol w:w="709"/>
        <w:gridCol w:w="709"/>
        <w:gridCol w:w="708"/>
        <w:gridCol w:w="1276"/>
        <w:gridCol w:w="709"/>
      </w:tblGrid>
      <w:tr w:rsidR="00E02D1C" w:rsidRPr="005B4F22" w14:paraId="7AB515CF" w14:textId="77777777" w:rsidTr="00B128D5">
        <w:trPr>
          <w:trHeight w:val="224"/>
        </w:trPr>
        <w:tc>
          <w:tcPr>
            <w:tcW w:w="1701" w:type="dxa"/>
            <w:vMerge w:val="restart"/>
            <w:tcBorders>
              <w:top w:val="single" w:sz="8" w:space="0" w:color="auto"/>
              <w:left w:val="single" w:sz="8" w:space="0" w:color="auto"/>
              <w:right w:val="single" w:sz="8" w:space="0" w:color="auto"/>
            </w:tcBorders>
            <w:shd w:val="clear" w:color="auto" w:fill="D9D9D9"/>
            <w:tcMar>
              <w:top w:w="10" w:type="dxa"/>
              <w:left w:w="10" w:type="dxa"/>
              <w:bottom w:w="0" w:type="dxa"/>
              <w:right w:w="10" w:type="dxa"/>
            </w:tcMar>
            <w:vAlign w:val="center"/>
            <w:hideMark/>
          </w:tcPr>
          <w:p w14:paraId="1AE8E642"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Entity</w:t>
            </w:r>
          </w:p>
        </w:tc>
        <w:tc>
          <w:tcPr>
            <w:tcW w:w="7655" w:type="dxa"/>
            <w:gridSpan w:val="10"/>
            <w:tcBorders>
              <w:top w:val="single" w:sz="8" w:space="0" w:color="auto"/>
              <w:left w:val="single" w:sz="8" w:space="0" w:color="auto"/>
              <w:right w:val="single" w:sz="8" w:space="0" w:color="auto"/>
            </w:tcBorders>
            <w:shd w:val="clear" w:color="auto" w:fill="D9D9D9"/>
          </w:tcPr>
          <w:p w14:paraId="73D62E24"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Year</w:t>
            </w:r>
          </w:p>
        </w:tc>
      </w:tr>
      <w:tr w:rsidR="00E02D1C" w:rsidRPr="005B4F22" w14:paraId="50606B22" w14:textId="77777777" w:rsidTr="00B128D5">
        <w:trPr>
          <w:trHeight w:val="109"/>
        </w:trPr>
        <w:tc>
          <w:tcPr>
            <w:tcW w:w="1701" w:type="dxa"/>
            <w:vMerge/>
            <w:vAlign w:val="center"/>
            <w:hideMark/>
          </w:tcPr>
          <w:p w14:paraId="1012946C" w14:textId="77777777" w:rsidR="00E02D1C" w:rsidRPr="005B4F22" w:rsidRDefault="00E02D1C" w:rsidP="00B128D5">
            <w:pPr>
              <w:snapToGrid w:val="0"/>
              <w:spacing w:after="80"/>
              <w:jc w:val="both"/>
              <w:rPr>
                <w:rFonts w:ascii="Bookman Old Style" w:eastAsia="Bookman Old Style" w:hAnsi="Bookman Old Style" w:cs="Calibri"/>
                <w:b/>
                <w:sz w:val="18"/>
                <w:szCs w:val="18"/>
                <w:highlight w:val="yellow"/>
              </w:rPr>
            </w:pPr>
          </w:p>
        </w:tc>
        <w:tc>
          <w:tcPr>
            <w:tcW w:w="709" w:type="dxa"/>
            <w:tcBorders>
              <w:top w:val="single" w:sz="8" w:space="0" w:color="auto"/>
              <w:left w:val="single" w:sz="8" w:space="0" w:color="auto"/>
              <w:bottom w:val="single" w:sz="8" w:space="0" w:color="auto"/>
              <w:right w:val="single" w:sz="8" w:space="0" w:color="auto"/>
            </w:tcBorders>
            <w:shd w:val="clear" w:color="auto" w:fill="D9D9D9"/>
            <w:tcMar>
              <w:top w:w="10" w:type="dxa"/>
              <w:left w:w="10" w:type="dxa"/>
              <w:bottom w:w="0" w:type="dxa"/>
              <w:right w:w="10" w:type="dxa"/>
            </w:tcMar>
            <w:vAlign w:val="center"/>
            <w:hideMark/>
          </w:tcPr>
          <w:p w14:paraId="33D4AE34"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2017 - 2018</w:t>
            </w:r>
          </w:p>
        </w:tc>
        <w:tc>
          <w:tcPr>
            <w:tcW w:w="709" w:type="dxa"/>
            <w:tcBorders>
              <w:top w:val="single" w:sz="8" w:space="0" w:color="auto"/>
              <w:left w:val="single" w:sz="8" w:space="0" w:color="auto"/>
              <w:bottom w:val="single" w:sz="8" w:space="0" w:color="auto"/>
              <w:right w:val="single" w:sz="8" w:space="0" w:color="auto"/>
            </w:tcBorders>
            <w:shd w:val="clear" w:color="auto" w:fill="D9D9D9"/>
            <w:tcMar>
              <w:top w:w="10" w:type="dxa"/>
              <w:left w:w="10" w:type="dxa"/>
              <w:bottom w:w="0" w:type="dxa"/>
              <w:right w:w="10" w:type="dxa"/>
            </w:tcMar>
            <w:vAlign w:val="center"/>
            <w:hideMark/>
          </w:tcPr>
          <w:p w14:paraId="012BD8DC"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2019</w:t>
            </w:r>
          </w:p>
        </w:tc>
        <w:tc>
          <w:tcPr>
            <w:tcW w:w="709" w:type="dxa"/>
            <w:tcBorders>
              <w:top w:val="single" w:sz="8" w:space="0" w:color="auto"/>
              <w:left w:val="single" w:sz="8" w:space="0" w:color="auto"/>
              <w:bottom w:val="single" w:sz="8" w:space="0" w:color="auto"/>
              <w:right w:val="single" w:sz="8" w:space="0" w:color="auto"/>
            </w:tcBorders>
            <w:shd w:val="clear" w:color="auto" w:fill="D9D9D9"/>
            <w:tcMar>
              <w:top w:w="10" w:type="dxa"/>
              <w:left w:w="10" w:type="dxa"/>
              <w:bottom w:w="0" w:type="dxa"/>
              <w:right w:w="10" w:type="dxa"/>
            </w:tcMar>
            <w:vAlign w:val="center"/>
            <w:hideMark/>
          </w:tcPr>
          <w:p w14:paraId="0A2B2CD8"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2020</w:t>
            </w:r>
          </w:p>
        </w:tc>
        <w:tc>
          <w:tcPr>
            <w:tcW w:w="708" w:type="dxa"/>
            <w:tcBorders>
              <w:top w:val="single" w:sz="8" w:space="0" w:color="auto"/>
              <w:left w:val="single" w:sz="8" w:space="0" w:color="auto"/>
              <w:bottom w:val="single" w:sz="8" w:space="0" w:color="auto"/>
              <w:right w:val="single" w:sz="8" w:space="0" w:color="auto"/>
            </w:tcBorders>
            <w:shd w:val="clear" w:color="auto" w:fill="D9D9D9"/>
            <w:tcMar>
              <w:top w:w="10" w:type="dxa"/>
              <w:left w:w="10" w:type="dxa"/>
              <w:bottom w:w="0" w:type="dxa"/>
              <w:right w:w="10" w:type="dxa"/>
            </w:tcMar>
            <w:vAlign w:val="center"/>
            <w:hideMark/>
          </w:tcPr>
          <w:p w14:paraId="3564016F"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2021</w:t>
            </w:r>
          </w:p>
        </w:tc>
        <w:tc>
          <w:tcPr>
            <w:tcW w:w="709" w:type="dxa"/>
            <w:tcBorders>
              <w:top w:val="single" w:sz="8" w:space="0" w:color="auto"/>
              <w:left w:val="single" w:sz="8" w:space="0" w:color="auto"/>
              <w:bottom w:val="single" w:sz="8" w:space="0" w:color="auto"/>
              <w:right w:val="single" w:sz="8" w:space="0" w:color="auto"/>
            </w:tcBorders>
            <w:shd w:val="clear" w:color="auto" w:fill="D9D9D9"/>
            <w:tcMar>
              <w:top w:w="10" w:type="dxa"/>
              <w:left w:w="10" w:type="dxa"/>
              <w:bottom w:w="0" w:type="dxa"/>
              <w:right w:w="10" w:type="dxa"/>
            </w:tcMar>
            <w:vAlign w:val="center"/>
            <w:hideMark/>
          </w:tcPr>
          <w:p w14:paraId="5897CFAF"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2022</w:t>
            </w:r>
          </w:p>
        </w:tc>
        <w:tc>
          <w:tcPr>
            <w:tcW w:w="709" w:type="dxa"/>
            <w:tcBorders>
              <w:top w:val="single" w:sz="8" w:space="0" w:color="auto"/>
              <w:left w:val="single" w:sz="8" w:space="0" w:color="auto"/>
              <w:bottom w:val="single" w:sz="8" w:space="0" w:color="auto"/>
              <w:right w:val="single" w:sz="8" w:space="0" w:color="auto"/>
            </w:tcBorders>
            <w:shd w:val="clear" w:color="auto" w:fill="D9D9D9"/>
            <w:tcMar>
              <w:top w:w="10" w:type="dxa"/>
              <w:left w:w="10" w:type="dxa"/>
              <w:bottom w:w="0" w:type="dxa"/>
              <w:right w:w="10" w:type="dxa"/>
            </w:tcMar>
            <w:vAlign w:val="center"/>
            <w:hideMark/>
          </w:tcPr>
          <w:p w14:paraId="53075253"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2023</w:t>
            </w:r>
          </w:p>
        </w:tc>
        <w:tc>
          <w:tcPr>
            <w:tcW w:w="709" w:type="dxa"/>
            <w:tcBorders>
              <w:top w:val="single" w:sz="8" w:space="0" w:color="auto"/>
              <w:left w:val="single" w:sz="8" w:space="0" w:color="auto"/>
              <w:bottom w:val="single" w:sz="8" w:space="0" w:color="auto"/>
              <w:right w:val="single" w:sz="8" w:space="0" w:color="auto"/>
            </w:tcBorders>
            <w:shd w:val="clear" w:color="auto" w:fill="D9D9D9"/>
            <w:vAlign w:val="center"/>
          </w:tcPr>
          <w:p w14:paraId="5AEE2D9E"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2024</w:t>
            </w:r>
          </w:p>
        </w:tc>
        <w:tc>
          <w:tcPr>
            <w:tcW w:w="708" w:type="dxa"/>
            <w:tcBorders>
              <w:top w:val="single" w:sz="8" w:space="0" w:color="auto"/>
              <w:left w:val="single" w:sz="8" w:space="0" w:color="auto"/>
              <w:bottom w:val="single" w:sz="8" w:space="0" w:color="auto"/>
              <w:right w:val="single" w:sz="8" w:space="0" w:color="auto"/>
            </w:tcBorders>
            <w:shd w:val="clear" w:color="auto" w:fill="D9D9D9"/>
            <w:vAlign w:val="center"/>
          </w:tcPr>
          <w:p w14:paraId="7E58DCB6"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2025</w:t>
            </w:r>
          </w:p>
        </w:tc>
        <w:tc>
          <w:tcPr>
            <w:tcW w:w="1276" w:type="dxa"/>
            <w:tcBorders>
              <w:top w:val="single" w:sz="8" w:space="0" w:color="auto"/>
              <w:left w:val="single" w:sz="8" w:space="0" w:color="auto"/>
              <w:bottom w:val="single" w:sz="8" w:space="0" w:color="auto"/>
              <w:right w:val="single" w:sz="8" w:space="0" w:color="auto"/>
            </w:tcBorders>
            <w:shd w:val="clear" w:color="auto" w:fill="D9D9D9"/>
            <w:vAlign w:val="center"/>
          </w:tcPr>
          <w:p w14:paraId="32183BE9"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 xml:space="preserve"> 1 Jan to </w:t>
            </w:r>
            <w:r>
              <w:rPr>
                <w:rFonts w:ascii="Bookman Old Style" w:eastAsia="Bookman Old Style" w:hAnsi="Bookman Old Style" w:cs="Calibri"/>
                <w:b/>
                <w:sz w:val="18"/>
                <w:szCs w:val="18"/>
              </w:rPr>
              <w:t>29</w:t>
            </w:r>
            <w:r w:rsidRPr="005B4F22">
              <w:rPr>
                <w:rFonts w:ascii="Bookman Old Style" w:eastAsia="Bookman Old Style" w:hAnsi="Bookman Old Style" w:cs="Calibri"/>
                <w:b/>
                <w:sz w:val="18"/>
                <w:szCs w:val="18"/>
              </w:rPr>
              <w:t xml:space="preserve"> </w:t>
            </w:r>
            <w:r>
              <w:rPr>
                <w:rFonts w:ascii="Bookman Old Style" w:eastAsia="Bookman Old Style" w:hAnsi="Bookman Old Style" w:cs="Calibri"/>
                <w:b/>
                <w:sz w:val="18"/>
                <w:szCs w:val="18"/>
              </w:rPr>
              <w:t>Apr</w:t>
            </w:r>
            <w:r w:rsidRPr="005B4F22">
              <w:rPr>
                <w:rFonts w:ascii="Bookman Old Style" w:eastAsia="Bookman Old Style" w:hAnsi="Bookman Old Style" w:cs="Calibri"/>
                <w:b/>
                <w:sz w:val="18"/>
                <w:szCs w:val="18"/>
              </w:rPr>
              <w:t xml:space="preserve"> 2026</w:t>
            </w:r>
          </w:p>
        </w:tc>
        <w:tc>
          <w:tcPr>
            <w:tcW w:w="709" w:type="dxa"/>
            <w:tcBorders>
              <w:top w:val="single" w:sz="8" w:space="0" w:color="auto"/>
              <w:left w:val="single" w:sz="8" w:space="0" w:color="auto"/>
              <w:bottom w:val="single" w:sz="8" w:space="0" w:color="auto"/>
              <w:right w:val="single" w:sz="8" w:space="0" w:color="auto"/>
            </w:tcBorders>
            <w:shd w:val="clear" w:color="auto" w:fill="D9D9D9"/>
            <w:tcMar>
              <w:top w:w="10" w:type="dxa"/>
              <w:left w:w="10" w:type="dxa"/>
              <w:bottom w:w="0" w:type="dxa"/>
              <w:right w:w="10" w:type="dxa"/>
            </w:tcMar>
            <w:vAlign w:val="center"/>
            <w:hideMark/>
          </w:tcPr>
          <w:p w14:paraId="66BF34FB" w14:textId="77777777" w:rsidR="00E02D1C" w:rsidRPr="005B4F22" w:rsidRDefault="00E02D1C" w:rsidP="00B128D5">
            <w:pPr>
              <w:snapToGrid w:val="0"/>
              <w:spacing w:after="80"/>
              <w:ind w:right="-2"/>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Total</w:t>
            </w:r>
          </w:p>
        </w:tc>
      </w:tr>
      <w:tr w:rsidR="00E02D1C" w:rsidRPr="005B4F22" w14:paraId="0048166C" w14:textId="77777777" w:rsidTr="00B128D5">
        <w:trPr>
          <w:trHeight w:val="109"/>
        </w:trPr>
        <w:tc>
          <w:tcPr>
            <w:tcW w:w="1701"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1DFACB0D" w14:textId="77777777" w:rsidR="00E02D1C" w:rsidRPr="005B4F22" w:rsidRDefault="00E02D1C" w:rsidP="00B128D5">
            <w:pPr>
              <w:snapToGrid w:val="0"/>
              <w:spacing w:after="80"/>
              <w:ind w:left="90"/>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Illegal Investments</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394C6114"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185</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42350E50"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442</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0872E8EF"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347</w:t>
            </w:r>
          </w:p>
        </w:tc>
        <w:tc>
          <w:tcPr>
            <w:tcW w:w="708"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3B5ED272"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98</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3FBC2D0A"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106</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3118B95E"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40</w:t>
            </w:r>
          </w:p>
        </w:tc>
        <w:tc>
          <w:tcPr>
            <w:tcW w:w="709" w:type="dxa"/>
            <w:tcBorders>
              <w:top w:val="single" w:sz="8" w:space="0" w:color="auto"/>
              <w:left w:val="single" w:sz="8" w:space="0" w:color="auto"/>
              <w:bottom w:val="single" w:sz="8" w:space="0" w:color="auto"/>
              <w:right w:val="single" w:sz="8" w:space="0" w:color="auto"/>
            </w:tcBorders>
            <w:vAlign w:val="center"/>
          </w:tcPr>
          <w:p w14:paraId="1C8C11BC"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310</w:t>
            </w:r>
          </w:p>
        </w:tc>
        <w:tc>
          <w:tcPr>
            <w:tcW w:w="708" w:type="dxa"/>
            <w:tcBorders>
              <w:top w:val="single" w:sz="8" w:space="0" w:color="auto"/>
              <w:left w:val="single" w:sz="8" w:space="0" w:color="auto"/>
              <w:bottom w:val="single" w:sz="8" w:space="0" w:color="auto"/>
              <w:right w:val="single" w:sz="8" w:space="0" w:color="auto"/>
            </w:tcBorders>
            <w:vAlign w:val="center"/>
          </w:tcPr>
          <w:p w14:paraId="449110D2"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354</w:t>
            </w:r>
          </w:p>
        </w:tc>
        <w:tc>
          <w:tcPr>
            <w:tcW w:w="1276" w:type="dxa"/>
            <w:tcBorders>
              <w:top w:val="single" w:sz="8" w:space="0" w:color="auto"/>
              <w:left w:val="single" w:sz="8" w:space="0" w:color="auto"/>
              <w:bottom w:val="single" w:sz="8" w:space="0" w:color="auto"/>
              <w:right w:val="single" w:sz="8" w:space="0" w:color="auto"/>
            </w:tcBorders>
            <w:vAlign w:val="center"/>
          </w:tcPr>
          <w:p w14:paraId="0C3F129F" w14:textId="77777777" w:rsidR="00E02D1C" w:rsidRPr="005B4F22" w:rsidRDefault="00E02D1C" w:rsidP="00B128D5">
            <w:pPr>
              <w:snapToGrid w:val="0"/>
              <w:spacing w:after="80"/>
              <w:ind w:left="90"/>
              <w:jc w:val="center"/>
              <w:rPr>
                <w:rFonts w:ascii="Bookman Old Style" w:eastAsia="SimSun" w:hAnsi="Bookman Old Style" w:cs="Arial"/>
                <w:sz w:val="18"/>
                <w:szCs w:val="18"/>
              </w:rPr>
            </w:pPr>
            <w:r>
              <w:rPr>
                <w:rFonts w:ascii="Bookman Old Style" w:eastAsia="SimSun" w:hAnsi="Bookman Old Style" w:cs="Arial"/>
                <w:sz w:val="18"/>
                <w:szCs w:val="18"/>
              </w:rPr>
              <w:t>3</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6ABA186E"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1.88</w:t>
            </w:r>
            <w:r>
              <w:rPr>
                <w:rFonts w:ascii="Bookman Old Style" w:eastAsia="Bookman Old Style" w:hAnsi="Bookman Old Style" w:cs="Calibri"/>
                <w:sz w:val="18"/>
                <w:szCs w:val="18"/>
              </w:rPr>
              <w:t>5</w:t>
            </w:r>
          </w:p>
        </w:tc>
      </w:tr>
      <w:tr w:rsidR="00E02D1C" w:rsidRPr="005B4F22" w14:paraId="3EC69045" w14:textId="77777777" w:rsidTr="00B128D5">
        <w:trPr>
          <w:trHeight w:val="109"/>
        </w:trPr>
        <w:tc>
          <w:tcPr>
            <w:tcW w:w="1701"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6890D445" w14:textId="77777777" w:rsidR="00E02D1C" w:rsidRPr="005B4F22" w:rsidRDefault="00E02D1C" w:rsidP="00B128D5">
            <w:pPr>
              <w:snapToGrid w:val="0"/>
              <w:spacing w:after="80"/>
              <w:ind w:left="90"/>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Illegal P</w:t>
            </w:r>
            <w:r w:rsidRPr="005B4F22">
              <w:rPr>
                <w:rFonts w:eastAsia="SimSun" w:cs="Calibri"/>
                <w:sz w:val="18"/>
                <w:szCs w:val="18"/>
              </w:rPr>
              <w:t xml:space="preserve">2P </w:t>
            </w:r>
            <w:r w:rsidRPr="005B4F22">
              <w:rPr>
                <w:rFonts w:ascii="Bookman Old Style" w:eastAsia="Bookman Old Style" w:hAnsi="Bookman Old Style" w:cs="Calibri"/>
                <w:sz w:val="18"/>
                <w:szCs w:val="18"/>
              </w:rPr>
              <w:t xml:space="preserve">Lenders </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172C4D43"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404</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199CBE50"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1.493</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2D3DB4AB"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1.026</w:t>
            </w:r>
          </w:p>
        </w:tc>
        <w:tc>
          <w:tcPr>
            <w:tcW w:w="708"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3348C10A"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811</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092269F6"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698</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0847C73B"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2.248</w:t>
            </w:r>
          </w:p>
        </w:tc>
        <w:tc>
          <w:tcPr>
            <w:tcW w:w="709" w:type="dxa"/>
            <w:tcBorders>
              <w:top w:val="single" w:sz="8" w:space="0" w:color="auto"/>
              <w:left w:val="single" w:sz="8" w:space="0" w:color="auto"/>
              <w:bottom w:val="single" w:sz="8" w:space="0" w:color="auto"/>
              <w:right w:val="single" w:sz="8" w:space="0" w:color="auto"/>
            </w:tcBorders>
            <w:vAlign w:val="center"/>
          </w:tcPr>
          <w:p w14:paraId="44B2D323"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2.930</w:t>
            </w:r>
          </w:p>
        </w:tc>
        <w:tc>
          <w:tcPr>
            <w:tcW w:w="708" w:type="dxa"/>
            <w:tcBorders>
              <w:top w:val="single" w:sz="8" w:space="0" w:color="auto"/>
              <w:left w:val="single" w:sz="8" w:space="0" w:color="auto"/>
              <w:bottom w:val="single" w:sz="8" w:space="0" w:color="auto"/>
              <w:right w:val="single" w:sz="8" w:space="0" w:color="auto"/>
            </w:tcBorders>
            <w:vAlign w:val="center"/>
          </w:tcPr>
          <w:p w14:paraId="1B5AC21B"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2.263</w:t>
            </w:r>
          </w:p>
        </w:tc>
        <w:tc>
          <w:tcPr>
            <w:tcW w:w="1276" w:type="dxa"/>
            <w:tcBorders>
              <w:top w:val="single" w:sz="8" w:space="0" w:color="auto"/>
              <w:left w:val="single" w:sz="8" w:space="0" w:color="auto"/>
              <w:bottom w:val="single" w:sz="8" w:space="0" w:color="auto"/>
              <w:right w:val="single" w:sz="8" w:space="0" w:color="auto"/>
            </w:tcBorders>
            <w:vAlign w:val="center"/>
          </w:tcPr>
          <w:p w14:paraId="03D537DD" w14:textId="77777777" w:rsidR="00E02D1C" w:rsidRPr="005B4F22" w:rsidRDefault="00E02D1C" w:rsidP="00B128D5">
            <w:pPr>
              <w:snapToGrid w:val="0"/>
              <w:spacing w:after="80"/>
              <w:ind w:left="90"/>
              <w:jc w:val="center"/>
              <w:rPr>
                <w:rFonts w:ascii="Bookman Old Style" w:eastAsia="SimSun" w:hAnsi="Bookman Old Style" w:cs="Arial"/>
                <w:sz w:val="18"/>
                <w:szCs w:val="18"/>
              </w:rPr>
            </w:pPr>
            <w:r w:rsidRPr="005B4F22">
              <w:rPr>
                <w:rFonts w:ascii="Bookman Old Style" w:eastAsia="SimSun" w:hAnsi="Bookman Old Style" w:cs="Arial"/>
                <w:sz w:val="18"/>
                <w:szCs w:val="18"/>
              </w:rPr>
              <w:t>951</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25CCD9A7"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12.824</w:t>
            </w:r>
          </w:p>
        </w:tc>
      </w:tr>
      <w:tr w:rsidR="00E02D1C" w:rsidRPr="005B4F22" w14:paraId="6D1D4390" w14:textId="77777777" w:rsidTr="00B128D5">
        <w:trPr>
          <w:trHeight w:val="109"/>
        </w:trPr>
        <w:tc>
          <w:tcPr>
            <w:tcW w:w="1701"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62996E2C" w14:textId="77777777" w:rsidR="00E02D1C" w:rsidRPr="005B4F22" w:rsidRDefault="00E02D1C" w:rsidP="00B128D5">
            <w:pPr>
              <w:snapToGrid w:val="0"/>
              <w:spacing w:after="80"/>
              <w:ind w:left="90"/>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Illegal P</w:t>
            </w:r>
            <w:r w:rsidRPr="005B4F22">
              <w:rPr>
                <w:rFonts w:ascii="Bookman Old Style" w:eastAsia="SimSun" w:hAnsi="Bookman Old Style" w:cs="Calibri"/>
                <w:sz w:val="18"/>
                <w:szCs w:val="18"/>
              </w:rPr>
              <w:t>awnshops</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33247649"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0</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18DAA25E"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68</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1693AD71"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75</w:t>
            </w:r>
          </w:p>
        </w:tc>
        <w:tc>
          <w:tcPr>
            <w:tcW w:w="708"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3A7191DB"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17</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31F5552D"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91</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2BD1784A"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0</w:t>
            </w:r>
          </w:p>
        </w:tc>
        <w:tc>
          <w:tcPr>
            <w:tcW w:w="709" w:type="dxa"/>
            <w:tcBorders>
              <w:top w:val="single" w:sz="8" w:space="0" w:color="auto"/>
              <w:left w:val="single" w:sz="8" w:space="0" w:color="auto"/>
              <w:bottom w:val="single" w:sz="8" w:space="0" w:color="auto"/>
              <w:right w:val="single" w:sz="8" w:space="0" w:color="auto"/>
            </w:tcBorders>
            <w:vAlign w:val="center"/>
          </w:tcPr>
          <w:p w14:paraId="1E0079AA"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0</w:t>
            </w:r>
          </w:p>
        </w:tc>
        <w:tc>
          <w:tcPr>
            <w:tcW w:w="708" w:type="dxa"/>
            <w:tcBorders>
              <w:top w:val="single" w:sz="8" w:space="0" w:color="auto"/>
              <w:left w:val="single" w:sz="8" w:space="0" w:color="auto"/>
              <w:bottom w:val="single" w:sz="8" w:space="0" w:color="auto"/>
              <w:right w:val="single" w:sz="8" w:space="0" w:color="auto"/>
            </w:tcBorders>
            <w:vAlign w:val="center"/>
          </w:tcPr>
          <w:p w14:paraId="13482CE0"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0</w:t>
            </w:r>
          </w:p>
        </w:tc>
        <w:tc>
          <w:tcPr>
            <w:tcW w:w="1276" w:type="dxa"/>
            <w:tcBorders>
              <w:top w:val="single" w:sz="8" w:space="0" w:color="auto"/>
              <w:left w:val="single" w:sz="8" w:space="0" w:color="auto"/>
              <w:bottom w:val="single" w:sz="8" w:space="0" w:color="auto"/>
              <w:right w:val="single" w:sz="8" w:space="0" w:color="auto"/>
            </w:tcBorders>
            <w:vAlign w:val="center"/>
          </w:tcPr>
          <w:p w14:paraId="52EE571B" w14:textId="77777777" w:rsidR="00E02D1C" w:rsidRPr="005B4F22" w:rsidRDefault="00E02D1C" w:rsidP="00B128D5">
            <w:pPr>
              <w:snapToGrid w:val="0"/>
              <w:spacing w:after="80"/>
              <w:ind w:left="90"/>
              <w:jc w:val="center"/>
              <w:rPr>
                <w:rFonts w:ascii="Bookman Old Style" w:eastAsia="SimSun" w:hAnsi="Bookman Old Style" w:cs="Arial"/>
                <w:sz w:val="18"/>
                <w:szCs w:val="18"/>
              </w:rPr>
            </w:pPr>
            <w:r w:rsidRPr="005B4F22">
              <w:rPr>
                <w:rFonts w:ascii="Bookman Old Style" w:eastAsia="SimSun" w:hAnsi="Bookman Old Style" w:cs="Arial"/>
                <w:sz w:val="18"/>
                <w:szCs w:val="18"/>
              </w:rPr>
              <w:t>0</w:t>
            </w:r>
          </w:p>
        </w:tc>
        <w:tc>
          <w:tcPr>
            <w:tcW w:w="709" w:type="dxa"/>
            <w:tcBorders>
              <w:top w:val="single" w:sz="8" w:space="0" w:color="auto"/>
              <w:left w:val="single" w:sz="8" w:space="0" w:color="auto"/>
              <w:bottom w:val="single" w:sz="8" w:space="0" w:color="auto"/>
              <w:right w:val="single" w:sz="8" w:space="0" w:color="auto"/>
            </w:tcBorders>
            <w:tcMar>
              <w:top w:w="10" w:type="dxa"/>
              <w:left w:w="10" w:type="dxa"/>
              <w:bottom w:w="0" w:type="dxa"/>
              <w:right w:w="10" w:type="dxa"/>
            </w:tcMar>
            <w:vAlign w:val="center"/>
            <w:hideMark/>
          </w:tcPr>
          <w:p w14:paraId="1C907676"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sz w:val="18"/>
                <w:szCs w:val="18"/>
              </w:rPr>
              <w:t>251</w:t>
            </w:r>
          </w:p>
        </w:tc>
      </w:tr>
      <w:tr w:rsidR="00E02D1C" w:rsidRPr="005B4F22" w14:paraId="29AEA397" w14:textId="77777777" w:rsidTr="00B128D5">
        <w:trPr>
          <w:trHeight w:val="42"/>
        </w:trPr>
        <w:tc>
          <w:tcPr>
            <w:tcW w:w="1701" w:type="dxa"/>
            <w:tcBorders>
              <w:top w:val="single" w:sz="8" w:space="0" w:color="auto"/>
              <w:left w:val="single" w:sz="8" w:space="0" w:color="auto"/>
              <w:bottom w:val="single" w:sz="8" w:space="0" w:color="auto"/>
              <w:right w:val="single" w:sz="8" w:space="0" w:color="auto"/>
            </w:tcBorders>
            <w:shd w:val="clear" w:color="auto" w:fill="D1D1D1" w:themeFill="background2" w:themeFillShade="E6"/>
            <w:tcMar>
              <w:top w:w="10" w:type="dxa"/>
              <w:left w:w="10" w:type="dxa"/>
              <w:bottom w:w="0" w:type="dxa"/>
              <w:right w:w="10" w:type="dxa"/>
            </w:tcMar>
            <w:vAlign w:val="center"/>
            <w:hideMark/>
          </w:tcPr>
          <w:p w14:paraId="16B5DC15" w14:textId="77777777" w:rsidR="00E02D1C" w:rsidRPr="005B4F22" w:rsidRDefault="00E02D1C" w:rsidP="00B128D5">
            <w:pPr>
              <w:snapToGrid w:val="0"/>
              <w:spacing w:after="80"/>
              <w:ind w:left="90"/>
              <w:jc w:val="both"/>
              <w:rPr>
                <w:rFonts w:ascii="Bookman Old Style" w:eastAsia="Bookman Old Style" w:hAnsi="Bookman Old Style" w:cs="Calibri"/>
                <w:sz w:val="18"/>
                <w:szCs w:val="18"/>
              </w:rPr>
            </w:pPr>
            <w:r w:rsidRPr="005B4F22">
              <w:rPr>
                <w:rFonts w:ascii="Bookman Old Style" w:eastAsia="Bookman Old Style" w:hAnsi="Bookman Old Style" w:cs="Calibri"/>
                <w:b/>
                <w:sz w:val="18"/>
                <w:szCs w:val="18"/>
              </w:rPr>
              <w:t>Total</w:t>
            </w:r>
          </w:p>
        </w:tc>
        <w:tc>
          <w:tcPr>
            <w:tcW w:w="709" w:type="dxa"/>
            <w:tcBorders>
              <w:top w:val="single" w:sz="8" w:space="0" w:color="auto"/>
              <w:left w:val="single" w:sz="8" w:space="0" w:color="auto"/>
              <w:bottom w:val="single" w:sz="8" w:space="0" w:color="auto"/>
              <w:right w:val="single" w:sz="8" w:space="0" w:color="auto"/>
            </w:tcBorders>
            <w:shd w:val="clear" w:color="auto" w:fill="D1D1D1" w:themeFill="background2" w:themeFillShade="E6"/>
            <w:tcMar>
              <w:top w:w="10" w:type="dxa"/>
              <w:left w:w="10" w:type="dxa"/>
              <w:bottom w:w="0" w:type="dxa"/>
              <w:right w:w="10" w:type="dxa"/>
            </w:tcMar>
            <w:vAlign w:val="center"/>
            <w:hideMark/>
          </w:tcPr>
          <w:p w14:paraId="59C8D357"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b/>
                <w:sz w:val="18"/>
                <w:szCs w:val="18"/>
              </w:rPr>
              <w:t>589</w:t>
            </w:r>
          </w:p>
        </w:tc>
        <w:tc>
          <w:tcPr>
            <w:tcW w:w="709" w:type="dxa"/>
            <w:tcBorders>
              <w:top w:val="single" w:sz="8" w:space="0" w:color="auto"/>
              <w:left w:val="single" w:sz="8" w:space="0" w:color="auto"/>
              <w:bottom w:val="single" w:sz="8" w:space="0" w:color="auto"/>
              <w:right w:val="single" w:sz="8" w:space="0" w:color="auto"/>
            </w:tcBorders>
            <w:shd w:val="clear" w:color="auto" w:fill="D1D1D1" w:themeFill="background2" w:themeFillShade="E6"/>
            <w:tcMar>
              <w:top w:w="10" w:type="dxa"/>
              <w:left w:w="10" w:type="dxa"/>
              <w:bottom w:w="0" w:type="dxa"/>
              <w:right w:w="10" w:type="dxa"/>
            </w:tcMar>
            <w:vAlign w:val="center"/>
            <w:hideMark/>
          </w:tcPr>
          <w:p w14:paraId="086095EA"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b/>
                <w:sz w:val="18"/>
                <w:szCs w:val="18"/>
              </w:rPr>
              <w:t>2.003</w:t>
            </w:r>
          </w:p>
        </w:tc>
        <w:tc>
          <w:tcPr>
            <w:tcW w:w="709" w:type="dxa"/>
            <w:tcBorders>
              <w:top w:val="single" w:sz="8" w:space="0" w:color="auto"/>
              <w:left w:val="single" w:sz="8" w:space="0" w:color="auto"/>
              <w:bottom w:val="single" w:sz="8" w:space="0" w:color="auto"/>
              <w:right w:val="single" w:sz="8" w:space="0" w:color="auto"/>
            </w:tcBorders>
            <w:shd w:val="clear" w:color="auto" w:fill="D1D1D1" w:themeFill="background2" w:themeFillShade="E6"/>
            <w:tcMar>
              <w:top w:w="10" w:type="dxa"/>
              <w:left w:w="10" w:type="dxa"/>
              <w:bottom w:w="0" w:type="dxa"/>
              <w:right w:w="10" w:type="dxa"/>
            </w:tcMar>
            <w:vAlign w:val="center"/>
            <w:hideMark/>
          </w:tcPr>
          <w:p w14:paraId="7C63D54C"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b/>
                <w:sz w:val="18"/>
                <w:szCs w:val="18"/>
              </w:rPr>
              <w:t>1.448</w:t>
            </w:r>
          </w:p>
        </w:tc>
        <w:tc>
          <w:tcPr>
            <w:tcW w:w="708" w:type="dxa"/>
            <w:tcBorders>
              <w:top w:val="single" w:sz="8" w:space="0" w:color="auto"/>
              <w:left w:val="single" w:sz="8" w:space="0" w:color="auto"/>
              <w:bottom w:val="single" w:sz="8" w:space="0" w:color="auto"/>
              <w:right w:val="single" w:sz="8" w:space="0" w:color="auto"/>
            </w:tcBorders>
            <w:shd w:val="clear" w:color="auto" w:fill="D1D1D1" w:themeFill="background2" w:themeFillShade="E6"/>
            <w:tcMar>
              <w:top w:w="10" w:type="dxa"/>
              <w:left w:w="10" w:type="dxa"/>
              <w:bottom w:w="0" w:type="dxa"/>
              <w:right w:w="10" w:type="dxa"/>
            </w:tcMar>
            <w:vAlign w:val="center"/>
            <w:hideMark/>
          </w:tcPr>
          <w:p w14:paraId="1CFAB3A8"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b/>
                <w:sz w:val="18"/>
                <w:szCs w:val="18"/>
              </w:rPr>
              <w:t>926</w:t>
            </w:r>
          </w:p>
        </w:tc>
        <w:tc>
          <w:tcPr>
            <w:tcW w:w="709" w:type="dxa"/>
            <w:tcBorders>
              <w:top w:val="single" w:sz="8" w:space="0" w:color="auto"/>
              <w:left w:val="single" w:sz="8" w:space="0" w:color="auto"/>
              <w:bottom w:val="single" w:sz="8" w:space="0" w:color="auto"/>
              <w:right w:val="single" w:sz="8" w:space="0" w:color="auto"/>
            </w:tcBorders>
            <w:shd w:val="clear" w:color="auto" w:fill="D1D1D1" w:themeFill="background2" w:themeFillShade="E6"/>
            <w:tcMar>
              <w:top w:w="10" w:type="dxa"/>
              <w:left w:w="10" w:type="dxa"/>
              <w:bottom w:w="0" w:type="dxa"/>
              <w:right w:w="10" w:type="dxa"/>
            </w:tcMar>
            <w:vAlign w:val="center"/>
            <w:hideMark/>
          </w:tcPr>
          <w:p w14:paraId="58CAEF00"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b/>
                <w:sz w:val="18"/>
                <w:szCs w:val="18"/>
              </w:rPr>
              <w:t>895</w:t>
            </w:r>
          </w:p>
        </w:tc>
        <w:tc>
          <w:tcPr>
            <w:tcW w:w="709" w:type="dxa"/>
            <w:tcBorders>
              <w:top w:val="single" w:sz="8" w:space="0" w:color="auto"/>
              <w:left w:val="single" w:sz="8" w:space="0" w:color="auto"/>
              <w:bottom w:val="single" w:sz="8" w:space="0" w:color="auto"/>
              <w:right w:val="single" w:sz="8" w:space="0" w:color="auto"/>
            </w:tcBorders>
            <w:shd w:val="clear" w:color="auto" w:fill="D1D1D1" w:themeFill="background2" w:themeFillShade="E6"/>
            <w:tcMar>
              <w:top w:w="10" w:type="dxa"/>
              <w:left w:w="10" w:type="dxa"/>
              <w:bottom w:w="0" w:type="dxa"/>
              <w:right w:w="10" w:type="dxa"/>
            </w:tcMar>
            <w:vAlign w:val="center"/>
            <w:hideMark/>
          </w:tcPr>
          <w:p w14:paraId="7C3FAAF6" w14:textId="77777777" w:rsidR="00E02D1C" w:rsidRPr="005B4F22" w:rsidRDefault="00E02D1C" w:rsidP="00B128D5">
            <w:pPr>
              <w:snapToGrid w:val="0"/>
              <w:spacing w:after="80"/>
              <w:jc w:val="center"/>
              <w:rPr>
                <w:rFonts w:ascii="Bookman Old Style" w:eastAsia="Bookman Old Style" w:hAnsi="Bookman Old Style" w:cs="Calibri"/>
                <w:sz w:val="18"/>
                <w:szCs w:val="18"/>
              </w:rPr>
            </w:pPr>
            <w:r w:rsidRPr="005B4F22">
              <w:rPr>
                <w:rFonts w:ascii="Bookman Old Style" w:eastAsia="Bookman Old Style" w:hAnsi="Bookman Old Style" w:cs="Calibri"/>
                <w:b/>
                <w:sz w:val="18"/>
                <w:szCs w:val="18"/>
              </w:rPr>
              <w:t>2.288</w:t>
            </w:r>
          </w:p>
        </w:tc>
        <w:tc>
          <w:tcPr>
            <w:tcW w:w="709" w:type="dxa"/>
            <w:tcBorders>
              <w:top w:val="single" w:sz="8" w:space="0" w:color="auto"/>
              <w:left w:val="single" w:sz="8" w:space="0" w:color="auto"/>
              <w:bottom w:val="single" w:sz="8" w:space="0" w:color="auto"/>
              <w:right w:val="single" w:sz="8" w:space="0" w:color="auto"/>
            </w:tcBorders>
            <w:shd w:val="clear" w:color="auto" w:fill="D1D1D1" w:themeFill="background2" w:themeFillShade="E6"/>
            <w:vAlign w:val="center"/>
          </w:tcPr>
          <w:p w14:paraId="318EA903"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3.240</w:t>
            </w:r>
          </w:p>
        </w:tc>
        <w:tc>
          <w:tcPr>
            <w:tcW w:w="708" w:type="dxa"/>
            <w:tcBorders>
              <w:top w:val="single" w:sz="8" w:space="0" w:color="auto"/>
              <w:left w:val="single" w:sz="8" w:space="0" w:color="auto"/>
              <w:bottom w:val="single" w:sz="8" w:space="0" w:color="auto"/>
              <w:right w:val="single" w:sz="8" w:space="0" w:color="auto"/>
            </w:tcBorders>
            <w:shd w:val="clear" w:color="auto" w:fill="D1D1D1" w:themeFill="background2" w:themeFillShade="E6"/>
            <w:vAlign w:val="center"/>
          </w:tcPr>
          <w:p w14:paraId="48F6A57E"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2.617</w:t>
            </w:r>
          </w:p>
        </w:tc>
        <w:tc>
          <w:tcPr>
            <w:tcW w:w="1276" w:type="dxa"/>
            <w:tcBorders>
              <w:top w:val="single" w:sz="8" w:space="0" w:color="auto"/>
              <w:left w:val="single" w:sz="8" w:space="0" w:color="auto"/>
              <w:bottom w:val="single" w:sz="8" w:space="0" w:color="auto"/>
              <w:right w:val="single" w:sz="8" w:space="0" w:color="auto"/>
            </w:tcBorders>
            <w:shd w:val="clear" w:color="auto" w:fill="D1D1D1" w:themeFill="background2" w:themeFillShade="E6"/>
            <w:vAlign w:val="center"/>
          </w:tcPr>
          <w:p w14:paraId="39379E9A" w14:textId="77777777" w:rsidR="00E02D1C" w:rsidRPr="005B4F22" w:rsidRDefault="00E02D1C" w:rsidP="00B128D5">
            <w:pPr>
              <w:snapToGrid w:val="0"/>
              <w:spacing w:after="80"/>
              <w:jc w:val="center"/>
              <w:rPr>
                <w:rFonts w:ascii="Bookman Old Style" w:eastAsia="SimSun" w:hAnsi="Bookman Old Style" w:cs="Arial"/>
                <w:b/>
                <w:sz w:val="18"/>
                <w:szCs w:val="18"/>
              </w:rPr>
            </w:pPr>
            <w:r w:rsidRPr="005B4F22">
              <w:rPr>
                <w:rFonts w:ascii="Bookman Old Style" w:eastAsia="SimSun" w:hAnsi="Bookman Old Style" w:cs="Arial"/>
                <w:b/>
                <w:bCs/>
                <w:sz w:val="18"/>
                <w:szCs w:val="18"/>
              </w:rPr>
              <w:t>95</w:t>
            </w:r>
            <w:r>
              <w:rPr>
                <w:rFonts w:ascii="Bookman Old Style" w:eastAsia="SimSun" w:hAnsi="Bookman Old Style" w:cs="Arial"/>
                <w:b/>
                <w:bCs/>
                <w:sz w:val="18"/>
                <w:szCs w:val="18"/>
              </w:rPr>
              <w:t>4</w:t>
            </w:r>
          </w:p>
        </w:tc>
        <w:tc>
          <w:tcPr>
            <w:tcW w:w="709" w:type="dxa"/>
            <w:tcBorders>
              <w:top w:val="single" w:sz="8" w:space="0" w:color="auto"/>
              <w:left w:val="single" w:sz="8" w:space="0" w:color="auto"/>
              <w:bottom w:val="single" w:sz="8" w:space="0" w:color="auto"/>
              <w:right w:val="single" w:sz="8" w:space="0" w:color="auto"/>
            </w:tcBorders>
            <w:shd w:val="clear" w:color="auto" w:fill="D1D1D1" w:themeFill="background2" w:themeFillShade="E6"/>
            <w:tcMar>
              <w:top w:w="10" w:type="dxa"/>
              <w:left w:w="10" w:type="dxa"/>
              <w:bottom w:w="0" w:type="dxa"/>
              <w:right w:w="10" w:type="dxa"/>
            </w:tcMar>
            <w:vAlign w:val="center"/>
            <w:hideMark/>
          </w:tcPr>
          <w:p w14:paraId="25CC4CE5" w14:textId="77777777" w:rsidR="00E02D1C" w:rsidRPr="005B4F22" w:rsidRDefault="00E02D1C" w:rsidP="00B128D5">
            <w:pPr>
              <w:snapToGrid w:val="0"/>
              <w:spacing w:after="80"/>
              <w:jc w:val="center"/>
              <w:rPr>
                <w:rFonts w:ascii="Bookman Old Style" w:eastAsia="Bookman Old Style" w:hAnsi="Bookman Old Style" w:cs="Calibri"/>
                <w:b/>
                <w:sz w:val="18"/>
                <w:szCs w:val="18"/>
              </w:rPr>
            </w:pPr>
            <w:r w:rsidRPr="005B4F22">
              <w:rPr>
                <w:rFonts w:ascii="Bookman Old Style" w:eastAsia="Bookman Old Style" w:hAnsi="Bookman Old Style" w:cs="Calibri"/>
                <w:b/>
                <w:sz w:val="18"/>
                <w:szCs w:val="18"/>
              </w:rPr>
              <w:t>14.9</w:t>
            </w:r>
            <w:r>
              <w:rPr>
                <w:rFonts w:ascii="Bookman Old Style" w:eastAsia="Bookman Old Style" w:hAnsi="Bookman Old Style" w:cs="Calibri"/>
                <w:b/>
                <w:sz w:val="18"/>
                <w:szCs w:val="18"/>
              </w:rPr>
              <w:t>60</w:t>
            </w:r>
          </w:p>
        </w:tc>
      </w:tr>
    </w:tbl>
    <w:p w14:paraId="2BC6ACC0" w14:textId="77777777" w:rsidR="00E02D1C" w:rsidRPr="00A30FDB" w:rsidRDefault="00E02D1C" w:rsidP="00E02D1C">
      <w:pPr>
        <w:snapToGrid w:val="0"/>
        <w:spacing w:before="120" w:after="0"/>
        <w:jc w:val="both"/>
        <w:rPr>
          <w:rFonts w:ascii="Bookman Old Style" w:hAnsi="Bookman Old Style"/>
          <w:color w:val="000000"/>
        </w:rPr>
      </w:pPr>
      <w:r w:rsidRPr="00A30FDB">
        <w:rPr>
          <w:rFonts w:ascii="Bookman Old Style" w:hAnsi="Bookman Old Style"/>
          <w:color w:val="000000"/>
        </w:rPr>
        <w:t>OJK, together with members of Satgas PASTI and supported by banking and payment system industry associations, established the Indonesia Anti-Scam Center (IASC).</w:t>
      </w:r>
    </w:p>
    <w:p w14:paraId="7FDE13DE" w14:textId="77777777" w:rsidR="00E02D1C" w:rsidRPr="00A30FDB" w:rsidRDefault="00E02D1C" w:rsidP="00E02D1C">
      <w:pPr>
        <w:snapToGrid w:val="0"/>
        <w:spacing w:before="120" w:after="0"/>
        <w:jc w:val="both"/>
        <w:rPr>
          <w:rFonts w:ascii="Bookman Old Style" w:hAnsi="Bookman Old Style"/>
          <w:color w:val="000000"/>
        </w:rPr>
      </w:pPr>
      <w:r w:rsidRPr="00A30FDB">
        <w:rPr>
          <w:rFonts w:ascii="Bookman Old Style" w:hAnsi="Bookman Old Style"/>
          <w:color w:val="000000"/>
        </w:rPr>
        <w:t>Since commencing operations on 22 November 2024 through 29 April 2026, IASC has undertaken the following measures:</w:t>
      </w:r>
    </w:p>
    <w:p w14:paraId="05AD2EDA" w14:textId="77777777" w:rsidR="00E02D1C" w:rsidRPr="0070357A" w:rsidRDefault="00E02D1C" w:rsidP="00E02D1C">
      <w:pPr>
        <w:pStyle w:val="ListParagraph"/>
        <w:numPr>
          <w:ilvl w:val="0"/>
          <w:numId w:val="15"/>
        </w:numPr>
        <w:snapToGrid w:val="0"/>
        <w:spacing w:before="120" w:after="0"/>
        <w:ind w:left="426" w:hanging="426"/>
        <w:contextualSpacing w:val="0"/>
        <w:jc w:val="both"/>
        <w:rPr>
          <w:rFonts w:ascii="Bookman Old Style" w:hAnsi="Bookman Old Style"/>
          <w:color w:val="000000"/>
        </w:rPr>
      </w:pPr>
      <w:r w:rsidRPr="0070357A">
        <w:rPr>
          <w:rFonts w:ascii="Bookman Old Style" w:hAnsi="Bookman Old Style"/>
          <w:color w:val="000000"/>
        </w:rPr>
        <w:t xml:space="preserve">IASC received 548,093 reports, consisting of: 268,989 reports submitted by victims through Financial Sector Business Actors (banks and payment system providers), which were subsequently entered into the IASC system; and 279,104 reports submitted directly by victims into the IASC system. A total of 932,138 accounts were reported, of which 485,758 accounts have been blocked. To date, the total value of victims’ funds successfully blocked reached </w:t>
      </w:r>
      <w:r>
        <w:rPr>
          <w:rFonts w:ascii="Bookman Old Style" w:hAnsi="Bookman Old Style"/>
          <w:color w:val="000000"/>
        </w:rPr>
        <w:t>IDR</w:t>
      </w:r>
      <w:r w:rsidRPr="0070357A">
        <w:rPr>
          <w:rFonts w:ascii="Bookman Old Style" w:hAnsi="Bookman Old Style"/>
          <w:color w:val="000000"/>
        </w:rPr>
        <w:t>614.3 billion.</w:t>
      </w:r>
      <w:r>
        <w:rPr>
          <w:rFonts w:ascii="Bookman Old Style" w:hAnsi="Bookman Old Style"/>
          <w:color w:val="000000"/>
        </w:rPr>
        <w:t xml:space="preserve"> </w:t>
      </w:r>
      <w:r w:rsidRPr="0070357A">
        <w:rPr>
          <w:rFonts w:ascii="Bookman Old Style" w:hAnsi="Bookman Old Style"/>
          <w:color w:val="000000"/>
        </w:rPr>
        <w:t>IASC identified 106,477 phone numbers reported by fraud victims. Going forward, IASC will strengthen its capacity to accelerate its handling of financial-sector fraud cases.</w:t>
      </w:r>
    </w:p>
    <w:p w14:paraId="5FEB16C4" w14:textId="77777777" w:rsidR="00E02D1C" w:rsidRPr="0070357A" w:rsidRDefault="00E02D1C" w:rsidP="00E02D1C">
      <w:pPr>
        <w:pStyle w:val="ListParagraph"/>
        <w:numPr>
          <w:ilvl w:val="0"/>
          <w:numId w:val="15"/>
        </w:numPr>
        <w:snapToGrid w:val="0"/>
        <w:spacing w:before="120" w:after="0"/>
        <w:ind w:left="426" w:hanging="426"/>
        <w:contextualSpacing w:val="0"/>
        <w:jc w:val="both"/>
        <w:rPr>
          <w:rFonts w:ascii="Bookman Old Style" w:hAnsi="Bookman Old Style"/>
          <w:color w:val="000000"/>
        </w:rPr>
      </w:pPr>
      <w:r w:rsidRPr="0070357A">
        <w:rPr>
          <w:rFonts w:ascii="Bookman Old Style" w:hAnsi="Bookman Old Style"/>
          <w:color w:val="000000"/>
        </w:rPr>
        <w:t xml:space="preserve">IASC successfully facilitated the recovery of </w:t>
      </w:r>
      <w:r>
        <w:rPr>
          <w:rFonts w:ascii="Bookman Old Style" w:hAnsi="Bookman Old Style"/>
          <w:color w:val="000000"/>
        </w:rPr>
        <w:t>IDR</w:t>
      </w:r>
      <w:r w:rsidRPr="0070357A">
        <w:rPr>
          <w:rFonts w:ascii="Bookman Old Style" w:hAnsi="Bookman Old Style"/>
          <w:color w:val="000000"/>
        </w:rPr>
        <w:t>169.3 billion in victims’ funds originating from accounts at 19 banks used by fraud perpetrators.</w:t>
      </w:r>
    </w:p>
    <w:p w14:paraId="58D55889" w14:textId="77777777" w:rsidR="00E02D1C" w:rsidRPr="0070357A" w:rsidRDefault="00000000" w:rsidP="00E02D1C">
      <w:pPr>
        <w:snapToGrid w:val="0"/>
        <w:spacing w:before="120" w:after="0" w:line="288" w:lineRule="auto"/>
        <w:jc w:val="both"/>
        <w:rPr>
          <w:rFonts w:ascii="Bookman Old Style" w:hAnsi="Bookman Old Style"/>
          <w:color w:val="000000"/>
        </w:rPr>
      </w:pPr>
      <w:r>
        <w:rPr>
          <w:rFonts w:ascii="Bookman Old Style" w:hAnsi="Bookman Old Style"/>
          <w:noProof/>
        </w:rPr>
        <w:pict w14:anchorId="3612A30E">
          <v:rect id="_x0000_i1027" alt="" style="width:468pt;height:.05pt;mso-width-percent:0;mso-height-percent:0;mso-width-percent:0;mso-height-percent:0" o:hralign="center" o:hrstd="t" o:hr="t" fillcolor="#a0a0a0" stroked="f"/>
        </w:pict>
      </w:r>
    </w:p>
    <w:p w14:paraId="0BB258DD" w14:textId="77777777" w:rsidR="00E02D1C" w:rsidRPr="000B7460" w:rsidRDefault="00E02D1C" w:rsidP="00E02D1C">
      <w:pPr>
        <w:snapToGrid w:val="0"/>
        <w:spacing w:before="120" w:after="0"/>
        <w:jc w:val="both"/>
        <w:outlineLvl w:val="1"/>
        <w:rPr>
          <w:rFonts w:ascii="Bookman Old Style" w:hAnsi="Bookman Old Style"/>
          <w:b/>
          <w:bCs/>
          <w:color w:val="000000"/>
        </w:rPr>
      </w:pPr>
      <w:r w:rsidRPr="000B7460">
        <w:rPr>
          <w:rFonts w:ascii="Bookman Old Style" w:hAnsi="Bookman Old Style"/>
          <w:b/>
          <w:bCs/>
          <w:color w:val="000000"/>
        </w:rPr>
        <w:t>OJK Policy Direction</w:t>
      </w:r>
    </w:p>
    <w:p w14:paraId="5407C8A3" w14:textId="77777777" w:rsidR="00E02D1C" w:rsidRPr="000B7460" w:rsidRDefault="00E02D1C" w:rsidP="00E02D1C">
      <w:pPr>
        <w:snapToGrid w:val="0"/>
        <w:spacing w:before="120" w:after="0"/>
        <w:jc w:val="both"/>
        <w:rPr>
          <w:rFonts w:ascii="Bookman Old Style" w:hAnsi="Bookman Old Style"/>
          <w:color w:val="000000"/>
        </w:rPr>
      </w:pPr>
      <w:r w:rsidRPr="000B7460">
        <w:rPr>
          <w:rFonts w:ascii="Bookman Old Style" w:hAnsi="Bookman Old Style"/>
          <w:color w:val="000000"/>
        </w:rPr>
        <w:t>In order to maintain the stability of the financial services sector and strengthen the role of the financial services sector in supporting national economic growth, OJK has adopted the following policy measures:</w:t>
      </w:r>
    </w:p>
    <w:p w14:paraId="49A8F174" w14:textId="77777777" w:rsidR="00E02D1C" w:rsidRPr="000B7460" w:rsidRDefault="00E02D1C" w:rsidP="00E02D1C">
      <w:pPr>
        <w:snapToGrid w:val="0"/>
        <w:spacing w:before="120" w:after="0"/>
        <w:jc w:val="both"/>
        <w:outlineLvl w:val="0"/>
        <w:rPr>
          <w:rFonts w:ascii="Bookman Old Style" w:hAnsi="Bookman Old Style"/>
          <w:b/>
          <w:bCs/>
          <w:color w:val="000000"/>
          <w:kern w:val="36"/>
        </w:rPr>
      </w:pPr>
      <w:r w:rsidRPr="000B7460">
        <w:rPr>
          <w:rFonts w:ascii="Bookman Old Style" w:hAnsi="Bookman Old Style"/>
          <w:b/>
          <w:bCs/>
          <w:color w:val="000000"/>
          <w:kern w:val="36"/>
        </w:rPr>
        <w:t>A. Policies to Safeguard Financial System Stability</w:t>
      </w:r>
    </w:p>
    <w:p w14:paraId="7143B99E" w14:textId="77777777" w:rsidR="00E02D1C" w:rsidRPr="000B7460" w:rsidRDefault="00E02D1C" w:rsidP="00E02D1C">
      <w:pPr>
        <w:numPr>
          <w:ilvl w:val="0"/>
          <w:numId w:val="16"/>
        </w:numPr>
        <w:tabs>
          <w:tab w:val="clear" w:pos="720"/>
          <w:tab w:val="num" w:pos="709"/>
        </w:tabs>
        <w:snapToGrid w:val="0"/>
        <w:spacing w:before="120" w:after="0"/>
        <w:ind w:left="567" w:hanging="284"/>
        <w:jc w:val="both"/>
        <w:rPr>
          <w:rFonts w:ascii="Bookman Old Style" w:hAnsi="Bookman Old Style"/>
          <w:color w:val="000000"/>
        </w:rPr>
      </w:pPr>
      <w:r w:rsidRPr="000B7460">
        <w:rPr>
          <w:rFonts w:ascii="Bookman Old Style" w:hAnsi="Bookman Old Style"/>
          <w:color w:val="000000"/>
        </w:rPr>
        <w:t xml:space="preserve">Uncertainty surrounding the resolution of the Iran–US-Israel conflict has triggered volatility in financial markets and may increase inflationary pressures and global monetary tightening. OJK continues to conduct intensive monitoring to ensure the resilience of the financial services sector, including through stress testing under various scenarios and strengthened supervision of </w:t>
      </w:r>
      <w:r>
        <w:rPr>
          <w:rFonts w:ascii="Bookman Old Style" w:hAnsi="Bookman Old Style"/>
          <w:color w:val="000000"/>
        </w:rPr>
        <w:t xml:space="preserve">the </w:t>
      </w:r>
      <w:r w:rsidRPr="000B7460">
        <w:rPr>
          <w:rFonts w:ascii="Bookman Old Style" w:hAnsi="Bookman Old Style"/>
          <w:color w:val="000000"/>
        </w:rPr>
        <w:t>LJK</w:t>
      </w:r>
      <w:r>
        <w:rPr>
          <w:rFonts w:ascii="Bookman Old Style" w:hAnsi="Bookman Old Style"/>
          <w:color w:val="000000"/>
        </w:rPr>
        <w:t>s</w:t>
      </w:r>
      <w:r w:rsidRPr="000B7460">
        <w:rPr>
          <w:rFonts w:ascii="Bookman Old Style" w:hAnsi="Bookman Old Style"/>
          <w:color w:val="000000"/>
        </w:rPr>
        <w:t>.</w:t>
      </w:r>
      <w:r w:rsidRPr="0070357A">
        <w:rPr>
          <w:rFonts w:ascii="Bookman Old Style" w:hAnsi="Bookman Old Style"/>
          <w:color w:val="000000"/>
        </w:rPr>
        <w:t xml:space="preserve"> </w:t>
      </w:r>
      <w:r w:rsidRPr="000B7460">
        <w:rPr>
          <w:rFonts w:ascii="Bookman Old Style" w:hAnsi="Bookman Old Style"/>
          <w:color w:val="000000"/>
        </w:rPr>
        <w:t xml:space="preserve">In addition, </w:t>
      </w:r>
      <w:r>
        <w:rPr>
          <w:rFonts w:ascii="Bookman Old Style" w:hAnsi="Bookman Old Style"/>
          <w:color w:val="000000"/>
        </w:rPr>
        <w:t xml:space="preserve">the </w:t>
      </w:r>
      <w:r w:rsidRPr="000B7460">
        <w:rPr>
          <w:rFonts w:ascii="Bookman Old Style" w:hAnsi="Bookman Old Style"/>
          <w:color w:val="000000"/>
        </w:rPr>
        <w:t>LJK</w:t>
      </w:r>
      <w:r>
        <w:rPr>
          <w:rFonts w:ascii="Bookman Old Style" w:hAnsi="Bookman Old Style"/>
          <w:color w:val="000000"/>
        </w:rPr>
        <w:t>s</w:t>
      </w:r>
      <w:r w:rsidRPr="000B7460">
        <w:rPr>
          <w:rFonts w:ascii="Bookman Old Style" w:hAnsi="Bookman Old Style"/>
          <w:color w:val="000000"/>
        </w:rPr>
        <w:t xml:space="preserve"> are encouraged to strengthen comprehensive risk management implementation, including conducting periodic stress testing and enhancing the quality of assessments of market and credit risk exposures.</w:t>
      </w:r>
      <w:r w:rsidRPr="0070357A">
        <w:rPr>
          <w:rFonts w:ascii="Bookman Old Style" w:hAnsi="Bookman Old Style"/>
          <w:color w:val="000000"/>
        </w:rPr>
        <w:t xml:space="preserve"> </w:t>
      </w:r>
      <w:r w:rsidRPr="000B7460">
        <w:rPr>
          <w:rFonts w:ascii="Bookman Old Style" w:hAnsi="Bookman Old Style"/>
          <w:color w:val="000000"/>
        </w:rPr>
        <w:t>In anticipation of future market dynamics, OJK, together with Self-Regulatory Organizations (SROs), continues to closely monitor market developments and take necessary policy responses. Several policy instruments aimed at maintaining stock market stability remain relevant and have been extended, including:</w:t>
      </w:r>
    </w:p>
    <w:p w14:paraId="4E34D15E" w14:textId="77777777" w:rsidR="00E02D1C" w:rsidRPr="000B7460" w:rsidRDefault="00E02D1C" w:rsidP="00E02D1C">
      <w:pPr>
        <w:numPr>
          <w:ilvl w:val="0"/>
          <w:numId w:val="17"/>
        </w:numPr>
        <w:tabs>
          <w:tab w:val="clear" w:pos="720"/>
          <w:tab w:val="num" w:pos="1276"/>
        </w:tabs>
        <w:snapToGrid w:val="0"/>
        <w:spacing w:before="120" w:after="0"/>
        <w:ind w:left="993"/>
        <w:jc w:val="both"/>
        <w:rPr>
          <w:rFonts w:ascii="Bookman Old Style" w:hAnsi="Bookman Old Style"/>
          <w:color w:val="000000"/>
        </w:rPr>
      </w:pPr>
      <w:r w:rsidRPr="000B7460">
        <w:rPr>
          <w:rFonts w:ascii="Bookman Old Style" w:hAnsi="Bookman Old Style"/>
          <w:color w:val="000000"/>
        </w:rPr>
        <w:t>share buybacks without General Meeting of Shareholders (GMS) approval;</w:t>
      </w:r>
    </w:p>
    <w:p w14:paraId="5B50DD70" w14:textId="77777777" w:rsidR="00E02D1C" w:rsidRPr="000B7460" w:rsidRDefault="00E02D1C" w:rsidP="00E02D1C">
      <w:pPr>
        <w:numPr>
          <w:ilvl w:val="0"/>
          <w:numId w:val="17"/>
        </w:numPr>
        <w:tabs>
          <w:tab w:val="clear" w:pos="720"/>
          <w:tab w:val="num" w:pos="1276"/>
        </w:tabs>
        <w:snapToGrid w:val="0"/>
        <w:spacing w:before="120" w:after="0"/>
        <w:ind w:left="993"/>
        <w:jc w:val="both"/>
        <w:rPr>
          <w:rFonts w:ascii="Bookman Old Style" w:hAnsi="Bookman Old Style"/>
          <w:color w:val="000000"/>
        </w:rPr>
      </w:pPr>
      <w:r w:rsidRPr="000B7460">
        <w:rPr>
          <w:rFonts w:ascii="Bookman Old Style" w:hAnsi="Bookman Old Style"/>
          <w:color w:val="000000"/>
        </w:rPr>
        <w:lastRenderedPageBreak/>
        <w:t>postponement of the implementation of short-selling transaction financing;</w:t>
      </w:r>
    </w:p>
    <w:p w14:paraId="484BE6CE" w14:textId="77777777" w:rsidR="00E02D1C" w:rsidRPr="000B7460" w:rsidRDefault="00E02D1C" w:rsidP="00E02D1C">
      <w:pPr>
        <w:numPr>
          <w:ilvl w:val="0"/>
          <w:numId w:val="17"/>
        </w:numPr>
        <w:tabs>
          <w:tab w:val="clear" w:pos="720"/>
          <w:tab w:val="num" w:pos="1276"/>
        </w:tabs>
        <w:snapToGrid w:val="0"/>
        <w:spacing w:before="120" w:after="0"/>
        <w:ind w:left="993"/>
        <w:jc w:val="both"/>
        <w:rPr>
          <w:rFonts w:ascii="Bookman Old Style" w:hAnsi="Bookman Old Style"/>
          <w:color w:val="000000"/>
        </w:rPr>
      </w:pPr>
      <w:r w:rsidRPr="000B7460">
        <w:rPr>
          <w:rFonts w:ascii="Bookman Old Style" w:hAnsi="Bookman Old Style"/>
          <w:color w:val="000000"/>
        </w:rPr>
        <w:t>trading halt policies; and</w:t>
      </w:r>
    </w:p>
    <w:p w14:paraId="22E253DD" w14:textId="77777777" w:rsidR="00E02D1C" w:rsidRPr="000B7460" w:rsidRDefault="00E02D1C" w:rsidP="00E02D1C">
      <w:pPr>
        <w:numPr>
          <w:ilvl w:val="0"/>
          <w:numId w:val="17"/>
        </w:numPr>
        <w:tabs>
          <w:tab w:val="clear" w:pos="720"/>
          <w:tab w:val="num" w:pos="1276"/>
        </w:tabs>
        <w:snapToGrid w:val="0"/>
        <w:spacing w:before="120" w:after="0"/>
        <w:ind w:left="993"/>
        <w:jc w:val="both"/>
        <w:rPr>
          <w:rFonts w:ascii="Bookman Old Style" w:hAnsi="Bookman Old Style"/>
          <w:color w:val="000000"/>
        </w:rPr>
      </w:pPr>
      <w:r w:rsidRPr="000B7460">
        <w:rPr>
          <w:rFonts w:ascii="Bookman Old Style" w:hAnsi="Bookman Old Style"/>
          <w:color w:val="000000"/>
        </w:rPr>
        <w:t>Auto Rejection limit mechanisms.</w:t>
      </w:r>
    </w:p>
    <w:p w14:paraId="5FB815C2" w14:textId="77777777" w:rsidR="00E02D1C" w:rsidRPr="0070357A" w:rsidRDefault="00E02D1C" w:rsidP="00E02D1C">
      <w:pPr>
        <w:pStyle w:val="ListParagraph"/>
        <w:numPr>
          <w:ilvl w:val="0"/>
          <w:numId w:val="16"/>
        </w:numPr>
        <w:snapToGrid w:val="0"/>
        <w:spacing w:before="120" w:after="0"/>
        <w:ind w:left="567" w:hanging="284"/>
        <w:contextualSpacing w:val="0"/>
        <w:jc w:val="both"/>
        <w:rPr>
          <w:rFonts w:ascii="Bookman Old Style" w:hAnsi="Bookman Old Style"/>
          <w:color w:val="000000"/>
        </w:rPr>
      </w:pPr>
      <w:r w:rsidRPr="0070357A">
        <w:rPr>
          <w:rFonts w:ascii="Bookman Old Style" w:hAnsi="Bookman Old Style"/>
          <w:color w:val="000000"/>
        </w:rPr>
        <w:t xml:space="preserve">OJK supports the Government’s </w:t>
      </w:r>
      <w:r>
        <w:rPr>
          <w:rFonts w:ascii="Bookman Old Style" w:hAnsi="Bookman Old Style"/>
          <w:color w:val="000000"/>
        </w:rPr>
        <w:t>Three</w:t>
      </w:r>
      <w:r w:rsidRPr="0070357A">
        <w:rPr>
          <w:rFonts w:ascii="Bookman Old Style" w:hAnsi="Bookman Old Style"/>
          <w:color w:val="000000"/>
        </w:rPr>
        <w:t xml:space="preserve"> Million Housing Program and MSME development through strengthening SLIK policies, including:</w:t>
      </w:r>
    </w:p>
    <w:p w14:paraId="34279077" w14:textId="77777777" w:rsidR="00E02D1C" w:rsidRPr="000B7460" w:rsidRDefault="00E02D1C" w:rsidP="00E02D1C">
      <w:pPr>
        <w:numPr>
          <w:ilvl w:val="0"/>
          <w:numId w:val="18"/>
        </w:numPr>
        <w:tabs>
          <w:tab w:val="clear" w:pos="720"/>
          <w:tab w:val="num" w:pos="1276"/>
        </w:tabs>
        <w:snapToGrid w:val="0"/>
        <w:spacing w:before="120" w:after="0"/>
        <w:ind w:left="993"/>
        <w:jc w:val="both"/>
        <w:rPr>
          <w:rFonts w:ascii="Bookman Old Style" w:hAnsi="Bookman Old Style"/>
          <w:color w:val="000000"/>
        </w:rPr>
      </w:pPr>
      <w:r w:rsidRPr="000B7460">
        <w:rPr>
          <w:rFonts w:ascii="Bookman Old Style" w:hAnsi="Bookman Old Style"/>
          <w:color w:val="000000"/>
        </w:rPr>
        <w:t xml:space="preserve">displaying information in SLIK reports only for loans/financing above </w:t>
      </w:r>
      <w:r>
        <w:rPr>
          <w:rFonts w:ascii="Bookman Old Style" w:hAnsi="Bookman Old Style"/>
          <w:color w:val="000000"/>
        </w:rPr>
        <w:t>one</w:t>
      </w:r>
      <w:r w:rsidRPr="000B7460">
        <w:rPr>
          <w:rFonts w:ascii="Bookman Old Style" w:hAnsi="Bookman Old Style"/>
          <w:color w:val="000000"/>
        </w:rPr>
        <w:t xml:space="preserve"> million</w:t>
      </w:r>
      <w:r>
        <w:rPr>
          <w:rFonts w:ascii="Bookman Old Style" w:hAnsi="Bookman Old Style"/>
          <w:color w:val="000000"/>
        </w:rPr>
        <w:t xml:space="preserve"> rupiah</w:t>
      </w:r>
      <w:r w:rsidRPr="000B7460">
        <w:rPr>
          <w:rFonts w:ascii="Bookman Old Style" w:hAnsi="Bookman Old Style"/>
          <w:color w:val="000000"/>
        </w:rPr>
        <w:t>;</w:t>
      </w:r>
    </w:p>
    <w:p w14:paraId="6CDDE8AA" w14:textId="77777777" w:rsidR="00E02D1C" w:rsidRPr="000B7460" w:rsidRDefault="00E02D1C" w:rsidP="00E02D1C">
      <w:pPr>
        <w:numPr>
          <w:ilvl w:val="0"/>
          <w:numId w:val="18"/>
        </w:numPr>
        <w:tabs>
          <w:tab w:val="clear" w:pos="720"/>
          <w:tab w:val="num" w:pos="1276"/>
        </w:tabs>
        <w:snapToGrid w:val="0"/>
        <w:spacing w:before="120" w:after="0"/>
        <w:ind w:left="993"/>
        <w:jc w:val="both"/>
        <w:rPr>
          <w:rFonts w:ascii="Bookman Old Style" w:hAnsi="Bookman Old Style"/>
          <w:color w:val="000000"/>
        </w:rPr>
      </w:pPr>
      <w:r w:rsidRPr="000B7460">
        <w:rPr>
          <w:rFonts w:ascii="Bookman Old Style" w:hAnsi="Bookman Old Style"/>
          <w:color w:val="000000"/>
        </w:rPr>
        <w:t xml:space="preserve">accelerating the update of the loan settlement status no later than </w:t>
      </w:r>
      <w:r>
        <w:rPr>
          <w:rFonts w:ascii="Bookman Old Style" w:hAnsi="Bookman Old Style"/>
          <w:color w:val="000000"/>
        </w:rPr>
        <w:t>three</w:t>
      </w:r>
      <w:r w:rsidRPr="000B7460">
        <w:rPr>
          <w:rFonts w:ascii="Bookman Old Style" w:hAnsi="Bookman Old Style"/>
          <w:color w:val="000000"/>
        </w:rPr>
        <w:t xml:space="preserve"> working days after repayment;</w:t>
      </w:r>
    </w:p>
    <w:p w14:paraId="1833ADE2" w14:textId="77777777" w:rsidR="00E02D1C" w:rsidRPr="000B7460" w:rsidRDefault="00E02D1C" w:rsidP="00E02D1C">
      <w:pPr>
        <w:numPr>
          <w:ilvl w:val="0"/>
          <w:numId w:val="18"/>
        </w:numPr>
        <w:tabs>
          <w:tab w:val="clear" w:pos="720"/>
          <w:tab w:val="num" w:pos="1276"/>
        </w:tabs>
        <w:snapToGrid w:val="0"/>
        <w:spacing w:before="120" w:after="0"/>
        <w:ind w:left="993"/>
        <w:jc w:val="both"/>
        <w:rPr>
          <w:rFonts w:ascii="Bookman Old Style" w:hAnsi="Bookman Old Style"/>
          <w:color w:val="000000"/>
        </w:rPr>
      </w:pPr>
      <w:r w:rsidRPr="000B7460">
        <w:rPr>
          <w:rFonts w:ascii="Bookman Old Style" w:hAnsi="Bookman Old Style"/>
          <w:color w:val="000000"/>
        </w:rPr>
        <w:t>clarifying the recognition of subsidized housing loans (KPR subsidi) as government programs exempted from risk-sharing provisions between guarantee institutions and creditors; and</w:t>
      </w:r>
    </w:p>
    <w:p w14:paraId="11A26EC7" w14:textId="77777777" w:rsidR="00E02D1C" w:rsidRPr="000B7460" w:rsidRDefault="00E02D1C" w:rsidP="00E02D1C">
      <w:pPr>
        <w:numPr>
          <w:ilvl w:val="0"/>
          <w:numId w:val="18"/>
        </w:numPr>
        <w:tabs>
          <w:tab w:val="clear" w:pos="720"/>
          <w:tab w:val="num" w:pos="1276"/>
        </w:tabs>
        <w:snapToGrid w:val="0"/>
        <w:spacing w:before="120" w:after="0"/>
        <w:ind w:left="993"/>
        <w:jc w:val="both"/>
        <w:rPr>
          <w:rFonts w:ascii="Bookman Old Style" w:hAnsi="Bookman Old Style"/>
          <w:color w:val="000000"/>
        </w:rPr>
      </w:pPr>
      <w:r w:rsidRPr="000B7460">
        <w:rPr>
          <w:rFonts w:ascii="Bookman Old Style" w:hAnsi="Bookman Old Style"/>
          <w:color w:val="000000"/>
        </w:rPr>
        <w:t>providing SLIK data access to BP Tapera in accordance with prevailing regulations.</w:t>
      </w:r>
    </w:p>
    <w:p w14:paraId="1F807A33" w14:textId="77777777" w:rsidR="00E02D1C" w:rsidRPr="0070357A" w:rsidRDefault="00E02D1C" w:rsidP="00E02D1C">
      <w:pPr>
        <w:pStyle w:val="ListParagraph"/>
        <w:numPr>
          <w:ilvl w:val="0"/>
          <w:numId w:val="16"/>
        </w:numPr>
        <w:snapToGrid w:val="0"/>
        <w:spacing w:before="120" w:after="0"/>
        <w:ind w:left="567" w:hanging="284"/>
        <w:contextualSpacing w:val="0"/>
        <w:jc w:val="both"/>
        <w:rPr>
          <w:rFonts w:ascii="Bookman Old Style" w:hAnsi="Bookman Old Style"/>
          <w:color w:val="000000"/>
        </w:rPr>
      </w:pPr>
      <w:r w:rsidRPr="0070357A">
        <w:rPr>
          <w:rFonts w:ascii="Bookman Old Style" w:hAnsi="Bookman Old Style"/>
          <w:color w:val="000000"/>
        </w:rPr>
        <w:t>OJK, together with Indonesia Stock Exchange and Kustodian Sentral Efek Indonesia, has completed four capital market transparency reform initiatives, which were also proposed to Global Index Providers, including:</w:t>
      </w:r>
    </w:p>
    <w:p w14:paraId="1EDCA8F5" w14:textId="77777777" w:rsidR="00E02D1C" w:rsidRPr="000B7460" w:rsidRDefault="00E02D1C" w:rsidP="00E02D1C">
      <w:pPr>
        <w:numPr>
          <w:ilvl w:val="0"/>
          <w:numId w:val="19"/>
        </w:numPr>
        <w:tabs>
          <w:tab w:val="clear" w:pos="720"/>
          <w:tab w:val="num" w:pos="1418"/>
        </w:tabs>
        <w:snapToGrid w:val="0"/>
        <w:spacing w:before="120" w:after="0"/>
        <w:ind w:left="993"/>
        <w:jc w:val="both"/>
        <w:rPr>
          <w:rFonts w:ascii="Bookman Old Style" w:hAnsi="Bookman Old Style"/>
          <w:color w:val="000000"/>
        </w:rPr>
      </w:pPr>
      <w:r w:rsidRPr="000B7460">
        <w:rPr>
          <w:rFonts w:ascii="Bookman Old Style" w:hAnsi="Bookman Old Style"/>
          <w:color w:val="000000"/>
        </w:rPr>
        <w:t xml:space="preserve">provision of share ownership data above </w:t>
      </w:r>
      <w:r>
        <w:rPr>
          <w:rFonts w:ascii="Bookman Old Style" w:hAnsi="Bookman Old Style"/>
          <w:color w:val="000000"/>
        </w:rPr>
        <w:t>one</w:t>
      </w:r>
      <w:r w:rsidRPr="000B7460">
        <w:rPr>
          <w:rFonts w:ascii="Bookman Old Style" w:hAnsi="Bookman Old Style"/>
          <w:color w:val="000000"/>
        </w:rPr>
        <w:t xml:space="preserve"> percent;</w:t>
      </w:r>
    </w:p>
    <w:p w14:paraId="124A7BD9" w14:textId="77777777" w:rsidR="00E02D1C" w:rsidRPr="000B7460" w:rsidRDefault="00E02D1C" w:rsidP="00E02D1C">
      <w:pPr>
        <w:numPr>
          <w:ilvl w:val="0"/>
          <w:numId w:val="19"/>
        </w:numPr>
        <w:tabs>
          <w:tab w:val="clear" w:pos="720"/>
          <w:tab w:val="num" w:pos="1418"/>
        </w:tabs>
        <w:snapToGrid w:val="0"/>
        <w:spacing w:before="120" w:after="0"/>
        <w:ind w:left="993"/>
        <w:jc w:val="both"/>
        <w:rPr>
          <w:rFonts w:ascii="Bookman Old Style" w:hAnsi="Bookman Old Style"/>
          <w:color w:val="000000"/>
        </w:rPr>
      </w:pPr>
      <w:r w:rsidRPr="000B7460">
        <w:rPr>
          <w:rFonts w:ascii="Bookman Old Style" w:hAnsi="Bookman Old Style"/>
          <w:color w:val="000000"/>
        </w:rPr>
        <w:t>enhancement of investor classification granularity;</w:t>
      </w:r>
    </w:p>
    <w:p w14:paraId="4E7DFA30" w14:textId="77777777" w:rsidR="00E02D1C" w:rsidRPr="000B7460" w:rsidRDefault="00E02D1C" w:rsidP="00E02D1C">
      <w:pPr>
        <w:numPr>
          <w:ilvl w:val="0"/>
          <w:numId w:val="19"/>
        </w:numPr>
        <w:tabs>
          <w:tab w:val="clear" w:pos="720"/>
          <w:tab w:val="num" w:pos="1418"/>
        </w:tabs>
        <w:snapToGrid w:val="0"/>
        <w:spacing w:before="120" w:after="0"/>
        <w:ind w:left="993"/>
        <w:jc w:val="both"/>
        <w:rPr>
          <w:rFonts w:ascii="Bookman Old Style" w:hAnsi="Bookman Old Style"/>
          <w:color w:val="000000"/>
        </w:rPr>
      </w:pPr>
      <w:r w:rsidRPr="000B7460">
        <w:rPr>
          <w:rFonts w:ascii="Bookman Old Style" w:hAnsi="Bookman Old Style"/>
          <w:color w:val="000000"/>
        </w:rPr>
        <w:t>increase in the minimum free float threshold to 15 percent; and</w:t>
      </w:r>
    </w:p>
    <w:p w14:paraId="51F3F2C8" w14:textId="77777777" w:rsidR="00E02D1C" w:rsidRPr="000B7460" w:rsidRDefault="00E02D1C" w:rsidP="00E02D1C">
      <w:pPr>
        <w:numPr>
          <w:ilvl w:val="0"/>
          <w:numId w:val="19"/>
        </w:numPr>
        <w:tabs>
          <w:tab w:val="clear" w:pos="720"/>
          <w:tab w:val="num" w:pos="1418"/>
        </w:tabs>
        <w:snapToGrid w:val="0"/>
        <w:spacing w:before="120" w:after="0"/>
        <w:ind w:left="993"/>
        <w:jc w:val="both"/>
        <w:rPr>
          <w:rFonts w:ascii="Bookman Old Style" w:hAnsi="Bookman Old Style"/>
          <w:color w:val="000000"/>
        </w:rPr>
      </w:pPr>
      <w:r w:rsidRPr="000B7460">
        <w:rPr>
          <w:rFonts w:ascii="Bookman Old Style" w:hAnsi="Bookman Old Style"/>
          <w:color w:val="000000"/>
        </w:rPr>
        <w:t>disclosure of High Shareholding Concentration (HSC).</w:t>
      </w:r>
    </w:p>
    <w:p w14:paraId="16B5B95A" w14:textId="77777777" w:rsidR="00E02D1C" w:rsidRPr="000B7460" w:rsidRDefault="00E02D1C" w:rsidP="00E02D1C">
      <w:pPr>
        <w:snapToGrid w:val="0"/>
        <w:spacing w:before="120" w:after="0"/>
        <w:ind w:left="567"/>
        <w:jc w:val="both"/>
        <w:rPr>
          <w:rFonts w:ascii="Bookman Old Style" w:hAnsi="Bookman Old Style"/>
          <w:color w:val="000000"/>
        </w:rPr>
      </w:pPr>
      <w:r w:rsidRPr="000B7460">
        <w:rPr>
          <w:rFonts w:ascii="Bookman Old Style" w:hAnsi="Bookman Old Style"/>
          <w:color w:val="000000"/>
        </w:rPr>
        <w:t>These reform initiatives have achieved several positive outcomes. In its interim Country Classification announcement dated 7 April 2026, FTSE Russell maintained Indonesia’s status as a Secondary Emerging Market, on par with several major economies, including China and India. In addition, FTSE Russell did not place Indonesia on its Watch List.</w:t>
      </w:r>
    </w:p>
    <w:p w14:paraId="54946B3D" w14:textId="77777777" w:rsidR="00E02D1C" w:rsidRPr="000B7460" w:rsidRDefault="00E02D1C" w:rsidP="00E02D1C">
      <w:pPr>
        <w:snapToGrid w:val="0"/>
        <w:spacing w:before="120" w:after="0"/>
        <w:ind w:left="567"/>
        <w:jc w:val="both"/>
        <w:rPr>
          <w:rFonts w:ascii="Bookman Old Style" w:hAnsi="Bookman Old Style"/>
          <w:color w:val="000000"/>
        </w:rPr>
      </w:pPr>
      <w:r w:rsidRPr="000B7460">
        <w:rPr>
          <w:rFonts w:ascii="Bookman Old Style" w:hAnsi="Bookman Old Style"/>
          <w:color w:val="000000"/>
        </w:rPr>
        <w:t>Meanwhile, in its announcement dated 20 April 2026, MSCI acknowledged the strategic measures undertaken by Indonesian authorities to strengthen transparency and integrity in the capital market.</w:t>
      </w:r>
    </w:p>
    <w:p w14:paraId="5CE2F02E" w14:textId="77777777" w:rsidR="00E02D1C" w:rsidRPr="0070357A" w:rsidRDefault="00E02D1C" w:rsidP="00E02D1C">
      <w:pPr>
        <w:pStyle w:val="ListParagraph"/>
        <w:numPr>
          <w:ilvl w:val="0"/>
          <w:numId w:val="16"/>
        </w:numPr>
        <w:snapToGrid w:val="0"/>
        <w:spacing w:before="120" w:after="0"/>
        <w:ind w:left="567" w:hanging="284"/>
        <w:contextualSpacing w:val="0"/>
        <w:jc w:val="both"/>
        <w:rPr>
          <w:rFonts w:ascii="Bookman Old Style" w:hAnsi="Bookman Old Style"/>
          <w:color w:val="000000"/>
        </w:rPr>
      </w:pPr>
      <w:r w:rsidRPr="0070357A">
        <w:rPr>
          <w:rFonts w:ascii="Bookman Old Style" w:hAnsi="Bookman Old Style"/>
          <w:color w:val="000000"/>
        </w:rPr>
        <w:t xml:space="preserve">In relation to the policy on special treatment for loans/financing extended to debtors affected by natural disasters, OJK has established a policy granting special treatment for loans/financing to debtors impacted by disasters in Aceh, North Sumatra, and West Sumatra, effective for three years from 10 December 2025. As of March 2026, loan restructuring reached </w:t>
      </w:r>
      <w:r>
        <w:rPr>
          <w:rFonts w:ascii="Bookman Old Style" w:hAnsi="Bookman Old Style"/>
          <w:color w:val="000000"/>
        </w:rPr>
        <w:t>IDR</w:t>
      </w:r>
      <w:r w:rsidRPr="0070357A">
        <w:rPr>
          <w:rFonts w:ascii="Bookman Old Style" w:hAnsi="Bookman Old Style"/>
          <w:color w:val="000000"/>
        </w:rPr>
        <w:t xml:space="preserve">17.43 trillion (February 2026: </w:t>
      </w:r>
      <w:r>
        <w:rPr>
          <w:rFonts w:ascii="Bookman Old Style" w:hAnsi="Bookman Old Style"/>
          <w:color w:val="000000"/>
        </w:rPr>
        <w:t>IDR</w:t>
      </w:r>
      <w:r w:rsidRPr="0070357A">
        <w:rPr>
          <w:rFonts w:ascii="Bookman Old Style" w:hAnsi="Bookman Old Style"/>
          <w:color w:val="000000"/>
        </w:rPr>
        <w:t>16.27 trillion), covering 279.4 thousand accounts (February 2026: 275.8 thousand accounts).</w:t>
      </w:r>
    </w:p>
    <w:p w14:paraId="0924F991" w14:textId="77777777" w:rsidR="00E02D1C" w:rsidRPr="000B7460" w:rsidRDefault="00E02D1C" w:rsidP="00E02D1C">
      <w:pPr>
        <w:snapToGrid w:val="0"/>
        <w:spacing w:before="120" w:after="0"/>
        <w:jc w:val="both"/>
        <w:outlineLvl w:val="0"/>
        <w:rPr>
          <w:rFonts w:ascii="Bookman Old Style" w:hAnsi="Bookman Old Style"/>
          <w:b/>
          <w:bCs/>
          <w:color w:val="000000"/>
          <w:kern w:val="36"/>
        </w:rPr>
      </w:pPr>
      <w:r w:rsidRPr="000B7460">
        <w:rPr>
          <w:rFonts w:ascii="Bookman Old Style" w:hAnsi="Bookman Old Style"/>
          <w:b/>
          <w:bCs/>
          <w:color w:val="000000"/>
          <w:kern w:val="36"/>
        </w:rPr>
        <w:t>B. Policies for the Development and Strengthening of the Financial Services Sector and Market Infrastructure</w:t>
      </w:r>
    </w:p>
    <w:p w14:paraId="6A86F5E2" w14:textId="77777777" w:rsidR="00E02D1C" w:rsidRPr="0070357A" w:rsidRDefault="00E02D1C" w:rsidP="00E02D1C">
      <w:pPr>
        <w:numPr>
          <w:ilvl w:val="0"/>
          <w:numId w:val="20"/>
        </w:numPr>
        <w:snapToGrid w:val="0"/>
        <w:spacing w:before="120" w:after="0"/>
        <w:ind w:left="284" w:hanging="284"/>
        <w:jc w:val="both"/>
        <w:rPr>
          <w:rFonts w:ascii="Bookman Old Style" w:hAnsi="Bookman Old Style"/>
          <w:color w:val="000000"/>
        </w:rPr>
      </w:pPr>
      <w:r w:rsidRPr="000B7460">
        <w:rPr>
          <w:rFonts w:ascii="Bookman Old Style" w:hAnsi="Bookman Old Style"/>
          <w:color w:val="000000"/>
        </w:rPr>
        <w:t>OJK has:</w:t>
      </w:r>
    </w:p>
    <w:p w14:paraId="5693C082" w14:textId="7777777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Issued the </w:t>
      </w:r>
      <w:r w:rsidRPr="0070357A">
        <w:rPr>
          <w:rFonts w:ascii="Bookman Old Style" w:hAnsi="Bookman Old Style"/>
          <w:i/>
          <w:iCs/>
          <w:color w:val="000000"/>
        </w:rPr>
        <w:t>Banking in Social Media Guideline</w:t>
      </w:r>
      <w:r w:rsidRPr="0070357A">
        <w:rPr>
          <w:rFonts w:ascii="Bookman Old Style" w:hAnsi="Bookman Old Style"/>
          <w:color w:val="000000"/>
        </w:rPr>
        <w:t xml:space="preserve"> for commercial banks as guidance for managing social media activities in a structured, professional, and responsible </w:t>
      </w:r>
      <w:r w:rsidRPr="0070357A">
        <w:rPr>
          <w:rFonts w:ascii="Bookman Old Style" w:hAnsi="Bookman Old Style"/>
          <w:color w:val="000000"/>
        </w:rPr>
        <w:lastRenderedPageBreak/>
        <w:t>manner. The management of banks’ social media activities is carried out comprehensively and systematically based on three main pillars:</w:t>
      </w:r>
    </w:p>
    <w:p w14:paraId="7D4D1A28" w14:textId="77777777" w:rsidR="00E02D1C" w:rsidRPr="000B7460" w:rsidRDefault="00E02D1C" w:rsidP="00E02D1C">
      <w:pPr>
        <w:numPr>
          <w:ilvl w:val="0"/>
          <w:numId w:val="21"/>
        </w:numPr>
        <w:snapToGrid w:val="0"/>
        <w:spacing w:before="120" w:after="0"/>
        <w:ind w:left="993" w:hanging="284"/>
        <w:jc w:val="both"/>
        <w:rPr>
          <w:rFonts w:ascii="Bookman Old Style" w:hAnsi="Bookman Old Style"/>
          <w:color w:val="000000"/>
        </w:rPr>
      </w:pPr>
      <w:r w:rsidRPr="000B7460">
        <w:rPr>
          <w:rFonts w:ascii="Bookman Old Style" w:hAnsi="Bookman Old Style"/>
          <w:color w:val="000000"/>
        </w:rPr>
        <w:t>Governance, covering governance structure and social media management processes;</w:t>
      </w:r>
    </w:p>
    <w:p w14:paraId="11F1760E" w14:textId="77777777" w:rsidR="00E02D1C" w:rsidRPr="000B7460" w:rsidRDefault="00E02D1C" w:rsidP="00E02D1C">
      <w:pPr>
        <w:numPr>
          <w:ilvl w:val="0"/>
          <w:numId w:val="21"/>
        </w:numPr>
        <w:snapToGrid w:val="0"/>
        <w:spacing w:before="120" w:after="0"/>
        <w:ind w:left="993" w:hanging="284"/>
        <w:jc w:val="both"/>
        <w:rPr>
          <w:rFonts w:ascii="Bookman Old Style" w:hAnsi="Bookman Old Style"/>
          <w:color w:val="000000"/>
        </w:rPr>
      </w:pPr>
      <w:r w:rsidRPr="000B7460">
        <w:rPr>
          <w:rFonts w:ascii="Bookman Old Style" w:hAnsi="Bookman Old Style"/>
          <w:color w:val="000000"/>
        </w:rPr>
        <w:t>Risk Management, integrating social media risk management into banks’ overall risk management framework; and</w:t>
      </w:r>
    </w:p>
    <w:p w14:paraId="774AC4EF" w14:textId="77777777" w:rsidR="00E02D1C" w:rsidRPr="0070357A" w:rsidRDefault="00E02D1C" w:rsidP="00E02D1C">
      <w:pPr>
        <w:numPr>
          <w:ilvl w:val="0"/>
          <w:numId w:val="21"/>
        </w:numPr>
        <w:snapToGrid w:val="0"/>
        <w:spacing w:before="120" w:after="0"/>
        <w:ind w:left="993" w:hanging="284"/>
        <w:jc w:val="both"/>
        <w:rPr>
          <w:rFonts w:ascii="Bookman Old Style" w:hAnsi="Bookman Old Style"/>
          <w:color w:val="000000"/>
        </w:rPr>
      </w:pPr>
      <w:r w:rsidRPr="000B7460">
        <w:rPr>
          <w:rFonts w:ascii="Bookman Old Style" w:hAnsi="Bookman Old Style"/>
          <w:color w:val="000000"/>
        </w:rPr>
        <w:t>Compliance &amp; Monitoring, ensuring that all social media activities comply with internal policies and prevailing laws and regulations.</w:t>
      </w:r>
    </w:p>
    <w:p w14:paraId="0A71FA77" w14:textId="77777777" w:rsidR="00E02D1C" w:rsidRPr="0070357A" w:rsidRDefault="00E02D1C" w:rsidP="00E02D1C">
      <w:pPr>
        <w:snapToGrid w:val="0"/>
        <w:spacing w:before="120" w:after="0"/>
        <w:ind w:left="709"/>
        <w:jc w:val="both"/>
        <w:rPr>
          <w:rFonts w:ascii="Bookman Old Style" w:hAnsi="Bookman Old Style"/>
          <w:color w:val="000000"/>
        </w:rPr>
      </w:pPr>
      <w:r w:rsidRPr="000B7460">
        <w:rPr>
          <w:rFonts w:ascii="Bookman Old Style" w:hAnsi="Bookman Old Style"/>
          <w:color w:val="000000"/>
        </w:rPr>
        <w:t>The guideline also covers crisis communication strategies (</w:t>
      </w:r>
      <w:r w:rsidRPr="000B7460">
        <w:rPr>
          <w:rFonts w:ascii="Bookman Old Style" w:hAnsi="Bookman Old Style"/>
          <w:i/>
          <w:iCs/>
          <w:color w:val="000000"/>
        </w:rPr>
        <w:t>social media crisis management</w:t>
      </w:r>
      <w:r w:rsidRPr="000B7460">
        <w:rPr>
          <w:rFonts w:ascii="Bookman Old Style" w:hAnsi="Bookman Old Style"/>
          <w:color w:val="000000"/>
        </w:rPr>
        <w:t>), including the implementation of </w:t>
      </w:r>
      <w:r w:rsidRPr="000B7460">
        <w:rPr>
          <w:rFonts w:ascii="Bookman Old Style" w:hAnsi="Bookman Old Style"/>
          <w:i/>
          <w:iCs/>
          <w:color w:val="000000"/>
        </w:rPr>
        <w:t>social media stress testing</w:t>
      </w:r>
      <w:r w:rsidRPr="000B7460">
        <w:rPr>
          <w:rFonts w:ascii="Bookman Old Style" w:hAnsi="Bookman Old Style"/>
          <w:color w:val="000000"/>
        </w:rPr>
        <w:t> as a new instrument in banking risk management scenarios in the digital era.</w:t>
      </w:r>
    </w:p>
    <w:p w14:paraId="51A26199" w14:textId="77777777" w:rsidR="00E02D1C" w:rsidRPr="0070357A" w:rsidRDefault="00E02D1C" w:rsidP="00E02D1C">
      <w:pPr>
        <w:snapToGrid w:val="0"/>
        <w:spacing w:before="120" w:after="0"/>
        <w:ind w:left="709"/>
        <w:jc w:val="both"/>
        <w:rPr>
          <w:rFonts w:ascii="Bookman Old Style" w:hAnsi="Bookman Old Style"/>
          <w:color w:val="000000"/>
        </w:rPr>
      </w:pPr>
      <w:r w:rsidRPr="000B7460">
        <w:rPr>
          <w:rFonts w:ascii="Bookman Old Style" w:hAnsi="Bookman Old Style"/>
          <w:color w:val="000000"/>
        </w:rPr>
        <w:t>In addition, the guideline specifically regulates partnerships between banks and financial influencers (</w:t>
      </w:r>
      <w:r w:rsidRPr="000B7460">
        <w:rPr>
          <w:rFonts w:ascii="Bookman Old Style" w:hAnsi="Bookman Old Style"/>
          <w:i/>
          <w:iCs/>
          <w:color w:val="000000"/>
        </w:rPr>
        <w:t>finfluencers</w:t>
      </w:r>
      <w:r w:rsidRPr="000B7460">
        <w:rPr>
          <w:rFonts w:ascii="Bookman Old Style" w:hAnsi="Bookman Old Style"/>
          <w:color w:val="000000"/>
        </w:rPr>
        <w:t>), including transparency, disclosure of conflicts of interest, and banks’ accountability for content published through such channels.</w:t>
      </w:r>
    </w:p>
    <w:p w14:paraId="5D871787" w14:textId="7777777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Launched two strategic roadmaps aimed at strengthening financial market deepening, enhancing investor protection, and promoting sustainable financing and investment to support national economic growth:</w:t>
      </w:r>
    </w:p>
    <w:p w14:paraId="229E73EE" w14:textId="77777777" w:rsidR="00E02D1C" w:rsidRPr="000B7460" w:rsidRDefault="00E02D1C" w:rsidP="00E02D1C">
      <w:pPr>
        <w:numPr>
          <w:ilvl w:val="0"/>
          <w:numId w:val="22"/>
        </w:numPr>
        <w:snapToGrid w:val="0"/>
        <w:spacing w:before="120" w:after="0"/>
        <w:ind w:left="1134" w:hanging="425"/>
        <w:jc w:val="both"/>
        <w:rPr>
          <w:rFonts w:ascii="Bookman Old Style" w:hAnsi="Bookman Old Style"/>
          <w:color w:val="000000"/>
        </w:rPr>
      </w:pPr>
      <w:r w:rsidRPr="000B7460">
        <w:rPr>
          <w:rFonts w:ascii="Bookman Old Style" w:hAnsi="Bookman Old Style"/>
          <w:b/>
          <w:bCs/>
          <w:color w:val="000000"/>
        </w:rPr>
        <w:t>Roadmap for the Development of Capital Market-Based Derivatives Market 2026–2030</w:t>
      </w:r>
      <w:r w:rsidRPr="000B7460">
        <w:rPr>
          <w:rFonts w:ascii="Bookman Old Style" w:hAnsi="Bookman Old Style"/>
          <w:color w:val="000000"/>
        </w:rPr>
        <w:t>, as a strategic direction for developing a liquid, efficient, credible, and integrity-driven derivatives market capable of serving as an important instrument for risk management and financial market deepening.</w:t>
      </w:r>
    </w:p>
    <w:p w14:paraId="33D23BCA" w14:textId="77777777" w:rsidR="00E02D1C" w:rsidRPr="000B7460" w:rsidRDefault="00E02D1C" w:rsidP="00E02D1C">
      <w:pPr>
        <w:numPr>
          <w:ilvl w:val="0"/>
          <w:numId w:val="22"/>
        </w:numPr>
        <w:snapToGrid w:val="0"/>
        <w:spacing w:before="120" w:after="0"/>
        <w:ind w:left="1134" w:hanging="425"/>
        <w:jc w:val="both"/>
        <w:rPr>
          <w:rFonts w:ascii="Bookman Old Style" w:hAnsi="Bookman Old Style"/>
          <w:color w:val="000000"/>
        </w:rPr>
      </w:pPr>
      <w:r w:rsidRPr="000B7460">
        <w:rPr>
          <w:rFonts w:ascii="Bookman Old Style" w:hAnsi="Bookman Old Style"/>
          <w:b/>
          <w:bCs/>
          <w:color w:val="000000"/>
        </w:rPr>
        <w:t>Indonesia Sustainable Capital Market Roadmap 2026–2030</w:t>
      </w:r>
      <w:r w:rsidRPr="000B7460">
        <w:rPr>
          <w:rFonts w:ascii="Bookman Old Style" w:hAnsi="Bookman Old Style"/>
          <w:color w:val="000000"/>
        </w:rPr>
        <w:t>, aimed at strengthening the role of the capital market as a driver of sustainable financing and investment based on Environmental, Social, and Governance (ESG) principles.</w:t>
      </w:r>
    </w:p>
    <w:p w14:paraId="234C956B" w14:textId="32D04D1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 xml:space="preserve">Launched the implementation of QR Codes on Insurance Broker and Reinsurance Broker Registration Certificates (STTD) as part of </w:t>
      </w:r>
      <w:r>
        <w:rPr>
          <w:rFonts w:ascii="Bookman Old Style" w:hAnsi="Bookman Old Style"/>
          <w:color w:val="000000"/>
        </w:rPr>
        <w:t xml:space="preserve">the </w:t>
      </w:r>
      <w:r w:rsidRPr="0070357A">
        <w:rPr>
          <w:rFonts w:ascii="Bookman Old Style" w:hAnsi="Bookman Old Style"/>
          <w:color w:val="000000"/>
        </w:rPr>
        <w:t>digital transformation in the insurance sector. This innovation enables the verification of broker identity and registration status to be conducted quickly, easily, and in real</w:t>
      </w:r>
      <w:r w:rsidR="008C28C5">
        <w:rPr>
          <w:rFonts w:ascii="Bookman Old Style" w:hAnsi="Bookman Old Style"/>
          <w:color w:val="000000"/>
        </w:rPr>
        <w:t>-</w:t>
      </w:r>
      <w:r w:rsidRPr="0070357A">
        <w:rPr>
          <w:rFonts w:ascii="Bookman Old Style" w:hAnsi="Bookman Old Style"/>
          <w:color w:val="000000"/>
        </w:rPr>
        <w:t>time, thereby enhancing transparency and certainty of information for the public. The implementation of QR Codes is also expected to minimize the risk of interactions with unregistered parties while strengthening consumer protection and supervisory effectiveness. Furthermore, this initiative forms part of efforts to strengthen the integrity and professionalism of brokerage industry players, thereby enhancing public confidence and supporting the development of a healthier, more efficient, and competitive insurance industry.</w:t>
      </w:r>
    </w:p>
    <w:p w14:paraId="4C0CE5F7" w14:textId="7777777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 xml:space="preserve">Supported efforts to increase the contribution of the Financial Services Sector to economic growth. Regional OJK offices, together with strategic regional government partners from the real and financial sectors, established regional economic development ecosystems through TPAKD. Through this integrated partnership, regional economic strengths are enhanced by the use of various financial services products, including for MSMEs. One example of this collaborative initiative successfully improved the competitiveness of coconut products from South Sumatra Province through their inaugural export on 21 April 2026. In this context, support </w:t>
      </w:r>
      <w:r w:rsidRPr="0070357A">
        <w:rPr>
          <w:rFonts w:ascii="Bookman Old Style" w:hAnsi="Bookman Old Style"/>
          <w:color w:val="000000"/>
        </w:rPr>
        <w:lastRenderedPageBreak/>
        <w:t>from the financial services sector covers the entire value chain financing ecosystem, ranging from cultivation financing and processing to international trade financing needs (</w:t>
      </w:r>
      <w:r w:rsidRPr="0070357A">
        <w:rPr>
          <w:rFonts w:ascii="Bookman Old Style" w:hAnsi="Bookman Old Style"/>
          <w:i/>
          <w:iCs/>
          <w:color w:val="000000"/>
        </w:rPr>
        <w:t>trade finance</w:t>
      </w:r>
      <w:r w:rsidRPr="0070357A">
        <w:rPr>
          <w:rFonts w:ascii="Bookman Old Style" w:hAnsi="Bookman Old Style"/>
          <w:color w:val="000000"/>
        </w:rPr>
        <w:t> and letters</w:t>
      </w:r>
      <w:r w:rsidRPr="0070357A">
        <w:rPr>
          <w:rFonts w:ascii="Bookman Old Style" w:hAnsi="Bookman Old Style"/>
          <w:i/>
          <w:iCs/>
          <w:color w:val="000000"/>
        </w:rPr>
        <w:t> of credit</w:t>
      </w:r>
      <w:r w:rsidRPr="0070357A">
        <w:rPr>
          <w:rFonts w:ascii="Bookman Old Style" w:hAnsi="Bookman Old Style"/>
          <w:color w:val="000000"/>
        </w:rPr>
        <w:t>), to business risk protection through insurance.</w:t>
      </w:r>
    </w:p>
    <w:p w14:paraId="25DF0222" w14:textId="77777777" w:rsidR="00E02D1C" w:rsidRPr="0070357A" w:rsidRDefault="00E02D1C" w:rsidP="00E02D1C">
      <w:pPr>
        <w:pStyle w:val="ListParagraph"/>
        <w:numPr>
          <w:ilvl w:val="0"/>
          <w:numId w:val="20"/>
        </w:numPr>
        <w:snapToGrid w:val="0"/>
        <w:spacing w:before="120" w:after="0"/>
        <w:ind w:left="284" w:hanging="284"/>
        <w:contextualSpacing w:val="0"/>
        <w:jc w:val="both"/>
        <w:rPr>
          <w:rFonts w:ascii="Bookman Old Style" w:hAnsi="Bookman Old Style"/>
          <w:color w:val="000000"/>
        </w:rPr>
      </w:pPr>
      <w:r w:rsidRPr="0070357A">
        <w:rPr>
          <w:rFonts w:ascii="Bookman Old Style" w:hAnsi="Bookman Old Style"/>
          <w:color w:val="000000"/>
        </w:rPr>
        <w:t>OJK is currently preparing:</w:t>
      </w:r>
    </w:p>
    <w:p w14:paraId="77619E2D" w14:textId="7777777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Draft OJK Regulation (RPOJK) on Financial Groups, as mandated under the P2SK Law to strengthen regulation and supervision of Financial Conglomerates. The RPOJK regulates, among others:</w:t>
      </w:r>
    </w:p>
    <w:p w14:paraId="76FE1DA7" w14:textId="77777777" w:rsidR="00E02D1C" w:rsidRPr="000B7460" w:rsidRDefault="00E02D1C" w:rsidP="00E02D1C">
      <w:pPr>
        <w:numPr>
          <w:ilvl w:val="0"/>
          <w:numId w:val="23"/>
        </w:numPr>
        <w:snapToGrid w:val="0"/>
        <w:spacing w:before="120" w:after="0"/>
        <w:ind w:left="993" w:hanging="284"/>
        <w:jc w:val="both"/>
        <w:rPr>
          <w:rFonts w:ascii="Bookman Old Style" w:hAnsi="Bookman Old Style"/>
          <w:color w:val="000000"/>
        </w:rPr>
      </w:pPr>
      <w:r w:rsidRPr="000B7460">
        <w:rPr>
          <w:rFonts w:ascii="Bookman Old Style" w:hAnsi="Bookman Old Style"/>
          <w:color w:val="000000"/>
        </w:rPr>
        <w:t>mechanisms for the establishment of Financial Groups;</w:t>
      </w:r>
    </w:p>
    <w:p w14:paraId="0DC492DF" w14:textId="77777777" w:rsidR="00E02D1C" w:rsidRPr="000B7460" w:rsidRDefault="00E02D1C" w:rsidP="00E02D1C">
      <w:pPr>
        <w:numPr>
          <w:ilvl w:val="0"/>
          <w:numId w:val="23"/>
        </w:numPr>
        <w:snapToGrid w:val="0"/>
        <w:spacing w:before="120" w:after="0"/>
        <w:ind w:left="993" w:hanging="284"/>
        <w:jc w:val="both"/>
        <w:rPr>
          <w:rFonts w:ascii="Bookman Old Style" w:hAnsi="Bookman Old Style"/>
          <w:color w:val="000000"/>
        </w:rPr>
      </w:pPr>
      <w:r w:rsidRPr="000B7460">
        <w:rPr>
          <w:rFonts w:ascii="Bookman Old Style" w:hAnsi="Bookman Old Style"/>
          <w:color w:val="000000"/>
        </w:rPr>
        <w:t>obligations for Financial Groups to appoint a Coordinating Entity; and</w:t>
      </w:r>
    </w:p>
    <w:p w14:paraId="49432A96" w14:textId="77777777" w:rsidR="00E02D1C" w:rsidRPr="000B7460" w:rsidRDefault="00E02D1C" w:rsidP="00E02D1C">
      <w:pPr>
        <w:numPr>
          <w:ilvl w:val="0"/>
          <w:numId w:val="23"/>
        </w:numPr>
        <w:snapToGrid w:val="0"/>
        <w:spacing w:before="120" w:after="0"/>
        <w:ind w:left="993" w:hanging="284"/>
        <w:jc w:val="both"/>
        <w:rPr>
          <w:rFonts w:ascii="Bookman Old Style" w:hAnsi="Bookman Old Style"/>
          <w:color w:val="000000"/>
        </w:rPr>
      </w:pPr>
      <w:r w:rsidRPr="000B7460">
        <w:rPr>
          <w:rFonts w:ascii="Bookman Old Style" w:hAnsi="Bookman Old Style"/>
          <w:color w:val="000000"/>
        </w:rPr>
        <w:t>regulatory focus on:</w:t>
      </w:r>
    </w:p>
    <w:p w14:paraId="30C59176" w14:textId="77777777" w:rsidR="00E02D1C" w:rsidRPr="000B7460" w:rsidRDefault="00E02D1C" w:rsidP="00E02D1C">
      <w:pPr>
        <w:numPr>
          <w:ilvl w:val="1"/>
          <w:numId w:val="24"/>
        </w:numPr>
        <w:snapToGrid w:val="0"/>
        <w:spacing w:before="120" w:after="0"/>
        <w:jc w:val="both"/>
        <w:rPr>
          <w:rFonts w:ascii="Bookman Old Style" w:hAnsi="Bookman Old Style"/>
          <w:color w:val="000000"/>
        </w:rPr>
      </w:pPr>
      <w:r w:rsidRPr="000B7460">
        <w:rPr>
          <w:rFonts w:ascii="Bookman Old Style" w:hAnsi="Bookman Old Style"/>
          <w:color w:val="000000"/>
        </w:rPr>
        <w:t>intragroup transactions,</w:t>
      </w:r>
    </w:p>
    <w:p w14:paraId="266A34F5" w14:textId="77777777" w:rsidR="00E02D1C" w:rsidRPr="000B7460" w:rsidRDefault="00E02D1C" w:rsidP="00E02D1C">
      <w:pPr>
        <w:numPr>
          <w:ilvl w:val="1"/>
          <w:numId w:val="25"/>
        </w:numPr>
        <w:snapToGrid w:val="0"/>
        <w:spacing w:before="120" w:after="0"/>
        <w:jc w:val="both"/>
        <w:rPr>
          <w:rFonts w:ascii="Bookman Old Style" w:hAnsi="Bookman Old Style"/>
          <w:color w:val="000000"/>
        </w:rPr>
      </w:pPr>
      <w:r w:rsidRPr="000B7460">
        <w:rPr>
          <w:rFonts w:ascii="Bookman Old Style" w:hAnsi="Bookman Old Style"/>
          <w:color w:val="000000"/>
        </w:rPr>
        <w:t>credit risk, and</w:t>
      </w:r>
    </w:p>
    <w:p w14:paraId="537E73B8" w14:textId="77777777" w:rsidR="00E02D1C" w:rsidRPr="0070357A" w:rsidRDefault="00E02D1C" w:rsidP="00E02D1C">
      <w:pPr>
        <w:numPr>
          <w:ilvl w:val="1"/>
          <w:numId w:val="26"/>
        </w:numPr>
        <w:snapToGrid w:val="0"/>
        <w:spacing w:before="120" w:after="0"/>
        <w:jc w:val="both"/>
        <w:rPr>
          <w:rFonts w:ascii="Bookman Old Style" w:hAnsi="Bookman Old Style"/>
          <w:color w:val="000000"/>
        </w:rPr>
      </w:pPr>
      <w:r w:rsidRPr="000B7460">
        <w:rPr>
          <w:rFonts w:ascii="Bookman Old Style" w:hAnsi="Bookman Old Style"/>
          <w:color w:val="000000"/>
        </w:rPr>
        <w:t>Capital adequacy assessment.</w:t>
      </w:r>
    </w:p>
    <w:p w14:paraId="352A3615" w14:textId="7777777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Draft RPOJK on Bank Business Plans, intended to refine and replace POJK 5/POJK.03/2016 on Bank Business Plans. The RPOJK provides guidance to banks on formulating policy directions, business development strategies, and performance targets aligned with prudential principles, good governance, and sound risk management. Key provisions include:</w:t>
      </w:r>
    </w:p>
    <w:p w14:paraId="2F698E1C" w14:textId="77777777" w:rsidR="00E02D1C" w:rsidRPr="000B7460" w:rsidRDefault="00E02D1C" w:rsidP="00E02D1C">
      <w:pPr>
        <w:numPr>
          <w:ilvl w:val="0"/>
          <w:numId w:val="27"/>
        </w:numPr>
        <w:snapToGrid w:val="0"/>
        <w:spacing w:before="120" w:after="0"/>
        <w:ind w:left="993" w:hanging="284"/>
        <w:jc w:val="both"/>
        <w:rPr>
          <w:rFonts w:ascii="Bookman Old Style" w:hAnsi="Bookman Old Style"/>
          <w:color w:val="000000"/>
        </w:rPr>
      </w:pPr>
      <w:r w:rsidRPr="000B7460">
        <w:rPr>
          <w:rFonts w:ascii="Bookman Old Style" w:hAnsi="Bookman Old Style"/>
          <w:color w:val="000000"/>
        </w:rPr>
        <w:t>refinement and expansion of business plan scope, including to accommodate banking digitalization developments;</w:t>
      </w:r>
    </w:p>
    <w:p w14:paraId="7F7D90C6" w14:textId="77777777" w:rsidR="00E02D1C" w:rsidRPr="000B7460" w:rsidRDefault="00E02D1C" w:rsidP="00E02D1C">
      <w:pPr>
        <w:numPr>
          <w:ilvl w:val="0"/>
          <w:numId w:val="27"/>
        </w:numPr>
        <w:snapToGrid w:val="0"/>
        <w:spacing w:before="120" w:after="0"/>
        <w:ind w:left="993" w:hanging="284"/>
        <w:jc w:val="both"/>
        <w:rPr>
          <w:rFonts w:ascii="Bookman Old Style" w:hAnsi="Bookman Old Style"/>
          <w:color w:val="000000"/>
        </w:rPr>
      </w:pPr>
      <w:r w:rsidRPr="000B7460">
        <w:rPr>
          <w:rFonts w:ascii="Bookman Old Style" w:hAnsi="Bookman Old Style"/>
          <w:color w:val="000000"/>
        </w:rPr>
        <w:t>refinement of business plan realization and supervisory reporting; and</w:t>
      </w:r>
    </w:p>
    <w:p w14:paraId="0F27FC83" w14:textId="77777777" w:rsidR="00E02D1C" w:rsidRPr="000B7460" w:rsidRDefault="00E02D1C" w:rsidP="00E02D1C">
      <w:pPr>
        <w:numPr>
          <w:ilvl w:val="0"/>
          <w:numId w:val="27"/>
        </w:numPr>
        <w:snapToGrid w:val="0"/>
        <w:spacing w:before="120" w:after="0"/>
        <w:ind w:left="993" w:hanging="284"/>
        <w:jc w:val="both"/>
        <w:rPr>
          <w:rFonts w:ascii="Bookman Old Style" w:hAnsi="Bookman Old Style"/>
          <w:color w:val="000000"/>
        </w:rPr>
      </w:pPr>
      <w:r w:rsidRPr="000B7460">
        <w:rPr>
          <w:rFonts w:ascii="Bookman Old Style" w:hAnsi="Bookman Old Style"/>
          <w:color w:val="000000"/>
        </w:rPr>
        <w:t>refinement of provisions regarding adjustments and amendment criteria for bank business plans.</w:t>
      </w:r>
    </w:p>
    <w:p w14:paraId="0C0ED561" w14:textId="7777777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Draft RPOJK on Integrity of Financial Reporting for Insurance, Guarantee, and Pension Fund Institutions (PPDP). This regulation is intended to strengthen governance implementation and internal control frameworks in financial reporting processes within the PPDP sector. The draft regulation includes provisions regarding:</w:t>
      </w:r>
    </w:p>
    <w:p w14:paraId="301CAF06" w14:textId="77777777" w:rsidR="00E02D1C" w:rsidRPr="000B7460" w:rsidRDefault="00E02D1C" w:rsidP="00E02D1C">
      <w:pPr>
        <w:numPr>
          <w:ilvl w:val="0"/>
          <w:numId w:val="28"/>
        </w:numPr>
        <w:tabs>
          <w:tab w:val="clear" w:pos="720"/>
          <w:tab w:val="num" w:pos="993"/>
        </w:tabs>
        <w:snapToGrid w:val="0"/>
        <w:spacing w:before="120" w:after="0"/>
        <w:ind w:hanging="11"/>
        <w:jc w:val="both"/>
        <w:rPr>
          <w:rFonts w:ascii="Bookman Old Style" w:hAnsi="Bookman Old Style"/>
          <w:color w:val="000000"/>
        </w:rPr>
      </w:pPr>
      <w:r w:rsidRPr="000B7460">
        <w:rPr>
          <w:rFonts w:ascii="Bookman Old Style" w:hAnsi="Bookman Old Style"/>
          <w:color w:val="000000"/>
        </w:rPr>
        <w:t>internal controls over financial statement preparation;</w:t>
      </w:r>
    </w:p>
    <w:p w14:paraId="57734947" w14:textId="77777777" w:rsidR="00E02D1C" w:rsidRPr="000B7460" w:rsidRDefault="00E02D1C" w:rsidP="00E02D1C">
      <w:pPr>
        <w:numPr>
          <w:ilvl w:val="0"/>
          <w:numId w:val="28"/>
        </w:numPr>
        <w:tabs>
          <w:tab w:val="clear" w:pos="720"/>
          <w:tab w:val="num" w:pos="993"/>
        </w:tabs>
        <w:snapToGrid w:val="0"/>
        <w:spacing w:before="120" w:after="0"/>
        <w:ind w:hanging="11"/>
        <w:jc w:val="both"/>
        <w:rPr>
          <w:rFonts w:ascii="Bookman Old Style" w:hAnsi="Bookman Old Style"/>
          <w:color w:val="000000"/>
        </w:rPr>
      </w:pPr>
      <w:r w:rsidRPr="000B7460">
        <w:rPr>
          <w:rFonts w:ascii="Bookman Old Style" w:hAnsi="Bookman Old Style"/>
          <w:color w:val="000000"/>
        </w:rPr>
        <w:t>obligations of PPDP officials relating to report integrity commitments;</w:t>
      </w:r>
    </w:p>
    <w:p w14:paraId="7CCF094C" w14:textId="77777777" w:rsidR="00E02D1C" w:rsidRPr="000B7460" w:rsidRDefault="00E02D1C" w:rsidP="00E02D1C">
      <w:pPr>
        <w:numPr>
          <w:ilvl w:val="0"/>
          <w:numId w:val="28"/>
        </w:numPr>
        <w:tabs>
          <w:tab w:val="clear" w:pos="720"/>
          <w:tab w:val="num" w:pos="993"/>
        </w:tabs>
        <w:snapToGrid w:val="0"/>
        <w:spacing w:before="120" w:after="0"/>
        <w:ind w:hanging="11"/>
        <w:jc w:val="both"/>
        <w:rPr>
          <w:rFonts w:ascii="Bookman Old Style" w:hAnsi="Bookman Old Style"/>
          <w:color w:val="000000"/>
        </w:rPr>
      </w:pPr>
      <w:r w:rsidRPr="000B7460">
        <w:rPr>
          <w:rFonts w:ascii="Bookman Old Style" w:hAnsi="Bookman Old Style"/>
          <w:color w:val="000000"/>
        </w:rPr>
        <w:t>competency requirements for financial statement preparers; and</w:t>
      </w:r>
    </w:p>
    <w:p w14:paraId="2DA4A704" w14:textId="77777777" w:rsidR="00E02D1C" w:rsidRPr="000B7460" w:rsidRDefault="00E02D1C" w:rsidP="00E02D1C">
      <w:pPr>
        <w:numPr>
          <w:ilvl w:val="0"/>
          <w:numId w:val="28"/>
        </w:numPr>
        <w:tabs>
          <w:tab w:val="clear" w:pos="720"/>
          <w:tab w:val="num" w:pos="993"/>
        </w:tabs>
        <w:snapToGrid w:val="0"/>
        <w:spacing w:before="120" w:after="0"/>
        <w:ind w:hanging="11"/>
        <w:jc w:val="both"/>
        <w:rPr>
          <w:rFonts w:ascii="Bookman Old Style" w:hAnsi="Bookman Old Style"/>
          <w:color w:val="000000"/>
        </w:rPr>
      </w:pPr>
      <w:r w:rsidRPr="000B7460">
        <w:rPr>
          <w:rFonts w:ascii="Bookman Old Style" w:hAnsi="Bookman Old Style"/>
          <w:color w:val="000000"/>
        </w:rPr>
        <w:t>Administrative sanctions for violations.</w:t>
      </w:r>
    </w:p>
    <w:p w14:paraId="20A8086A" w14:textId="7777777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Draft RPOJK on Venture Capital Companies (PMV) and Sharia Venture Capital Companies (PMVS). The draft regulation refines POJK Number 25 of 2023 to support the development of the PMV and PMVS industries, including by adjusting funding provisions and strengthening comprehensive risk-based supervision of Venture Debt Corporation (VDC) and Venture Capital Corporation (VCC) activities.</w:t>
      </w:r>
    </w:p>
    <w:p w14:paraId="69579AAE" w14:textId="7777777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 xml:space="preserve">Draft RPOJK on Tokenized Asset Offerings or Real World Asset (RWA) Tokenization. The regulation aims to govern Digital Financial Assets representing real-world assets in digital form through tokenization mechanisms. The draft regulation follows the </w:t>
      </w:r>
      <w:r w:rsidRPr="0070357A">
        <w:rPr>
          <w:rFonts w:ascii="Bookman Old Style" w:hAnsi="Bookman Old Style"/>
          <w:color w:val="000000"/>
        </w:rPr>
        <w:lastRenderedPageBreak/>
        <w:t>successful completion of OJK Sandbox programs by several participants developing RWA tokenization business models. The scope of the regulation includes:</w:t>
      </w:r>
    </w:p>
    <w:p w14:paraId="60D5ECAF" w14:textId="77777777" w:rsidR="00E02D1C" w:rsidRPr="000B7460" w:rsidRDefault="00E02D1C" w:rsidP="00E02D1C">
      <w:pPr>
        <w:numPr>
          <w:ilvl w:val="0"/>
          <w:numId w:val="29"/>
        </w:numPr>
        <w:snapToGrid w:val="0"/>
        <w:spacing w:before="120" w:after="0"/>
        <w:ind w:left="993" w:hanging="283"/>
        <w:jc w:val="both"/>
        <w:rPr>
          <w:rFonts w:ascii="Bookman Old Style" w:hAnsi="Bookman Old Style"/>
          <w:color w:val="000000"/>
        </w:rPr>
      </w:pPr>
      <w:r w:rsidRPr="000B7460">
        <w:rPr>
          <w:rFonts w:ascii="Bookman Old Style" w:hAnsi="Bookman Old Style"/>
          <w:color w:val="000000"/>
        </w:rPr>
        <w:t>criteria for tokenizable RWAs;</w:t>
      </w:r>
    </w:p>
    <w:p w14:paraId="09E5EFDC" w14:textId="77777777" w:rsidR="00E02D1C" w:rsidRPr="000B7460" w:rsidRDefault="00E02D1C" w:rsidP="00E02D1C">
      <w:pPr>
        <w:numPr>
          <w:ilvl w:val="0"/>
          <w:numId w:val="29"/>
        </w:numPr>
        <w:snapToGrid w:val="0"/>
        <w:spacing w:before="120" w:after="0"/>
        <w:ind w:left="993" w:hanging="283"/>
        <w:jc w:val="both"/>
        <w:rPr>
          <w:rFonts w:ascii="Bookman Old Style" w:hAnsi="Bookman Old Style"/>
          <w:color w:val="000000"/>
        </w:rPr>
      </w:pPr>
      <w:r w:rsidRPr="000B7460">
        <w:rPr>
          <w:rFonts w:ascii="Bookman Old Style" w:hAnsi="Bookman Old Style"/>
          <w:color w:val="000000"/>
        </w:rPr>
        <w:t>procedures for conducting tokenized asset offerings;</w:t>
      </w:r>
    </w:p>
    <w:p w14:paraId="552F8F2E" w14:textId="77777777" w:rsidR="00E02D1C" w:rsidRPr="000B7460" w:rsidRDefault="00E02D1C" w:rsidP="00E02D1C">
      <w:pPr>
        <w:numPr>
          <w:ilvl w:val="0"/>
          <w:numId w:val="29"/>
        </w:numPr>
        <w:snapToGrid w:val="0"/>
        <w:spacing w:before="120" w:after="0"/>
        <w:ind w:left="993" w:hanging="283"/>
        <w:jc w:val="both"/>
        <w:rPr>
          <w:rFonts w:ascii="Bookman Old Style" w:hAnsi="Bookman Old Style"/>
          <w:color w:val="000000"/>
        </w:rPr>
      </w:pPr>
      <w:r w:rsidRPr="000B7460">
        <w:rPr>
          <w:rFonts w:ascii="Bookman Old Style" w:hAnsi="Bookman Old Style"/>
          <w:color w:val="000000"/>
        </w:rPr>
        <w:t>licensing processes;</w:t>
      </w:r>
    </w:p>
    <w:p w14:paraId="1C94C3C3" w14:textId="77777777" w:rsidR="00E02D1C" w:rsidRPr="000B7460" w:rsidRDefault="00E02D1C" w:rsidP="00E02D1C">
      <w:pPr>
        <w:numPr>
          <w:ilvl w:val="0"/>
          <w:numId w:val="29"/>
        </w:numPr>
        <w:snapToGrid w:val="0"/>
        <w:spacing w:before="120" w:after="0"/>
        <w:ind w:left="993" w:hanging="283"/>
        <w:jc w:val="both"/>
        <w:rPr>
          <w:rFonts w:ascii="Bookman Old Style" w:hAnsi="Bookman Old Style"/>
          <w:color w:val="000000"/>
        </w:rPr>
      </w:pPr>
      <w:r w:rsidRPr="000B7460">
        <w:rPr>
          <w:rFonts w:ascii="Bookman Old Style" w:hAnsi="Bookman Old Style"/>
          <w:color w:val="000000"/>
        </w:rPr>
        <w:t>consumer protection provisions; and</w:t>
      </w:r>
    </w:p>
    <w:p w14:paraId="1226C079" w14:textId="77777777" w:rsidR="00E02D1C" w:rsidRPr="000B7460" w:rsidRDefault="00E02D1C" w:rsidP="00E02D1C">
      <w:pPr>
        <w:numPr>
          <w:ilvl w:val="0"/>
          <w:numId w:val="29"/>
        </w:numPr>
        <w:snapToGrid w:val="0"/>
        <w:spacing w:before="120" w:after="0"/>
        <w:ind w:left="993" w:hanging="283"/>
        <w:jc w:val="both"/>
        <w:rPr>
          <w:rFonts w:ascii="Bookman Old Style" w:hAnsi="Bookman Old Style"/>
          <w:color w:val="000000"/>
        </w:rPr>
      </w:pPr>
      <w:r w:rsidRPr="000B7460">
        <w:rPr>
          <w:rFonts w:ascii="Bookman Old Style" w:hAnsi="Bookman Old Style"/>
          <w:color w:val="000000"/>
        </w:rPr>
        <w:t>financial recording and reporting mechanisms by token issuers.</w:t>
      </w:r>
    </w:p>
    <w:p w14:paraId="73B29102" w14:textId="77777777" w:rsidR="00E02D1C" w:rsidRPr="0070357A" w:rsidRDefault="00E02D1C" w:rsidP="00E02D1C">
      <w:pPr>
        <w:pStyle w:val="ListParagraph"/>
        <w:numPr>
          <w:ilvl w:val="2"/>
          <w:numId w:val="20"/>
        </w:numPr>
        <w:snapToGrid w:val="0"/>
        <w:spacing w:before="120" w:after="0"/>
        <w:ind w:left="567" w:hanging="283"/>
        <w:contextualSpacing w:val="0"/>
        <w:jc w:val="both"/>
        <w:rPr>
          <w:rFonts w:ascii="Bookman Old Style" w:hAnsi="Bookman Old Style"/>
          <w:color w:val="000000"/>
        </w:rPr>
      </w:pPr>
      <w:r w:rsidRPr="0070357A">
        <w:rPr>
          <w:rFonts w:ascii="Bookman Old Style" w:hAnsi="Bookman Old Style"/>
          <w:color w:val="000000"/>
        </w:rPr>
        <w:t>Draft RPOJK on Governance and Risk Management Implementation for PAKD. The draft regulation is expected to serve as a comprehensive regulatory framework governing principles, structures, and risk management mechanisms in Digital Financial Asset business activities. The scope includes:</w:t>
      </w:r>
    </w:p>
    <w:p w14:paraId="2471FCA1" w14:textId="77777777" w:rsidR="00E02D1C" w:rsidRPr="000B7460" w:rsidRDefault="00E02D1C" w:rsidP="00E02D1C">
      <w:pPr>
        <w:numPr>
          <w:ilvl w:val="0"/>
          <w:numId w:val="30"/>
        </w:numPr>
        <w:snapToGrid w:val="0"/>
        <w:spacing w:before="120" w:after="0"/>
        <w:ind w:left="993" w:hanging="283"/>
        <w:jc w:val="both"/>
        <w:rPr>
          <w:rFonts w:ascii="Bookman Old Style" w:hAnsi="Bookman Old Style"/>
          <w:color w:val="000000"/>
        </w:rPr>
      </w:pPr>
      <w:r w:rsidRPr="000B7460">
        <w:rPr>
          <w:rFonts w:ascii="Bookman Old Style" w:hAnsi="Bookman Old Style"/>
          <w:color w:val="000000"/>
        </w:rPr>
        <w:t>strengthening governance functions;</w:t>
      </w:r>
    </w:p>
    <w:p w14:paraId="43F56C8D" w14:textId="77777777" w:rsidR="00E02D1C" w:rsidRPr="000B7460" w:rsidRDefault="00E02D1C" w:rsidP="00E02D1C">
      <w:pPr>
        <w:numPr>
          <w:ilvl w:val="0"/>
          <w:numId w:val="30"/>
        </w:numPr>
        <w:snapToGrid w:val="0"/>
        <w:spacing w:before="120" w:after="0"/>
        <w:ind w:left="993" w:hanging="283"/>
        <w:jc w:val="both"/>
        <w:rPr>
          <w:rFonts w:ascii="Bookman Old Style" w:hAnsi="Bookman Old Style"/>
          <w:color w:val="000000"/>
        </w:rPr>
      </w:pPr>
      <w:r w:rsidRPr="000B7460">
        <w:rPr>
          <w:rFonts w:ascii="Bookman Old Style" w:hAnsi="Bookman Old Style"/>
          <w:color w:val="000000"/>
        </w:rPr>
        <w:t>risk management functions;</w:t>
      </w:r>
    </w:p>
    <w:p w14:paraId="395242AD" w14:textId="77777777" w:rsidR="00E02D1C" w:rsidRPr="000B7460" w:rsidRDefault="00E02D1C" w:rsidP="00E02D1C">
      <w:pPr>
        <w:numPr>
          <w:ilvl w:val="0"/>
          <w:numId w:val="30"/>
        </w:numPr>
        <w:snapToGrid w:val="0"/>
        <w:spacing w:before="120" w:after="0"/>
        <w:ind w:left="993" w:hanging="283"/>
        <w:jc w:val="both"/>
        <w:rPr>
          <w:rFonts w:ascii="Bookman Old Style" w:hAnsi="Bookman Old Style"/>
          <w:color w:val="000000"/>
        </w:rPr>
      </w:pPr>
      <w:r w:rsidRPr="000B7460">
        <w:rPr>
          <w:rFonts w:ascii="Bookman Old Style" w:hAnsi="Bookman Old Style"/>
          <w:color w:val="000000"/>
        </w:rPr>
        <w:t>internal control systems; and</w:t>
      </w:r>
    </w:p>
    <w:p w14:paraId="23D4BE71" w14:textId="77777777" w:rsidR="00E02D1C" w:rsidRPr="000B7460" w:rsidRDefault="00E02D1C" w:rsidP="00E02D1C">
      <w:pPr>
        <w:numPr>
          <w:ilvl w:val="0"/>
          <w:numId w:val="30"/>
        </w:numPr>
        <w:snapToGrid w:val="0"/>
        <w:spacing w:before="120" w:after="0"/>
        <w:ind w:left="993" w:hanging="283"/>
        <w:jc w:val="both"/>
        <w:rPr>
          <w:rFonts w:ascii="Bookman Old Style" w:hAnsi="Bookman Old Style"/>
          <w:color w:val="000000"/>
        </w:rPr>
      </w:pPr>
      <w:r w:rsidRPr="000B7460">
        <w:rPr>
          <w:rFonts w:ascii="Bookman Old Style" w:hAnsi="Bookman Old Style"/>
          <w:color w:val="000000"/>
        </w:rPr>
        <w:t>reporting and transparency obligations.</w:t>
      </w:r>
    </w:p>
    <w:p w14:paraId="339AB57D" w14:textId="77777777" w:rsidR="00E02D1C" w:rsidRPr="000B7460" w:rsidRDefault="00E02D1C" w:rsidP="00E02D1C">
      <w:pPr>
        <w:snapToGrid w:val="0"/>
        <w:spacing w:before="120" w:after="0"/>
        <w:ind w:left="567"/>
        <w:jc w:val="both"/>
        <w:rPr>
          <w:rFonts w:ascii="Bookman Old Style" w:hAnsi="Bookman Old Style"/>
          <w:color w:val="000000"/>
        </w:rPr>
      </w:pPr>
      <w:r w:rsidRPr="000B7460">
        <w:rPr>
          <w:rFonts w:ascii="Bookman Old Style" w:hAnsi="Bookman Old Style"/>
          <w:color w:val="000000"/>
        </w:rPr>
        <w:t>Through this regulation, PAKD operators are expected to implement stronger, more prudent, transparent, and integrity-based governance and risk controls.</w:t>
      </w:r>
    </w:p>
    <w:p w14:paraId="51315E57" w14:textId="77777777" w:rsidR="00E02D1C" w:rsidRPr="0070357A" w:rsidRDefault="00E02D1C" w:rsidP="00E02D1C">
      <w:pPr>
        <w:pStyle w:val="ListParagraph"/>
        <w:numPr>
          <w:ilvl w:val="2"/>
          <w:numId w:val="20"/>
        </w:numPr>
        <w:snapToGrid w:val="0"/>
        <w:spacing w:before="120" w:after="0"/>
        <w:ind w:left="568" w:hanging="284"/>
        <w:contextualSpacing w:val="0"/>
        <w:jc w:val="both"/>
        <w:rPr>
          <w:rFonts w:ascii="Bookman Old Style" w:hAnsi="Bookman Old Style"/>
          <w:color w:val="000000"/>
        </w:rPr>
      </w:pPr>
      <w:r w:rsidRPr="0070357A">
        <w:rPr>
          <w:rFonts w:ascii="Bookman Old Style" w:hAnsi="Bookman Old Style"/>
          <w:color w:val="000000"/>
        </w:rPr>
        <w:t>Sustainable PPDP Roadmap. OJK is currently reviewing various policies and regulations to be issued in 2026, focusing on strengthening governance, addressing potential risks, and improving risk-based supervision. To support this objective, OJK is preparing the 2026–2030 Sustainable Finance Development Roadmap for the PPDP Sector as guidance for the PPDP industry to implement sustainable finance principles and support the achievement of Net Zero Emission (NZE) and Sustainable Development Goals (SDGs).</w:t>
      </w:r>
    </w:p>
    <w:p w14:paraId="6DFD18F4" w14:textId="77777777" w:rsidR="00E02D1C" w:rsidRPr="0017323B" w:rsidRDefault="00E02D1C" w:rsidP="00E02D1C">
      <w:pPr>
        <w:numPr>
          <w:ilvl w:val="0"/>
          <w:numId w:val="32"/>
        </w:numPr>
        <w:snapToGrid w:val="0"/>
        <w:spacing w:before="120" w:after="0"/>
        <w:ind w:left="284" w:hanging="284"/>
        <w:jc w:val="both"/>
        <w:rPr>
          <w:rFonts w:ascii="Bookman Old Style" w:hAnsi="Bookman Old Style"/>
          <w:color w:val="000000"/>
        </w:rPr>
      </w:pPr>
      <w:r w:rsidRPr="0017323B">
        <w:rPr>
          <w:rFonts w:ascii="Bookman Old Style" w:hAnsi="Bookman Old Style"/>
          <w:color w:val="000000"/>
        </w:rPr>
        <w:t>OJK has established policies adjusting the submission deadlines for:</w:t>
      </w:r>
    </w:p>
    <w:p w14:paraId="21B33151" w14:textId="77777777" w:rsidR="00E02D1C" w:rsidRPr="0070357A" w:rsidRDefault="00E02D1C" w:rsidP="00E02D1C">
      <w:pPr>
        <w:pStyle w:val="ListParagraph"/>
        <w:numPr>
          <w:ilvl w:val="0"/>
          <w:numId w:val="36"/>
        </w:numPr>
        <w:snapToGrid w:val="0"/>
        <w:spacing w:before="120" w:after="0"/>
        <w:contextualSpacing w:val="0"/>
        <w:jc w:val="both"/>
        <w:rPr>
          <w:rFonts w:ascii="Bookman Old Style" w:hAnsi="Bookman Old Style"/>
          <w:color w:val="000000"/>
        </w:rPr>
      </w:pPr>
      <w:r w:rsidRPr="0070357A">
        <w:rPr>
          <w:rFonts w:ascii="Bookman Old Style" w:hAnsi="Bookman Old Style"/>
          <w:color w:val="000000"/>
        </w:rPr>
        <w:t>Audited Annual Financial Statements for FY2025 of insurance and reinsurance companies, extending the submission deadline from 30 April 2026 to 30 June 2026. This policy serves as a precautionary measure to provide the industry with additional time to ensure comprehensive readiness for the implementation of PSAK 117, particularly in maintaining the quality, consistency, and reliability of financial reporting.</w:t>
      </w:r>
    </w:p>
    <w:p w14:paraId="7277C0D2" w14:textId="77777777" w:rsidR="00E02D1C" w:rsidRPr="0070357A" w:rsidRDefault="00E02D1C" w:rsidP="00E02D1C">
      <w:pPr>
        <w:pStyle w:val="ListParagraph"/>
        <w:numPr>
          <w:ilvl w:val="0"/>
          <w:numId w:val="36"/>
        </w:numPr>
        <w:snapToGrid w:val="0"/>
        <w:spacing w:before="120" w:after="0"/>
        <w:contextualSpacing w:val="0"/>
        <w:jc w:val="both"/>
        <w:rPr>
          <w:rFonts w:ascii="Bookman Old Style" w:hAnsi="Bookman Old Style"/>
          <w:color w:val="000000"/>
        </w:rPr>
      </w:pPr>
      <w:r w:rsidRPr="0070357A">
        <w:rPr>
          <w:rFonts w:ascii="Bookman Old Style" w:hAnsi="Bookman Old Style"/>
          <w:color w:val="000000"/>
        </w:rPr>
        <w:t>The extension of the deadline for compliance with reporting obligations under the Financial Information Service System (SLIK) for: general insurance and sharia general insurance companies offering credit insurance and/or suretyship products; and guarantee and sharia guarantee companies, from the previous deadline of no later than 31 July 2025 as stipulated under POJK Number 11 of 2024, to no later than 31 December 2027. This adjustment is intended to strengthen the quality and integrity of the reporting system, taking into account the need for refinement of reporting mechanisms, infrastructure readiness, as well as the availability and quality of debtor data. The policy is non-retroactive; therefore, compliance obligations prior to the issuance of this policy remain subject to the provisions under POJK Number 11 of 2024.</w:t>
      </w:r>
    </w:p>
    <w:p w14:paraId="772D34AB" w14:textId="77777777" w:rsidR="00E02D1C" w:rsidRPr="0070357A" w:rsidRDefault="00E02D1C" w:rsidP="00E02D1C">
      <w:pPr>
        <w:pStyle w:val="ListParagraph"/>
        <w:numPr>
          <w:ilvl w:val="0"/>
          <w:numId w:val="32"/>
        </w:numPr>
        <w:adjustRightInd w:val="0"/>
        <w:snapToGrid w:val="0"/>
        <w:spacing w:before="120" w:after="0"/>
        <w:ind w:left="284" w:hanging="284"/>
        <w:contextualSpacing w:val="0"/>
        <w:jc w:val="both"/>
        <w:rPr>
          <w:rFonts w:ascii="Bookman Old Style" w:hAnsi="Bookman Old Style"/>
          <w:color w:val="000000"/>
        </w:rPr>
      </w:pPr>
      <w:r w:rsidRPr="0070357A">
        <w:rPr>
          <w:rFonts w:ascii="Bookman Old Style" w:hAnsi="Bookman Old Style"/>
          <w:color w:val="000000"/>
        </w:rPr>
        <w:lastRenderedPageBreak/>
        <w:t>In efforts to broaden the domestic investor base, particularly in Mutual Fund instruments, OJK launched the Planned and Periodic Mutual Fund Investment Program (</w:t>
      </w:r>
      <w:r w:rsidRPr="0070357A">
        <w:rPr>
          <w:rFonts w:ascii="Bookman Old Style" w:hAnsi="Bookman Old Style"/>
          <w:i/>
          <w:iCs/>
          <w:color w:val="000000"/>
        </w:rPr>
        <w:t>PINTAR Reksa Dana</w:t>
      </w:r>
      <w:r w:rsidRPr="0070357A">
        <w:rPr>
          <w:rFonts w:ascii="Bookman Old Style" w:hAnsi="Bookman Old Style"/>
          <w:color w:val="000000"/>
        </w:rPr>
        <w:t xml:space="preserve">) on 27 April 2026. The program forms part of a structural reform initiative aimed at strengthening the role of the capital market as a pillar of long-term financing for the national economy. PINTAR Reksa Dana also represents one of the integrated market deepening programs implemented through synergy among all stakeholders. The launch coincided with the opening of Mutual Fund Week 2026 organized by the Asosiasi Pelaku Reksa Dana dan Investasi Indonesia, held from 25 April to 1 May 2026. </w:t>
      </w:r>
    </w:p>
    <w:p w14:paraId="1C4A720B" w14:textId="77777777" w:rsidR="00E02D1C" w:rsidRPr="0070357A" w:rsidRDefault="00E02D1C" w:rsidP="00E02D1C">
      <w:pPr>
        <w:pStyle w:val="ListParagraph"/>
        <w:numPr>
          <w:ilvl w:val="0"/>
          <w:numId w:val="32"/>
        </w:numPr>
        <w:adjustRightInd w:val="0"/>
        <w:snapToGrid w:val="0"/>
        <w:spacing w:before="120" w:after="0"/>
        <w:ind w:left="284" w:hanging="284"/>
        <w:contextualSpacing w:val="0"/>
        <w:jc w:val="both"/>
        <w:rPr>
          <w:rFonts w:ascii="Bookman Old Style" w:hAnsi="Bookman Old Style"/>
          <w:color w:val="000000"/>
        </w:rPr>
      </w:pPr>
      <w:r w:rsidRPr="0070357A">
        <w:rPr>
          <w:rFonts w:ascii="Bookman Old Style" w:hAnsi="Bookman Old Style"/>
          <w:color w:val="000000"/>
        </w:rPr>
        <w:t>OJK supports continued efforts toward strengthening capital market integration within the ASEAN region, in line with agreements reached among authorities during the 44th Chairs’ Meeting of the ASEAN Capital Markets Forum (ACMF), held on 26 March 2026 in the Philippines. Key initiatives agreed during the forum include:</w:t>
      </w:r>
    </w:p>
    <w:p w14:paraId="6F05D574" w14:textId="77777777" w:rsidR="00E02D1C" w:rsidRPr="0017323B" w:rsidRDefault="00E02D1C" w:rsidP="00E02D1C">
      <w:pPr>
        <w:numPr>
          <w:ilvl w:val="0"/>
          <w:numId w:val="33"/>
        </w:numPr>
        <w:snapToGrid w:val="0"/>
        <w:spacing w:before="120" w:after="0"/>
        <w:jc w:val="both"/>
        <w:rPr>
          <w:rFonts w:ascii="Bookman Old Style" w:hAnsi="Bookman Old Style"/>
          <w:color w:val="000000"/>
        </w:rPr>
      </w:pPr>
      <w:r w:rsidRPr="0017323B">
        <w:rPr>
          <w:rFonts w:ascii="Bookman Old Style" w:hAnsi="Bookman Old Style"/>
          <w:color w:val="000000"/>
        </w:rPr>
        <w:t>strengthening regional capital market connectivity;</w:t>
      </w:r>
    </w:p>
    <w:p w14:paraId="4DDAAB97" w14:textId="77777777" w:rsidR="00E02D1C" w:rsidRPr="0017323B" w:rsidRDefault="00E02D1C" w:rsidP="00E02D1C">
      <w:pPr>
        <w:numPr>
          <w:ilvl w:val="0"/>
          <w:numId w:val="33"/>
        </w:numPr>
        <w:snapToGrid w:val="0"/>
        <w:spacing w:before="120" w:after="0"/>
        <w:jc w:val="both"/>
        <w:rPr>
          <w:rFonts w:ascii="Bookman Old Style" w:hAnsi="Bookman Old Style"/>
          <w:color w:val="000000"/>
        </w:rPr>
      </w:pPr>
      <w:r w:rsidRPr="0017323B">
        <w:rPr>
          <w:rFonts w:ascii="Bookman Old Style" w:hAnsi="Bookman Old Style"/>
          <w:color w:val="000000"/>
        </w:rPr>
        <w:t>mobilization of sustainable finance; and</w:t>
      </w:r>
    </w:p>
    <w:p w14:paraId="58F5A1C9" w14:textId="77777777" w:rsidR="00E02D1C" w:rsidRPr="0017323B" w:rsidRDefault="00E02D1C" w:rsidP="00E02D1C">
      <w:pPr>
        <w:numPr>
          <w:ilvl w:val="0"/>
          <w:numId w:val="33"/>
        </w:numPr>
        <w:snapToGrid w:val="0"/>
        <w:spacing w:before="120" w:after="0"/>
        <w:jc w:val="both"/>
        <w:rPr>
          <w:rFonts w:ascii="Bookman Old Style" w:hAnsi="Bookman Old Style"/>
          <w:color w:val="000000"/>
        </w:rPr>
      </w:pPr>
      <w:r w:rsidRPr="0017323B">
        <w:rPr>
          <w:rFonts w:ascii="Bookman Old Style" w:hAnsi="Bookman Old Style"/>
          <w:color w:val="000000"/>
        </w:rPr>
        <w:t>enhancement of cooperation in capital market supervision and enforcement.</w:t>
      </w:r>
    </w:p>
    <w:p w14:paraId="624C855E" w14:textId="77777777" w:rsidR="00E02D1C" w:rsidRPr="0070357A" w:rsidRDefault="00E02D1C" w:rsidP="00E02D1C">
      <w:pPr>
        <w:numPr>
          <w:ilvl w:val="0"/>
          <w:numId w:val="34"/>
        </w:numPr>
        <w:snapToGrid w:val="0"/>
        <w:spacing w:before="120" w:after="0"/>
        <w:ind w:left="284" w:hanging="284"/>
        <w:jc w:val="both"/>
        <w:rPr>
          <w:rFonts w:ascii="Bookman Old Style" w:hAnsi="Bookman Old Style"/>
          <w:color w:val="000000"/>
        </w:rPr>
      </w:pPr>
      <w:r w:rsidRPr="0017323B">
        <w:rPr>
          <w:rFonts w:ascii="Bookman Old Style" w:hAnsi="Bookman Old Style"/>
          <w:color w:val="000000"/>
        </w:rPr>
        <w:t>OJK organized the PPDP Regulatory Dissemination Day 2026 on 13 April 2026 under the theme:</w:t>
      </w:r>
      <w:r w:rsidRPr="0070357A">
        <w:rPr>
          <w:rFonts w:ascii="Bookman Old Style" w:hAnsi="Bookman Old Style"/>
          <w:color w:val="000000"/>
        </w:rPr>
        <w:t xml:space="preserve"> </w:t>
      </w:r>
      <w:r w:rsidRPr="0017323B">
        <w:rPr>
          <w:rFonts w:ascii="Bookman Old Style" w:hAnsi="Bookman Old Style"/>
          <w:i/>
          <w:iCs/>
          <w:color w:val="000000"/>
        </w:rPr>
        <w:t>“The Significant Role of PPDP Sector: Institutional Investors and Risk Bearers in Supporting Sustainable Economic Growth.”</w:t>
      </w:r>
      <w:r w:rsidRPr="0070357A">
        <w:rPr>
          <w:rFonts w:ascii="Bookman Old Style" w:hAnsi="Bookman Old Style"/>
          <w:color w:val="000000"/>
        </w:rPr>
        <w:t xml:space="preserve"> </w:t>
      </w:r>
      <w:r w:rsidRPr="0017323B">
        <w:rPr>
          <w:rFonts w:ascii="Bookman Old Style" w:hAnsi="Bookman Old Style"/>
          <w:color w:val="000000"/>
        </w:rPr>
        <w:t>The event served as a strategic forum to communicate OJK’s supervisory policy direction, gather industry feedback regarding proposed regulatory changes in the PPDP sector, and strengthen dialogue between regulators and industry participants.</w:t>
      </w:r>
      <w:r w:rsidRPr="0070357A">
        <w:rPr>
          <w:rFonts w:ascii="Bookman Old Style" w:hAnsi="Bookman Old Style"/>
          <w:color w:val="000000"/>
        </w:rPr>
        <w:t xml:space="preserve"> </w:t>
      </w:r>
      <w:r w:rsidRPr="0017323B">
        <w:rPr>
          <w:rFonts w:ascii="Bookman Old Style" w:hAnsi="Bookman Old Style"/>
          <w:color w:val="000000"/>
        </w:rPr>
        <w:t>During the forum, OJK also emphasized its expectation that the PPDP sector take on a more strategic role in the national economy, both as a driver of long-term economic stability and growth, and as a risk manager and institutional investor supporting long-term financing.</w:t>
      </w:r>
    </w:p>
    <w:p w14:paraId="2CA54FD3" w14:textId="77777777" w:rsidR="00E02D1C" w:rsidRPr="0070357A" w:rsidRDefault="00E02D1C" w:rsidP="00E02D1C">
      <w:pPr>
        <w:numPr>
          <w:ilvl w:val="0"/>
          <w:numId w:val="34"/>
        </w:numPr>
        <w:snapToGrid w:val="0"/>
        <w:spacing w:before="120" w:after="0"/>
        <w:ind w:left="284" w:hanging="284"/>
        <w:jc w:val="both"/>
        <w:rPr>
          <w:rFonts w:ascii="Bookman Old Style" w:hAnsi="Bookman Old Style"/>
          <w:color w:val="000000"/>
        </w:rPr>
      </w:pPr>
      <w:r w:rsidRPr="0017323B">
        <w:rPr>
          <w:rFonts w:ascii="Bookman Old Style" w:hAnsi="Bookman Old Style"/>
          <w:color w:val="000000"/>
        </w:rPr>
        <w:t>In order to enhance stakeholders’ and MSMEs’ understanding of the role of guarantee schemes as financing risk mitigation instruments and enablers of MSME access to financing, OJK organized guarantee literacy and awareness activities in Riau Province on 28–29 April 2026.</w:t>
      </w:r>
      <w:r w:rsidRPr="0070357A">
        <w:rPr>
          <w:rFonts w:ascii="Bookman Old Style" w:hAnsi="Bookman Old Style"/>
          <w:color w:val="000000"/>
        </w:rPr>
        <w:t xml:space="preserve"> </w:t>
      </w:r>
      <w:r w:rsidRPr="0017323B">
        <w:rPr>
          <w:rFonts w:ascii="Bookman Old Style" w:hAnsi="Bookman Old Style"/>
          <w:color w:val="000000"/>
        </w:rPr>
        <w:t>The activities formed part of the implementation of the 2024–2028 Indonesia Guarantee Industry Development and Strengthening Roadmap and are expected to optimize the utilization of guarantee schemes in supporting MSMEs that are feasible but not yet bankable, while also promoting greater inclusion within the regional guarantee industry.</w:t>
      </w:r>
    </w:p>
    <w:p w14:paraId="5CF421F9" w14:textId="77777777" w:rsidR="00E02D1C" w:rsidRPr="0070357A" w:rsidRDefault="00E02D1C" w:rsidP="00E02D1C">
      <w:pPr>
        <w:numPr>
          <w:ilvl w:val="0"/>
          <w:numId w:val="34"/>
        </w:numPr>
        <w:snapToGrid w:val="0"/>
        <w:spacing w:before="120" w:after="0"/>
        <w:ind w:left="284" w:hanging="284"/>
        <w:jc w:val="both"/>
        <w:rPr>
          <w:rFonts w:ascii="Bookman Old Style" w:hAnsi="Bookman Old Style"/>
          <w:color w:val="000000"/>
        </w:rPr>
      </w:pPr>
      <w:r w:rsidRPr="0017323B">
        <w:rPr>
          <w:rFonts w:ascii="Bookman Old Style" w:hAnsi="Bookman Old Style"/>
          <w:color w:val="000000"/>
        </w:rPr>
        <w:t>OJK and the Ministry of Creative Economy/Creative Economy Agency (Ekraf) continue to strengthen collaboration in developing Web3-based digital financial innovation to support the creative economy sector.</w:t>
      </w:r>
      <w:r w:rsidRPr="0070357A">
        <w:rPr>
          <w:rFonts w:ascii="Bookman Old Style" w:hAnsi="Bookman Old Style"/>
          <w:color w:val="000000"/>
        </w:rPr>
        <w:t xml:space="preserve"> </w:t>
      </w:r>
      <w:r w:rsidRPr="0017323B">
        <w:rPr>
          <w:rFonts w:ascii="Bookman Old Style" w:hAnsi="Bookman Old Style"/>
          <w:color w:val="000000"/>
        </w:rPr>
        <w:t>This commitment represents an important step toward transforming Indonesia’s Intellectual Property (IP) into a new high-value asset class.</w:t>
      </w:r>
      <w:r w:rsidRPr="0070357A">
        <w:rPr>
          <w:rFonts w:ascii="Bookman Old Style" w:hAnsi="Bookman Old Style"/>
          <w:color w:val="000000"/>
        </w:rPr>
        <w:t xml:space="preserve"> </w:t>
      </w:r>
      <w:r w:rsidRPr="0017323B">
        <w:rPr>
          <w:rFonts w:ascii="Bookman Old Style" w:hAnsi="Bookman Old Style"/>
          <w:color w:val="000000"/>
        </w:rPr>
        <w:t>The collaboration is implemented through the Infinity Hackathon OJK–Ekraf 2025 and Infinity Accelerator 2026 programs.</w:t>
      </w:r>
      <w:r w:rsidRPr="0070357A">
        <w:rPr>
          <w:rFonts w:ascii="Bookman Old Style" w:hAnsi="Bookman Old Style"/>
          <w:color w:val="000000"/>
        </w:rPr>
        <w:t xml:space="preserve"> </w:t>
      </w:r>
      <w:r w:rsidRPr="0017323B">
        <w:rPr>
          <w:rFonts w:ascii="Bookman Old Style" w:hAnsi="Bookman Old Style"/>
          <w:color w:val="000000"/>
        </w:rPr>
        <w:t>Infinity Hackathon OJK–Ekraf 2025 generated various Web3-based innovative solutions in financing, transparency, and protection of creative works.</w:t>
      </w:r>
      <w:r w:rsidRPr="0070357A">
        <w:rPr>
          <w:rFonts w:ascii="Bookman Old Style" w:hAnsi="Bookman Old Style"/>
          <w:color w:val="000000"/>
        </w:rPr>
        <w:t xml:space="preserve"> </w:t>
      </w:r>
      <w:r w:rsidRPr="0017323B">
        <w:rPr>
          <w:rFonts w:ascii="Bookman Old Style" w:hAnsi="Bookman Old Style"/>
          <w:color w:val="000000"/>
        </w:rPr>
        <w:t>Meanwhile, Infinity Accelerator 2026 is directed toward accelerating the transformation of Indonesian intellectual property into a verified, digitized, and investment-grade asset class.</w:t>
      </w:r>
      <w:r w:rsidRPr="0070357A">
        <w:rPr>
          <w:rFonts w:ascii="Bookman Old Style" w:hAnsi="Bookman Old Style"/>
          <w:color w:val="000000"/>
        </w:rPr>
        <w:t xml:space="preserve"> </w:t>
      </w:r>
      <w:r w:rsidRPr="0017323B">
        <w:rPr>
          <w:rFonts w:ascii="Bookman Old Style" w:hAnsi="Bookman Old Style"/>
          <w:color w:val="000000"/>
        </w:rPr>
        <w:t>The program also bridges blockchain technology utilization with financial sector policies to support the creation of a more liquid and credible intellectual property market.</w:t>
      </w:r>
    </w:p>
    <w:p w14:paraId="1CC842DF" w14:textId="77777777" w:rsidR="00E02D1C" w:rsidRPr="0017323B" w:rsidRDefault="00E02D1C" w:rsidP="00E02D1C">
      <w:pPr>
        <w:numPr>
          <w:ilvl w:val="0"/>
          <w:numId w:val="34"/>
        </w:numPr>
        <w:snapToGrid w:val="0"/>
        <w:spacing w:before="120" w:after="0"/>
        <w:ind w:left="284" w:hanging="284"/>
        <w:jc w:val="both"/>
        <w:rPr>
          <w:rFonts w:ascii="Bookman Old Style" w:hAnsi="Bookman Old Style"/>
          <w:color w:val="000000"/>
        </w:rPr>
      </w:pPr>
      <w:r w:rsidRPr="0017323B">
        <w:rPr>
          <w:rFonts w:ascii="Bookman Old Style" w:hAnsi="Bookman Old Style"/>
          <w:color w:val="000000"/>
        </w:rPr>
        <w:lastRenderedPageBreak/>
        <w:t>OJK together with the Asosiasi Blockchain Indonesia organized Crypto Literacy Month (BLK) 2026 to further strengthen public understanding and encourage more prudent and responsible utilization of digital financial assets, including crypto assets.</w:t>
      </w:r>
      <w:r w:rsidRPr="0070357A">
        <w:rPr>
          <w:rFonts w:ascii="Bookman Old Style" w:hAnsi="Bookman Old Style"/>
          <w:color w:val="000000"/>
        </w:rPr>
        <w:t xml:space="preserve"> </w:t>
      </w:r>
      <w:r w:rsidRPr="0017323B">
        <w:rPr>
          <w:rFonts w:ascii="Bookman Old Style" w:hAnsi="Bookman Old Style"/>
          <w:color w:val="000000"/>
        </w:rPr>
        <w:t>OJK views crypto assets as potentially representing </w:t>
      </w:r>
      <w:r w:rsidRPr="0017323B">
        <w:rPr>
          <w:rFonts w:ascii="Bookman Old Style" w:hAnsi="Bookman Old Style"/>
          <w:i/>
          <w:iCs/>
          <w:color w:val="000000"/>
        </w:rPr>
        <w:t>the future of financial markets</w:t>
      </w:r>
      <w:r w:rsidRPr="0017323B">
        <w:rPr>
          <w:rFonts w:ascii="Bookman Old Style" w:hAnsi="Bookman Old Style"/>
          <w:color w:val="000000"/>
        </w:rPr>
        <w:t> that may contribute to Indonesia’s development, particularly through tax revenues.</w:t>
      </w:r>
      <w:r w:rsidRPr="0070357A">
        <w:rPr>
          <w:rFonts w:ascii="Bookman Old Style" w:hAnsi="Bookman Old Style"/>
          <w:color w:val="000000"/>
        </w:rPr>
        <w:t xml:space="preserve"> </w:t>
      </w:r>
      <w:r w:rsidRPr="0017323B">
        <w:rPr>
          <w:rFonts w:ascii="Bookman Old Style" w:hAnsi="Bookman Old Style"/>
          <w:color w:val="000000"/>
        </w:rPr>
        <w:t>BLK 2026 is structured around three main programs:</w:t>
      </w:r>
    </w:p>
    <w:p w14:paraId="49BA30B0" w14:textId="77777777" w:rsidR="00E02D1C" w:rsidRPr="0017323B" w:rsidRDefault="00E02D1C" w:rsidP="00E02D1C">
      <w:pPr>
        <w:numPr>
          <w:ilvl w:val="0"/>
          <w:numId w:val="35"/>
        </w:numPr>
        <w:snapToGrid w:val="0"/>
        <w:spacing w:before="120" w:after="0"/>
        <w:jc w:val="both"/>
        <w:rPr>
          <w:rFonts w:ascii="Bookman Old Style" w:hAnsi="Bookman Old Style"/>
          <w:color w:val="000000"/>
        </w:rPr>
      </w:pPr>
      <w:r w:rsidRPr="0017323B">
        <w:rPr>
          <w:rFonts w:ascii="Bookman Old Style" w:hAnsi="Bookman Old Style"/>
          <w:color w:val="000000"/>
        </w:rPr>
        <w:t>Crypto Literacy Month for the general public;</w:t>
      </w:r>
    </w:p>
    <w:p w14:paraId="06EABB50" w14:textId="77777777" w:rsidR="00E02D1C" w:rsidRPr="0017323B" w:rsidRDefault="00E02D1C" w:rsidP="00E02D1C">
      <w:pPr>
        <w:numPr>
          <w:ilvl w:val="0"/>
          <w:numId w:val="35"/>
        </w:numPr>
        <w:snapToGrid w:val="0"/>
        <w:spacing w:before="120" w:after="0"/>
        <w:jc w:val="both"/>
        <w:rPr>
          <w:rFonts w:ascii="Bookman Old Style" w:hAnsi="Bookman Old Style"/>
          <w:color w:val="000000"/>
        </w:rPr>
      </w:pPr>
      <w:r w:rsidRPr="0017323B">
        <w:rPr>
          <w:rFonts w:ascii="Bookman Old Style" w:hAnsi="Bookman Old Style"/>
          <w:color w:val="000000"/>
        </w:rPr>
        <w:t>Blockchain Literacy Month targeting students, academics, and developers; and</w:t>
      </w:r>
    </w:p>
    <w:p w14:paraId="7620AAB3" w14:textId="77777777" w:rsidR="00E02D1C" w:rsidRPr="0017323B" w:rsidRDefault="00E02D1C" w:rsidP="00E02D1C">
      <w:pPr>
        <w:numPr>
          <w:ilvl w:val="0"/>
          <w:numId w:val="35"/>
        </w:numPr>
        <w:snapToGrid w:val="0"/>
        <w:spacing w:before="120" w:after="0"/>
        <w:jc w:val="both"/>
        <w:rPr>
          <w:rFonts w:ascii="Bookman Old Style" w:hAnsi="Bookman Old Style"/>
          <w:color w:val="000000"/>
        </w:rPr>
      </w:pPr>
      <w:r w:rsidRPr="0017323B">
        <w:rPr>
          <w:rFonts w:ascii="Bookman Old Style" w:hAnsi="Bookman Old Style"/>
          <w:color w:val="000000"/>
        </w:rPr>
        <w:t>Crypto Literacy Month for law enforcement agencies.</w:t>
      </w:r>
    </w:p>
    <w:p w14:paraId="5E418F89" w14:textId="77777777" w:rsidR="00E02D1C" w:rsidRPr="0070357A" w:rsidRDefault="00E02D1C" w:rsidP="00E02D1C">
      <w:pPr>
        <w:pStyle w:val="ListParagraph"/>
        <w:numPr>
          <w:ilvl w:val="0"/>
          <w:numId w:val="34"/>
        </w:numPr>
        <w:snapToGrid w:val="0"/>
        <w:spacing w:before="120" w:after="0"/>
        <w:ind w:left="284" w:hanging="426"/>
        <w:contextualSpacing w:val="0"/>
        <w:jc w:val="both"/>
        <w:rPr>
          <w:rFonts w:ascii="Bookman Old Style" w:hAnsi="Bookman Old Style"/>
          <w:color w:val="000000"/>
        </w:rPr>
      </w:pPr>
      <w:r w:rsidRPr="0070357A">
        <w:rPr>
          <w:rFonts w:ascii="Bookman Old Style" w:hAnsi="Bookman Old Style"/>
          <w:color w:val="000000"/>
        </w:rPr>
        <w:t>OJK, in collaboration with Badan Siber dan Sandi Negara, organized the 2026 Cybersecurity Workshop for Financial Sector Technology Innovation Operators, Digital Financial Assets, and Crypto Assets Operators. The workshop forms part of OJK’s commitment to strengthening the readiness of the digital financial industry in addressing increasingly complex, fast-evolving, and wide-ranging cyber threats that may impact public trust.</w:t>
      </w:r>
    </w:p>
    <w:p w14:paraId="142C5403" w14:textId="77777777" w:rsidR="00E02D1C" w:rsidRPr="0070357A" w:rsidRDefault="00E02D1C" w:rsidP="00E02D1C">
      <w:pPr>
        <w:pStyle w:val="ListParagraph"/>
        <w:numPr>
          <w:ilvl w:val="0"/>
          <w:numId w:val="34"/>
        </w:numPr>
        <w:snapToGrid w:val="0"/>
        <w:spacing w:before="120" w:after="0"/>
        <w:ind w:left="284" w:hanging="426"/>
        <w:contextualSpacing w:val="0"/>
        <w:jc w:val="both"/>
        <w:rPr>
          <w:rFonts w:ascii="Bookman Old Style" w:hAnsi="Bookman Old Style"/>
          <w:color w:val="000000"/>
        </w:rPr>
      </w:pPr>
      <w:r w:rsidRPr="0070357A">
        <w:rPr>
          <w:rFonts w:ascii="Bookman Old Style" w:hAnsi="Bookman Old Style"/>
          <w:color w:val="000000"/>
        </w:rPr>
        <w:t>OJK supports efforts to increase the contribution of the Financial Services Sector to economic growth. Regional OJK offices, together with strategic regional government partners from both the real sector and financial sector, have established regional economic development ecosystems through strategic partnerships under TPAKD. Through these integrated partnerships, regional economic strengths are enhanced through the utilization of various financial services sector products, including for MSMEs. One example of such collaborative efforts successfully improved the competitiveness of coconut commodities from South Sumatra Province through their inaugural export in April 2026. In this context, support from the financial services sector encompasses the entire value chain financing ecosystem, ranging from cultivation financing, processing, export-related international trade financing (</w:t>
      </w:r>
      <w:r w:rsidRPr="0070357A">
        <w:rPr>
          <w:rFonts w:ascii="Bookman Old Style" w:hAnsi="Bookman Old Style"/>
          <w:i/>
          <w:iCs/>
          <w:color w:val="000000"/>
        </w:rPr>
        <w:t>trade finance</w:t>
      </w:r>
      <w:r w:rsidRPr="0070357A">
        <w:rPr>
          <w:rFonts w:ascii="Bookman Old Style" w:hAnsi="Bookman Old Style"/>
          <w:color w:val="000000"/>
        </w:rPr>
        <w:t> and </w:t>
      </w:r>
      <w:r w:rsidRPr="0070357A">
        <w:rPr>
          <w:rFonts w:ascii="Bookman Old Style" w:hAnsi="Bookman Old Style"/>
          <w:i/>
          <w:iCs/>
          <w:color w:val="000000"/>
        </w:rPr>
        <w:t>letters of credit</w:t>
      </w:r>
      <w:r w:rsidRPr="0070357A">
        <w:rPr>
          <w:rFonts w:ascii="Bookman Old Style" w:hAnsi="Bookman Old Style"/>
          <w:color w:val="000000"/>
        </w:rPr>
        <w:t>), to business risk protection through insurance.</w:t>
      </w:r>
    </w:p>
    <w:p w14:paraId="039FB762" w14:textId="77777777" w:rsidR="00E02D1C" w:rsidRPr="007F2FFF" w:rsidRDefault="00E02D1C" w:rsidP="00E02D1C">
      <w:pPr>
        <w:snapToGrid w:val="0"/>
        <w:spacing w:before="120" w:after="0"/>
        <w:jc w:val="both"/>
        <w:outlineLvl w:val="1"/>
        <w:rPr>
          <w:rFonts w:ascii="Bookman Old Style" w:hAnsi="Bookman Old Style"/>
          <w:b/>
          <w:bCs/>
          <w:color w:val="000000"/>
        </w:rPr>
      </w:pPr>
      <w:r w:rsidRPr="007F2FFF">
        <w:rPr>
          <w:rFonts w:ascii="Bookman Old Style" w:hAnsi="Bookman Old Style"/>
          <w:b/>
          <w:bCs/>
          <w:color w:val="000000"/>
        </w:rPr>
        <w:t>C. Development and Strengthening of the Islamic Financial Services Sector</w:t>
      </w:r>
    </w:p>
    <w:p w14:paraId="214AD83C" w14:textId="77777777" w:rsidR="00E02D1C" w:rsidRPr="007F2FFF" w:rsidRDefault="00E02D1C" w:rsidP="00E02D1C">
      <w:pPr>
        <w:snapToGrid w:val="0"/>
        <w:spacing w:before="120" w:after="0"/>
        <w:jc w:val="both"/>
        <w:rPr>
          <w:rFonts w:ascii="Bookman Old Style" w:hAnsi="Bookman Old Style"/>
          <w:color w:val="000000"/>
        </w:rPr>
      </w:pPr>
      <w:r w:rsidRPr="007F2FFF">
        <w:rPr>
          <w:rFonts w:ascii="Bookman Old Style" w:hAnsi="Bookman Old Style"/>
          <w:color w:val="000000"/>
        </w:rPr>
        <w:t xml:space="preserve">In the Islamic finance industry, the Islamic Stock Index (ISSI) contracted by 18.71 percent ytd. However, Sharia Mutual Fund Assets Under Management (AUM) grew by 10.58 percent ytd to </w:t>
      </w:r>
      <w:r>
        <w:rPr>
          <w:rFonts w:ascii="Bookman Old Style" w:hAnsi="Bookman Old Style"/>
          <w:color w:val="000000"/>
        </w:rPr>
        <w:t>IDR</w:t>
      </w:r>
      <w:r w:rsidRPr="007F2FFF">
        <w:rPr>
          <w:rFonts w:ascii="Bookman Old Style" w:hAnsi="Bookman Old Style"/>
          <w:color w:val="000000"/>
        </w:rPr>
        <w:t>92.27 trillion. As of March 2026, sharia financing receivables rose by 9.96 percent yoy. Islamic banking financing also increased by 9.82 percent yoy.</w:t>
      </w:r>
    </w:p>
    <w:p w14:paraId="4F564106" w14:textId="77777777" w:rsidR="00E02D1C" w:rsidRPr="007F2FFF" w:rsidRDefault="00E02D1C" w:rsidP="00E02D1C">
      <w:pPr>
        <w:snapToGrid w:val="0"/>
        <w:spacing w:before="120" w:after="0"/>
        <w:jc w:val="both"/>
        <w:rPr>
          <w:rFonts w:ascii="Bookman Old Style" w:hAnsi="Bookman Old Style"/>
          <w:color w:val="000000"/>
        </w:rPr>
      </w:pPr>
      <w:r w:rsidRPr="007F2FFF">
        <w:rPr>
          <w:rFonts w:ascii="Bookman Old Style" w:hAnsi="Bookman Old Style"/>
          <w:color w:val="000000"/>
        </w:rPr>
        <w:t>As a follow-up to Article 9 of POJK Number 11 of 2023, 41 companies have submitted revisions to their Sharia Business Unit Spin-Off Work Plans (RKPUS), of which:</w:t>
      </w:r>
    </w:p>
    <w:p w14:paraId="3B096B1B" w14:textId="77777777" w:rsidR="00E02D1C" w:rsidRPr="0070357A" w:rsidRDefault="00E02D1C" w:rsidP="00E02D1C">
      <w:pPr>
        <w:numPr>
          <w:ilvl w:val="0"/>
          <w:numId w:val="37"/>
        </w:numPr>
        <w:tabs>
          <w:tab w:val="clear" w:pos="720"/>
          <w:tab w:val="num" w:pos="426"/>
        </w:tabs>
        <w:snapToGrid w:val="0"/>
        <w:spacing w:before="120" w:after="0"/>
        <w:ind w:left="426" w:hanging="284"/>
        <w:jc w:val="both"/>
        <w:rPr>
          <w:rFonts w:ascii="Bookman Old Style" w:hAnsi="Bookman Old Style"/>
          <w:color w:val="000000"/>
        </w:rPr>
      </w:pPr>
      <w:r w:rsidRPr="007F2FFF">
        <w:rPr>
          <w:rFonts w:ascii="Bookman Old Style" w:hAnsi="Bookman Old Style"/>
          <w:color w:val="000000"/>
        </w:rPr>
        <w:t>28 companies stated that they would conduct spin-offs through the establishment of new entities; and</w:t>
      </w:r>
    </w:p>
    <w:p w14:paraId="735EC22C" w14:textId="77777777" w:rsidR="00E02D1C" w:rsidRPr="007F2FFF" w:rsidRDefault="00E02D1C" w:rsidP="00E02D1C">
      <w:pPr>
        <w:numPr>
          <w:ilvl w:val="0"/>
          <w:numId w:val="37"/>
        </w:numPr>
        <w:tabs>
          <w:tab w:val="clear" w:pos="720"/>
          <w:tab w:val="num" w:pos="426"/>
        </w:tabs>
        <w:snapToGrid w:val="0"/>
        <w:spacing w:before="120" w:after="0"/>
        <w:ind w:left="426" w:hanging="284"/>
        <w:jc w:val="both"/>
        <w:rPr>
          <w:rFonts w:ascii="Bookman Old Style" w:hAnsi="Bookman Old Style"/>
          <w:color w:val="000000"/>
        </w:rPr>
      </w:pPr>
      <w:r w:rsidRPr="007F2FFF">
        <w:rPr>
          <w:rFonts w:ascii="Bookman Old Style" w:hAnsi="Bookman Old Style"/>
          <w:color w:val="000000"/>
        </w:rPr>
        <w:t>13 companies would transfer portfolios to other companies.</w:t>
      </w:r>
    </w:p>
    <w:p w14:paraId="154C0A3F" w14:textId="77777777" w:rsidR="00E02D1C" w:rsidRPr="007F2FFF" w:rsidRDefault="00E02D1C" w:rsidP="00E02D1C">
      <w:pPr>
        <w:tabs>
          <w:tab w:val="num" w:pos="426"/>
        </w:tabs>
        <w:snapToGrid w:val="0"/>
        <w:spacing w:before="120" w:after="0"/>
        <w:ind w:left="426" w:hanging="284"/>
        <w:jc w:val="both"/>
        <w:rPr>
          <w:rFonts w:ascii="Bookman Old Style" w:hAnsi="Bookman Old Style"/>
          <w:color w:val="000000"/>
        </w:rPr>
      </w:pPr>
      <w:r w:rsidRPr="007F2FFF">
        <w:rPr>
          <w:rFonts w:ascii="Bookman Old Style" w:hAnsi="Bookman Old Style"/>
          <w:color w:val="000000"/>
        </w:rPr>
        <w:t>As of 27 April 2026:</w:t>
      </w:r>
    </w:p>
    <w:p w14:paraId="2131DAE5" w14:textId="77777777" w:rsidR="00E02D1C" w:rsidRPr="007F2FFF" w:rsidRDefault="00E02D1C" w:rsidP="00E02D1C">
      <w:pPr>
        <w:numPr>
          <w:ilvl w:val="0"/>
          <w:numId w:val="38"/>
        </w:numPr>
        <w:tabs>
          <w:tab w:val="clear" w:pos="720"/>
          <w:tab w:val="num" w:pos="426"/>
        </w:tabs>
        <w:snapToGrid w:val="0"/>
        <w:spacing w:before="120" w:after="0"/>
        <w:ind w:left="426" w:hanging="284"/>
        <w:jc w:val="both"/>
        <w:rPr>
          <w:rFonts w:ascii="Bookman Old Style" w:hAnsi="Bookman Old Style"/>
          <w:color w:val="000000"/>
        </w:rPr>
      </w:pPr>
      <w:r>
        <w:rPr>
          <w:rFonts w:ascii="Bookman Old Style" w:hAnsi="Bookman Old Style"/>
          <w:color w:val="000000"/>
        </w:rPr>
        <w:t>Three</w:t>
      </w:r>
      <w:r w:rsidRPr="007F2FFF">
        <w:rPr>
          <w:rFonts w:ascii="Bookman Old Style" w:hAnsi="Bookman Old Style"/>
          <w:color w:val="000000"/>
        </w:rPr>
        <w:t xml:space="preserve"> companies had completed spin-offs through the establishment of new entities; and</w:t>
      </w:r>
    </w:p>
    <w:p w14:paraId="10A74C06" w14:textId="77777777" w:rsidR="00E02D1C" w:rsidRPr="007F2FFF" w:rsidRDefault="00E02D1C" w:rsidP="00E02D1C">
      <w:pPr>
        <w:numPr>
          <w:ilvl w:val="0"/>
          <w:numId w:val="38"/>
        </w:numPr>
        <w:tabs>
          <w:tab w:val="clear" w:pos="720"/>
          <w:tab w:val="num" w:pos="426"/>
        </w:tabs>
        <w:snapToGrid w:val="0"/>
        <w:spacing w:before="120" w:after="0"/>
        <w:ind w:left="426" w:hanging="284"/>
        <w:jc w:val="both"/>
        <w:rPr>
          <w:rFonts w:ascii="Bookman Old Style" w:hAnsi="Bookman Old Style"/>
          <w:color w:val="000000"/>
        </w:rPr>
      </w:pPr>
      <w:r>
        <w:rPr>
          <w:rFonts w:ascii="Bookman Old Style" w:hAnsi="Bookman Old Style"/>
          <w:color w:val="000000"/>
        </w:rPr>
        <w:t>Six</w:t>
      </w:r>
      <w:r w:rsidRPr="007F2FFF">
        <w:rPr>
          <w:rFonts w:ascii="Bookman Old Style" w:hAnsi="Bookman Old Style"/>
          <w:color w:val="000000"/>
        </w:rPr>
        <w:t xml:space="preserve"> companies had completed spin-offs through portfolio transfers to other companies.</w:t>
      </w:r>
    </w:p>
    <w:p w14:paraId="7D1C4AEF" w14:textId="77777777" w:rsidR="00E02D1C" w:rsidRPr="007F2FFF" w:rsidRDefault="00E02D1C" w:rsidP="00E02D1C">
      <w:pPr>
        <w:snapToGrid w:val="0"/>
        <w:spacing w:before="120" w:after="0"/>
        <w:jc w:val="both"/>
        <w:rPr>
          <w:rFonts w:ascii="Bookman Old Style" w:hAnsi="Bookman Old Style"/>
          <w:color w:val="000000"/>
        </w:rPr>
      </w:pPr>
      <w:r w:rsidRPr="007F2FFF">
        <w:rPr>
          <w:rFonts w:ascii="Bookman Old Style" w:hAnsi="Bookman Old Style"/>
          <w:color w:val="000000"/>
        </w:rPr>
        <w:t>In addition:</w:t>
      </w:r>
    </w:p>
    <w:p w14:paraId="41739AFA" w14:textId="77777777" w:rsidR="00E02D1C" w:rsidRPr="007F2FFF" w:rsidRDefault="00E02D1C" w:rsidP="00E02D1C">
      <w:pPr>
        <w:numPr>
          <w:ilvl w:val="0"/>
          <w:numId w:val="39"/>
        </w:numPr>
        <w:snapToGrid w:val="0"/>
        <w:spacing w:before="120" w:after="0"/>
        <w:ind w:left="426" w:hanging="284"/>
        <w:jc w:val="both"/>
        <w:rPr>
          <w:rFonts w:ascii="Bookman Old Style" w:hAnsi="Bookman Old Style"/>
          <w:color w:val="000000"/>
        </w:rPr>
      </w:pPr>
      <w:r>
        <w:rPr>
          <w:rFonts w:ascii="Bookman Old Style" w:hAnsi="Bookman Old Style"/>
          <w:color w:val="000000"/>
        </w:rPr>
        <w:lastRenderedPageBreak/>
        <w:t>Nine</w:t>
      </w:r>
      <w:r w:rsidRPr="007F2FFF">
        <w:rPr>
          <w:rFonts w:ascii="Bookman Old Style" w:hAnsi="Bookman Old Style"/>
          <w:color w:val="000000"/>
        </w:rPr>
        <w:t xml:space="preserve"> companies are currently in the process of spin-offs through the establishment of new entities; and</w:t>
      </w:r>
    </w:p>
    <w:p w14:paraId="0B0D2EE2" w14:textId="77777777" w:rsidR="00E02D1C" w:rsidRPr="007F2FFF" w:rsidRDefault="00E02D1C" w:rsidP="00E02D1C">
      <w:pPr>
        <w:numPr>
          <w:ilvl w:val="0"/>
          <w:numId w:val="39"/>
        </w:numPr>
        <w:snapToGrid w:val="0"/>
        <w:spacing w:before="120" w:after="0"/>
        <w:ind w:left="426" w:hanging="284"/>
        <w:jc w:val="both"/>
        <w:rPr>
          <w:rFonts w:ascii="Bookman Old Style" w:hAnsi="Bookman Old Style"/>
          <w:color w:val="000000"/>
        </w:rPr>
      </w:pPr>
      <w:r>
        <w:rPr>
          <w:rFonts w:ascii="Bookman Old Style" w:hAnsi="Bookman Old Style"/>
          <w:color w:val="000000"/>
        </w:rPr>
        <w:t>Three</w:t>
      </w:r>
      <w:r w:rsidRPr="007F2FFF">
        <w:rPr>
          <w:rFonts w:ascii="Bookman Old Style" w:hAnsi="Bookman Old Style"/>
          <w:color w:val="000000"/>
        </w:rPr>
        <w:t xml:space="preserve"> companies are in the process of spin-offs through portfolio transfers to other companies.</w:t>
      </w:r>
    </w:p>
    <w:p w14:paraId="13CC4136" w14:textId="77777777" w:rsidR="00E02D1C" w:rsidRPr="007F2FFF" w:rsidRDefault="00E02D1C" w:rsidP="00E02D1C">
      <w:pPr>
        <w:snapToGrid w:val="0"/>
        <w:spacing w:before="120" w:after="0"/>
        <w:jc w:val="both"/>
        <w:rPr>
          <w:rFonts w:ascii="Bookman Old Style" w:hAnsi="Bookman Old Style"/>
          <w:color w:val="000000"/>
        </w:rPr>
      </w:pPr>
      <w:r w:rsidRPr="007F2FFF">
        <w:rPr>
          <w:rFonts w:ascii="Bookman Old Style" w:hAnsi="Bookman Old Style"/>
          <w:color w:val="000000"/>
        </w:rPr>
        <w:t>Furthermore, in support of Islamic finance development, OJK has undertaken several initiatives through:</w:t>
      </w:r>
    </w:p>
    <w:p w14:paraId="1DEE756F" w14:textId="77777777" w:rsidR="00E02D1C" w:rsidRPr="0070357A" w:rsidRDefault="00E02D1C" w:rsidP="00E02D1C">
      <w:pPr>
        <w:pStyle w:val="ListParagraph"/>
        <w:numPr>
          <w:ilvl w:val="1"/>
          <w:numId w:val="39"/>
        </w:numPr>
        <w:snapToGrid w:val="0"/>
        <w:spacing w:before="120" w:after="0"/>
        <w:ind w:left="426" w:hanging="284"/>
        <w:contextualSpacing w:val="0"/>
        <w:jc w:val="both"/>
        <w:rPr>
          <w:rFonts w:ascii="Bookman Old Style" w:hAnsi="Bookman Old Style"/>
          <w:color w:val="000000"/>
        </w:rPr>
      </w:pPr>
      <w:r w:rsidRPr="0070357A">
        <w:rPr>
          <w:rFonts w:ascii="Bookman Old Style" w:hAnsi="Bookman Old Style"/>
          <w:color w:val="000000"/>
        </w:rPr>
        <w:t>The issuance of Financial Services Authority Regulation (POJK) Number 4 of 2026 concerning the Implementation of Islamic Banking Investment Products (POJK PPSI). As part of the Indonesian Islamic Banking Development Roadmap (RP3SI), this regulation provides a clear legal framework. It supports the orderly implementation of Islamic banking investment products in line with prevailing laws and sharia principles.</w:t>
      </w:r>
    </w:p>
    <w:p w14:paraId="601BDB5E" w14:textId="77777777" w:rsidR="00E02D1C" w:rsidRPr="0070357A" w:rsidRDefault="00E02D1C" w:rsidP="00E02D1C">
      <w:pPr>
        <w:pStyle w:val="ListParagraph"/>
        <w:numPr>
          <w:ilvl w:val="1"/>
          <w:numId w:val="39"/>
        </w:numPr>
        <w:snapToGrid w:val="0"/>
        <w:spacing w:before="120" w:after="0"/>
        <w:ind w:left="426" w:hanging="284"/>
        <w:contextualSpacing w:val="0"/>
        <w:jc w:val="both"/>
        <w:rPr>
          <w:rFonts w:ascii="Bookman Old Style" w:hAnsi="Bookman Old Style"/>
          <w:color w:val="000000"/>
        </w:rPr>
      </w:pPr>
      <w:r w:rsidRPr="0070357A">
        <w:rPr>
          <w:rFonts w:ascii="Bookman Old Style" w:hAnsi="Bookman Old Style"/>
          <w:color w:val="000000"/>
        </w:rPr>
        <w:t>The preparation of several regulations, namely:</w:t>
      </w:r>
    </w:p>
    <w:p w14:paraId="27BBA042" w14:textId="77777777" w:rsidR="00E02D1C" w:rsidRPr="0070357A" w:rsidRDefault="00E02D1C" w:rsidP="00E02D1C">
      <w:pPr>
        <w:pStyle w:val="ListParagraph"/>
        <w:numPr>
          <w:ilvl w:val="0"/>
          <w:numId w:val="49"/>
        </w:numPr>
        <w:snapToGrid w:val="0"/>
        <w:spacing w:before="120" w:after="0"/>
        <w:contextualSpacing w:val="0"/>
        <w:jc w:val="both"/>
        <w:rPr>
          <w:rFonts w:ascii="Bookman Old Style" w:hAnsi="Bookman Old Style"/>
          <w:color w:val="000000"/>
        </w:rPr>
      </w:pPr>
      <w:r w:rsidRPr="0070357A">
        <w:rPr>
          <w:rFonts w:ascii="Bookman Old Style" w:hAnsi="Bookman Old Style"/>
          <w:color w:val="000000"/>
        </w:rPr>
        <w:t>Draft Financial Services Authority Regulation (RPOJK) on Minimum Capital Requirements for Islamic Commercial Banks, prepared to align with international standards, namely:</w:t>
      </w:r>
    </w:p>
    <w:p w14:paraId="63FFC829" w14:textId="77777777" w:rsidR="00E02D1C" w:rsidRPr="0070357A" w:rsidRDefault="00E02D1C" w:rsidP="00E02D1C">
      <w:pPr>
        <w:numPr>
          <w:ilvl w:val="1"/>
          <w:numId w:val="49"/>
        </w:numPr>
        <w:snapToGrid w:val="0"/>
        <w:spacing w:before="120" w:after="0"/>
        <w:ind w:left="1134"/>
        <w:jc w:val="both"/>
        <w:rPr>
          <w:rFonts w:ascii="Bookman Old Style" w:hAnsi="Bookman Old Style"/>
          <w:color w:val="000000"/>
        </w:rPr>
      </w:pPr>
      <w:r w:rsidRPr="007F2FFF">
        <w:rPr>
          <w:rFonts w:ascii="Bookman Old Style" w:hAnsi="Bookman Old Style"/>
          <w:color w:val="000000"/>
        </w:rPr>
        <w:t>the Basel III final package issued in 2017 by the Basel Committee on Banking Supervision (BCBS); and</w:t>
      </w:r>
    </w:p>
    <w:p w14:paraId="66AEB1F9" w14:textId="77777777" w:rsidR="00E02D1C" w:rsidRPr="007F2FFF" w:rsidRDefault="00E02D1C" w:rsidP="00E02D1C">
      <w:pPr>
        <w:numPr>
          <w:ilvl w:val="1"/>
          <w:numId w:val="49"/>
        </w:numPr>
        <w:snapToGrid w:val="0"/>
        <w:spacing w:before="120" w:after="0"/>
        <w:ind w:left="1134"/>
        <w:jc w:val="both"/>
        <w:rPr>
          <w:rFonts w:ascii="Bookman Old Style" w:hAnsi="Bookman Old Style"/>
          <w:color w:val="000000"/>
        </w:rPr>
      </w:pPr>
      <w:r w:rsidRPr="007F2FFF">
        <w:rPr>
          <w:rFonts w:ascii="Bookman Old Style" w:hAnsi="Bookman Old Style"/>
          <w:color w:val="000000"/>
        </w:rPr>
        <w:t>IFSB-23 Revised Capital Adequacy Standard for Institutions Offering Islamic Financial Services (Banking Segment), issued in December 2021.</w:t>
      </w:r>
    </w:p>
    <w:p w14:paraId="56EE7892" w14:textId="77777777" w:rsidR="00E02D1C" w:rsidRPr="0070357A" w:rsidRDefault="00E02D1C" w:rsidP="00E02D1C">
      <w:pPr>
        <w:pStyle w:val="ListParagraph"/>
        <w:numPr>
          <w:ilvl w:val="0"/>
          <w:numId w:val="49"/>
        </w:numPr>
        <w:snapToGrid w:val="0"/>
        <w:spacing w:before="120" w:after="0"/>
        <w:contextualSpacing w:val="0"/>
        <w:jc w:val="both"/>
        <w:rPr>
          <w:rFonts w:ascii="Bookman Old Style" w:hAnsi="Bookman Old Style"/>
          <w:color w:val="000000"/>
        </w:rPr>
      </w:pPr>
      <w:r w:rsidRPr="0070357A">
        <w:rPr>
          <w:rFonts w:ascii="Bookman Old Style" w:hAnsi="Bookman Old Style"/>
          <w:color w:val="000000"/>
        </w:rPr>
        <w:t>Draft Financial Services Authority Regulation (PADK) concerning the Indonesian Islamic Banking Accounting Guidelines for Islamic Commercial Banks and Sharia Business Units (RPADK PAPSI), prepared as further guidance to relevant financial accounting standards applicable to the Islamic banking industry, covering both general and sharia transactions.</w:t>
      </w:r>
    </w:p>
    <w:p w14:paraId="15944E16" w14:textId="77777777" w:rsidR="00E02D1C" w:rsidRPr="0070357A" w:rsidRDefault="00E02D1C" w:rsidP="00E02D1C">
      <w:pPr>
        <w:pStyle w:val="ListParagraph"/>
        <w:numPr>
          <w:ilvl w:val="0"/>
          <w:numId w:val="49"/>
        </w:numPr>
        <w:snapToGrid w:val="0"/>
        <w:spacing w:before="120" w:after="0"/>
        <w:contextualSpacing w:val="0"/>
        <w:jc w:val="both"/>
        <w:rPr>
          <w:rFonts w:ascii="Bookman Old Style" w:hAnsi="Bookman Old Style"/>
          <w:color w:val="000000"/>
        </w:rPr>
      </w:pPr>
      <w:r w:rsidRPr="0070357A">
        <w:rPr>
          <w:rFonts w:ascii="Bookman Old Style" w:hAnsi="Bookman Old Style"/>
          <w:color w:val="000000"/>
        </w:rPr>
        <w:t>Draft PADK regarding the Business Plan for Sharia Rural Banks (BPRS). The PADK provides guidance to BPRS on setting policy direction and business development strategies for the short-, medium-, and long-term. It also defines performance targets aligned with prudential principles, sound governance, and effective risk management in accordance with Sharia principles.</w:t>
      </w:r>
    </w:p>
    <w:p w14:paraId="75845BAF" w14:textId="77777777" w:rsidR="00E02D1C" w:rsidRPr="0070357A" w:rsidRDefault="00E02D1C" w:rsidP="00E02D1C">
      <w:pPr>
        <w:pStyle w:val="ListParagraph"/>
        <w:numPr>
          <w:ilvl w:val="1"/>
          <w:numId w:val="39"/>
        </w:numPr>
        <w:snapToGrid w:val="0"/>
        <w:spacing w:before="120" w:after="0"/>
        <w:ind w:left="426" w:hanging="284"/>
        <w:contextualSpacing w:val="0"/>
        <w:jc w:val="both"/>
        <w:rPr>
          <w:rFonts w:ascii="Bookman Old Style" w:hAnsi="Bookman Old Style"/>
          <w:color w:val="000000"/>
        </w:rPr>
      </w:pPr>
      <w:r w:rsidRPr="0070357A">
        <w:rPr>
          <w:rFonts w:ascii="Bookman Old Style" w:hAnsi="Bookman Old Style"/>
          <w:color w:val="000000"/>
        </w:rPr>
        <w:t>Draft Financial Services Authority Regulation (PADK) concerning Minimum Capital Requirements for Sharia Rural Banks. This RPADK is prepared as part of the implementation of the Indonesia Islamic Banking Development and Strengthening Roadmap (RP3SI), particularly Pillar 5, which concerns the Strengthening of Islamic Banking Regulation, Licensing, and Supervision.</w:t>
      </w:r>
    </w:p>
    <w:p w14:paraId="71BE4387" w14:textId="77777777" w:rsidR="00E02D1C" w:rsidRPr="0070357A" w:rsidRDefault="00E02D1C" w:rsidP="00E02D1C">
      <w:pPr>
        <w:pStyle w:val="ListParagraph"/>
        <w:numPr>
          <w:ilvl w:val="1"/>
          <w:numId w:val="39"/>
        </w:numPr>
        <w:snapToGrid w:val="0"/>
        <w:spacing w:before="120" w:after="0"/>
        <w:ind w:left="426" w:hanging="284"/>
        <w:contextualSpacing w:val="0"/>
        <w:jc w:val="both"/>
        <w:rPr>
          <w:rFonts w:ascii="Bookman Old Style" w:hAnsi="Bookman Old Style"/>
          <w:color w:val="000000"/>
        </w:rPr>
      </w:pPr>
      <w:r w:rsidRPr="0070357A">
        <w:rPr>
          <w:rFonts w:ascii="Bookman Old Style" w:hAnsi="Bookman Old Style"/>
          <w:color w:val="000000"/>
        </w:rPr>
        <w:t xml:space="preserve">Efforts to improve financial literacy and inclusion among younger generations in order to equip university students with an adequate understanding of the opportunities and risks associated with rapidly developing digital financing, including risks related to personal data misuse and exposure to illegal financing schemes. This educational initiative was delivered through a public lecture themed: </w:t>
      </w:r>
      <w:r w:rsidRPr="0070357A">
        <w:rPr>
          <w:rFonts w:ascii="Bookman Old Style" w:hAnsi="Bookman Old Style"/>
          <w:i/>
          <w:iCs/>
          <w:color w:val="000000"/>
        </w:rPr>
        <w:t>“Digital Financing: Opportunities, Challenges, and Future Prospects”</w:t>
      </w:r>
      <w:r w:rsidRPr="0070357A">
        <w:rPr>
          <w:rFonts w:ascii="Bookman Old Style" w:hAnsi="Bookman Old Style"/>
          <w:color w:val="000000"/>
        </w:rPr>
        <w:t xml:space="preserve"> at the Universitas Riau on 21 April 2026. The activity, attended by more than 350 students, constituted a follow-up to the Memorandum of Understanding (MoU) between OJK and Universitas Riau for the 2023–2028 period.</w:t>
      </w:r>
    </w:p>
    <w:p w14:paraId="2B319518" w14:textId="77777777" w:rsidR="00E02D1C" w:rsidRPr="0070357A" w:rsidRDefault="00E02D1C" w:rsidP="00E02D1C">
      <w:pPr>
        <w:pStyle w:val="ListParagraph"/>
        <w:numPr>
          <w:ilvl w:val="1"/>
          <w:numId w:val="39"/>
        </w:numPr>
        <w:snapToGrid w:val="0"/>
        <w:spacing w:before="120" w:after="0"/>
        <w:ind w:left="426" w:hanging="284"/>
        <w:contextualSpacing w:val="0"/>
        <w:jc w:val="both"/>
        <w:rPr>
          <w:rFonts w:ascii="Bookman Old Style" w:hAnsi="Bookman Old Style"/>
          <w:color w:val="000000"/>
        </w:rPr>
      </w:pPr>
      <w:r w:rsidRPr="0070357A">
        <w:rPr>
          <w:rFonts w:ascii="Bookman Old Style" w:hAnsi="Bookman Old Style"/>
          <w:color w:val="000000"/>
        </w:rPr>
        <w:lastRenderedPageBreak/>
        <w:t>The program aims to strengthen synergy between Islamic insurance and Islamic pension funds. This is done through collaboration between OJK and Universitas Paramadina via the Inspirational Teachers Program for Islamic Insurance and Pension Funds, held on 14 April 2026. The effort is part of efforts to enhance Islamic financial literacy and inclusion. The program involved over 200 high school economics teachers in Greater Jakarta. It used a replicative approach to strengthen teachers' roles as educational agents in the education ecosystem. On the same occasion, OJK also facilitated the signing of a Memorandum of Understanding (MoU) between the Dewan Asuransi Indonesia and Universitas Paramadina covering:</w:t>
      </w:r>
    </w:p>
    <w:p w14:paraId="283187B9" w14:textId="77777777" w:rsidR="00E02D1C" w:rsidRPr="007F2FFF" w:rsidRDefault="00E02D1C" w:rsidP="00E02D1C">
      <w:pPr>
        <w:numPr>
          <w:ilvl w:val="0"/>
          <w:numId w:val="40"/>
        </w:numPr>
        <w:tabs>
          <w:tab w:val="clear" w:pos="720"/>
        </w:tabs>
        <w:snapToGrid w:val="0"/>
        <w:spacing w:before="120" w:after="0"/>
        <w:ind w:left="851"/>
        <w:jc w:val="both"/>
        <w:rPr>
          <w:rFonts w:ascii="Bookman Old Style" w:hAnsi="Bookman Old Style"/>
          <w:color w:val="000000"/>
        </w:rPr>
      </w:pPr>
      <w:r w:rsidRPr="007F2FFF">
        <w:rPr>
          <w:rFonts w:ascii="Bookman Old Style" w:hAnsi="Bookman Old Style"/>
          <w:color w:val="000000"/>
        </w:rPr>
        <w:t>literacy development;</w:t>
      </w:r>
    </w:p>
    <w:p w14:paraId="0F307B0F" w14:textId="77777777" w:rsidR="00E02D1C" w:rsidRPr="007F2FFF" w:rsidRDefault="00E02D1C" w:rsidP="00E02D1C">
      <w:pPr>
        <w:numPr>
          <w:ilvl w:val="0"/>
          <w:numId w:val="40"/>
        </w:numPr>
        <w:tabs>
          <w:tab w:val="clear" w:pos="720"/>
        </w:tabs>
        <w:snapToGrid w:val="0"/>
        <w:spacing w:before="120" w:after="0"/>
        <w:ind w:left="851"/>
        <w:jc w:val="both"/>
        <w:rPr>
          <w:rFonts w:ascii="Bookman Old Style" w:hAnsi="Bookman Old Style"/>
          <w:color w:val="000000"/>
        </w:rPr>
      </w:pPr>
      <w:r w:rsidRPr="007F2FFF">
        <w:rPr>
          <w:rFonts w:ascii="Bookman Old Style" w:hAnsi="Bookman Old Style"/>
          <w:color w:val="000000"/>
        </w:rPr>
        <w:t>human resource strengthening through training and certification;</w:t>
      </w:r>
    </w:p>
    <w:p w14:paraId="51EDA06D" w14:textId="77777777" w:rsidR="00E02D1C" w:rsidRPr="007F2FFF" w:rsidRDefault="00E02D1C" w:rsidP="00E02D1C">
      <w:pPr>
        <w:numPr>
          <w:ilvl w:val="0"/>
          <w:numId w:val="40"/>
        </w:numPr>
        <w:tabs>
          <w:tab w:val="clear" w:pos="720"/>
        </w:tabs>
        <w:snapToGrid w:val="0"/>
        <w:spacing w:before="120" w:after="0"/>
        <w:ind w:left="851"/>
        <w:jc w:val="both"/>
        <w:rPr>
          <w:rFonts w:ascii="Bookman Old Style" w:hAnsi="Bookman Old Style"/>
          <w:color w:val="000000"/>
        </w:rPr>
      </w:pPr>
      <w:r w:rsidRPr="007F2FFF">
        <w:rPr>
          <w:rFonts w:ascii="Bookman Old Style" w:hAnsi="Bookman Old Style"/>
          <w:color w:val="000000"/>
        </w:rPr>
        <w:t>research and product co-creation;</w:t>
      </w:r>
    </w:p>
    <w:p w14:paraId="2430555C" w14:textId="77777777" w:rsidR="00E02D1C" w:rsidRPr="007F2FFF" w:rsidRDefault="00E02D1C" w:rsidP="00E02D1C">
      <w:pPr>
        <w:numPr>
          <w:ilvl w:val="0"/>
          <w:numId w:val="40"/>
        </w:numPr>
        <w:tabs>
          <w:tab w:val="clear" w:pos="720"/>
        </w:tabs>
        <w:snapToGrid w:val="0"/>
        <w:spacing w:before="120" w:after="0"/>
        <w:ind w:left="851"/>
        <w:jc w:val="both"/>
        <w:rPr>
          <w:rFonts w:ascii="Bookman Old Style" w:hAnsi="Bookman Old Style"/>
          <w:color w:val="000000"/>
        </w:rPr>
      </w:pPr>
      <w:r w:rsidRPr="007F2FFF">
        <w:rPr>
          <w:rFonts w:ascii="Bookman Old Style" w:hAnsi="Bookman Old Style"/>
          <w:color w:val="000000"/>
        </w:rPr>
        <w:t>digital platform development; and</w:t>
      </w:r>
    </w:p>
    <w:p w14:paraId="6D476324" w14:textId="77777777" w:rsidR="00E02D1C" w:rsidRPr="007F2FFF" w:rsidRDefault="00E02D1C" w:rsidP="00E02D1C">
      <w:pPr>
        <w:numPr>
          <w:ilvl w:val="0"/>
          <w:numId w:val="40"/>
        </w:numPr>
        <w:tabs>
          <w:tab w:val="clear" w:pos="720"/>
        </w:tabs>
        <w:snapToGrid w:val="0"/>
        <w:spacing w:before="120" w:after="0"/>
        <w:ind w:left="851"/>
        <w:jc w:val="both"/>
        <w:rPr>
          <w:rFonts w:ascii="Bookman Old Style" w:hAnsi="Bookman Old Style"/>
          <w:color w:val="000000"/>
        </w:rPr>
      </w:pPr>
      <w:r w:rsidRPr="007F2FFF">
        <w:rPr>
          <w:rFonts w:ascii="Bookman Old Style" w:hAnsi="Bookman Old Style"/>
          <w:color w:val="000000"/>
        </w:rPr>
        <w:t>recruitment of marketing personnel through the Amanahpreneur program.</w:t>
      </w:r>
    </w:p>
    <w:p w14:paraId="66B3492C" w14:textId="77777777" w:rsidR="00E02D1C" w:rsidRPr="0070357A" w:rsidRDefault="00E02D1C" w:rsidP="00E02D1C">
      <w:pPr>
        <w:pStyle w:val="ListParagraph"/>
        <w:numPr>
          <w:ilvl w:val="1"/>
          <w:numId w:val="39"/>
        </w:numPr>
        <w:snapToGrid w:val="0"/>
        <w:spacing w:before="120" w:after="0"/>
        <w:ind w:left="426" w:hanging="284"/>
        <w:contextualSpacing w:val="0"/>
        <w:jc w:val="both"/>
        <w:rPr>
          <w:rFonts w:ascii="Bookman Old Style" w:hAnsi="Bookman Old Style"/>
          <w:color w:val="000000"/>
        </w:rPr>
      </w:pPr>
      <w:r w:rsidRPr="0070357A">
        <w:rPr>
          <w:rFonts w:ascii="Bookman Old Style" w:hAnsi="Bookman Old Style"/>
          <w:color w:val="000000"/>
        </w:rPr>
        <w:t>The implementation of the 2026 Islamic Finance Ramadan Festival (</w:t>
      </w:r>
      <w:r w:rsidRPr="0070357A">
        <w:rPr>
          <w:rFonts w:ascii="Bookman Old Style" w:hAnsi="Bookman Old Style"/>
          <w:i/>
          <w:iCs/>
          <w:color w:val="000000"/>
        </w:rPr>
        <w:t>Gebyar Ramadan Keuangan Syariah</w:t>
      </w:r>
      <w:r w:rsidRPr="0070357A">
        <w:rPr>
          <w:rFonts w:ascii="Bookman Old Style" w:hAnsi="Bookman Old Style"/>
          <w:color w:val="000000"/>
        </w:rPr>
        <w:t> / GERAK Syariah 2026). The peak event was the GERAK Syariah 2026 closing ceremony in Jakarta on 2 April 2026. It marked a moment to reflect on achievements and strengthen collective commitment to advancing Islamic financial literacy and inclusion sustainably. Throughout the program implementation:</w:t>
      </w:r>
    </w:p>
    <w:p w14:paraId="070B08CF" w14:textId="77777777" w:rsidR="00E02D1C" w:rsidRPr="007F2FFF" w:rsidRDefault="00E02D1C" w:rsidP="00E02D1C">
      <w:pPr>
        <w:numPr>
          <w:ilvl w:val="0"/>
          <w:numId w:val="41"/>
        </w:numPr>
        <w:tabs>
          <w:tab w:val="clear" w:pos="720"/>
          <w:tab w:val="num" w:pos="1276"/>
        </w:tabs>
        <w:snapToGrid w:val="0"/>
        <w:spacing w:before="120" w:after="0"/>
        <w:ind w:left="851"/>
        <w:jc w:val="both"/>
        <w:rPr>
          <w:rFonts w:ascii="Bookman Old Style" w:hAnsi="Bookman Old Style"/>
          <w:color w:val="000000"/>
        </w:rPr>
      </w:pPr>
      <w:r w:rsidRPr="007F2FFF">
        <w:rPr>
          <w:rFonts w:ascii="Bookman Old Style" w:hAnsi="Bookman Old Style"/>
          <w:color w:val="000000"/>
        </w:rPr>
        <w:t>1,283 literacy activities;</w:t>
      </w:r>
    </w:p>
    <w:p w14:paraId="4D5DAF49" w14:textId="77777777" w:rsidR="00E02D1C" w:rsidRPr="007F2FFF" w:rsidRDefault="00E02D1C" w:rsidP="00E02D1C">
      <w:pPr>
        <w:numPr>
          <w:ilvl w:val="0"/>
          <w:numId w:val="41"/>
        </w:numPr>
        <w:tabs>
          <w:tab w:val="clear" w:pos="720"/>
          <w:tab w:val="num" w:pos="1276"/>
        </w:tabs>
        <w:snapToGrid w:val="0"/>
        <w:spacing w:before="120" w:after="0"/>
        <w:ind w:left="851"/>
        <w:jc w:val="both"/>
        <w:rPr>
          <w:rFonts w:ascii="Bookman Old Style" w:hAnsi="Bookman Old Style"/>
          <w:color w:val="000000"/>
        </w:rPr>
      </w:pPr>
      <w:r w:rsidRPr="007F2FFF">
        <w:rPr>
          <w:rFonts w:ascii="Bookman Old Style" w:hAnsi="Bookman Old Style"/>
          <w:color w:val="000000"/>
        </w:rPr>
        <w:t>459 inclusion activities; and</w:t>
      </w:r>
    </w:p>
    <w:p w14:paraId="1E1A654E" w14:textId="77777777" w:rsidR="00E02D1C" w:rsidRPr="007F2FFF" w:rsidRDefault="00E02D1C" w:rsidP="00E02D1C">
      <w:pPr>
        <w:numPr>
          <w:ilvl w:val="0"/>
          <w:numId w:val="41"/>
        </w:numPr>
        <w:tabs>
          <w:tab w:val="clear" w:pos="720"/>
          <w:tab w:val="num" w:pos="1276"/>
        </w:tabs>
        <w:snapToGrid w:val="0"/>
        <w:spacing w:before="120" w:after="0"/>
        <w:ind w:left="851"/>
        <w:jc w:val="both"/>
        <w:rPr>
          <w:rFonts w:ascii="Bookman Old Style" w:hAnsi="Bookman Old Style"/>
          <w:color w:val="000000"/>
        </w:rPr>
      </w:pPr>
      <w:r w:rsidRPr="007F2FFF">
        <w:rPr>
          <w:rFonts w:ascii="Bookman Old Style" w:hAnsi="Bookman Old Style"/>
          <w:color w:val="000000"/>
        </w:rPr>
        <w:t>890 social activities</w:t>
      </w:r>
    </w:p>
    <w:p w14:paraId="75AD1662" w14:textId="77777777" w:rsidR="00E02D1C" w:rsidRPr="007F2FFF" w:rsidRDefault="00E02D1C" w:rsidP="00E02D1C">
      <w:pPr>
        <w:snapToGrid w:val="0"/>
        <w:spacing w:before="120" w:after="0"/>
        <w:ind w:left="426"/>
        <w:jc w:val="both"/>
        <w:rPr>
          <w:rFonts w:ascii="Bookman Old Style" w:hAnsi="Bookman Old Style"/>
          <w:color w:val="000000"/>
        </w:rPr>
      </w:pPr>
      <w:r w:rsidRPr="007F2FFF">
        <w:rPr>
          <w:rFonts w:ascii="Bookman Old Style" w:hAnsi="Bookman Old Style"/>
          <w:color w:val="000000"/>
        </w:rPr>
        <w:t>were conducted, with a total of 8,350,391 educational participants, an increase of 31 percent compared to the previous year.</w:t>
      </w:r>
      <w:r w:rsidRPr="0070357A">
        <w:rPr>
          <w:rFonts w:ascii="Bookman Old Style" w:hAnsi="Bookman Old Style"/>
          <w:color w:val="000000"/>
        </w:rPr>
        <w:t xml:space="preserve"> </w:t>
      </w:r>
      <w:r w:rsidRPr="007F2FFF">
        <w:rPr>
          <w:rFonts w:ascii="Bookman Old Style" w:hAnsi="Bookman Old Style"/>
          <w:color w:val="000000"/>
        </w:rPr>
        <w:t>From the Islamic finance performance aspect:</w:t>
      </w:r>
    </w:p>
    <w:p w14:paraId="0C409E86" w14:textId="77777777" w:rsidR="00E02D1C" w:rsidRPr="007F2FFF" w:rsidRDefault="00E02D1C" w:rsidP="00E02D1C">
      <w:pPr>
        <w:numPr>
          <w:ilvl w:val="0"/>
          <w:numId w:val="42"/>
        </w:numPr>
        <w:tabs>
          <w:tab w:val="clear" w:pos="720"/>
          <w:tab w:val="num" w:pos="993"/>
        </w:tabs>
        <w:snapToGrid w:val="0"/>
        <w:spacing w:before="120" w:after="0"/>
        <w:ind w:left="851"/>
        <w:jc w:val="both"/>
        <w:rPr>
          <w:rFonts w:ascii="Bookman Old Style" w:hAnsi="Bookman Old Style"/>
          <w:color w:val="000000"/>
        </w:rPr>
      </w:pPr>
      <w:r w:rsidRPr="007F2FFF">
        <w:rPr>
          <w:rFonts w:ascii="Bookman Old Style" w:hAnsi="Bookman Old Style"/>
          <w:color w:val="000000"/>
        </w:rPr>
        <w:t xml:space="preserve">funds raised reached </w:t>
      </w:r>
      <w:r>
        <w:rPr>
          <w:rFonts w:ascii="Bookman Old Style" w:hAnsi="Bookman Old Style"/>
          <w:color w:val="000000"/>
        </w:rPr>
        <w:t>IDR</w:t>
      </w:r>
      <w:r w:rsidRPr="007F2FFF">
        <w:rPr>
          <w:rFonts w:ascii="Bookman Old Style" w:hAnsi="Bookman Old Style"/>
          <w:color w:val="000000"/>
        </w:rPr>
        <w:t>6.83 trillion;</w:t>
      </w:r>
    </w:p>
    <w:p w14:paraId="260E23F8" w14:textId="77777777" w:rsidR="00E02D1C" w:rsidRPr="007F2FFF" w:rsidRDefault="00E02D1C" w:rsidP="00E02D1C">
      <w:pPr>
        <w:numPr>
          <w:ilvl w:val="0"/>
          <w:numId w:val="42"/>
        </w:numPr>
        <w:tabs>
          <w:tab w:val="clear" w:pos="720"/>
          <w:tab w:val="num" w:pos="993"/>
        </w:tabs>
        <w:snapToGrid w:val="0"/>
        <w:spacing w:before="120" w:after="0"/>
        <w:ind w:left="851"/>
        <w:jc w:val="both"/>
        <w:rPr>
          <w:rFonts w:ascii="Bookman Old Style" w:hAnsi="Bookman Old Style"/>
          <w:color w:val="000000"/>
        </w:rPr>
      </w:pPr>
      <w:r w:rsidRPr="007F2FFF">
        <w:rPr>
          <w:rFonts w:ascii="Bookman Old Style" w:hAnsi="Bookman Old Style"/>
          <w:color w:val="000000"/>
        </w:rPr>
        <w:t xml:space="preserve">funds distributed amounted to </w:t>
      </w:r>
      <w:r>
        <w:rPr>
          <w:rFonts w:ascii="Bookman Old Style" w:hAnsi="Bookman Old Style"/>
          <w:color w:val="000000"/>
        </w:rPr>
        <w:t>IDR</w:t>
      </w:r>
      <w:r w:rsidRPr="007F2FFF">
        <w:rPr>
          <w:rFonts w:ascii="Bookman Old Style" w:hAnsi="Bookman Old Style"/>
          <w:color w:val="000000"/>
        </w:rPr>
        <w:t>6.86 trillion; and</w:t>
      </w:r>
    </w:p>
    <w:p w14:paraId="078697CC" w14:textId="77777777" w:rsidR="00E02D1C" w:rsidRPr="007F2FFF" w:rsidRDefault="00E02D1C" w:rsidP="00E02D1C">
      <w:pPr>
        <w:numPr>
          <w:ilvl w:val="0"/>
          <w:numId w:val="42"/>
        </w:numPr>
        <w:tabs>
          <w:tab w:val="clear" w:pos="720"/>
          <w:tab w:val="num" w:pos="993"/>
        </w:tabs>
        <w:snapToGrid w:val="0"/>
        <w:spacing w:before="120" w:after="0"/>
        <w:ind w:left="851"/>
        <w:jc w:val="both"/>
        <w:rPr>
          <w:rFonts w:ascii="Bookman Old Style" w:hAnsi="Bookman Old Style"/>
          <w:color w:val="000000"/>
        </w:rPr>
      </w:pPr>
      <w:r w:rsidRPr="007F2FFF">
        <w:rPr>
          <w:rFonts w:ascii="Bookman Old Style" w:hAnsi="Bookman Old Style"/>
          <w:color w:val="000000"/>
        </w:rPr>
        <w:t xml:space="preserve">A total of 266,421 individuals were reached, with </w:t>
      </w:r>
      <w:r>
        <w:rPr>
          <w:rFonts w:ascii="Bookman Old Style" w:hAnsi="Bookman Old Style"/>
          <w:color w:val="000000"/>
        </w:rPr>
        <w:t>IDR</w:t>
      </w:r>
      <w:r w:rsidRPr="007F2FFF">
        <w:rPr>
          <w:rFonts w:ascii="Bookman Old Style" w:hAnsi="Bookman Old Style"/>
          <w:color w:val="000000"/>
        </w:rPr>
        <w:t>86.2 billion in distributed social funds.</w:t>
      </w:r>
    </w:p>
    <w:p w14:paraId="517A1126" w14:textId="77777777" w:rsidR="00E02D1C" w:rsidRPr="007F2FFF" w:rsidRDefault="00E02D1C" w:rsidP="00E02D1C">
      <w:pPr>
        <w:snapToGrid w:val="0"/>
        <w:spacing w:before="120" w:after="0"/>
        <w:ind w:left="426"/>
        <w:jc w:val="both"/>
        <w:rPr>
          <w:rFonts w:ascii="Bookman Old Style" w:hAnsi="Bookman Old Style"/>
          <w:color w:val="000000"/>
        </w:rPr>
      </w:pPr>
      <w:r w:rsidRPr="007F2FFF">
        <w:rPr>
          <w:rFonts w:ascii="Bookman Old Style" w:hAnsi="Bookman Old Style"/>
          <w:color w:val="000000"/>
        </w:rPr>
        <w:t>During the closing event, OJK also emphasized the importance of strengthening cross-stakeholder collaboration, including with the Ministry of Religious Affairs of the Republic of Indonesia, among others, through the preparation of the Religion-Based Financial Education Pocketbook (ESA).</w:t>
      </w:r>
      <w:r w:rsidRPr="0070357A">
        <w:rPr>
          <w:rFonts w:ascii="Bookman Old Style" w:hAnsi="Bookman Old Style"/>
          <w:color w:val="000000"/>
        </w:rPr>
        <w:t xml:space="preserve"> </w:t>
      </w:r>
      <w:r w:rsidRPr="007F2FFF">
        <w:rPr>
          <w:rFonts w:ascii="Bookman Old Style" w:hAnsi="Bookman Old Style"/>
          <w:color w:val="000000"/>
        </w:rPr>
        <w:t>The book is expected to serve as a practical guide for the public on managing finances in line with religious values, including Islamic finance principles.</w:t>
      </w:r>
    </w:p>
    <w:p w14:paraId="52F0C6CE" w14:textId="77777777" w:rsidR="00E02D1C" w:rsidRPr="0070357A" w:rsidRDefault="00E02D1C" w:rsidP="00E02D1C">
      <w:pPr>
        <w:pStyle w:val="ListParagraph"/>
        <w:numPr>
          <w:ilvl w:val="1"/>
          <w:numId w:val="39"/>
        </w:numPr>
        <w:snapToGrid w:val="0"/>
        <w:spacing w:before="120" w:after="0"/>
        <w:ind w:left="426" w:hanging="284"/>
        <w:contextualSpacing w:val="0"/>
        <w:jc w:val="both"/>
        <w:rPr>
          <w:rFonts w:ascii="Bookman Old Style" w:hAnsi="Bookman Old Style"/>
          <w:color w:val="000000"/>
        </w:rPr>
      </w:pPr>
      <w:r w:rsidRPr="0070357A">
        <w:rPr>
          <w:rFonts w:ascii="Bookman Old Style" w:hAnsi="Bookman Old Style"/>
          <w:color w:val="000000"/>
        </w:rPr>
        <w:t>The implementation of the </w:t>
      </w:r>
      <w:r w:rsidRPr="0070357A">
        <w:rPr>
          <w:rFonts w:ascii="Bookman Old Style" w:hAnsi="Bookman Old Style"/>
          <w:i/>
          <w:iCs/>
          <w:color w:val="000000"/>
        </w:rPr>
        <w:t>Santri Cakap Literasi Keuangan Syariah</w:t>
      </w:r>
      <w:r w:rsidRPr="0070357A">
        <w:rPr>
          <w:rFonts w:ascii="Bookman Old Style" w:hAnsi="Bookman Old Style"/>
          <w:color w:val="000000"/>
        </w:rPr>
        <w:t> (SAKINAH) and </w:t>
      </w:r>
      <w:r w:rsidRPr="0070357A">
        <w:rPr>
          <w:rFonts w:ascii="Bookman Old Style" w:hAnsi="Bookman Old Style"/>
          <w:i/>
          <w:iCs/>
          <w:color w:val="000000"/>
        </w:rPr>
        <w:t>Forum Edukasi dan Temu Bisnis Keuangan Syariah</w:t>
      </w:r>
      <w:r w:rsidRPr="0070357A">
        <w:rPr>
          <w:rFonts w:ascii="Bookman Old Style" w:hAnsi="Bookman Old Style"/>
          <w:color w:val="000000"/>
        </w:rPr>
        <w:t xml:space="preserve"> (FEBIS) programs is a joint effort of OJK, Nahdlatul Ulama, the National Nutrition Agency, and Islamic Financial Services Business Actors (PUJK Syariah). Activities aim to strengthen the Islamic boarding school ecosystem through Islamic financial literacy and inclusion. The event took place on 14 April 2026 at Pondok Pesantren Lirboyo, Kediri, East Java. The activities supported the Government’s priority programs to improve human resource quality and promote community-based economic empowerment. They focused on strengthening nutrition and business development within Islamic boarding school </w:t>
      </w:r>
      <w:r w:rsidRPr="0070357A">
        <w:rPr>
          <w:rFonts w:ascii="Bookman Old Style" w:hAnsi="Bookman Old Style"/>
          <w:color w:val="000000"/>
        </w:rPr>
        <w:lastRenderedPageBreak/>
        <w:t>ecosystems, integrated with SAKINAH and FEBIS programs. The SAKINAH program was attended by approximately 1,000 students and covered topics including:</w:t>
      </w:r>
    </w:p>
    <w:p w14:paraId="7A07AB2B" w14:textId="77777777" w:rsidR="00E02D1C" w:rsidRPr="007F2FFF" w:rsidRDefault="00E02D1C" w:rsidP="00E02D1C">
      <w:pPr>
        <w:numPr>
          <w:ilvl w:val="0"/>
          <w:numId w:val="43"/>
        </w:numPr>
        <w:tabs>
          <w:tab w:val="clear" w:pos="720"/>
          <w:tab w:val="num" w:pos="1276"/>
        </w:tabs>
        <w:snapToGrid w:val="0"/>
        <w:spacing w:before="120" w:after="0"/>
        <w:ind w:left="851"/>
        <w:jc w:val="both"/>
        <w:rPr>
          <w:rFonts w:ascii="Bookman Old Style" w:hAnsi="Bookman Old Style"/>
          <w:color w:val="000000"/>
        </w:rPr>
      </w:pPr>
      <w:r w:rsidRPr="007F2FFF">
        <w:rPr>
          <w:rFonts w:ascii="Bookman Old Style" w:hAnsi="Bookman Old Style"/>
          <w:color w:val="000000"/>
        </w:rPr>
        <w:t>Islamic financial literacy;</w:t>
      </w:r>
    </w:p>
    <w:p w14:paraId="133E84C3" w14:textId="77777777" w:rsidR="00E02D1C" w:rsidRPr="007F2FFF" w:rsidRDefault="00E02D1C" w:rsidP="00E02D1C">
      <w:pPr>
        <w:numPr>
          <w:ilvl w:val="0"/>
          <w:numId w:val="43"/>
        </w:numPr>
        <w:tabs>
          <w:tab w:val="clear" w:pos="720"/>
          <w:tab w:val="num" w:pos="1276"/>
        </w:tabs>
        <w:snapToGrid w:val="0"/>
        <w:spacing w:before="120" w:after="0"/>
        <w:ind w:left="851"/>
        <w:jc w:val="both"/>
        <w:rPr>
          <w:rFonts w:ascii="Bookman Old Style" w:hAnsi="Bookman Old Style"/>
          <w:color w:val="000000"/>
        </w:rPr>
      </w:pPr>
      <w:r w:rsidRPr="007F2FFF">
        <w:rPr>
          <w:rFonts w:ascii="Bookman Old Style" w:hAnsi="Bookman Old Style"/>
          <w:color w:val="000000"/>
        </w:rPr>
        <w:t>financial management;</w:t>
      </w:r>
    </w:p>
    <w:p w14:paraId="6077F54B" w14:textId="77777777" w:rsidR="00E02D1C" w:rsidRPr="007F2FFF" w:rsidRDefault="00E02D1C" w:rsidP="00E02D1C">
      <w:pPr>
        <w:numPr>
          <w:ilvl w:val="0"/>
          <w:numId w:val="43"/>
        </w:numPr>
        <w:tabs>
          <w:tab w:val="clear" w:pos="720"/>
          <w:tab w:val="num" w:pos="1276"/>
        </w:tabs>
        <w:snapToGrid w:val="0"/>
        <w:spacing w:before="120" w:after="0"/>
        <w:ind w:left="851"/>
        <w:jc w:val="both"/>
        <w:rPr>
          <w:rFonts w:ascii="Bookman Old Style" w:hAnsi="Bookman Old Style"/>
          <w:color w:val="000000"/>
        </w:rPr>
      </w:pPr>
      <w:r w:rsidRPr="007F2FFF">
        <w:rPr>
          <w:rFonts w:ascii="Bookman Old Style" w:hAnsi="Bookman Old Style"/>
          <w:color w:val="000000"/>
        </w:rPr>
        <w:t>awareness of illegal financial activities; and</w:t>
      </w:r>
    </w:p>
    <w:p w14:paraId="750A30E2" w14:textId="77777777" w:rsidR="00E02D1C" w:rsidRPr="007F2FFF" w:rsidRDefault="00E02D1C" w:rsidP="00E02D1C">
      <w:pPr>
        <w:numPr>
          <w:ilvl w:val="0"/>
          <w:numId w:val="43"/>
        </w:numPr>
        <w:tabs>
          <w:tab w:val="clear" w:pos="720"/>
          <w:tab w:val="num" w:pos="1276"/>
        </w:tabs>
        <w:snapToGrid w:val="0"/>
        <w:spacing w:before="120" w:after="0"/>
        <w:ind w:left="851"/>
        <w:jc w:val="both"/>
        <w:rPr>
          <w:rFonts w:ascii="Bookman Old Style" w:hAnsi="Bookman Old Style"/>
          <w:color w:val="000000"/>
        </w:rPr>
      </w:pPr>
      <w:r w:rsidRPr="007F2FFF">
        <w:rPr>
          <w:rFonts w:ascii="Bookman Old Style" w:hAnsi="Bookman Old Style"/>
          <w:color w:val="000000"/>
        </w:rPr>
        <w:t>The importance of nutrition fulfilment.</w:t>
      </w:r>
    </w:p>
    <w:p w14:paraId="23024ADC" w14:textId="77777777" w:rsidR="00E02D1C" w:rsidRPr="007F2FFF" w:rsidRDefault="00E02D1C" w:rsidP="00E02D1C">
      <w:pPr>
        <w:snapToGrid w:val="0"/>
        <w:spacing w:before="120" w:after="0"/>
        <w:ind w:left="426"/>
        <w:jc w:val="both"/>
        <w:rPr>
          <w:rFonts w:ascii="Bookman Old Style" w:hAnsi="Bookman Old Style"/>
          <w:color w:val="000000"/>
        </w:rPr>
      </w:pPr>
      <w:r w:rsidRPr="007F2FFF">
        <w:rPr>
          <w:rFonts w:ascii="Bookman Old Style" w:hAnsi="Bookman Old Style"/>
          <w:color w:val="000000"/>
        </w:rPr>
        <w:t>Meanwhile, FEBIS had about 150 participants. The program included presentations by Islamic Financial Services Business Actors and business matching sessions. The aim was to expand financial access for business actors within the Islamic boarding school ecosystem.</w:t>
      </w:r>
    </w:p>
    <w:p w14:paraId="29FE9E09" w14:textId="77777777" w:rsidR="00E02D1C" w:rsidRPr="007F2FFF" w:rsidRDefault="00E02D1C" w:rsidP="00E02D1C">
      <w:pPr>
        <w:snapToGrid w:val="0"/>
        <w:spacing w:before="120" w:after="0"/>
        <w:ind w:left="426"/>
        <w:jc w:val="both"/>
        <w:rPr>
          <w:rFonts w:ascii="Bookman Old Style" w:hAnsi="Bookman Old Style"/>
          <w:color w:val="000000"/>
        </w:rPr>
      </w:pPr>
      <w:r w:rsidRPr="007F2FFF">
        <w:rPr>
          <w:rFonts w:ascii="Bookman Old Style" w:hAnsi="Bookman Old Style"/>
          <w:color w:val="000000"/>
        </w:rPr>
        <w:t>As part of the program series, ceremonial inaugurations of Islamic boarding school Nutrition Fulfilment Service Units (SPPG) were held. These events supported Government priority programs and featured symbolic openings of Islamic financial access and the signing of commemorative plaques for 25 SPPGs.</w:t>
      </w:r>
    </w:p>
    <w:p w14:paraId="28017705" w14:textId="77777777" w:rsidR="00E02D1C" w:rsidRPr="007F2FFF" w:rsidRDefault="00E02D1C" w:rsidP="00E02D1C">
      <w:pPr>
        <w:snapToGrid w:val="0"/>
        <w:spacing w:before="120" w:after="0"/>
        <w:ind w:left="426"/>
        <w:jc w:val="both"/>
        <w:rPr>
          <w:rFonts w:ascii="Bookman Old Style" w:hAnsi="Bookman Old Style"/>
          <w:color w:val="000000"/>
        </w:rPr>
      </w:pPr>
      <w:r w:rsidRPr="007F2FFF">
        <w:rPr>
          <w:rFonts w:ascii="Bookman Old Style" w:hAnsi="Bookman Old Style"/>
          <w:color w:val="000000"/>
        </w:rPr>
        <w:t>These initiatives represent concrete efforts to strengthen the Islamic boarding school ecosystem by integrating Islamic financial literacy, financial inclusion, and community economic empowerment.</w:t>
      </w:r>
    </w:p>
    <w:p w14:paraId="5B3FB3B0" w14:textId="77777777" w:rsidR="00E02D1C" w:rsidRPr="007F2FFF" w:rsidRDefault="00E02D1C" w:rsidP="00E02D1C">
      <w:pPr>
        <w:snapToGrid w:val="0"/>
        <w:spacing w:before="120" w:after="0"/>
        <w:jc w:val="both"/>
        <w:outlineLvl w:val="0"/>
        <w:rPr>
          <w:rFonts w:ascii="Bookman Old Style" w:hAnsi="Bookman Old Style"/>
          <w:b/>
          <w:bCs/>
          <w:color w:val="000000"/>
          <w:kern w:val="36"/>
        </w:rPr>
      </w:pPr>
      <w:r w:rsidRPr="007F2FFF">
        <w:rPr>
          <w:rFonts w:ascii="Bookman Old Style" w:hAnsi="Bookman Old Style"/>
          <w:b/>
          <w:bCs/>
          <w:color w:val="000000"/>
          <w:kern w:val="36"/>
        </w:rPr>
        <w:t>D. Governance Strengthening</w:t>
      </w:r>
    </w:p>
    <w:p w14:paraId="35DD3B9B" w14:textId="77777777" w:rsidR="00E02D1C" w:rsidRPr="007F2FFF" w:rsidRDefault="00E02D1C" w:rsidP="00E02D1C">
      <w:pPr>
        <w:snapToGrid w:val="0"/>
        <w:spacing w:before="120" w:after="0"/>
        <w:jc w:val="both"/>
        <w:rPr>
          <w:rFonts w:ascii="Bookman Old Style" w:hAnsi="Bookman Old Style"/>
          <w:color w:val="000000"/>
        </w:rPr>
      </w:pPr>
      <w:r w:rsidRPr="007F2FFF">
        <w:rPr>
          <w:rFonts w:ascii="Bookman Old Style" w:hAnsi="Bookman Old Style"/>
          <w:color w:val="000000"/>
        </w:rPr>
        <w:t>In strengthening governance and reinforcing integrity within the financial services sector to support the sustainable advancement of the financial industry, OJK has undertaken various integrity enhancement initiatives, including:</w:t>
      </w:r>
    </w:p>
    <w:p w14:paraId="03448CE4" w14:textId="77777777" w:rsidR="00E02D1C" w:rsidRPr="0070357A" w:rsidRDefault="00E02D1C" w:rsidP="00E02D1C">
      <w:pPr>
        <w:pStyle w:val="ListParagraph"/>
        <w:numPr>
          <w:ilvl w:val="1"/>
          <w:numId w:val="42"/>
        </w:numPr>
        <w:snapToGrid w:val="0"/>
        <w:spacing w:before="120" w:after="0"/>
        <w:ind w:left="284" w:hanging="284"/>
        <w:contextualSpacing w:val="0"/>
        <w:jc w:val="both"/>
        <w:rPr>
          <w:rFonts w:ascii="Bookman Old Style" w:hAnsi="Bookman Old Style"/>
          <w:color w:val="000000"/>
        </w:rPr>
      </w:pPr>
      <w:r w:rsidRPr="0070357A">
        <w:rPr>
          <w:rFonts w:ascii="Bookman Old Style" w:hAnsi="Bookman Old Style"/>
          <w:color w:val="000000"/>
        </w:rPr>
        <w:t>Strengthening the implementation of integrated and sustainable Governance, Risk, and Compliance (GRC) functions within the financial services sector as a foundation for maintaining financial system stability amid increasingly complex global dynamics. OJK seeks to strengthen a robust GRC ecosystem. It also aims to foster collaboration among regulators, associations, and industry players. The goals are more effective, transparent, and integrity-driven governance, risk management, and compliance practices. The initiative also emphasizes the importance of improving stakeholders’ understanding of policy developments and the implementation of Beneficial Ownership (BO/UBO) reporting in Indonesia, as part of strengthening transparency, governance, and risk management within the financial services sector.</w:t>
      </w:r>
    </w:p>
    <w:p w14:paraId="77DDC9A9" w14:textId="77777777" w:rsidR="00E02D1C" w:rsidRPr="0070357A" w:rsidRDefault="00E02D1C" w:rsidP="00E02D1C">
      <w:pPr>
        <w:pStyle w:val="ListParagraph"/>
        <w:numPr>
          <w:ilvl w:val="1"/>
          <w:numId w:val="42"/>
        </w:numPr>
        <w:snapToGrid w:val="0"/>
        <w:spacing w:before="120" w:after="0"/>
        <w:ind w:left="284" w:hanging="284"/>
        <w:contextualSpacing w:val="0"/>
        <w:jc w:val="both"/>
        <w:rPr>
          <w:rFonts w:ascii="Bookman Old Style" w:hAnsi="Bookman Old Style"/>
          <w:color w:val="000000"/>
        </w:rPr>
      </w:pPr>
      <w:r w:rsidRPr="0070357A">
        <w:rPr>
          <w:rFonts w:ascii="Bookman Old Style" w:hAnsi="Bookman Old Style"/>
          <w:color w:val="000000"/>
        </w:rPr>
        <w:t>The SPARK Class program was organized to enhance compliance and integrity culture and provide a more comprehensive understanding regarding the interconnection between fraud risks, beneficial ownership transparency, and strengthening Anti-Money Laundering and Counter-Terrorism Financing (AML/CFT) frameworks within broader governance structures. The activity was attended by 15,217 participants from OJK, ministries/agencies, associations, academia, and financial services institutions. OJK continuously encourages greater industry capacity and awareness. The goal is to build more effective control systems, strengthen organizational integrity, and maintain public trust and financial system stability on a sustainable basis.</w:t>
      </w:r>
    </w:p>
    <w:p w14:paraId="128E5980" w14:textId="77777777" w:rsidR="00E02D1C" w:rsidRPr="0070357A" w:rsidRDefault="00E02D1C" w:rsidP="00E02D1C">
      <w:pPr>
        <w:pStyle w:val="ListParagraph"/>
        <w:numPr>
          <w:ilvl w:val="1"/>
          <w:numId w:val="42"/>
        </w:numPr>
        <w:snapToGrid w:val="0"/>
        <w:spacing w:before="120" w:after="0"/>
        <w:ind w:left="284" w:hanging="284"/>
        <w:contextualSpacing w:val="0"/>
        <w:jc w:val="both"/>
        <w:rPr>
          <w:rFonts w:ascii="Bookman Old Style" w:hAnsi="Bookman Old Style"/>
          <w:color w:val="000000"/>
        </w:rPr>
      </w:pPr>
      <w:r w:rsidRPr="0070357A">
        <w:rPr>
          <w:rFonts w:ascii="Bookman Old Style" w:hAnsi="Bookman Old Style"/>
          <w:color w:val="000000"/>
        </w:rPr>
        <w:t xml:space="preserve">Strengthening integrity-based work culture by encouraging all stakeholders to emulate the spirit of struggle of Raden Ajeng Kartini, particularly in fostering independence, critical thinking, and strong adherence to moral values, ethics, accountability, and responsibility through an Inspiring Talkshow held in Rembang, Central Java, attended </w:t>
      </w:r>
      <w:r w:rsidRPr="0070357A">
        <w:rPr>
          <w:rFonts w:ascii="Bookman Old Style" w:hAnsi="Bookman Old Style"/>
          <w:color w:val="000000"/>
        </w:rPr>
        <w:lastRenderedPageBreak/>
        <w:t>by more than 6,820 participants in a hybrid format. As part of the event series, collaboration was also conducted with the Kartini Heritage Center Foundation through:</w:t>
      </w:r>
    </w:p>
    <w:p w14:paraId="7A0C4CB4" w14:textId="77777777" w:rsidR="00E02D1C" w:rsidRPr="007F2FFF" w:rsidRDefault="00E02D1C" w:rsidP="00E02D1C">
      <w:pPr>
        <w:numPr>
          <w:ilvl w:val="0"/>
          <w:numId w:val="44"/>
        </w:numPr>
        <w:snapToGrid w:val="0"/>
        <w:spacing w:before="120" w:after="0"/>
        <w:jc w:val="both"/>
        <w:rPr>
          <w:rFonts w:ascii="Bookman Old Style" w:hAnsi="Bookman Old Style"/>
          <w:color w:val="000000"/>
        </w:rPr>
      </w:pPr>
      <w:r w:rsidRPr="007F2FFF">
        <w:rPr>
          <w:rFonts w:ascii="Bookman Old Style" w:hAnsi="Bookman Old Style"/>
          <w:color w:val="000000"/>
        </w:rPr>
        <w:t>financial education and literacy programs by OJK Central Java Province;</w:t>
      </w:r>
    </w:p>
    <w:p w14:paraId="44E780FD" w14:textId="77777777" w:rsidR="00E02D1C" w:rsidRPr="007F2FFF" w:rsidRDefault="00E02D1C" w:rsidP="00E02D1C">
      <w:pPr>
        <w:numPr>
          <w:ilvl w:val="0"/>
          <w:numId w:val="44"/>
        </w:numPr>
        <w:snapToGrid w:val="0"/>
        <w:spacing w:before="120" w:after="0"/>
        <w:jc w:val="both"/>
        <w:rPr>
          <w:rFonts w:ascii="Bookman Old Style" w:hAnsi="Bookman Old Style"/>
          <w:color w:val="000000"/>
        </w:rPr>
      </w:pPr>
      <w:r w:rsidRPr="007F2FFF">
        <w:rPr>
          <w:rFonts w:ascii="Bookman Old Style" w:hAnsi="Bookman Old Style"/>
          <w:color w:val="000000"/>
        </w:rPr>
        <w:t>support for the Village Head Innovation Competition across Rembang Regency; and</w:t>
      </w:r>
    </w:p>
    <w:p w14:paraId="004C3D76" w14:textId="77777777" w:rsidR="00E02D1C" w:rsidRPr="007F2FFF" w:rsidRDefault="00E02D1C" w:rsidP="00E02D1C">
      <w:pPr>
        <w:numPr>
          <w:ilvl w:val="0"/>
          <w:numId w:val="44"/>
        </w:numPr>
        <w:snapToGrid w:val="0"/>
        <w:spacing w:before="120" w:after="0"/>
        <w:jc w:val="both"/>
        <w:rPr>
          <w:rFonts w:ascii="Bookman Old Style" w:hAnsi="Bookman Old Style"/>
          <w:color w:val="000000"/>
        </w:rPr>
      </w:pPr>
      <w:r w:rsidRPr="007F2FFF">
        <w:rPr>
          <w:rFonts w:ascii="Bookman Old Style" w:hAnsi="Bookman Old Style"/>
          <w:color w:val="000000"/>
        </w:rPr>
        <w:t>exhibitions of featured products from local MSMEs.</w:t>
      </w:r>
    </w:p>
    <w:p w14:paraId="07DE794A" w14:textId="77777777" w:rsidR="00E02D1C" w:rsidRPr="007F2FFF" w:rsidRDefault="00E02D1C" w:rsidP="00E02D1C">
      <w:pPr>
        <w:snapToGrid w:val="0"/>
        <w:spacing w:before="120" w:after="0"/>
        <w:ind w:left="284"/>
        <w:jc w:val="both"/>
        <w:rPr>
          <w:rFonts w:ascii="Bookman Old Style" w:hAnsi="Bookman Old Style"/>
          <w:color w:val="000000"/>
        </w:rPr>
      </w:pPr>
      <w:r w:rsidRPr="007F2FFF">
        <w:rPr>
          <w:rFonts w:ascii="Bookman Old Style" w:hAnsi="Bookman Old Style"/>
          <w:color w:val="000000"/>
        </w:rPr>
        <w:t>The Minister of Administrative and Bureaucratic Reform (PAN-RB), who attended the event, emphasized that conflict-of-interest management constitutes a key pillar of the public integrity system. In this regard, Ministerial Regulation of PAN-RB Number 17 of 2024 concerning Conflict of Interest Management has been issued.</w:t>
      </w:r>
    </w:p>
    <w:p w14:paraId="7CDFBFCE" w14:textId="77777777" w:rsidR="00E02D1C" w:rsidRPr="007F2FFF" w:rsidRDefault="00E02D1C" w:rsidP="00E02D1C">
      <w:pPr>
        <w:snapToGrid w:val="0"/>
        <w:spacing w:before="120" w:after="0"/>
        <w:ind w:left="284"/>
        <w:jc w:val="both"/>
        <w:rPr>
          <w:rFonts w:ascii="Bookman Old Style" w:hAnsi="Bookman Old Style"/>
          <w:color w:val="000000"/>
        </w:rPr>
      </w:pPr>
      <w:r w:rsidRPr="007F2FFF">
        <w:rPr>
          <w:rFonts w:ascii="Bookman Old Style" w:hAnsi="Bookman Old Style"/>
          <w:color w:val="000000"/>
        </w:rPr>
        <w:t>OJK reaffirmed its commitment to clean and integrity-based governance, including through Anti-Bribery Management System (SMAP) certification.</w:t>
      </w:r>
    </w:p>
    <w:p w14:paraId="2ECE4BB2" w14:textId="77777777" w:rsidR="00E02D1C" w:rsidRPr="0070357A" w:rsidRDefault="00E02D1C" w:rsidP="00E02D1C">
      <w:pPr>
        <w:snapToGrid w:val="0"/>
        <w:spacing w:before="120" w:after="0"/>
        <w:ind w:left="284"/>
        <w:jc w:val="both"/>
        <w:rPr>
          <w:rFonts w:ascii="Bookman Old Style" w:hAnsi="Bookman Old Style"/>
          <w:color w:val="000000"/>
        </w:rPr>
      </w:pPr>
      <w:r w:rsidRPr="007F2FFF">
        <w:rPr>
          <w:rFonts w:ascii="Bookman Old Style" w:hAnsi="Bookman Old Style"/>
          <w:color w:val="000000"/>
        </w:rPr>
        <w:t>OJK also encourages Indonesian women, particularly in the financial services sector, to actively contribute to strengthening the anti-fraud culture, understanding gratuity prohibitions, and using the Whistleblowing System (WBS) channel to report alleged ethical violations and indications of fraud, in order to foster a healthy, inclusive, and trusted financial services sector.</w:t>
      </w:r>
    </w:p>
    <w:p w14:paraId="3B3ABEC3" w14:textId="77777777" w:rsidR="00E02D1C" w:rsidRPr="0070357A" w:rsidRDefault="00E02D1C" w:rsidP="00E02D1C">
      <w:pPr>
        <w:pStyle w:val="ListParagraph"/>
        <w:numPr>
          <w:ilvl w:val="1"/>
          <w:numId w:val="42"/>
        </w:numPr>
        <w:snapToGrid w:val="0"/>
        <w:spacing w:before="120" w:after="0"/>
        <w:ind w:left="284" w:hanging="284"/>
        <w:contextualSpacing w:val="0"/>
        <w:jc w:val="both"/>
        <w:rPr>
          <w:rFonts w:ascii="Bookman Old Style" w:hAnsi="Bookman Old Style"/>
          <w:color w:val="000000"/>
        </w:rPr>
      </w:pPr>
      <w:r w:rsidRPr="0070357A">
        <w:rPr>
          <w:rFonts w:ascii="Bookman Old Style" w:hAnsi="Bookman Old Style"/>
          <w:color w:val="000000"/>
        </w:rPr>
        <w:t>Continuous improvements in governance strengthening, particularly within internal audit functions, are achieved by referring to the Global Internal Audit Standards (GIAS). Implementation of GIAS focuses on improving the quality, effectiveness, and simplification of internal audit processes while strengthening its role as the third line of defense in the three-line</w:t>
      </w:r>
      <w:r w:rsidRPr="0070357A">
        <w:rPr>
          <w:rFonts w:ascii="Bookman Old Style" w:hAnsi="Bookman Old Style"/>
          <w:i/>
          <w:iCs/>
          <w:color w:val="000000"/>
        </w:rPr>
        <w:t xml:space="preserve"> model. </w:t>
      </w:r>
      <w:r w:rsidRPr="0070357A">
        <w:rPr>
          <w:rFonts w:ascii="Bookman Old Style" w:hAnsi="Bookman Old Style"/>
          <w:color w:val="000000"/>
        </w:rPr>
        <w:t>Clarifying roles and strengthening synergy among all lines are considered crucial to ensuring effective control systems while maintaining the independence and objectivity of the internal audit function. Through this role, internal audit functions are expected to provide value-added assurance and advisory services and act as an enabler in supporting OJK’s duties and functions.</w:t>
      </w:r>
    </w:p>
    <w:p w14:paraId="57B5032C" w14:textId="77777777" w:rsidR="00E02D1C" w:rsidRPr="0070357A" w:rsidRDefault="00E02D1C" w:rsidP="00E02D1C">
      <w:pPr>
        <w:pStyle w:val="ListParagraph"/>
        <w:numPr>
          <w:ilvl w:val="1"/>
          <w:numId w:val="42"/>
        </w:numPr>
        <w:snapToGrid w:val="0"/>
        <w:spacing w:before="120" w:after="0"/>
        <w:ind w:left="284" w:hanging="284"/>
        <w:contextualSpacing w:val="0"/>
        <w:jc w:val="both"/>
        <w:rPr>
          <w:rFonts w:ascii="Bookman Old Style" w:hAnsi="Bookman Old Style"/>
          <w:color w:val="000000"/>
        </w:rPr>
      </w:pPr>
      <w:r w:rsidRPr="0070357A">
        <w:rPr>
          <w:rFonts w:ascii="Bookman Old Style" w:hAnsi="Bookman Old Style"/>
          <w:color w:val="000000"/>
        </w:rPr>
        <w:t>The implementation of the First Quarter 2026 Risk Management Committee Meeting through bottom-up and top-down approaches as part of OJK’s risk management process, taking into account both external and internal contexts. Risk Management at OJK continues to be strengthened by focusing on:</w:t>
      </w:r>
    </w:p>
    <w:p w14:paraId="5647A200" w14:textId="77777777" w:rsidR="00E02D1C" w:rsidRPr="007F2FFF" w:rsidRDefault="00E02D1C" w:rsidP="00E02D1C">
      <w:pPr>
        <w:numPr>
          <w:ilvl w:val="0"/>
          <w:numId w:val="45"/>
        </w:numPr>
        <w:snapToGrid w:val="0"/>
        <w:spacing w:before="120" w:after="0"/>
        <w:jc w:val="both"/>
        <w:rPr>
          <w:rFonts w:ascii="Bookman Old Style" w:hAnsi="Bookman Old Style"/>
          <w:color w:val="000000"/>
        </w:rPr>
      </w:pPr>
      <w:r w:rsidRPr="007F2FFF">
        <w:rPr>
          <w:rFonts w:ascii="Bookman Old Style" w:hAnsi="Bookman Old Style"/>
          <w:color w:val="000000"/>
        </w:rPr>
        <w:t>identifying key risks as leading indicators;</w:t>
      </w:r>
    </w:p>
    <w:p w14:paraId="151EACE0" w14:textId="77777777" w:rsidR="00E02D1C" w:rsidRPr="007F2FFF" w:rsidRDefault="00E02D1C" w:rsidP="00E02D1C">
      <w:pPr>
        <w:numPr>
          <w:ilvl w:val="0"/>
          <w:numId w:val="45"/>
        </w:numPr>
        <w:snapToGrid w:val="0"/>
        <w:spacing w:before="120" w:after="0"/>
        <w:jc w:val="both"/>
        <w:rPr>
          <w:rFonts w:ascii="Bookman Old Style" w:hAnsi="Bookman Old Style"/>
          <w:color w:val="000000"/>
        </w:rPr>
      </w:pPr>
      <w:r w:rsidRPr="007F2FFF">
        <w:rPr>
          <w:rFonts w:ascii="Bookman Old Style" w:hAnsi="Bookman Old Style"/>
          <w:color w:val="000000"/>
        </w:rPr>
        <w:t>improving mitigation planning and monitoring; and</w:t>
      </w:r>
    </w:p>
    <w:p w14:paraId="54DABCCE" w14:textId="77777777" w:rsidR="00E02D1C" w:rsidRPr="007F2FFF" w:rsidRDefault="00E02D1C" w:rsidP="00E02D1C">
      <w:pPr>
        <w:numPr>
          <w:ilvl w:val="0"/>
          <w:numId w:val="45"/>
        </w:numPr>
        <w:snapToGrid w:val="0"/>
        <w:spacing w:before="120" w:after="0"/>
        <w:jc w:val="both"/>
        <w:rPr>
          <w:rFonts w:ascii="Bookman Old Style" w:hAnsi="Bookman Old Style"/>
          <w:color w:val="000000"/>
        </w:rPr>
      </w:pPr>
      <w:r w:rsidRPr="007F2FFF">
        <w:rPr>
          <w:rFonts w:ascii="Bookman Old Style" w:hAnsi="Bookman Old Style"/>
          <w:color w:val="000000"/>
        </w:rPr>
        <w:t>enhancing, supporting tools, and reporting systems.</w:t>
      </w:r>
    </w:p>
    <w:p w14:paraId="668A03D9" w14:textId="77777777" w:rsidR="00E02D1C" w:rsidRPr="0070357A" w:rsidRDefault="00E02D1C" w:rsidP="00E02D1C">
      <w:pPr>
        <w:snapToGrid w:val="0"/>
        <w:spacing w:before="120" w:after="0"/>
        <w:ind w:left="284"/>
        <w:jc w:val="both"/>
        <w:rPr>
          <w:rFonts w:ascii="Bookman Old Style" w:hAnsi="Bookman Old Style"/>
          <w:color w:val="000000"/>
        </w:rPr>
      </w:pPr>
      <w:r w:rsidRPr="007F2FFF">
        <w:rPr>
          <w:rFonts w:ascii="Bookman Old Style" w:hAnsi="Bookman Old Style"/>
          <w:color w:val="000000"/>
        </w:rPr>
        <w:t>These efforts are intended to strengthen early warning systems as part of OJK’s transformation agenda.</w:t>
      </w:r>
    </w:p>
    <w:p w14:paraId="57C293F1" w14:textId="77777777" w:rsidR="00E02D1C" w:rsidRPr="0070357A" w:rsidRDefault="00E02D1C" w:rsidP="00E02D1C">
      <w:pPr>
        <w:pStyle w:val="ListParagraph"/>
        <w:numPr>
          <w:ilvl w:val="1"/>
          <w:numId w:val="42"/>
        </w:numPr>
        <w:snapToGrid w:val="0"/>
        <w:spacing w:before="120" w:after="0"/>
        <w:ind w:left="284" w:hanging="284"/>
        <w:contextualSpacing w:val="0"/>
        <w:jc w:val="both"/>
        <w:rPr>
          <w:rFonts w:ascii="Bookman Old Style" w:hAnsi="Bookman Old Style"/>
          <w:color w:val="000000"/>
        </w:rPr>
      </w:pPr>
      <w:r w:rsidRPr="0070357A">
        <w:rPr>
          <w:rFonts w:ascii="Bookman Old Style" w:hAnsi="Bookman Old Style"/>
          <w:color w:val="000000"/>
        </w:rPr>
        <w:t>Preparation for ISO 22301 Business Continuity Management System (BCMS) certification to strengthen operational resilience in critical business processes, particularly those related to services for external stakeholders. The preparation focuses on:</w:t>
      </w:r>
    </w:p>
    <w:p w14:paraId="5EB264E8" w14:textId="77777777" w:rsidR="00E02D1C" w:rsidRPr="007F2FFF" w:rsidRDefault="00E02D1C" w:rsidP="00E02D1C">
      <w:pPr>
        <w:numPr>
          <w:ilvl w:val="0"/>
          <w:numId w:val="46"/>
        </w:numPr>
        <w:snapToGrid w:val="0"/>
        <w:spacing w:before="120" w:after="0"/>
        <w:jc w:val="both"/>
        <w:rPr>
          <w:rFonts w:ascii="Bookman Old Style" w:hAnsi="Bookman Old Style"/>
          <w:color w:val="000000"/>
        </w:rPr>
      </w:pPr>
      <w:r w:rsidRPr="007F2FFF">
        <w:rPr>
          <w:rFonts w:ascii="Bookman Old Style" w:hAnsi="Bookman Old Style"/>
          <w:color w:val="000000"/>
        </w:rPr>
        <w:t>determining certification scope;</w:t>
      </w:r>
    </w:p>
    <w:p w14:paraId="7CD608BF" w14:textId="77777777" w:rsidR="00E02D1C" w:rsidRPr="007F2FFF" w:rsidRDefault="00E02D1C" w:rsidP="00E02D1C">
      <w:pPr>
        <w:numPr>
          <w:ilvl w:val="0"/>
          <w:numId w:val="46"/>
        </w:numPr>
        <w:snapToGrid w:val="0"/>
        <w:spacing w:before="120" w:after="0"/>
        <w:jc w:val="both"/>
        <w:rPr>
          <w:rFonts w:ascii="Bookman Old Style" w:hAnsi="Bookman Old Style"/>
          <w:color w:val="000000"/>
        </w:rPr>
      </w:pPr>
      <w:r w:rsidRPr="007F2FFF">
        <w:rPr>
          <w:rFonts w:ascii="Bookman Old Style" w:hAnsi="Bookman Old Style"/>
          <w:color w:val="000000"/>
        </w:rPr>
        <w:t>conducting gap analysis against ISO requirements;</w:t>
      </w:r>
    </w:p>
    <w:p w14:paraId="3A1A79E1" w14:textId="77777777" w:rsidR="00E02D1C" w:rsidRPr="007F2FFF" w:rsidRDefault="00E02D1C" w:rsidP="00E02D1C">
      <w:pPr>
        <w:numPr>
          <w:ilvl w:val="0"/>
          <w:numId w:val="46"/>
        </w:numPr>
        <w:snapToGrid w:val="0"/>
        <w:spacing w:before="120" w:after="0"/>
        <w:jc w:val="both"/>
        <w:rPr>
          <w:rFonts w:ascii="Bookman Old Style" w:hAnsi="Bookman Old Style"/>
          <w:color w:val="000000"/>
        </w:rPr>
      </w:pPr>
      <w:r w:rsidRPr="007F2FFF">
        <w:rPr>
          <w:rFonts w:ascii="Bookman Old Style" w:hAnsi="Bookman Old Style"/>
          <w:color w:val="000000"/>
        </w:rPr>
        <w:t>certification processes by independent institutions; and</w:t>
      </w:r>
    </w:p>
    <w:p w14:paraId="24C27532" w14:textId="77777777" w:rsidR="00E02D1C" w:rsidRPr="007F2FFF" w:rsidRDefault="00E02D1C" w:rsidP="00E02D1C">
      <w:pPr>
        <w:numPr>
          <w:ilvl w:val="0"/>
          <w:numId w:val="46"/>
        </w:numPr>
        <w:snapToGrid w:val="0"/>
        <w:spacing w:before="120" w:after="0"/>
        <w:jc w:val="both"/>
        <w:rPr>
          <w:rFonts w:ascii="Bookman Old Style" w:hAnsi="Bookman Old Style"/>
          <w:color w:val="000000"/>
        </w:rPr>
      </w:pPr>
      <w:r w:rsidRPr="007F2FFF">
        <w:rPr>
          <w:rFonts w:ascii="Bookman Old Style" w:hAnsi="Bookman Old Style"/>
          <w:color w:val="000000"/>
        </w:rPr>
        <w:t>follow-up on recommendations through surveillance mechanisms.</w:t>
      </w:r>
    </w:p>
    <w:p w14:paraId="5316CB71" w14:textId="77777777" w:rsidR="00E02D1C" w:rsidRPr="007F2FFF" w:rsidRDefault="00E02D1C" w:rsidP="00E02D1C">
      <w:pPr>
        <w:snapToGrid w:val="0"/>
        <w:spacing w:before="120" w:after="0"/>
        <w:ind w:left="284"/>
        <w:jc w:val="both"/>
        <w:rPr>
          <w:rFonts w:ascii="Bookman Old Style" w:hAnsi="Bookman Old Style"/>
          <w:color w:val="000000"/>
        </w:rPr>
      </w:pPr>
      <w:r w:rsidRPr="007F2FFF">
        <w:rPr>
          <w:rFonts w:ascii="Bookman Old Style" w:hAnsi="Bookman Old Style"/>
          <w:color w:val="000000"/>
        </w:rPr>
        <w:lastRenderedPageBreak/>
        <w:t>These efforts are intended to ensure reliable, tested service continuity, with certification targeted for 2026.</w:t>
      </w:r>
    </w:p>
    <w:p w14:paraId="2C878472" w14:textId="77777777" w:rsidR="00E02D1C" w:rsidRPr="007F2FFF" w:rsidRDefault="00E02D1C" w:rsidP="00E02D1C">
      <w:pPr>
        <w:snapToGrid w:val="0"/>
        <w:spacing w:before="120" w:after="0"/>
        <w:jc w:val="both"/>
        <w:outlineLvl w:val="0"/>
        <w:rPr>
          <w:rFonts w:ascii="Bookman Old Style" w:hAnsi="Bookman Old Style"/>
          <w:b/>
          <w:bCs/>
          <w:color w:val="000000"/>
          <w:kern w:val="36"/>
        </w:rPr>
      </w:pPr>
      <w:r w:rsidRPr="007F2FFF">
        <w:rPr>
          <w:rFonts w:ascii="Bookman Old Style" w:hAnsi="Bookman Old Style"/>
          <w:b/>
          <w:bCs/>
          <w:color w:val="000000"/>
          <w:kern w:val="36"/>
        </w:rPr>
        <w:t>E. Enforcement in the Financial Services Sector and Investigation Developments</w:t>
      </w:r>
    </w:p>
    <w:p w14:paraId="65F0CD72" w14:textId="77777777" w:rsidR="00E02D1C" w:rsidRPr="007F2FFF" w:rsidRDefault="00E02D1C" w:rsidP="00E02D1C">
      <w:pPr>
        <w:snapToGrid w:val="0"/>
        <w:spacing w:before="120" w:after="0"/>
        <w:jc w:val="both"/>
        <w:rPr>
          <w:rFonts w:ascii="Bookman Old Style" w:hAnsi="Bookman Old Style"/>
          <w:color w:val="000000"/>
        </w:rPr>
      </w:pPr>
      <w:r w:rsidRPr="007F2FFF">
        <w:rPr>
          <w:rFonts w:ascii="Bookman Old Style" w:hAnsi="Bookman Old Style"/>
          <w:color w:val="000000"/>
        </w:rPr>
        <w:t>In carrying out its investigative function, as of 30 April 2026, OJK investigators had completed a total of 181 cases, consisting of:</w:t>
      </w:r>
    </w:p>
    <w:p w14:paraId="62068BEB" w14:textId="77777777" w:rsidR="00E02D1C" w:rsidRPr="007F2FFF" w:rsidRDefault="00E02D1C" w:rsidP="00E02D1C">
      <w:pPr>
        <w:numPr>
          <w:ilvl w:val="0"/>
          <w:numId w:val="47"/>
        </w:numPr>
        <w:snapToGrid w:val="0"/>
        <w:spacing w:before="120" w:after="0"/>
        <w:jc w:val="both"/>
        <w:rPr>
          <w:rFonts w:ascii="Bookman Old Style" w:hAnsi="Bookman Old Style"/>
          <w:color w:val="000000"/>
        </w:rPr>
      </w:pPr>
      <w:r w:rsidRPr="007F2FFF">
        <w:rPr>
          <w:rFonts w:ascii="Bookman Old Style" w:hAnsi="Bookman Old Style"/>
          <w:color w:val="000000"/>
        </w:rPr>
        <w:t>143 banking sector cases (PBKN);</w:t>
      </w:r>
    </w:p>
    <w:p w14:paraId="303299BA" w14:textId="77777777" w:rsidR="00E02D1C" w:rsidRPr="007F2FFF" w:rsidRDefault="00E02D1C" w:rsidP="00E02D1C">
      <w:pPr>
        <w:numPr>
          <w:ilvl w:val="0"/>
          <w:numId w:val="47"/>
        </w:numPr>
        <w:snapToGrid w:val="0"/>
        <w:spacing w:before="120" w:after="0"/>
        <w:jc w:val="both"/>
        <w:rPr>
          <w:rFonts w:ascii="Bookman Old Style" w:hAnsi="Bookman Old Style"/>
          <w:color w:val="000000"/>
        </w:rPr>
      </w:pPr>
      <w:r>
        <w:rPr>
          <w:rFonts w:ascii="Bookman Old Style" w:hAnsi="Bookman Old Style"/>
          <w:color w:val="000000"/>
        </w:rPr>
        <w:t>Nine</w:t>
      </w:r>
      <w:r w:rsidRPr="007F2FFF">
        <w:rPr>
          <w:rFonts w:ascii="Bookman Old Style" w:hAnsi="Bookman Old Style"/>
          <w:color w:val="000000"/>
        </w:rPr>
        <w:t xml:space="preserve"> capital market sector cases (PMDK);</w:t>
      </w:r>
    </w:p>
    <w:p w14:paraId="204048DE" w14:textId="77777777" w:rsidR="00E02D1C" w:rsidRPr="007F2FFF" w:rsidRDefault="00E02D1C" w:rsidP="00E02D1C">
      <w:pPr>
        <w:numPr>
          <w:ilvl w:val="0"/>
          <w:numId w:val="47"/>
        </w:numPr>
        <w:snapToGrid w:val="0"/>
        <w:spacing w:before="120" w:after="0"/>
        <w:jc w:val="both"/>
        <w:rPr>
          <w:rFonts w:ascii="Bookman Old Style" w:hAnsi="Bookman Old Style"/>
          <w:color w:val="000000"/>
        </w:rPr>
      </w:pPr>
      <w:r w:rsidRPr="007F2FFF">
        <w:rPr>
          <w:rFonts w:ascii="Bookman Old Style" w:hAnsi="Bookman Old Style"/>
          <w:color w:val="000000"/>
        </w:rPr>
        <w:t>24 insurance, guarantee, and pension fund sector cases (PPDP); and</w:t>
      </w:r>
    </w:p>
    <w:p w14:paraId="5D382D63" w14:textId="77777777" w:rsidR="00E02D1C" w:rsidRPr="007F2FFF" w:rsidRDefault="00E02D1C" w:rsidP="00E02D1C">
      <w:pPr>
        <w:numPr>
          <w:ilvl w:val="0"/>
          <w:numId w:val="47"/>
        </w:numPr>
        <w:snapToGrid w:val="0"/>
        <w:spacing w:before="120" w:after="0"/>
        <w:jc w:val="both"/>
        <w:rPr>
          <w:rFonts w:ascii="Bookman Old Style" w:hAnsi="Bookman Old Style"/>
          <w:color w:val="000000"/>
        </w:rPr>
      </w:pPr>
      <w:r>
        <w:rPr>
          <w:rFonts w:ascii="Bookman Old Style" w:hAnsi="Bookman Old Style"/>
          <w:color w:val="000000"/>
        </w:rPr>
        <w:t>Five</w:t>
      </w:r>
      <w:r w:rsidRPr="007F2FFF">
        <w:rPr>
          <w:rFonts w:ascii="Bookman Old Style" w:hAnsi="Bookman Old Style"/>
          <w:color w:val="000000"/>
        </w:rPr>
        <w:t xml:space="preserve"> PVML sector cases.</w:t>
      </w:r>
    </w:p>
    <w:p w14:paraId="4F320668" w14:textId="77777777" w:rsidR="00E02D1C" w:rsidRPr="007F2FFF" w:rsidRDefault="00E02D1C" w:rsidP="00E02D1C">
      <w:pPr>
        <w:snapToGrid w:val="0"/>
        <w:spacing w:before="120" w:after="0"/>
        <w:jc w:val="both"/>
        <w:rPr>
          <w:rFonts w:ascii="Bookman Old Style" w:hAnsi="Bookman Old Style"/>
          <w:color w:val="000000"/>
        </w:rPr>
      </w:pPr>
      <w:r w:rsidRPr="007F2FFF">
        <w:rPr>
          <w:rFonts w:ascii="Bookman Old Style" w:hAnsi="Bookman Old Style"/>
          <w:color w:val="000000"/>
        </w:rPr>
        <w:t>Furthermore, 155 cases have received court rulings, of which:</w:t>
      </w:r>
    </w:p>
    <w:p w14:paraId="4D2C9CA5" w14:textId="77777777" w:rsidR="00E02D1C" w:rsidRPr="007F2FFF" w:rsidRDefault="00E02D1C" w:rsidP="00E02D1C">
      <w:pPr>
        <w:numPr>
          <w:ilvl w:val="0"/>
          <w:numId w:val="48"/>
        </w:numPr>
        <w:snapToGrid w:val="0"/>
        <w:spacing w:before="120" w:after="0"/>
        <w:jc w:val="both"/>
        <w:rPr>
          <w:rFonts w:ascii="Bookman Old Style" w:hAnsi="Bookman Old Style"/>
          <w:color w:val="000000"/>
        </w:rPr>
      </w:pPr>
      <w:r w:rsidRPr="007F2FFF">
        <w:rPr>
          <w:rFonts w:ascii="Bookman Old Style" w:hAnsi="Bookman Old Style"/>
          <w:color w:val="000000"/>
        </w:rPr>
        <w:t>152 cases have obtained legally binding court decisions (</w:t>
      </w:r>
      <w:r w:rsidRPr="007F2FFF">
        <w:rPr>
          <w:rFonts w:ascii="Bookman Old Style" w:hAnsi="Bookman Old Style"/>
          <w:i/>
          <w:iCs/>
          <w:color w:val="000000"/>
        </w:rPr>
        <w:t>in kracht</w:t>
      </w:r>
      <w:r w:rsidRPr="007F2FFF">
        <w:rPr>
          <w:rFonts w:ascii="Bookman Old Style" w:hAnsi="Bookman Old Style"/>
          <w:color w:val="000000"/>
        </w:rPr>
        <w:t>); and</w:t>
      </w:r>
    </w:p>
    <w:p w14:paraId="4382501D" w14:textId="77777777" w:rsidR="00E02D1C" w:rsidRPr="007F2FFF" w:rsidRDefault="00E02D1C" w:rsidP="00E02D1C">
      <w:pPr>
        <w:numPr>
          <w:ilvl w:val="0"/>
          <w:numId w:val="48"/>
        </w:numPr>
        <w:snapToGrid w:val="0"/>
        <w:spacing w:before="120" w:after="0"/>
        <w:jc w:val="both"/>
        <w:rPr>
          <w:rFonts w:ascii="Bookman Old Style" w:hAnsi="Bookman Old Style"/>
          <w:color w:val="000000"/>
        </w:rPr>
      </w:pPr>
      <w:r>
        <w:rPr>
          <w:rFonts w:ascii="Bookman Old Style" w:hAnsi="Bookman Old Style"/>
          <w:color w:val="000000"/>
        </w:rPr>
        <w:t>Three</w:t>
      </w:r>
      <w:r w:rsidRPr="007F2FFF">
        <w:rPr>
          <w:rFonts w:ascii="Bookman Old Style" w:hAnsi="Bookman Old Style"/>
          <w:color w:val="000000"/>
        </w:rPr>
        <w:t xml:space="preserve"> cases remain under appeal proceedings.</w:t>
      </w:r>
    </w:p>
    <w:tbl>
      <w:tblPr>
        <w:tblW w:w="9214" w:type="dxa"/>
        <w:tblInd w:w="134" w:type="dxa"/>
        <w:tblLayout w:type="fixed"/>
        <w:tblCellMar>
          <w:left w:w="0" w:type="dxa"/>
          <w:right w:w="0" w:type="dxa"/>
        </w:tblCellMar>
        <w:tblLook w:val="04A0" w:firstRow="1" w:lastRow="0" w:firstColumn="1" w:lastColumn="0" w:noHBand="0" w:noVBand="1"/>
      </w:tblPr>
      <w:tblGrid>
        <w:gridCol w:w="567"/>
        <w:gridCol w:w="3261"/>
        <w:gridCol w:w="1105"/>
        <w:gridCol w:w="1106"/>
        <w:gridCol w:w="1105"/>
        <w:gridCol w:w="1106"/>
        <w:gridCol w:w="964"/>
      </w:tblGrid>
      <w:tr w:rsidR="00E02D1C" w:rsidRPr="005B4F22" w14:paraId="34CF941D" w14:textId="77777777" w:rsidTr="00B128D5">
        <w:trPr>
          <w:trHeight w:val="300"/>
        </w:trPr>
        <w:tc>
          <w:tcPr>
            <w:tcW w:w="567" w:type="dxa"/>
            <w:tcBorders>
              <w:top w:val="single" w:sz="6" w:space="0" w:color="000000"/>
              <w:left w:val="single" w:sz="6" w:space="0" w:color="000000"/>
              <w:bottom w:val="single" w:sz="6" w:space="0" w:color="000000"/>
              <w:right w:val="single" w:sz="6" w:space="0" w:color="000000"/>
            </w:tcBorders>
            <w:shd w:val="clear" w:color="auto" w:fill="C00000"/>
            <w:tcMar>
              <w:top w:w="0" w:type="dxa"/>
              <w:left w:w="45" w:type="dxa"/>
              <w:bottom w:w="0" w:type="dxa"/>
              <w:right w:w="45" w:type="dxa"/>
            </w:tcMar>
            <w:vAlign w:val="center"/>
            <w:hideMark/>
          </w:tcPr>
          <w:p w14:paraId="79485122" w14:textId="77777777" w:rsidR="00E02D1C" w:rsidRPr="005B4F22" w:rsidRDefault="00E02D1C" w:rsidP="00B128D5">
            <w:pPr>
              <w:spacing w:after="0" w:line="240" w:lineRule="auto"/>
              <w:jc w:val="center"/>
              <w:rPr>
                <w:rFonts w:ascii="Bookman Old Style" w:hAnsi="Bookman Old Style" w:cs="Arial"/>
                <w:b/>
                <w:bCs/>
                <w:color w:val="FFFFFF"/>
                <w:sz w:val="20"/>
                <w:szCs w:val="20"/>
                <w:lang w:eastAsia="en-ID"/>
              </w:rPr>
            </w:pPr>
            <w:r w:rsidRPr="005B4F22">
              <w:rPr>
                <w:rFonts w:ascii="Bookman Old Style" w:hAnsi="Bookman Old Style" w:cs="Arial"/>
                <w:b/>
                <w:bCs/>
                <w:color w:val="FFFFFF"/>
                <w:sz w:val="20"/>
                <w:szCs w:val="20"/>
                <w:lang w:eastAsia="en-ID"/>
              </w:rPr>
              <w:t>No</w:t>
            </w:r>
          </w:p>
        </w:tc>
        <w:tc>
          <w:tcPr>
            <w:tcW w:w="3261" w:type="dxa"/>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hideMark/>
          </w:tcPr>
          <w:p w14:paraId="665D7511" w14:textId="77777777" w:rsidR="00E02D1C" w:rsidRPr="005B4F22" w:rsidRDefault="00E02D1C" w:rsidP="00B128D5">
            <w:pPr>
              <w:spacing w:after="0" w:line="240" w:lineRule="auto"/>
              <w:jc w:val="center"/>
              <w:rPr>
                <w:rFonts w:ascii="Bookman Old Style" w:hAnsi="Bookman Old Style" w:cs="Arial"/>
                <w:b/>
                <w:bCs/>
                <w:color w:val="FFFFFF"/>
                <w:sz w:val="20"/>
                <w:szCs w:val="20"/>
                <w:lang w:eastAsia="en-ID"/>
              </w:rPr>
            </w:pPr>
            <w:r w:rsidRPr="005B4F22">
              <w:rPr>
                <w:rFonts w:ascii="Bookman Old Style" w:hAnsi="Bookman Old Style" w:cs="Arial"/>
                <w:b/>
                <w:bCs/>
                <w:color w:val="FFFFFF"/>
                <w:sz w:val="20"/>
                <w:szCs w:val="20"/>
                <w:lang w:eastAsia="en-ID"/>
              </w:rPr>
              <w:t>Stage</w:t>
            </w:r>
          </w:p>
        </w:tc>
        <w:tc>
          <w:tcPr>
            <w:tcW w:w="1105" w:type="dxa"/>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bottom"/>
            <w:hideMark/>
          </w:tcPr>
          <w:p w14:paraId="2A6106C9" w14:textId="77777777" w:rsidR="00E02D1C" w:rsidRPr="005B4F22" w:rsidRDefault="00E02D1C" w:rsidP="00B128D5">
            <w:pPr>
              <w:spacing w:after="0" w:line="240" w:lineRule="auto"/>
              <w:jc w:val="center"/>
              <w:rPr>
                <w:rFonts w:ascii="Bookman Old Style" w:hAnsi="Bookman Old Style" w:cs="Arial"/>
                <w:b/>
                <w:bCs/>
                <w:color w:val="FFFFFF"/>
                <w:sz w:val="20"/>
                <w:szCs w:val="20"/>
                <w:lang w:eastAsia="en-ID"/>
              </w:rPr>
            </w:pPr>
            <w:r w:rsidRPr="005B4F22">
              <w:rPr>
                <w:rFonts w:ascii="Bookman Old Style" w:hAnsi="Bookman Old Style" w:cs="Arial"/>
                <w:b/>
                <w:bCs/>
                <w:color w:val="FFFFFF"/>
                <w:sz w:val="20"/>
                <w:szCs w:val="20"/>
                <w:lang w:eastAsia="en-ID"/>
              </w:rPr>
              <w:t>PBKN</w:t>
            </w:r>
          </w:p>
        </w:tc>
        <w:tc>
          <w:tcPr>
            <w:tcW w:w="1106" w:type="dxa"/>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bottom"/>
            <w:hideMark/>
          </w:tcPr>
          <w:p w14:paraId="674E1F4A" w14:textId="77777777" w:rsidR="00E02D1C" w:rsidRPr="005B4F22" w:rsidRDefault="00E02D1C" w:rsidP="00B128D5">
            <w:pPr>
              <w:spacing w:after="0" w:line="240" w:lineRule="auto"/>
              <w:jc w:val="center"/>
              <w:rPr>
                <w:rFonts w:ascii="Bookman Old Style" w:hAnsi="Bookman Old Style" w:cs="Arial"/>
                <w:b/>
                <w:bCs/>
                <w:color w:val="FFFFFF"/>
                <w:sz w:val="20"/>
                <w:szCs w:val="20"/>
                <w:lang w:eastAsia="en-ID"/>
              </w:rPr>
            </w:pPr>
            <w:r w:rsidRPr="005B4F22">
              <w:rPr>
                <w:rFonts w:ascii="Bookman Old Style" w:hAnsi="Bookman Old Style" w:cs="Arial"/>
                <w:b/>
                <w:bCs/>
                <w:color w:val="FFFFFF"/>
                <w:sz w:val="20"/>
                <w:szCs w:val="20"/>
                <w:lang w:eastAsia="en-ID"/>
              </w:rPr>
              <w:t>PMDK</w:t>
            </w:r>
          </w:p>
        </w:tc>
        <w:tc>
          <w:tcPr>
            <w:tcW w:w="1105" w:type="dxa"/>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bottom"/>
            <w:hideMark/>
          </w:tcPr>
          <w:p w14:paraId="3B1344A8" w14:textId="77777777" w:rsidR="00E02D1C" w:rsidRPr="005B4F22" w:rsidRDefault="00E02D1C" w:rsidP="00B128D5">
            <w:pPr>
              <w:spacing w:after="0" w:line="240" w:lineRule="auto"/>
              <w:jc w:val="center"/>
              <w:rPr>
                <w:rFonts w:ascii="Bookman Old Style" w:hAnsi="Bookman Old Style" w:cs="Arial"/>
                <w:b/>
                <w:bCs/>
                <w:color w:val="FFFFFF"/>
                <w:sz w:val="20"/>
                <w:szCs w:val="20"/>
                <w:lang w:eastAsia="en-ID"/>
              </w:rPr>
            </w:pPr>
            <w:r w:rsidRPr="005B4F22">
              <w:rPr>
                <w:rFonts w:ascii="Bookman Old Style" w:hAnsi="Bookman Old Style" w:cs="Arial"/>
                <w:b/>
                <w:bCs/>
                <w:color w:val="FFFFFF"/>
                <w:sz w:val="20"/>
                <w:szCs w:val="20"/>
                <w:lang w:eastAsia="en-ID"/>
              </w:rPr>
              <w:t>PPDP</w:t>
            </w:r>
          </w:p>
        </w:tc>
        <w:tc>
          <w:tcPr>
            <w:tcW w:w="1106" w:type="dxa"/>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bottom"/>
            <w:hideMark/>
          </w:tcPr>
          <w:p w14:paraId="6D3DB4A6" w14:textId="77777777" w:rsidR="00E02D1C" w:rsidRPr="005B4F22" w:rsidRDefault="00E02D1C" w:rsidP="00B128D5">
            <w:pPr>
              <w:spacing w:after="0" w:line="240" w:lineRule="auto"/>
              <w:jc w:val="center"/>
              <w:rPr>
                <w:rFonts w:ascii="Bookman Old Style" w:hAnsi="Bookman Old Style" w:cs="Arial"/>
                <w:b/>
                <w:bCs/>
                <w:color w:val="FFFFFF"/>
                <w:sz w:val="20"/>
                <w:szCs w:val="20"/>
                <w:lang w:eastAsia="en-ID"/>
              </w:rPr>
            </w:pPr>
            <w:r w:rsidRPr="005B4F22">
              <w:rPr>
                <w:rFonts w:ascii="Bookman Old Style" w:hAnsi="Bookman Old Style" w:cs="Arial"/>
                <w:b/>
                <w:bCs/>
                <w:color w:val="FFFFFF"/>
                <w:sz w:val="20"/>
                <w:szCs w:val="20"/>
                <w:lang w:eastAsia="en-ID"/>
              </w:rPr>
              <w:t>PVML</w:t>
            </w:r>
          </w:p>
        </w:tc>
        <w:tc>
          <w:tcPr>
            <w:tcW w:w="964" w:type="dxa"/>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bottom"/>
            <w:hideMark/>
          </w:tcPr>
          <w:p w14:paraId="7348396A" w14:textId="77777777" w:rsidR="00E02D1C" w:rsidRPr="005B4F22" w:rsidRDefault="00E02D1C" w:rsidP="00B128D5">
            <w:pPr>
              <w:spacing w:after="0" w:line="240" w:lineRule="auto"/>
              <w:jc w:val="center"/>
              <w:rPr>
                <w:rFonts w:ascii="Bookman Old Style" w:hAnsi="Bookman Old Style" w:cs="Arial"/>
                <w:b/>
                <w:bCs/>
                <w:color w:val="FFFFFF"/>
                <w:sz w:val="20"/>
                <w:szCs w:val="20"/>
                <w:lang w:eastAsia="en-ID"/>
              </w:rPr>
            </w:pPr>
            <w:r w:rsidRPr="005B4F22">
              <w:rPr>
                <w:rFonts w:ascii="Bookman Old Style" w:hAnsi="Bookman Old Style" w:cs="Arial"/>
                <w:b/>
                <w:bCs/>
                <w:color w:val="FFFFFF"/>
                <w:sz w:val="20"/>
                <w:szCs w:val="20"/>
                <w:lang w:eastAsia="en-ID"/>
              </w:rPr>
              <w:t>Total</w:t>
            </w:r>
          </w:p>
        </w:tc>
      </w:tr>
      <w:tr w:rsidR="00E02D1C" w:rsidRPr="005B4F22" w14:paraId="4E8B1441" w14:textId="77777777" w:rsidTr="00B128D5">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A71F913"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1</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6D0DE5" w14:textId="77777777" w:rsidR="00E02D1C" w:rsidRPr="005B4F22" w:rsidRDefault="00E02D1C" w:rsidP="00B128D5">
            <w:pPr>
              <w:spacing w:after="0" w:line="240" w:lineRule="auto"/>
              <w:rPr>
                <w:rFonts w:ascii="Bookman Old Style" w:hAnsi="Bookman Old Style" w:cs="Arial"/>
                <w:lang w:val="en-US" w:eastAsia="en-ID"/>
              </w:rPr>
            </w:pPr>
            <w:r w:rsidRPr="005B4F22">
              <w:rPr>
                <w:rFonts w:ascii="Bookman Old Style" w:hAnsi="Bookman Old Style" w:cs="Arial"/>
                <w:lang w:val="en-US" w:eastAsia="en-ID"/>
              </w:rPr>
              <w:t>Review Process</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BAC24F"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1</w:t>
            </w:r>
            <w:r>
              <w:rPr>
                <w:rFonts w:ascii="Bookman Old Style" w:hAnsi="Bookman Old Style" w:cs="Arial"/>
                <w:lang w:val="en-US" w:eastAsia="en-ID"/>
              </w:rPr>
              <w:t>7</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BD52C6"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4</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1D5C5A"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5</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6CF484"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1</w:t>
            </w:r>
          </w:p>
        </w:tc>
        <w:tc>
          <w:tcPr>
            <w:tcW w:w="9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ED1D55"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2</w:t>
            </w:r>
            <w:r>
              <w:rPr>
                <w:rFonts w:ascii="Bookman Old Style" w:hAnsi="Bookman Old Style" w:cs="Arial"/>
                <w:lang w:val="en-US" w:eastAsia="en-ID"/>
              </w:rPr>
              <w:t>7</w:t>
            </w:r>
          </w:p>
        </w:tc>
      </w:tr>
      <w:tr w:rsidR="00E02D1C" w:rsidRPr="005B4F22" w14:paraId="75BFA026" w14:textId="77777777" w:rsidTr="00B128D5">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894DB4D"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2</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AE0313" w14:textId="77777777" w:rsidR="00E02D1C" w:rsidRPr="005B4F22" w:rsidRDefault="00E02D1C" w:rsidP="00B128D5">
            <w:pPr>
              <w:spacing w:after="0" w:line="240" w:lineRule="auto"/>
              <w:rPr>
                <w:rFonts w:ascii="Bookman Old Style" w:hAnsi="Bookman Old Style" w:cs="Arial"/>
                <w:lang w:val="en-US" w:eastAsia="en-ID"/>
              </w:rPr>
            </w:pPr>
            <w:r w:rsidRPr="005B4F22">
              <w:rPr>
                <w:rFonts w:ascii="Bookman Old Style" w:hAnsi="Bookman Old Style" w:cs="Arial"/>
                <w:lang w:val="en-US" w:eastAsia="en-ID"/>
              </w:rPr>
              <w:t>Preliminary Investigation</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B8AB2B"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2</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8B8476"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5</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6575AA"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1</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5FC994"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2</w:t>
            </w:r>
          </w:p>
        </w:tc>
        <w:tc>
          <w:tcPr>
            <w:tcW w:w="9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C53644"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10</w:t>
            </w:r>
          </w:p>
        </w:tc>
      </w:tr>
      <w:tr w:rsidR="00E02D1C" w:rsidRPr="005B4F22" w14:paraId="653CF1E4" w14:textId="77777777" w:rsidTr="00B128D5">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36FBCA7"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3</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A52D69" w14:textId="77777777" w:rsidR="00E02D1C" w:rsidRPr="005B4F22" w:rsidRDefault="00E02D1C" w:rsidP="00B128D5">
            <w:pPr>
              <w:spacing w:after="0" w:line="240" w:lineRule="auto"/>
              <w:rPr>
                <w:rFonts w:ascii="Bookman Old Style" w:hAnsi="Bookman Old Style" w:cs="Arial"/>
                <w:lang w:val="en-US" w:eastAsia="en-ID"/>
              </w:rPr>
            </w:pPr>
            <w:r w:rsidRPr="005B4F22">
              <w:rPr>
                <w:rFonts w:ascii="Bookman Old Style" w:hAnsi="Bookman Old Style" w:cs="Arial"/>
                <w:lang w:val="en-US" w:eastAsia="en-ID"/>
              </w:rPr>
              <w:t>Formal Investigation</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CBC758"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7</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AB6FA2"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6</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E67809"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0</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97D778"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1</w:t>
            </w:r>
          </w:p>
        </w:tc>
        <w:tc>
          <w:tcPr>
            <w:tcW w:w="9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320D81"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1</w:t>
            </w:r>
            <w:r>
              <w:rPr>
                <w:rFonts w:ascii="Bookman Old Style" w:hAnsi="Bookman Old Style" w:cs="Arial"/>
                <w:lang w:val="en-US" w:eastAsia="en-ID"/>
              </w:rPr>
              <w:t>4</w:t>
            </w:r>
          </w:p>
        </w:tc>
      </w:tr>
      <w:tr w:rsidR="00E02D1C" w:rsidRPr="005B4F22" w14:paraId="7E731DED" w14:textId="77777777" w:rsidTr="00B128D5">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E18A479"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4</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6A9E55" w14:textId="77777777" w:rsidR="00E02D1C" w:rsidRPr="005B4F22" w:rsidRDefault="00E02D1C" w:rsidP="00B128D5">
            <w:pPr>
              <w:spacing w:after="0" w:line="240" w:lineRule="auto"/>
              <w:rPr>
                <w:rFonts w:ascii="Bookman Old Style" w:hAnsi="Bookman Old Style" w:cs="Arial"/>
                <w:lang w:val="en-US" w:eastAsia="en-ID"/>
              </w:rPr>
            </w:pPr>
            <w:r w:rsidRPr="005B4F22">
              <w:rPr>
                <w:rFonts w:ascii="Bookman Old Style" w:hAnsi="Bookman Old Style" w:cs="Arial"/>
                <w:lang w:val="en-US" w:eastAsia="en-ID"/>
              </w:rPr>
              <w:t>File Preparation</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48FDC5"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4</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3C2EB4"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0</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D89BCF"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1</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DE4E1C"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0</w:t>
            </w:r>
          </w:p>
        </w:tc>
        <w:tc>
          <w:tcPr>
            <w:tcW w:w="9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674FF5" w14:textId="77777777" w:rsidR="00E02D1C" w:rsidRPr="005B4F22" w:rsidRDefault="00E02D1C" w:rsidP="00B128D5">
            <w:pPr>
              <w:spacing w:after="0" w:line="240" w:lineRule="auto"/>
              <w:jc w:val="center"/>
              <w:rPr>
                <w:rFonts w:ascii="Bookman Old Style" w:hAnsi="Bookman Old Style" w:cs="Arial"/>
                <w:lang w:val="en-US" w:eastAsia="en-ID"/>
              </w:rPr>
            </w:pPr>
            <w:r>
              <w:rPr>
                <w:rFonts w:ascii="Bookman Old Style" w:hAnsi="Bookman Old Style" w:cs="Arial"/>
                <w:lang w:val="en-US" w:eastAsia="en-ID"/>
              </w:rPr>
              <w:t>5</w:t>
            </w:r>
          </w:p>
        </w:tc>
      </w:tr>
      <w:tr w:rsidR="00E02D1C" w:rsidRPr="005B4F22" w14:paraId="4C435970" w14:textId="77777777" w:rsidTr="00B128D5">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1500895" w14:textId="77777777" w:rsidR="00E02D1C" w:rsidRPr="005B4F22" w:rsidRDefault="00E02D1C" w:rsidP="00B128D5">
            <w:pPr>
              <w:spacing w:after="0" w:line="240" w:lineRule="auto"/>
              <w:jc w:val="center"/>
              <w:rPr>
                <w:rFonts w:ascii="Bookman Old Style" w:hAnsi="Bookman Old Style" w:cs="Arial"/>
                <w:lang w:val="en-US" w:eastAsia="en-ID"/>
              </w:rPr>
            </w:pPr>
            <w:r w:rsidRPr="005B4F22">
              <w:rPr>
                <w:rFonts w:ascii="Bookman Old Style" w:hAnsi="Bookman Old Style" w:cs="Arial"/>
                <w:lang w:val="en-US" w:eastAsia="en-ID"/>
              </w:rPr>
              <w:t>5</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65FCCB" w14:textId="77777777" w:rsidR="00E02D1C" w:rsidRPr="005B4F22" w:rsidRDefault="00E02D1C" w:rsidP="00B128D5">
            <w:pPr>
              <w:spacing w:after="0" w:line="240" w:lineRule="auto"/>
              <w:rPr>
                <w:rFonts w:ascii="Bookman Old Style" w:hAnsi="Bookman Old Style" w:cs="Arial"/>
                <w:lang w:val="en-US" w:eastAsia="en-ID"/>
              </w:rPr>
            </w:pPr>
            <w:r w:rsidRPr="005B4F22">
              <w:rPr>
                <w:rFonts w:ascii="Bookman Old Style" w:hAnsi="Bookman Old Style" w:cs="Arial"/>
                <w:lang w:val="en-US" w:eastAsia="en-ID"/>
              </w:rPr>
              <w:t>P-21</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9FC838" w14:textId="77777777" w:rsidR="00E02D1C" w:rsidRPr="005B4F22" w:rsidRDefault="00E02D1C" w:rsidP="00B128D5">
            <w:pPr>
              <w:spacing w:after="0" w:line="240" w:lineRule="auto"/>
              <w:jc w:val="center"/>
              <w:rPr>
                <w:rFonts w:ascii="Bookman Old Style" w:hAnsi="Bookman Old Style" w:cs="Arial"/>
                <w:b/>
                <w:bCs/>
                <w:lang w:val="en-US" w:eastAsia="en-ID"/>
              </w:rPr>
            </w:pPr>
            <w:r w:rsidRPr="005B4F22">
              <w:rPr>
                <w:rFonts w:ascii="Bookman Old Style" w:hAnsi="Bookman Old Style" w:cs="Arial"/>
                <w:b/>
                <w:bCs/>
                <w:lang w:val="en-US" w:eastAsia="en-ID"/>
              </w:rPr>
              <w:t>143</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D0E954" w14:textId="77777777" w:rsidR="00E02D1C" w:rsidRPr="005B4F22" w:rsidRDefault="00E02D1C" w:rsidP="00B128D5">
            <w:pPr>
              <w:spacing w:after="0" w:line="240" w:lineRule="auto"/>
              <w:jc w:val="center"/>
              <w:rPr>
                <w:rFonts w:ascii="Bookman Old Style" w:hAnsi="Bookman Old Style" w:cs="Arial"/>
                <w:b/>
                <w:bCs/>
                <w:lang w:val="en-US" w:eastAsia="en-ID"/>
              </w:rPr>
            </w:pPr>
            <w:r w:rsidRPr="005B4F22">
              <w:rPr>
                <w:rFonts w:ascii="Bookman Old Style" w:hAnsi="Bookman Old Style" w:cs="Arial"/>
                <w:b/>
                <w:bCs/>
                <w:lang w:val="en-US" w:eastAsia="en-ID"/>
              </w:rPr>
              <w:t>9</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942550" w14:textId="77777777" w:rsidR="00E02D1C" w:rsidRPr="005B4F22" w:rsidRDefault="00E02D1C" w:rsidP="00B128D5">
            <w:pPr>
              <w:spacing w:after="0" w:line="240" w:lineRule="auto"/>
              <w:jc w:val="center"/>
              <w:rPr>
                <w:rFonts w:ascii="Bookman Old Style" w:hAnsi="Bookman Old Style" w:cs="Arial"/>
                <w:b/>
                <w:bCs/>
                <w:lang w:val="en-US" w:eastAsia="en-ID"/>
              </w:rPr>
            </w:pPr>
            <w:r w:rsidRPr="005B4F22">
              <w:rPr>
                <w:rFonts w:ascii="Bookman Old Style" w:hAnsi="Bookman Old Style" w:cs="Arial"/>
                <w:b/>
                <w:bCs/>
                <w:lang w:val="en-US" w:eastAsia="en-ID"/>
              </w:rPr>
              <w:t>24</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685A2F" w14:textId="77777777" w:rsidR="00E02D1C" w:rsidRPr="005B4F22" w:rsidRDefault="00E02D1C" w:rsidP="00B128D5">
            <w:pPr>
              <w:spacing w:after="0" w:line="240" w:lineRule="auto"/>
              <w:jc w:val="center"/>
              <w:rPr>
                <w:rFonts w:ascii="Bookman Old Style" w:hAnsi="Bookman Old Style" w:cs="Arial"/>
                <w:b/>
                <w:bCs/>
                <w:lang w:val="en-US" w:eastAsia="en-ID"/>
              </w:rPr>
            </w:pPr>
            <w:r w:rsidRPr="005B4F22">
              <w:rPr>
                <w:rFonts w:ascii="Bookman Old Style" w:hAnsi="Bookman Old Style" w:cs="Arial"/>
                <w:b/>
                <w:bCs/>
                <w:lang w:val="en-US" w:eastAsia="en-ID"/>
              </w:rPr>
              <w:t>5</w:t>
            </w:r>
          </w:p>
        </w:tc>
        <w:tc>
          <w:tcPr>
            <w:tcW w:w="9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589B1B" w14:textId="77777777" w:rsidR="00E02D1C" w:rsidRPr="005B4F22" w:rsidRDefault="00E02D1C" w:rsidP="00B128D5">
            <w:pPr>
              <w:spacing w:after="0" w:line="240" w:lineRule="auto"/>
              <w:jc w:val="center"/>
              <w:rPr>
                <w:rFonts w:ascii="Bookman Old Style" w:hAnsi="Bookman Old Style" w:cs="Arial"/>
                <w:b/>
                <w:bCs/>
                <w:lang w:val="en-US" w:eastAsia="en-ID"/>
              </w:rPr>
            </w:pPr>
            <w:r w:rsidRPr="005B4F22">
              <w:rPr>
                <w:rFonts w:ascii="Bookman Old Style" w:hAnsi="Bookman Old Style" w:cs="Arial"/>
                <w:b/>
                <w:bCs/>
                <w:lang w:val="en-US" w:eastAsia="en-ID"/>
              </w:rPr>
              <w:t>181</w:t>
            </w:r>
          </w:p>
        </w:tc>
      </w:tr>
    </w:tbl>
    <w:p w14:paraId="4ECAF6A0" w14:textId="77777777" w:rsidR="00E02D1C" w:rsidRDefault="00E02D1C" w:rsidP="00E02D1C">
      <w:pPr>
        <w:spacing w:after="0" w:line="120" w:lineRule="auto"/>
        <w:jc w:val="both"/>
        <w:rPr>
          <w:rFonts w:ascii="Bookman Old Style" w:hAnsi="Bookman Old Style"/>
          <w:color w:val="000000"/>
        </w:rPr>
      </w:pPr>
    </w:p>
    <w:tbl>
      <w:tblPr>
        <w:tblW w:w="9214" w:type="dxa"/>
        <w:tblInd w:w="134" w:type="dxa"/>
        <w:tblCellMar>
          <w:left w:w="0" w:type="dxa"/>
          <w:right w:w="0" w:type="dxa"/>
        </w:tblCellMar>
        <w:tblLook w:val="04A0" w:firstRow="1" w:lastRow="0" w:firstColumn="1" w:lastColumn="0" w:noHBand="0" w:noVBand="1"/>
      </w:tblPr>
      <w:tblGrid>
        <w:gridCol w:w="567"/>
        <w:gridCol w:w="3260"/>
        <w:gridCol w:w="1105"/>
        <w:gridCol w:w="1106"/>
        <w:gridCol w:w="1106"/>
        <w:gridCol w:w="1106"/>
        <w:gridCol w:w="964"/>
      </w:tblGrid>
      <w:tr w:rsidR="00E02D1C" w:rsidRPr="00BF7844" w14:paraId="7F21729F" w14:textId="77777777" w:rsidTr="00B128D5">
        <w:trPr>
          <w:trHeight w:val="300"/>
        </w:trPr>
        <w:tc>
          <w:tcPr>
            <w:tcW w:w="56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644944"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1</w:t>
            </w:r>
          </w:p>
        </w:tc>
        <w:tc>
          <w:tcPr>
            <w:tcW w:w="326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5B9A2F" w14:textId="77777777" w:rsidR="00E02D1C" w:rsidRPr="00BF7844" w:rsidRDefault="00E02D1C" w:rsidP="00B128D5">
            <w:pPr>
              <w:spacing w:after="0" w:line="240" w:lineRule="auto"/>
              <w:rPr>
                <w:rFonts w:ascii="Bookman Old Style" w:hAnsi="Bookman Old Style" w:cs="Arial"/>
                <w:lang w:eastAsia="en-ID"/>
              </w:rPr>
            </w:pPr>
            <w:r w:rsidRPr="00BF7844">
              <w:rPr>
                <w:rFonts w:ascii="Bookman Old Style" w:hAnsi="Bookman Old Style" w:cs="Arial"/>
                <w:lang w:eastAsia="en-ID"/>
              </w:rPr>
              <w:t>In Kracht</w:t>
            </w:r>
          </w:p>
        </w:tc>
        <w:tc>
          <w:tcPr>
            <w:tcW w:w="110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36C6CE" w14:textId="77777777" w:rsidR="00E02D1C" w:rsidRPr="00BF7844" w:rsidRDefault="00E02D1C" w:rsidP="00B128D5">
            <w:pPr>
              <w:spacing w:after="0" w:line="240" w:lineRule="auto"/>
              <w:jc w:val="center"/>
              <w:rPr>
                <w:rFonts w:ascii="Bookman Old Style" w:hAnsi="Bookman Old Style" w:cs="Arial"/>
                <w:lang w:eastAsia="en-ID"/>
              </w:rPr>
            </w:pPr>
            <w:r>
              <w:rPr>
                <w:rFonts w:ascii="Bookman Old Style" w:hAnsi="Bookman Old Style" w:cs="Arial"/>
                <w:lang w:eastAsia="en-ID"/>
              </w:rPr>
              <w:t>126</w:t>
            </w:r>
          </w:p>
        </w:tc>
        <w:tc>
          <w:tcPr>
            <w:tcW w:w="110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A759C7D"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5</w:t>
            </w:r>
          </w:p>
        </w:tc>
        <w:tc>
          <w:tcPr>
            <w:tcW w:w="110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011E1B" w14:textId="77777777" w:rsidR="00E02D1C" w:rsidRPr="00BF7844" w:rsidRDefault="00E02D1C" w:rsidP="00B128D5">
            <w:pPr>
              <w:spacing w:after="0" w:line="240" w:lineRule="auto"/>
              <w:jc w:val="center"/>
              <w:rPr>
                <w:rFonts w:ascii="Bookman Old Style" w:hAnsi="Bookman Old Style" w:cs="Arial"/>
                <w:lang w:eastAsia="en-ID"/>
              </w:rPr>
            </w:pPr>
            <w:r>
              <w:rPr>
                <w:rFonts w:ascii="Bookman Old Style" w:hAnsi="Bookman Old Style" w:cs="Arial"/>
                <w:lang w:eastAsia="en-ID"/>
              </w:rPr>
              <w:t>20</w:t>
            </w:r>
          </w:p>
        </w:tc>
        <w:tc>
          <w:tcPr>
            <w:tcW w:w="110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ECE294"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1</w:t>
            </w:r>
          </w:p>
        </w:tc>
        <w:tc>
          <w:tcPr>
            <w:tcW w:w="96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BD097A"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1</w:t>
            </w:r>
            <w:r>
              <w:rPr>
                <w:rFonts w:ascii="Bookman Old Style" w:hAnsi="Bookman Old Style" w:cs="Arial"/>
                <w:lang w:eastAsia="en-ID"/>
              </w:rPr>
              <w:t>52</w:t>
            </w:r>
          </w:p>
        </w:tc>
      </w:tr>
      <w:tr w:rsidR="00E02D1C" w:rsidRPr="00BF7844" w14:paraId="7D34032B" w14:textId="77777777" w:rsidTr="00B128D5">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372DC8"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2</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E41A69" w14:textId="77777777" w:rsidR="00E02D1C" w:rsidRPr="00BF7844" w:rsidRDefault="00E02D1C" w:rsidP="00B128D5">
            <w:pPr>
              <w:spacing w:after="0" w:line="240" w:lineRule="auto"/>
              <w:rPr>
                <w:rFonts w:ascii="Bookman Old Style" w:hAnsi="Bookman Old Style" w:cs="Arial"/>
                <w:lang w:eastAsia="en-ID"/>
              </w:rPr>
            </w:pPr>
            <w:r>
              <w:rPr>
                <w:rFonts w:ascii="Bookman Old Style" w:hAnsi="Bookman Old Style" w:cs="Arial"/>
                <w:lang w:eastAsia="en-ID"/>
              </w:rPr>
              <w:t>Appeal</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D6164B" w14:textId="77777777" w:rsidR="00E02D1C" w:rsidRPr="00BF7844" w:rsidRDefault="00E02D1C" w:rsidP="00B128D5">
            <w:pPr>
              <w:spacing w:after="0" w:line="240" w:lineRule="auto"/>
              <w:jc w:val="center"/>
              <w:rPr>
                <w:rFonts w:ascii="Bookman Old Style" w:hAnsi="Bookman Old Style" w:cs="Arial"/>
                <w:lang w:eastAsia="en-ID"/>
              </w:rPr>
            </w:pPr>
            <w:r>
              <w:rPr>
                <w:rFonts w:ascii="Bookman Old Style" w:hAnsi="Bookman Old Style" w:cs="Arial"/>
                <w:lang w:eastAsia="en-ID"/>
              </w:rPr>
              <w:t>3</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2227AC"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0</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589E97" w14:textId="77777777" w:rsidR="00E02D1C" w:rsidRPr="00BF7844" w:rsidRDefault="00E02D1C" w:rsidP="00B128D5">
            <w:pPr>
              <w:spacing w:after="0" w:line="240" w:lineRule="auto"/>
              <w:jc w:val="center"/>
              <w:rPr>
                <w:rFonts w:ascii="Bookman Old Style" w:hAnsi="Bookman Old Style" w:cs="Arial"/>
                <w:lang w:eastAsia="en-ID"/>
              </w:rPr>
            </w:pPr>
            <w:r>
              <w:rPr>
                <w:rFonts w:ascii="Bookman Old Style" w:hAnsi="Bookman Old Style" w:cs="Arial"/>
                <w:lang w:eastAsia="en-ID"/>
              </w:rPr>
              <w:t>0</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C8EE07"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0</w:t>
            </w:r>
          </w:p>
        </w:tc>
        <w:tc>
          <w:tcPr>
            <w:tcW w:w="9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608750" w14:textId="77777777" w:rsidR="00E02D1C" w:rsidRPr="00BF7844" w:rsidRDefault="00E02D1C" w:rsidP="00B128D5">
            <w:pPr>
              <w:spacing w:after="0" w:line="240" w:lineRule="auto"/>
              <w:jc w:val="center"/>
              <w:rPr>
                <w:rFonts w:ascii="Bookman Old Style" w:hAnsi="Bookman Old Style" w:cs="Arial"/>
                <w:lang w:eastAsia="en-ID"/>
              </w:rPr>
            </w:pPr>
            <w:r>
              <w:rPr>
                <w:rFonts w:ascii="Bookman Old Style" w:hAnsi="Bookman Old Style" w:cs="Arial"/>
                <w:lang w:eastAsia="en-ID"/>
              </w:rPr>
              <w:t>3</w:t>
            </w:r>
          </w:p>
        </w:tc>
      </w:tr>
      <w:tr w:rsidR="00E02D1C" w:rsidRPr="00BF7844" w14:paraId="2BDDCD3F" w14:textId="77777777" w:rsidTr="00B128D5">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F6A732B"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3</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D11DD9" w14:textId="77777777" w:rsidR="00E02D1C" w:rsidRPr="00BF7844" w:rsidRDefault="00E02D1C" w:rsidP="00B128D5">
            <w:pPr>
              <w:spacing w:after="0" w:line="240" w:lineRule="auto"/>
              <w:rPr>
                <w:rFonts w:ascii="Bookman Old Style" w:hAnsi="Bookman Old Style" w:cs="Arial"/>
                <w:lang w:eastAsia="en-ID"/>
              </w:rPr>
            </w:pPr>
            <w:r>
              <w:rPr>
                <w:rFonts w:ascii="Bookman Old Style" w:hAnsi="Bookman Old Style" w:cs="Arial"/>
                <w:lang w:eastAsia="en-ID"/>
              </w:rPr>
              <w:t>Cassation</w:t>
            </w:r>
          </w:p>
        </w:tc>
        <w:tc>
          <w:tcPr>
            <w:tcW w:w="11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72F6E3" w14:textId="77777777" w:rsidR="00E02D1C" w:rsidRPr="00BF7844" w:rsidRDefault="00E02D1C" w:rsidP="00B128D5">
            <w:pPr>
              <w:spacing w:after="0" w:line="240" w:lineRule="auto"/>
              <w:jc w:val="center"/>
              <w:rPr>
                <w:rFonts w:ascii="Bookman Old Style" w:hAnsi="Bookman Old Style" w:cs="Arial"/>
                <w:lang w:eastAsia="en-ID"/>
              </w:rPr>
            </w:pPr>
            <w:r>
              <w:rPr>
                <w:rFonts w:ascii="Bookman Old Style" w:hAnsi="Bookman Old Style" w:cs="Arial"/>
                <w:lang w:eastAsia="en-ID"/>
              </w:rPr>
              <w:t>0</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B7608E7"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0</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4066BA" w14:textId="77777777" w:rsidR="00E02D1C" w:rsidRPr="00BF7844" w:rsidRDefault="00E02D1C" w:rsidP="00B128D5">
            <w:pPr>
              <w:spacing w:after="0" w:line="240" w:lineRule="auto"/>
              <w:jc w:val="center"/>
              <w:rPr>
                <w:rFonts w:ascii="Bookman Old Style" w:hAnsi="Bookman Old Style" w:cs="Arial"/>
                <w:lang w:eastAsia="en-ID"/>
              </w:rPr>
            </w:pPr>
            <w:r>
              <w:rPr>
                <w:rFonts w:ascii="Bookman Old Style" w:hAnsi="Bookman Old Style" w:cs="Arial"/>
                <w:lang w:eastAsia="en-ID"/>
              </w:rPr>
              <w:t>0</w:t>
            </w:r>
          </w:p>
        </w:tc>
        <w:tc>
          <w:tcPr>
            <w:tcW w:w="11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B1BB20" w14:textId="77777777" w:rsidR="00E02D1C" w:rsidRPr="00BF7844" w:rsidRDefault="00E02D1C" w:rsidP="00B128D5">
            <w:pPr>
              <w:spacing w:after="0" w:line="240" w:lineRule="auto"/>
              <w:jc w:val="center"/>
              <w:rPr>
                <w:rFonts w:ascii="Bookman Old Style" w:hAnsi="Bookman Old Style" w:cs="Arial"/>
                <w:lang w:eastAsia="en-ID"/>
              </w:rPr>
            </w:pPr>
            <w:r w:rsidRPr="00BF7844">
              <w:rPr>
                <w:rFonts w:ascii="Bookman Old Style" w:hAnsi="Bookman Old Style" w:cs="Arial"/>
                <w:lang w:eastAsia="en-ID"/>
              </w:rPr>
              <w:t>0</w:t>
            </w:r>
          </w:p>
        </w:tc>
        <w:tc>
          <w:tcPr>
            <w:tcW w:w="96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646E06" w14:textId="77777777" w:rsidR="00E02D1C" w:rsidRPr="00BF7844" w:rsidRDefault="00E02D1C" w:rsidP="00B128D5">
            <w:pPr>
              <w:spacing w:after="0" w:line="240" w:lineRule="auto"/>
              <w:jc w:val="center"/>
              <w:rPr>
                <w:rFonts w:ascii="Bookman Old Style" w:hAnsi="Bookman Old Style" w:cs="Arial"/>
                <w:lang w:eastAsia="en-ID"/>
              </w:rPr>
            </w:pPr>
            <w:r>
              <w:rPr>
                <w:rFonts w:ascii="Bookman Old Style" w:hAnsi="Bookman Old Style" w:cs="Arial"/>
                <w:lang w:eastAsia="en-ID"/>
              </w:rPr>
              <w:t>0</w:t>
            </w:r>
          </w:p>
        </w:tc>
      </w:tr>
      <w:tr w:rsidR="00E02D1C" w:rsidRPr="00BF7844" w14:paraId="1967E45A" w14:textId="77777777" w:rsidTr="00B128D5">
        <w:trPr>
          <w:trHeight w:val="200"/>
        </w:trPr>
        <w:tc>
          <w:tcPr>
            <w:tcW w:w="3827" w:type="dxa"/>
            <w:gridSpan w:val="2"/>
            <w:tcBorders>
              <w:top w:val="single" w:sz="6" w:space="0" w:color="CCCCCC"/>
              <w:left w:val="single" w:sz="6" w:space="0" w:color="000000"/>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bottom"/>
            <w:hideMark/>
          </w:tcPr>
          <w:p w14:paraId="7717C765" w14:textId="77777777" w:rsidR="00E02D1C" w:rsidRPr="00BF7844" w:rsidRDefault="00E02D1C" w:rsidP="00B128D5">
            <w:pPr>
              <w:spacing w:after="0" w:line="240" w:lineRule="auto"/>
              <w:jc w:val="center"/>
              <w:rPr>
                <w:rFonts w:ascii="Bookman Old Style" w:hAnsi="Bookman Old Style" w:cs="Arial"/>
                <w:b/>
                <w:bCs/>
                <w:lang w:eastAsia="en-ID"/>
              </w:rPr>
            </w:pPr>
            <w:r w:rsidRPr="00BF7844">
              <w:rPr>
                <w:rFonts w:ascii="Bookman Old Style" w:hAnsi="Bookman Old Style" w:cs="Arial"/>
                <w:b/>
                <w:bCs/>
                <w:lang w:eastAsia="en-ID"/>
              </w:rPr>
              <w:t>Total</w:t>
            </w:r>
          </w:p>
        </w:tc>
        <w:tc>
          <w:tcPr>
            <w:tcW w:w="1105" w:type="dxa"/>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bottom"/>
            <w:hideMark/>
          </w:tcPr>
          <w:p w14:paraId="664961E7" w14:textId="77777777" w:rsidR="00E02D1C" w:rsidRPr="00BF7844" w:rsidRDefault="00E02D1C" w:rsidP="00B128D5">
            <w:pPr>
              <w:spacing w:after="0" w:line="240" w:lineRule="auto"/>
              <w:jc w:val="center"/>
              <w:rPr>
                <w:rFonts w:ascii="Bookman Old Style" w:hAnsi="Bookman Old Style" w:cs="Arial"/>
                <w:lang w:eastAsia="en-ID"/>
              </w:rPr>
            </w:pPr>
          </w:p>
        </w:tc>
        <w:tc>
          <w:tcPr>
            <w:tcW w:w="1106" w:type="dxa"/>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bottom"/>
          </w:tcPr>
          <w:p w14:paraId="283DD0A2" w14:textId="77777777" w:rsidR="00E02D1C" w:rsidRPr="00BF7844" w:rsidRDefault="00E02D1C" w:rsidP="00B128D5">
            <w:pPr>
              <w:spacing w:after="0" w:line="240" w:lineRule="auto"/>
              <w:jc w:val="center"/>
              <w:rPr>
                <w:rFonts w:ascii="Bookman Old Style" w:hAnsi="Bookman Old Style" w:cs="Arial"/>
                <w:lang w:eastAsia="en-ID"/>
              </w:rPr>
            </w:pPr>
          </w:p>
        </w:tc>
        <w:tc>
          <w:tcPr>
            <w:tcW w:w="1106" w:type="dxa"/>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bottom"/>
          </w:tcPr>
          <w:p w14:paraId="6679980A" w14:textId="77777777" w:rsidR="00E02D1C" w:rsidRPr="00BF7844" w:rsidRDefault="00E02D1C" w:rsidP="00B128D5">
            <w:pPr>
              <w:spacing w:after="0" w:line="240" w:lineRule="auto"/>
              <w:jc w:val="center"/>
              <w:rPr>
                <w:rFonts w:ascii="Bookman Old Style" w:hAnsi="Bookman Old Style" w:cs="Arial"/>
                <w:lang w:eastAsia="en-ID"/>
              </w:rPr>
            </w:pPr>
          </w:p>
        </w:tc>
        <w:tc>
          <w:tcPr>
            <w:tcW w:w="1106" w:type="dxa"/>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bottom"/>
          </w:tcPr>
          <w:p w14:paraId="61CA9285" w14:textId="77777777" w:rsidR="00E02D1C" w:rsidRPr="00BF7844" w:rsidRDefault="00E02D1C" w:rsidP="00B128D5">
            <w:pPr>
              <w:spacing w:after="0" w:line="240" w:lineRule="auto"/>
              <w:jc w:val="center"/>
              <w:rPr>
                <w:rFonts w:ascii="Bookman Old Style" w:hAnsi="Bookman Old Style" w:cs="Arial"/>
                <w:lang w:eastAsia="en-ID"/>
              </w:rPr>
            </w:pPr>
          </w:p>
        </w:tc>
        <w:tc>
          <w:tcPr>
            <w:tcW w:w="964" w:type="dxa"/>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bottom"/>
            <w:hideMark/>
          </w:tcPr>
          <w:p w14:paraId="3363DED2" w14:textId="77777777" w:rsidR="00E02D1C" w:rsidRPr="00E56133" w:rsidRDefault="00E02D1C" w:rsidP="00B128D5">
            <w:pPr>
              <w:spacing w:after="0" w:line="240" w:lineRule="auto"/>
              <w:jc w:val="center"/>
              <w:rPr>
                <w:rFonts w:ascii="Bookman Old Style" w:hAnsi="Bookman Old Style" w:cs="Arial"/>
                <w:b/>
                <w:bCs/>
                <w:lang w:eastAsia="en-ID"/>
              </w:rPr>
            </w:pPr>
            <w:r w:rsidRPr="00E56133">
              <w:rPr>
                <w:rFonts w:ascii="Bookman Old Style" w:hAnsi="Bookman Old Style" w:cs="Arial"/>
                <w:b/>
                <w:bCs/>
                <w:lang w:eastAsia="en-ID"/>
              </w:rPr>
              <w:t>1</w:t>
            </w:r>
            <w:r>
              <w:rPr>
                <w:rFonts w:ascii="Bookman Old Style" w:hAnsi="Bookman Old Style" w:cs="Arial"/>
                <w:b/>
                <w:bCs/>
                <w:lang w:eastAsia="en-ID"/>
              </w:rPr>
              <w:t>55</w:t>
            </w:r>
          </w:p>
        </w:tc>
      </w:tr>
    </w:tbl>
    <w:p w14:paraId="41AFFDCD" w14:textId="77777777" w:rsidR="00E02D1C" w:rsidRPr="007F2FFF" w:rsidRDefault="00E02D1C" w:rsidP="00E02D1C">
      <w:pPr>
        <w:snapToGrid w:val="0"/>
        <w:spacing w:before="120" w:after="0"/>
        <w:jc w:val="both"/>
        <w:rPr>
          <w:rFonts w:ascii="Bookman Old Style" w:hAnsi="Bookman Old Style"/>
          <w:color w:val="000000"/>
        </w:rPr>
      </w:pPr>
      <w:r w:rsidRPr="007F2FFF">
        <w:rPr>
          <w:rFonts w:ascii="Bookman Old Style" w:hAnsi="Bookman Old Style"/>
          <w:color w:val="000000"/>
        </w:rPr>
        <w:t>OJK investigators continue to actively coordinate with other law enforcement authorities to handle investigations through collaborative efforts within the financial services sector.</w:t>
      </w:r>
    </w:p>
    <w:p w14:paraId="17A888A7" w14:textId="77777777" w:rsidR="00E02D1C" w:rsidRDefault="00E02D1C" w:rsidP="00E02D1C">
      <w:pPr>
        <w:snapToGrid w:val="0"/>
        <w:spacing w:before="120" w:after="0"/>
        <w:jc w:val="both"/>
        <w:rPr>
          <w:rFonts w:ascii="Bookman Old Style" w:hAnsi="Bookman Old Style"/>
          <w:color w:val="000000"/>
        </w:rPr>
      </w:pPr>
      <w:r w:rsidRPr="007F2FFF">
        <w:rPr>
          <w:rFonts w:ascii="Bookman Old Style" w:hAnsi="Bookman Old Style"/>
          <w:color w:val="000000"/>
        </w:rPr>
        <w:t xml:space="preserve">Cooperation with the Attorney General’s Office of the Republic of Indonesia and the Indonesian National Police is expected to further enhance the effectiveness of case handling, accelerate coordination among law enforcement agencies, and strengthen deterrence against </w:t>
      </w:r>
      <w:r w:rsidRPr="0070357A">
        <w:rPr>
          <w:rFonts w:ascii="Bookman Old Style" w:hAnsi="Bookman Old Style"/>
          <w:color w:val="000000"/>
        </w:rPr>
        <w:t>actors involved in financial misconduct.</w:t>
      </w:r>
    </w:p>
    <w:p w14:paraId="3F011BCC" w14:textId="6E989834" w:rsidR="00E02D1C" w:rsidRPr="00BF6F14" w:rsidRDefault="00E02D1C" w:rsidP="00E02D1C">
      <w:pPr>
        <w:spacing w:before="120" w:after="0"/>
        <w:jc w:val="both"/>
        <w:rPr>
          <w:rFonts w:ascii="Bookman Old Style" w:hAnsi="Bookman Old Style"/>
          <w:color w:val="000000" w:themeColor="text1"/>
          <w:lang w:val="en-GB"/>
        </w:rPr>
      </w:pPr>
    </w:p>
    <w:p w14:paraId="2894455D" w14:textId="77777777" w:rsidR="00E02D1C" w:rsidRPr="00BF6F14" w:rsidRDefault="00E02D1C" w:rsidP="00E02D1C">
      <w:pPr>
        <w:spacing w:before="120" w:after="0"/>
        <w:jc w:val="both"/>
        <w:rPr>
          <w:rFonts w:ascii="Bookman Old Style" w:hAnsi="Bookman Old Style"/>
          <w:color w:val="000000" w:themeColor="text1"/>
          <w:lang w:val="en-GB"/>
        </w:rPr>
      </w:pPr>
    </w:p>
    <w:p w14:paraId="5B35DBF9" w14:textId="77777777" w:rsidR="00E02D1C" w:rsidRDefault="00E02D1C" w:rsidP="00E02D1C">
      <w:pPr>
        <w:spacing w:before="120" w:after="0"/>
        <w:jc w:val="both"/>
        <w:rPr>
          <w:rFonts w:ascii="Bookman Old Style" w:hAnsi="Bookman Old Style"/>
          <w:bCs/>
          <w:sz w:val="21"/>
          <w:szCs w:val="21"/>
          <w:lang w:val="en-GB"/>
        </w:rPr>
      </w:pPr>
    </w:p>
    <w:p w14:paraId="3C44BB78" w14:textId="77777777" w:rsidR="00E02D1C" w:rsidRPr="00FC7620" w:rsidRDefault="00E02D1C" w:rsidP="00E02D1C">
      <w:pPr>
        <w:spacing w:before="120" w:after="0"/>
        <w:jc w:val="center"/>
        <w:rPr>
          <w:rFonts w:ascii="Bookman Old Style" w:hAnsi="Bookman Old Style"/>
          <w:bCs/>
          <w:sz w:val="21"/>
          <w:szCs w:val="21"/>
          <w:lang w:val="en-GB"/>
        </w:rPr>
      </w:pPr>
      <w:r w:rsidRPr="00FC7620">
        <w:rPr>
          <w:rFonts w:ascii="Bookman Old Style" w:hAnsi="Bookman Old Style"/>
          <w:bCs/>
          <w:sz w:val="21"/>
          <w:szCs w:val="21"/>
          <w:lang w:val="en-GB"/>
        </w:rPr>
        <w:t>***</w:t>
      </w:r>
    </w:p>
    <w:p w14:paraId="33D8C688" w14:textId="77777777" w:rsidR="00E02D1C" w:rsidRPr="001736A6" w:rsidRDefault="00E02D1C" w:rsidP="00E02D1C">
      <w:pPr>
        <w:pStyle w:val="NormalWeb"/>
        <w:shd w:val="clear" w:color="auto" w:fill="FFFFFF"/>
        <w:spacing w:beforeLines="120" w:before="288" w:after="120"/>
        <w:contextualSpacing/>
        <w:rPr>
          <w:rFonts w:ascii="Bookman Old Style" w:hAnsi="Bookman Old Style"/>
          <w:bCs/>
          <w:sz w:val="21"/>
          <w:szCs w:val="21"/>
          <w:lang w:val="en-GB"/>
        </w:rPr>
      </w:pPr>
      <w:r w:rsidRPr="001736A6">
        <w:rPr>
          <w:rFonts w:ascii="Bookman Old Style" w:hAnsi="Bookman Old Style"/>
          <w:bCs/>
          <w:sz w:val="21"/>
          <w:szCs w:val="21"/>
          <w:lang w:val="en-GB"/>
        </w:rPr>
        <w:t>For more information</w:t>
      </w:r>
    </w:p>
    <w:p w14:paraId="1E452461" w14:textId="77777777" w:rsidR="00E02D1C" w:rsidRPr="001736A6" w:rsidRDefault="00E02D1C" w:rsidP="00E02D1C">
      <w:pPr>
        <w:pStyle w:val="NormalWeb"/>
        <w:shd w:val="clear" w:color="auto" w:fill="FFFFFF"/>
        <w:spacing w:beforeLines="120" w:before="288" w:after="120"/>
        <w:contextualSpacing/>
        <w:rPr>
          <w:rFonts w:ascii="Bookman Old Style" w:hAnsi="Bookman Old Style"/>
          <w:bCs/>
          <w:sz w:val="21"/>
          <w:szCs w:val="21"/>
          <w:lang w:val="en-GB"/>
        </w:rPr>
      </w:pPr>
      <w:r w:rsidRPr="001736A6">
        <w:rPr>
          <w:rFonts w:ascii="Bookman Old Style" w:hAnsi="Bookman Old Style"/>
          <w:bCs/>
          <w:sz w:val="21"/>
          <w:szCs w:val="21"/>
          <w:lang w:val="en-GB"/>
        </w:rPr>
        <w:t>Head of Integrated Financial Services Sector Surveillance and Policy Department of OJK – Agus Firmansyah</w:t>
      </w:r>
    </w:p>
    <w:p w14:paraId="5D914FF7" w14:textId="77777777" w:rsidR="00E02D1C" w:rsidRPr="001736A6" w:rsidRDefault="00E02D1C" w:rsidP="00E02D1C">
      <w:pPr>
        <w:pStyle w:val="NormalWeb"/>
        <w:shd w:val="clear" w:color="auto" w:fill="FFFFFF"/>
        <w:spacing w:beforeLines="120" w:before="288" w:after="120"/>
        <w:contextualSpacing/>
        <w:rPr>
          <w:rFonts w:ascii="Bookman Old Style" w:hAnsi="Bookman Old Style"/>
          <w:bCs/>
          <w:sz w:val="21"/>
          <w:szCs w:val="21"/>
          <w:lang w:val="en-GB"/>
        </w:rPr>
      </w:pPr>
      <w:r w:rsidRPr="001736A6">
        <w:rPr>
          <w:rFonts w:ascii="Bookman Old Style" w:hAnsi="Bookman Old Style"/>
          <w:bCs/>
          <w:sz w:val="21"/>
          <w:szCs w:val="21"/>
          <w:lang w:val="en-GB"/>
        </w:rPr>
        <w:t xml:space="preserve">Tel. 021.29600000; Email: </w:t>
      </w:r>
      <w:hyperlink r:id="rId7" w:history="1">
        <w:r w:rsidRPr="001736A6">
          <w:rPr>
            <w:rStyle w:val="Hyperlink"/>
            <w:rFonts w:ascii="Bookman Old Style" w:hAnsi="Bookman Old Style"/>
            <w:bCs/>
            <w:sz w:val="21"/>
            <w:szCs w:val="21"/>
            <w:lang w:val="en-GB"/>
          </w:rPr>
          <w:t>humas@ojk.go.id</w:t>
        </w:r>
      </w:hyperlink>
    </w:p>
    <w:p w14:paraId="2AB58F72" w14:textId="77777777" w:rsidR="00E02D1C" w:rsidRDefault="00E02D1C" w:rsidP="00E02D1C">
      <w:pPr>
        <w:pStyle w:val="NormalWeb"/>
        <w:shd w:val="clear" w:color="auto" w:fill="FFFFFF"/>
        <w:spacing w:beforeLines="120" w:before="288" w:after="120"/>
        <w:contextualSpacing/>
      </w:pPr>
    </w:p>
    <w:p w14:paraId="53886B69" w14:textId="77777777" w:rsidR="00AD7F77" w:rsidRDefault="00AD7F77"/>
    <w:sectPr w:rsidR="00AD7F77" w:rsidSect="00E02D1C">
      <w:headerReference w:type="default" r:id="rId8"/>
      <w:pgSz w:w="11906" w:h="16838"/>
      <w:pgMar w:top="1588" w:right="1134" w:bottom="709" w:left="1247"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6EB5C" w14:textId="77777777" w:rsidR="00A34CC9" w:rsidRDefault="00A34CC9">
      <w:pPr>
        <w:spacing w:after="0" w:line="240" w:lineRule="auto"/>
      </w:pPr>
      <w:r>
        <w:separator/>
      </w:r>
    </w:p>
  </w:endnote>
  <w:endnote w:type="continuationSeparator" w:id="0">
    <w:p w14:paraId="0AE62504" w14:textId="77777777" w:rsidR="00A34CC9" w:rsidRDefault="00A34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OldStyle">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9F9AB" w14:textId="77777777" w:rsidR="00A34CC9" w:rsidRDefault="00A34CC9">
      <w:pPr>
        <w:spacing w:after="0" w:line="240" w:lineRule="auto"/>
      </w:pPr>
      <w:r>
        <w:separator/>
      </w:r>
    </w:p>
  </w:footnote>
  <w:footnote w:type="continuationSeparator" w:id="0">
    <w:p w14:paraId="0298E0D5" w14:textId="77777777" w:rsidR="00A34CC9" w:rsidRDefault="00A34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0B9B8" w14:textId="77777777" w:rsidR="00E02D1C" w:rsidRDefault="00E02D1C" w:rsidP="00010EC1">
    <w:pPr>
      <w:pStyle w:val="Header"/>
      <w:ind w:left="-567"/>
    </w:pPr>
    <w:r>
      <w:rPr>
        <w:noProof/>
        <w:lang w:val="en-US"/>
      </w:rPr>
      <w:drawing>
        <wp:anchor distT="0" distB="0" distL="114300" distR="114300" simplePos="0" relativeHeight="251660288" behindDoc="0" locked="0" layoutInCell="1" allowOverlap="1" wp14:anchorId="0866CBF9" wp14:editId="6AABB418">
          <wp:simplePos x="0" y="0"/>
          <wp:positionH relativeFrom="column">
            <wp:posOffset>-36195</wp:posOffset>
          </wp:positionH>
          <wp:positionV relativeFrom="paragraph">
            <wp:posOffset>-476250</wp:posOffset>
          </wp:positionV>
          <wp:extent cx="1771650" cy="1771650"/>
          <wp:effectExtent l="0" t="0" r="0" b="0"/>
          <wp:wrapNone/>
          <wp:docPr id="203452027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FC4">
      <w:rPr>
        <w:noProof/>
      </w:rPr>
      <w:drawing>
        <wp:anchor distT="0" distB="0" distL="114300" distR="114300" simplePos="0" relativeHeight="251659264" behindDoc="1" locked="0" layoutInCell="1" allowOverlap="1" wp14:anchorId="5828F61A" wp14:editId="3676272D">
          <wp:simplePos x="0" y="0"/>
          <wp:positionH relativeFrom="page">
            <wp:posOffset>-12065</wp:posOffset>
          </wp:positionH>
          <wp:positionV relativeFrom="paragraph">
            <wp:posOffset>-139700</wp:posOffset>
          </wp:positionV>
          <wp:extent cx="762000" cy="1042035"/>
          <wp:effectExtent l="0" t="0" r="0" b="571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
                    <a:extLst>
                      <a:ext uri="{28A0092B-C50C-407E-A947-70E740481C1C}">
                        <a14:useLocalDpi xmlns:a14="http://schemas.microsoft.com/office/drawing/2010/main" val="0"/>
                      </a:ext>
                    </a:extLst>
                  </a:blip>
                  <a:srcRect t="2" r="89110" b="88503"/>
                  <a:stretch/>
                </pic:blipFill>
                <pic:spPr bwMode="auto">
                  <a:xfrm>
                    <a:off x="0" y="0"/>
                    <a:ext cx="762000" cy="1042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1B1CB" w14:textId="77777777" w:rsidR="00E02D1C" w:rsidRDefault="00E02D1C" w:rsidP="003E34A0">
    <w:pPr>
      <w:pStyle w:val="Header"/>
      <w:ind w:left="-56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F2F"/>
    <w:multiLevelType w:val="multilevel"/>
    <w:tmpl w:val="80C6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B5986"/>
    <w:multiLevelType w:val="multilevel"/>
    <w:tmpl w:val="7748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505EC"/>
    <w:multiLevelType w:val="multilevel"/>
    <w:tmpl w:val="DFFA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010DE"/>
    <w:multiLevelType w:val="multilevel"/>
    <w:tmpl w:val="8434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72E63"/>
    <w:multiLevelType w:val="hybridMultilevel"/>
    <w:tmpl w:val="AC70D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17CE5"/>
    <w:multiLevelType w:val="multilevel"/>
    <w:tmpl w:val="C54464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914ED"/>
    <w:multiLevelType w:val="multilevel"/>
    <w:tmpl w:val="F8429E5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56230B"/>
    <w:multiLevelType w:val="hybridMultilevel"/>
    <w:tmpl w:val="1E76DC26"/>
    <w:lvl w:ilvl="0" w:tplc="D9042698">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5CC2D32"/>
    <w:multiLevelType w:val="multilevel"/>
    <w:tmpl w:val="3F146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01351A"/>
    <w:multiLevelType w:val="multilevel"/>
    <w:tmpl w:val="A31C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4264B"/>
    <w:multiLevelType w:val="multilevel"/>
    <w:tmpl w:val="D9FAE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9E7C16"/>
    <w:multiLevelType w:val="multilevel"/>
    <w:tmpl w:val="50A6743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C828B2"/>
    <w:multiLevelType w:val="multilevel"/>
    <w:tmpl w:val="CF92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63BF6"/>
    <w:multiLevelType w:val="multilevel"/>
    <w:tmpl w:val="39A87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AD13D3"/>
    <w:multiLevelType w:val="multilevel"/>
    <w:tmpl w:val="4FBE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C51F6"/>
    <w:multiLevelType w:val="hybridMultilevel"/>
    <w:tmpl w:val="719A92D6"/>
    <w:lvl w:ilvl="0" w:tplc="9E6E7FC8">
      <w:start w:val="5"/>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6" w15:restartNumberingAfterBreak="0">
    <w:nsid w:val="36AF20B8"/>
    <w:multiLevelType w:val="multilevel"/>
    <w:tmpl w:val="CD2C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D25C9"/>
    <w:multiLevelType w:val="multilevel"/>
    <w:tmpl w:val="A348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DF7327"/>
    <w:multiLevelType w:val="multilevel"/>
    <w:tmpl w:val="F762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E07F41"/>
    <w:multiLevelType w:val="multilevel"/>
    <w:tmpl w:val="8C8A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A202C"/>
    <w:multiLevelType w:val="hybridMultilevel"/>
    <w:tmpl w:val="53AEC06A"/>
    <w:lvl w:ilvl="0" w:tplc="38090019">
      <w:start w:val="1"/>
      <w:numFmt w:val="lowerLetter"/>
      <w:lvlText w:val="%1."/>
      <w:lvlJc w:val="left"/>
      <w:pPr>
        <w:ind w:left="720" w:hanging="360"/>
      </w:pPr>
    </w:lvl>
    <w:lvl w:ilvl="1" w:tplc="8C66BDF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90209C1"/>
    <w:multiLevelType w:val="hybridMultilevel"/>
    <w:tmpl w:val="E646A2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A1290"/>
    <w:multiLevelType w:val="multilevel"/>
    <w:tmpl w:val="8D94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D54E8D"/>
    <w:multiLevelType w:val="multilevel"/>
    <w:tmpl w:val="76F4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904111"/>
    <w:multiLevelType w:val="multilevel"/>
    <w:tmpl w:val="B7C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E62126"/>
    <w:multiLevelType w:val="multilevel"/>
    <w:tmpl w:val="CB0ADD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261A9E"/>
    <w:multiLevelType w:val="multilevel"/>
    <w:tmpl w:val="B4A6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0082F"/>
    <w:multiLevelType w:val="multilevel"/>
    <w:tmpl w:val="5406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6709E2"/>
    <w:multiLevelType w:val="multilevel"/>
    <w:tmpl w:val="449CA56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59B824EE"/>
    <w:multiLevelType w:val="multilevel"/>
    <w:tmpl w:val="0108E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7E7648"/>
    <w:multiLevelType w:val="multilevel"/>
    <w:tmpl w:val="F44A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693072"/>
    <w:multiLevelType w:val="multilevel"/>
    <w:tmpl w:val="5F28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3E0E18"/>
    <w:multiLevelType w:val="multilevel"/>
    <w:tmpl w:val="3FBC5B0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F75469"/>
    <w:multiLevelType w:val="hybridMultilevel"/>
    <w:tmpl w:val="6BC867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FE56C4"/>
    <w:multiLevelType w:val="multilevel"/>
    <w:tmpl w:val="F5D47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996C53"/>
    <w:multiLevelType w:val="multilevel"/>
    <w:tmpl w:val="FE64FD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2455ED"/>
    <w:multiLevelType w:val="multilevel"/>
    <w:tmpl w:val="368272A4"/>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653C780C"/>
    <w:multiLevelType w:val="multilevel"/>
    <w:tmpl w:val="57FA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EA7F12"/>
    <w:multiLevelType w:val="multilevel"/>
    <w:tmpl w:val="7452D5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73F1C05"/>
    <w:multiLevelType w:val="hybridMultilevel"/>
    <w:tmpl w:val="BDD2AD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8575ED"/>
    <w:multiLevelType w:val="multilevel"/>
    <w:tmpl w:val="991C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0320F"/>
    <w:multiLevelType w:val="multilevel"/>
    <w:tmpl w:val="6750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B86D1D"/>
    <w:multiLevelType w:val="multilevel"/>
    <w:tmpl w:val="A6AA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AA7474"/>
    <w:multiLevelType w:val="multilevel"/>
    <w:tmpl w:val="BE52D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3A6561"/>
    <w:multiLevelType w:val="multilevel"/>
    <w:tmpl w:val="1776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E50D6A"/>
    <w:multiLevelType w:val="multilevel"/>
    <w:tmpl w:val="3348B892"/>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15:restartNumberingAfterBreak="0">
    <w:nsid w:val="732C3B55"/>
    <w:multiLevelType w:val="hybridMultilevel"/>
    <w:tmpl w:val="70F8779A"/>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010E93"/>
    <w:multiLevelType w:val="multilevel"/>
    <w:tmpl w:val="B312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291CF6"/>
    <w:multiLevelType w:val="multilevel"/>
    <w:tmpl w:val="67EC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0754696">
    <w:abstractNumId w:val="43"/>
  </w:num>
  <w:num w:numId="2" w16cid:durableId="2050260964">
    <w:abstractNumId w:val="22"/>
  </w:num>
  <w:num w:numId="3" w16cid:durableId="232274336">
    <w:abstractNumId w:val="11"/>
  </w:num>
  <w:num w:numId="4" w16cid:durableId="1158426518">
    <w:abstractNumId w:val="6"/>
  </w:num>
  <w:num w:numId="5" w16cid:durableId="1384258453">
    <w:abstractNumId w:val="28"/>
  </w:num>
  <w:num w:numId="6" w16cid:durableId="2130512446">
    <w:abstractNumId w:val="36"/>
  </w:num>
  <w:num w:numId="7" w16cid:durableId="1470856915">
    <w:abstractNumId w:val="14"/>
  </w:num>
  <w:num w:numId="8" w16cid:durableId="1429043240">
    <w:abstractNumId w:val="12"/>
  </w:num>
  <w:num w:numId="9" w16cid:durableId="1813672312">
    <w:abstractNumId w:val="45"/>
  </w:num>
  <w:num w:numId="10" w16cid:durableId="629097718">
    <w:abstractNumId w:val="26"/>
  </w:num>
  <w:num w:numId="11" w16cid:durableId="1672298833">
    <w:abstractNumId w:val="31"/>
  </w:num>
  <w:num w:numId="12" w16cid:durableId="996885726">
    <w:abstractNumId w:val="32"/>
  </w:num>
  <w:num w:numId="13" w16cid:durableId="1978216485">
    <w:abstractNumId w:val="9"/>
  </w:num>
  <w:num w:numId="14" w16cid:durableId="1560944718">
    <w:abstractNumId w:val="4"/>
  </w:num>
  <w:num w:numId="15" w16cid:durableId="37554932">
    <w:abstractNumId w:val="33"/>
  </w:num>
  <w:num w:numId="16" w16cid:durableId="2057312462">
    <w:abstractNumId w:val="13"/>
  </w:num>
  <w:num w:numId="17" w16cid:durableId="1415979681">
    <w:abstractNumId w:val="18"/>
  </w:num>
  <w:num w:numId="18" w16cid:durableId="255528560">
    <w:abstractNumId w:val="40"/>
  </w:num>
  <w:num w:numId="19" w16cid:durableId="1968118172">
    <w:abstractNumId w:val="17"/>
  </w:num>
  <w:num w:numId="20" w16cid:durableId="608438101">
    <w:abstractNumId w:val="10"/>
  </w:num>
  <w:num w:numId="21" w16cid:durableId="138688099">
    <w:abstractNumId w:val="1"/>
  </w:num>
  <w:num w:numId="22" w16cid:durableId="2017685335">
    <w:abstractNumId w:val="8"/>
  </w:num>
  <w:num w:numId="23" w16cid:durableId="1690643398">
    <w:abstractNumId w:val="35"/>
  </w:num>
  <w:num w:numId="24" w16cid:durableId="919409543">
    <w:abstractNumId w:val="35"/>
    <w:lvlOverride w:ilvl="1">
      <w:lvl w:ilvl="1">
        <w:numFmt w:val="lowerLetter"/>
        <w:lvlText w:val="%2."/>
        <w:lvlJc w:val="left"/>
      </w:lvl>
    </w:lvlOverride>
  </w:num>
  <w:num w:numId="25" w16cid:durableId="478806145">
    <w:abstractNumId w:val="35"/>
    <w:lvlOverride w:ilvl="1">
      <w:lvl w:ilvl="1">
        <w:numFmt w:val="lowerLetter"/>
        <w:lvlText w:val="%2."/>
        <w:lvlJc w:val="left"/>
      </w:lvl>
    </w:lvlOverride>
  </w:num>
  <w:num w:numId="26" w16cid:durableId="662394091">
    <w:abstractNumId w:val="35"/>
    <w:lvlOverride w:ilvl="1">
      <w:lvl w:ilvl="1">
        <w:numFmt w:val="lowerLetter"/>
        <w:lvlText w:val="%2."/>
        <w:lvlJc w:val="left"/>
      </w:lvl>
    </w:lvlOverride>
  </w:num>
  <w:num w:numId="27" w16cid:durableId="1617250450">
    <w:abstractNumId w:val="23"/>
  </w:num>
  <w:num w:numId="28" w16cid:durableId="2071339640">
    <w:abstractNumId w:val="29"/>
  </w:num>
  <w:num w:numId="29" w16cid:durableId="560680256">
    <w:abstractNumId w:val="0"/>
  </w:num>
  <w:num w:numId="30" w16cid:durableId="788277034">
    <w:abstractNumId w:val="24"/>
  </w:num>
  <w:num w:numId="31" w16cid:durableId="1188102922">
    <w:abstractNumId w:val="21"/>
  </w:num>
  <w:num w:numId="32" w16cid:durableId="1824927740">
    <w:abstractNumId w:val="38"/>
  </w:num>
  <w:num w:numId="33" w16cid:durableId="1373505344">
    <w:abstractNumId w:val="30"/>
  </w:num>
  <w:num w:numId="34" w16cid:durableId="775947628">
    <w:abstractNumId w:val="25"/>
  </w:num>
  <w:num w:numId="35" w16cid:durableId="450513688">
    <w:abstractNumId w:val="41"/>
  </w:num>
  <w:num w:numId="36" w16cid:durableId="438257810">
    <w:abstractNumId w:val="39"/>
  </w:num>
  <w:num w:numId="37" w16cid:durableId="1676346190">
    <w:abstractNumId w:val="27"/>
  </w:num>
  <w:num w:numId="38" w16cid:durableId="1797986205">
    <w:abstractNumId w:val="48"/>
  </w:num>
  <w:num w:numId="39" w16cid:durableId="1424033092">
    <w:abstractNumId w:val="5"/>
  </w:num>
  <w:num w:numId="40" w16cid:durableId="79985730">
    <w:abstractNumId w:val="16"/>
  </w:num>
  <w:num w:numId="41" w16cid:durableId="1200701162">
    <w:abstractNumId w:val="42"/>
  </w:num>
  <w:num w:numId="42" w16cid:durableId="1365670204">
    <w:abstractNumId w:val="34"/>
  </w:num>
  <w:num w:numId="43" w16cid:durableId="715012502">
    <w:abstractNumId w:val="19"/>
  </w:num>
  <w:num w:numId="44" w16cid:durableId="627972991">
    <w:abstractNumId w:val="2"/>
  </w:num>
  <w:num w:numId="45" w16cid:durableId="528837750">
    <w:abstractNumId w:val="3"/>
  </w:num>
  <w:num w:numId="46" w16cid:durableId="81031588">
    <w:abstractNumId w:val="37"/>
  </w:num>
  <w:num w:numId="47" w16cid:durableId="755519686">
    <w:abstractNumId w:val="47"/>
  </w:num>
  <w:num w:numId="48" w16cid:durableId="743333902">
    <w:abstractNumId w:val="44"/>
  </w:num>
  <w:num w:numId="49" w16cid:durableId="1973055695">
    <w:abstractNumId w:val="46"/>
  </w:num>
  <w:num w:numId="50" w16cid:durableId="1238201346">
    <w:abstractNumId w:val="20"/>
  </w:num>
  <w:num w:numId="51" w16cid:durableId="2027053653">
    <w:abstractNumId w:val="7"/>
  </w:num>
  <w:num w:numId="52" w16cid:durableId="1564608880">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D1C"/>
    <w:rsid w:val="001772C8"/>
    <w:rsid w:val="008C28C5"/>
    <w:rsid w:val="009B2879"/>
    <w:rsid w:val="00A34CC9"/>
    <w:rsid w:val="00AD7F77"/>
    <w:rsid w:val="00C362F2"/>
    <w:rsid w:val="00E02D1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8CD6F"/>
  <w15:chartTrackingRefBased/>
  <w15:docId w15:val="{9157558C-8DB8-4812-91D3-770A7E12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D1C"/>
    <w:pPr>
      <w:spacing w:after="200" w:line="276" w:lineRule="auto"/>
    </w:pPr>
    <w:rPr>
      <w:rFonts w:ascii="Calibri" w:eastAsia="Times New Roman" w:hAnsi="Calibri" w:cs="Times New Roman"/>
      <w:kern w:val="0"/>
      <w:sz w:val="22"/>
      <w:szCs w:val="22"/>
      <w:lang w:val="id-ID" w:eastAsia="id-ID"/>
      <w14:ligatures w14:val="none"/>
    </w:rPr>
  </w:style>
  <w:style w:type="paragraph" w:styleId="Heading1">
    <w:name w:val="heading 1"/>
    <w:basedOn w:val="Normal"/>
    <w:next w:val="Normal"/>
    <w:link w:val="Heading1Char"/>
    <w:uiPriority w:val="9"/>
    <w:qFormat/>
    <w:rsid w:val="00E02D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2D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2D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2D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2D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2D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2D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2D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2D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D1C"/>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E02D1C"/>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E02D1C"/>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E02D1C"/>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E02D1C"/>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E02D1C"/>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02D1C"/>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02D1C"/>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02D1C"/>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02D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2D1C"/>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02D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2D1C"/>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02D1C"/>
    <w:pPr>
      <w:spacing w:before="160"/>
      <w:jc w:val="center"/>
    </w:pPr>
    <w:rPr>
      <w:i/>
      <w:iCs/>
      <w:color w:val="404040" w:themeColor="text1" w:themeTint="BF"/>
    </w:rPr>
  </w:style>
  <w:style w:type="character" w:customStyle="1" w:styleId="QuoteChar">
    <w:name w:val="Quote Char"/>
    <w:basedOn w:val="DefaultParagraphFont"/>
    <w:link w:val="Quote"/>
    <w:uiPriority w:val="29"/>
    <w:rsid w:val="00E02D1C"/>
    <w:rPr>
      <w:i/>
      <w:iCs/>
      <w:color w:val="404040" w:themeColor="text1" w:themeTint="BF"/>
      <w:lang w:val="en-GB"/>
    </w:rPr>
  </w:style>
  <w:style w:type="paragraph" w:styleId="ListParagraph">
    <w:name w:val="List Paragraph"/>
    <w:basedOn w:val="Normal"/>
    <w:uiPriority w:val="34"/>
    <w:qFormat/>
    <w:rsid w:val="00E02D1C"/>
    <w:pPr>
      <w:ind w:left="720"/>
      <w:contextualSpacing/>
    </w:pPr>
  </w:style>
  <w:style w:type="character" w:styleId="IntenseEmphasis">
    <w:name w:val="Intense Emphasis"/>
    <w:basedOn w:val="DefaultParagraphFont"/>
    <w:uiPriority w:val="21"/>
    <w:qFormat/>
    <w:rsid w:val="00E02D1C"/>
    <w:rPr>
      <w:i/>
      <w:iCs/>
      <w:color w:val="0F4761" w:themeColor="accent1" w:themeShade="BF"/>
    </w:rPr>
  </w:style>
  <w:style w:type="paragraph" w:styleId="IntenseQuote">
    <w:name w:val="Intense Quote"/>
    <w:basedOn w:val="Normal"/>
    <w:next w:val="Normal"/>
    <w:link w:val="IntenseQuoteChar"/>
    <w:uiPriority w:val="30"/>
    <w:qFormat/>
    <w:rsid w:val="00E02D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2D1C"/>
    <w:rPr>
      <w:i/>
      <w:iCs/>
      <w:color w:val="0F4761" w:themeColor="accent1" w:themeShade="BF"/>
      <w:lang w:val="en-GB"/>
    </w:rPr>
  </w:style>
  <w:style w:type="character" w:styleId="IntenseReference">
    <w:name w:val="Intense Reference"/>
    <w:basedOn w:val="DefaultParagraphFont"/>
    <w:uiPriority w:val="32"/>
    <w:qFormat/>
    <w:rsid w:val="00E02D1C"/>
    <w:rPr>
      <w:b/>
      <w:bCs/>
      <w:smallCaps/>
      <w:color w:val="0F4761" w:themeColor="accent1" w:themeShade="BF"/>
      <w:spacing w:val="5"/>
    </w:rPr>
  </w:style>
  <w:style w:type="paragraph" w:styleId="NormalWeb">
    <w:name w:val="Normal (Web)"/>
    <w:basedOn w:val="Normal"/>
    <w:uiPriority w:val="99"/>
    <w:unhideWhenUsed/>
    <w:rsid w:val="00E02D1C"/>
    <w:pPr>
      <w:spacing w:before="100" w:beforeAutospacing="1" w:after="100" w:afterAutospacing="1" w:line="240" w:lineRule="auto"/>
    </w:pPr>
    <w:rPr>
      <w:rFonts w:ascii="Times New Roman" w:hAnsi="Times New Roman"/>
      <w:sz w:val="24"/>
      <w:szCs w:val="24"/>
      <w:lang w:val="en-ID"/>
    </w:rPr>
  </w:style>
  <w:style w:type="paragraph" w:styleId="Header">
    <w:name w:val="header"/>
    <w:basedOn w:val="Normal"/>
    <w:link w:val="HeaderChar"/>
    <w:uiPriority w:val="99"/>
    <w:unhideWhenUsed/>
    <w:rsid w:val="00E02D1C"/>
    <w:pPr>
      <w:tabs>
        <w:tab w:val="center" w:pos="4513"/>
        <w:tab w:val="right" w:pos="9026"/>
      </w:tabs>
    </w:pPr>
  </w:style>
  <w:style w:type="character" w:customStyle="1" w:styleId="HeaderChar">
    <w:name w:val="Header Char"/>
    <w:basedOn w:val="DefaultParagraphFont"/>
    <w:link w:val="Header"/>
    <w:uiPriority w:val="99"/>
    <w:rsid w:val="00E02D1C"/>
    <w:rPr>
      <w:rFonts w:ascii="Calibri" w:eastAsia="Times New Roman" w:hAnsi="Calibri" w:cs="Times New Roman"/>
      <w:kern w:val="0"/>
      <w:sz w:val="22"/>
      <w:szCs w:val="22"/>
      <w:lang w:val="id-ID" w:eastAsia="id-ID"/>
      <w14:ligatures w14:val="none"/>
    </w:rPr>
  </w:style>
  <w:style w:type="character" w:styleId="Hyperlink">
    <w:name w:val="Hyperlink"/>
    <w:basedOn w:val="DefaultParagraphFont"/>
    <w:uiPriority w:val="99"/>
    <w:unhideWhenUsed/>
    <w:rsid w:val="00E02D1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humas@ojk.go.id"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E62EB39880324BB4F615F9697A2C94" ma:contentTypeVersion="1" ma:contentTypeDescription="Create a new document." ma:contentTypeScope="" ma:versionID="ddadb410608e43e59eb5df608312dda4">
  <xsd:schema xmlns:xsd="http://www.w3.org/2001/XMLSchema" xmlns:xs="http://www.w3.org/2001/XMLSchema" xmlns:p="http://schemas.microsoft.com/office/2006/metadata/properties" xmlns:ns1="http://schemas.microsoft.com/sharepoint/v3" targetNamespace="http://schemas.microsoft.com/office/2006/metadata/properties" ma:root="true" ma:fieldsID="2292e01370a06b57d65de8bf0b95326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E80860-06D5-468C-B7A4-418791CE6922}"/>
</file>

<file path=customXml/itemProps2.xml><?xml version="1.0" encoding="utf-8"?>
<ds:datastoreItem xmlns:ds="http://schemas.openxmlformats.org/officeDocument/2006/customXml" ds:itemID="{39D7E46D-0D29-4E06-B829-409F08F5004F}"/>
</file>

<file path=customXml/itemProps3.xml><?xml version="1.0" encoding="utf-8"?>
<ds:datastoreItem xmlns:ds="http://schemas.openxmlformats.org/officeDocument/2006/customXml" ds:itemID="{3BB4FA2F-035A-46DD-B15C-D559E4420FB1}"/>
</file>

<file path=docProps/app.xml><?xml version="1.0" encoding="utf-8"?>
<Properties xmlns="http://schemas.openxmlformats.org/officeDocument/2006/extended-properties" xmlns:vt="http://schemas.openxmlformats.org/officeDocument/2006/docPropsVTypes">
  <Template>Normal</Template>
  <TotalTime>357</TotalTime>
  <Pages>23</Pages>
  <Words>10119</Words>
  <Characters>57679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Michelle Angela</dc:creator>
  <cp:keywords/>
  <dc:description/>
  <cp:lastModifiedBy>Maria Michelle Angela</cp:lastModifiedBy>
  <cp:revision>2</cp:revision>
  <dcterms:created xsi:type="dcterms:W3CDTF">2026-05-13T02:37:00Z</dcterms:created>
  <dcterms:modified xsi:type="dcterms:W3CDTF">2026-05-13T10:00:00Z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0x010100E6E62EB39880324BB4F615F9697A2C94</vt:lpwstr>
  </property>
</Properties>
</file>